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95087">
      <w:pPr>
        <w:keepNext w:val="0"/>
        <w:keepLines w:val="0"/>
        <w:pageBreakBefore w:val="0"/>
        <w:widowControl w:val="0"/>
        <w:kinsoku/>
        <w:wordWrap/>
        <w:overflowPunct/>
        <w:topLinePunct w:val="0"/>
        <w:autoSpaceDE/>
        <w:autoSpaceDN/>
        <w:bidi w:val="0"/>
        <w:adjustRightInd/>
        <w:spacing w:before="60" w:after="60" w:line="480" w:lineRule="auto"/>
        <w:jc w:val="center"/>
        <w:textAlignment w:val="auto"/>
        <w:rPr>
          <w:rFonts w:hint="eastAsia" w:cs="方正小标宋简体" w:asciiTheme="minorEastAsia" w:hAnsiTheme="minorEastAsia" w:eastAsiaTheme="minorEastAsia"/>
          <w:color w:val="auto"/>
          <w:sz w:val="52"/>
          <w:szCs w:val="52"/>
          <w:highlight w:val="none"/>
          <w:lang w:eastAsia="zh-CN"/>
        </w:rPr>
      </w:pPr>
      <w:r>
        <w:rPr>
          <w:rFonts w:hint="eastAsia" w:asciiTheme="minorEastAsia" w:hAnsiTheme="minorEastAsia" w:eastAsiaTheme="minorEastAsia"/>
          <w:color w:val="auto"/>
          <w:sz w:val="52"/>
          <w:szCs w:val="52"/>
          <w:highlight w:val="none"/>
          <w:lang w:eastAsia="zh-CN"/>
        </w:rPr>
        <w:t>广西荣胜项目管理有限公司</w:t>
      </w:r>
    </w:p>
    <w:p w14:paraId="4AB38522">
      <w:pPr>
        <w:keepNext w:val="0"/>
        <w:keepLines w:val="0"/>
        <w:pageBreakBefore w:val="0"/>
        <w:widowControl w:val="0"/>
        <w:kinsoku/>
        <w:wordWrap/>
        <w:overflowPunct/>
        <w:topLinePunct w:val="0"/>
        <w:autoSpaceDE/>
        <w:autoSpaceDN/>
        <w:bidi w:val="0"/>
        <w:adjustRightInd/>
        <w:spacing w:before="60" w:after="60" w:line="480" w:lineRule="auto"/>
        <w:jc w:val="center"/>
        <w:textAlignment w:val="auto"/>
        <w:rPr>
          <w:rFonts w:ascii="方正小标宋简体" w:hAnsi="方正小标宋简体" w:eastAsia="方正小标宋简体" w:cs="方正小标宋简体"/>
          <w:b/>
          <w:color w:val="auto"/>
          <w:sz w:val="44"/>
          <w:szCs w:val="44"/>
          <w:highlight w:val="none"/>
        </w:rPr>
      </w:pPr>
    </w:p>
    <w:p w14:paraId="26D9FDE4">
      <w:pPr>
        <w:keepNext w:val="0"/>
        <w:keepLines w:val="0"/>
        <w:pageBreakBefore w:val="0"/>
        <w:widowControl w:val="0"/>
        <w:kinsoku/>
        <w:wordWrap/>
        <w:overflowPunct/>
        <w:topLinePunct w:val="0"/>
        <w:autoSpaceDE/>
        <w:autoSpaceDN/>
        <w:bidi w:val="0"/>
        <w:adjustRightInd/>
        <w:snapToGrid w:val="0"/>
        <w:spacing w:before="60" w:after="60" w:line="480" w:lineRule="auto"/>
        <w:jc w:val="center"/>
        <w:textAlignment w:val="auto"/>
        <w:rPr>
          <w:rFonts w:ascii="华文新魏" w:hAnsi="宋体" w:eastAsia="华文新魏"/>
          <w:color w:val="auto"/>
          <w:sz w:val="120"/>
          <w:szCs w:val="120"/>
          <w:highlight w:val="none"/>
        </w:rPr>
      </w:pPr>
      <w:r>
        <w:rPr>
          <w:rFonts w:hint="eastAsia" w:ascii="华文新魏" w:hAnsi="宋体" w:eastAsia="华文新魏"/>
          <w:color w:val="auto"/>
          <w:sz w:val="120"/>
          <w:szCs w:val="120"/>
          <w:highlight w:val="none"/>
        </w:rPr>
        <w:t>竞争性磋商文件</w:t>
      </w:r>
    </w:p>
    <w:p w14:paraId="6C47A13A">
      <w:pPr>
        <w:keepNext w:val="0"/>
        <w:keepLines w:val="0"/>
        <w:pageBreakBefore w:val="0"/>
        <w:widowControl w:val="0"/>
        <w:kinsoku/>
        <w:wordWrap/>
        <w:overflowPunct/>
        <w:topLinePunct w:val="0"/>
        <w:autoSpaceDE/>
        <w:autoSpaceDN/>
        <w:bidi w:val="0"/>
        <w:adjustRightInd/>
        <w:snapToGrid w:val="0"/>
        <w:spacing w:before="60" w:after="60" w:line="480" w:lineRule="auto"/>
        <w:jc w:val="center"/>
        <w:textAlignment w:val="auto"/>
        <w:rPr>
          <w:rFonts w:ascii="仿宋_GB2312" w:hAnsi="宋体" w:eastAsia="仿宋_GB2312"/>
          <w:b/>
          <w:color w:val="auto"/>
          <w:sz w:val="30"/>
          <w:szCs w:val="72"/>
          <w:highlight w:val="none"/>
        </w:rPr>
      </w:pPr>
      <w:r>
        <w:rPr>
          <w:rFonts w:hint="eastAsia" w:ascii="仿宋_GB2312" w:hAnsi="宋体" w:eastAsia="仿宋_GB2312"/>
          <w:b/>
          <w:color w:val="auto"/>
          <w:sz w:val="48"/>
          <w:szCs w:val="48"/>
          <w:highlight w:val="none"/>
        </w:rPr>
        <w:t>（全流程电子化采购）</w:t>
      </w:r>
    </w:p>
    <w:p w14:paraId="79471A28">
      <w:pPr>
        <w:keepNext w:val="0"/>
        <w:keepLines w:val="0"/>
        <w:pageBreakBefore w:val="0"/>
        <w:widowControl w:val="0"/>
        <w:kinsoku/>
        <w:wordWrap/>
        <w:overflowPunct/>
        <w:topLinePunct w:val="0"/>
        <w:autoSpaceDE/>
        <w:autoSpaceDN/>
        <w:bidi w:val="0"/>
        <w:adjustRightInd/>
        <w:snapToGrid w:val="0"/>
        <w:spacing w:before="60" w:after="60" w:line="480" w:lineRule="auto"/>
        <w:textAlignment w:val="auto"/>
        <w:rPr>
          <w:rFonts w:ascii="仿宋_GB2312" w:hAnsi="宋体" w:eastAsia="仿宋_GB2312"/>
          <w:color w:val="auto"/>
          <w:sz w:val="30"/>
          <w:szCs w:val="72"/>
          <w:highlight w:val="none"/>
        </w:rPr>
      </w:pPr>
    </w:p>
    <w:p w14:paraId="5C3548D1">
      <w:pPr>
        <w:pStyle w:val="15"/>
        <w:keepNext w:val="0"/>
        <w:keepLines w:val="0"/>
        <w:pageBreakBefore w:val="0"/>
        <w:widowControl w:val="0"/>
        <w:kinsoku/>
        <w:wordWrap/>
        <w:overflowPunct/>
        <w:topLinePunct w:val="0"/>
        <w:autoSpaceDE/>
        <w:autoSpaceDN/>
        <w:bidi w:val="0"/>
        <w:adjustRightInd/>
        <w:snapToGrid w:val="0"/>
        <w:spacing w:before="60" w:after="60" w:line="480" w:lineRule="auto"/>
        <w:ind w:firstLine="1193" w:firstLineChars="396"/>
        <w:textAlignment w:val="auto"/>
        <w:rPr>
          <w:rFonts w:hAnsi="宋体"/>
          <w:b/>
          <w:bCs/>
          <w:color w:val="auto"/>
          <w:sz w:val="30"/>
          <w:szCs w:val="30"/>
          <w:highlight w:val="none"/>
        </w:rPr>
      </w:pPr>
    </w:p>
    <w:p w14:paraId="53D295D8">
      <w:pPr>
        <w:keepNext w:val="0"/>
        <w:keepLines w:val="0"/>
        <w:pageBreakBefore w:val="0"/>
        <w:widowControl w:val="0"/>
        <w:kinsoku/>
        <w:wordWrap/>
        <w:overflowPunct/>
        <w:topLinePunct w:val="0"/>
        <w:autoSpaceDE/>
        <w:autoSpaceDN/>
        <w:bidi w:val="0"/>
        <w:adjustRightInd/>
        <w:spacing w:before="60" w:after="60" w:line="480" w:lineRule="auto"/>
        <w:textAlignment w:val="auto"/>
        <w:rPr>
          <w:color w:val="auto"/>
          <w:highlight w:val="none"/>
        </w:rPr>
      </w:pPr>
    </w:p>
    <w:p w14:paraId="33252C35">
      <w:pPr>
        <w:pStyle w:val="15"/>
        <w:keepNext w:val="0"/>
        <w:keepLines w:val="0"/>
        <w:pageBreakBefore w:val="0"/>
        <w:widowControl w:val="0"/>
        <w:kinsoku/>
        <w:wordWrap/>
        <w:overflowPunct/>
        <w:topLinePunct w:val="0"/>
        <w:autoSpaceDE/>
        <w:autoSpaceDN/>
        <w:bidi w:val="0"/>
        <w:adjustRightInd/>
        <w:snapToGrid w:val="0"/>
        <w:spacing w:before="60" w:after="60" w:line="480" w:lineRule="auto"/>
        <w:ind w:left="1205" w:hanging="1205" w:hangingChars="400"/>
        <w:textAlignment w:val="auto"/>
        <w:rPr>
          <w:rFonts w:hint="eastAsia" w:hAnsi="宋体" w:eastAsia="宋体"/>
          <w:b/>
          <w:bCs/>
          <w:color w:val="auto"/>
          <w:sz w:val="30"/>
          <w:szCs w:val="30"/>
          <w:highlight w:val="none"/>
          <w:lang w:eastAsia="zh-CN"/>
        </w:rPr>
      </w:pPr>
      <w:r>
        <w:rPr>
          <w:rFonts w:hint="eastAsia" w:hAnsi="宋体"/>
          <w:b/>
          <w:bCs/>
          <w:color w:val="auto"/>
          <w:sz w:val="30"/>
          <w:szCs w:val="30"/>
          <w:highlight w:val="none"/>
        </w:rPr>
        <w:t>项目</w:t>
      </w:r>
      <w:r>
        <w:rPr>
          <w:rFonts w:hint="eastAsia" w:hAnsi="宋体" w:cs="Courier New"/>
          <w:b/>
          <w:bCs/>
          <w:color w:val="auto"/>
          <w:w w:val="95"/>
          <w:sz w:val="30"/>
          <w:szCs w:val="30"/>
          <w:highlight w:val="none"/>
        </w:rPr>
        <w:t>名称</w:t>
      </w:r>
      <w:r>
        <w:rPr>
          <w:rFonts w:hint="eastAsia" w:hAnsi="宋体"/>
          <w:b/>
          <w:bCs/>
          <w:color w:val="auto"/>
          <w:sz w:val="30"/>
          <w:szCs w:val="30"/>
          <w:highlight w:val="none"/>
        </w:rPr>
        <w:t>：</w:t>
      </w:r>
      <w:r>
        <w:rPr>
          <w:rFonts w:hint="eastAsia" w:hAnsi="宋体"/>
          <w:b/>
          <w:bCs/>
          <w:color w:val="auto"/>
          <w:sz w:val="30"/>
          <w:szCs w:val="30"/>
          <w:highlight w:val="none"/>
          <w:lang w:eastAsia="zh-CN"/>
        </w:rPr>
        <w:t>政府购买服务开展就业公共服务专题活动</w:t>
      </w:r>
    </w:p>
    <w:p w14:paraId="7230FAFC">
      <w:pPr>
        <w:pStyle w:val="15"/>
        <w:keepNext w:val="0"/>
        <w:keepLines w:val="0"/>
        <w:pageBreakBefore w:val="0"/>
        <w:widowControl w:val="0"/>
        <w:kinsoku/>
        <w:wordWrap/>
        <w:overflowPunct/>
        <w:topLinePunct w:val="0"/>
        <w:autoSpaceDE/>
        <w:autoSpaceDN/>
        <w:bidi w:val="0"/>
        <w:adjustRightInd/>
        <w:snapToGrid w:val="0"/>
        <w:spacing w:before="60" w:after="60" w:line="480" w:lineRule="auto"/>
        <w:textAlignment w:val="auto"/>
        <w:rPr>
          <w:rFonts w:hint="eastAsia" w:hAnsi="宋体" w:eastAsia="宋体"/>
          <w:b/>
          <w:bCs/>
          <w:color w:val="auto"/>
          <w:sz w:val="30"/>
          <w:szCs w:val="30"/>
          <w:highlight w:val="none"/>
          <w:lang w:eastAsia="zh-CN"/>
        </w:rPr>
      </w:pPr>
      <w:r>
        <w:rPr>
          <w:rFonts w:hint="eastAsia" w:hAnsi="宋体"/>
          <w:b/>
          <w:bCs/>
          <w:color w:val="auto"/>
          <w:sz w:val="30"/>
          <w:szCs w:val="30"/>
          <w:highlight w:val="none"/>
        </w:rPr>
        <w:t>项目编号：</w:t>
      </w:r>
      <w:r>
        <w:rPr>
          <w:rFonts w:hint="eastAsia" w:hAnsi="宋体"/>
          <w:b/>
          <w:bCs/>
          <w:color w:val="auto"/>
          <w:sz w:val="30"/>
          <w:szCs w:val="30"/>
          <w:highlight w:val="none"/>
          <w:lang w:eastAsia="zh-CN"/>
        </w:rPr>
        <w:t>QZZC2026-C3-220004-GXRS</w:t>
      </w:r>
    </w:p>
    <w:p w14:paraId="60B2D103">
      <w:pPr>
        <w:pStyle w:val="15"/>
        <w:keepNext w:val="0"/>
        <w:keepLines w:val="0"/>
        <w:pageBreakBefore w:val="0"/>
        <w:widowControl w:val="0"/>
        <w:kinsoku/>
        <w:wordWrap/>
        <w:overflowPunct/>
        <w:topLinePunct w:val="0"/>
        <w:autoSpaceDE/>
        <w:autoSpaceDN/>
        <w:bidi w:val="0"/>
        <w:adjustRightInd/>
        <w:snapToGrid w:val="0"/>
        <w:spacing w:before="60" w:after="60" w:line="480" w:lineRule="auto"/>
        <w:textAlignment w:val="auto"/>
        <w:rPr>
          <w:rFonts w:hint="eastAsia" w:hAnsi="宋体" w:eastAsia="宋体"/>
          <w:b/>
          <w:bCs/>
          <w:color w:val="auto"/>
          <w:sz w:val="30"/>
          <w:szCs w:val="30"/>
          <w:highlight w:val="none"/>
          <w:lang w:eastAsia="zh-CN"/>
        </w:rPr>
      </w:pPr>
      <w:r>
        <w:rPr>
          <w:rFonts w:hint="eastAsia" w:hAnsi="宋体"/>
          <w:b/>
          <w:bCs/>
          <w:color w:val="auto"/>
          <w:sz w:val="30"/>
          <w:szCs w:val="30"/>
          <w:highlight w:val="none"/>
        </w:rPr>
        <w:t>采 购 人：</w:t>
      </w:r>
      <w:r>
        <w:rPr>
          <w:rFonts w:hint="eastAsia" w:hAnsi="宋体"/>
          <w:b/>
          <w:bCs/>
          <w:color w:val="auto"/>
          <w:sz w:val="30"/>
          <w:szCs w:val="30"/>
          <w:highlight w:val="none"/>
          <w:lang w:eastAsia="zh-CN"/>
        </w:rPr>
        <w:t>浦北县人力资源和社会保障局</w:t>
      </w:r>
    </w:p>
    <w:p w14:paraId="2CD933A5">
      <w:pPr>
        <w:pStyle w:val="15"/>
        <w:keepNext w:val="0"/>
        <w:keepLines w:val="0"/>
        <w:pageBreakBefore w:val="0"/>
        <w:widowControl w:val="0"/>
        <w:kinsoku/>
        <w:wordWrap/>
        <w:overflowPunct/>
        <w:topLinePunct w:val="0"/>
        <w:autoSpaceDE/>
        <w:autoSpaceDN/>
        <w:bidi w:val="0"/>
        <w:adjustRightInd/>
        <w:snapToGrid w:val="0"/>
        <w:spacing w:before="60" w:after="60" w:line="480" w:lineRule="auto"/>
        <w:textAlignment w:val="auto"/>
        <w:rPr>
          <w:rFonts w:hint="eastAsia" w:hAnsi="宋体" w:eastAsia="宋体"/>
          <w:b/>
          <w:bCs/>
          <w:color w:val="auto"/>
          <w:sz w:val="30"/>
          <w:szCs w:val="30"/>
          <w:highlight w:val="none"/>
          <w:lang w:eastAsia="zh-CN"/>
        </w:rPr>
      </w:pPr>
      <w:r>
        <w:rPr>
          <w:rFonts w:hint="eastAsia" w:hAnsi="宋体"/>
          <w:b/>
          <w:bCs/>
          <w:color w:val="auto"/>
          <w:sz w:val="30"/>
          <w:szCs w:val="30"/>
          <w:highlight w:val="none"/>
        </w:rPr>
        <w:t>采购代理机构：</w:t>
      </w:r>
      <w:r>
        <w:rPr>
          <w:rFonts w:hint="eastAsia" w:hAnsi="宋体"/>
          <w:b/>
          <w:bCs/>
          <w:color w:val="auto"/>
          <w:sz w:val="30"/>
          <w:szCs w:val="30"/>
          <w:highlight w:val="none"/>
          <w:lang w:eastAsia="zh-CN"/>
        </w:rPr>
        <w:t>广西荣胜项目管理有限公司</w:t>
      </w:r>
    </w:p>
    <w:p w14:paraId="7129C3CA">
      <w:pPr>
        <w:pStyle w:val="15"/>
        <w:keepNext w:val="0"/>
        <w:keepLines w:val="0"/>
        <w:pageBreakBefore w:val="0"/>
        <w:widowControl w:val="0"/>
        <w:kinsoku/>
        <w:wordWrap/>
        <w:overflowPunct/>
        <w:topLinePunct w:val="0"/>
        <w:autoSpaceDE/>
        <w:autoSpaceDN/>
        <w:bidi w:val="0"/>
        <w:adjustRightInd/>
        <w:snapToGrid w:val="0"/>
        <w:spacing w:before="60" w:after="60" w:line="480" w:lineRule="auto"/>
        <w:ind w:firstLine="1125" w:firstLineChars="393"/>
        <w:textAlignment w:val="auto"/>
        <w:rPr>
          <w:rFonts w:ascii="仿宋_GB2312" w:hAnsi="宋体" w:eastAsia="仿宋_GB2312"/>
          <w:b/>
          <w:bCs/>
          <w:color w:val="auto"/>
          <w:w w:val="95"/>
          <w:sz w:val="30"/>
          <w:szCs w:val="30"/>
          <w:highlight w:val="none"/>
        </w:rPr>
      </w:pPr>
    </w:p>
    <w:p w14:paraId="76812A25">
      <w:pPr>
        <w:pStyle w:val="15"/>
        <w:keepNext w:val="0"/>
        <w:keepLines w:val="0"/>
        <w:pageBreakBefore w:val="0"/>
        <w:widowControl w:val="0"/>
        <w:kinsoku/>
        <w:wordWrap/>
        <w:overflowPunct/>
        <w:topLinePunct w:val="0"/>
        <w:autoSpaceDE/>
        <w:autoSpaceDN/>
        <w:bidi w:val="0"/>
        <w:adjustRightInd/>
        <w:snapToGrid w:val="0"/>
        <w:spacing w:before="60" w:after="60" w:line="480" w:lineRule="auto"/>
        <w:ind w:left="20" w:leftChars="-200" w:hanging="440" w:hangingChars="146"/>
        <w:jc w:val="center"/>
        <w:textAlignment w:val="auto"/>
        <w:rPr>
          <w:rFonts w:hAnsi="宋体"/>
          <w:b/>
          <w:bCs/>
          <w:color w:val="auto"/>
          <w:sz w:val="30"/>
          <w:szCs w:val="30"/>
          <w:highlight w:val="none"/>
        </w:rPr>
      </w:pPr>
      <w:r>
        <w:rPr>
          <w:rFonts w:hint="eastAsia" w:hAnsi="宋体"/>
          <w:b/>
          <w:bCs/>
          <w:color w:val="auto"/>
          <w:sz w:val="30"/>
          <w:szCs w:val="30"/>
          <w:highlight w:val="none"/>
          <w:lang w:eastAsia="zh-CN"/>
        </w:rPr>
        <w:t>202</w:t>
      </w:r>
      <w:r>
        <w:rPr>
          <w:rFonts w:hint="eastAsia" w:hAnsi="宋体"/>
          <w:b/>
          <w:bCs/>
          <w:color w:val="auto"/>
          <w:sz w:val="30"/>
          <w:szCs w:val="30"/>
          <w:highlight w:val="none"/>
          <w:lang w:val="en-US" w:eastAsia="zh-CN"/>
        </w:rPr>
        <w:t>6</w:t>
      </w:r>
      <w:r>
        <w:rPr>
          <w:rFonts w:hint="eastAsia" w:hAnsi="宋体"/>
          <w:b/>
          <w:bCs/>
          <w:color w:val="auto"/>
          <w:sz w:val="30"/>
          <w:szCs w:val="30"/>
          <w:highlight w:val="none"/>
          <w:lang w:eastAsia="zh-CN"/>
        </w:rPr>
        <w:t>年</w:t>
      </w:r>
      <w:r>
        <w:rPr>
          <w:rFonts w:hint="eastAsia" w:hAnsi="宋体"/>
          <w:b/>
          <w:bCs/>
          <w:color w:val="auto"/>
          <w:sz w:val="30"/>
          <w:szCs w:val="30"/>
          <w:highlight w:val="none"/>
          <w:lang w:val="en-US" w:eastAsia="zh-CN"/>
        </w:rPr>
        <w:t>1月</w:t>
      </w:r>
    </w:p>
    <w:p w14:paraId="07EDB748">
      <w:pPr>
        <w:keepNext w:val="0"/>
        <w:keepLines w:val="0"/>
        <w:pageBreakBefore w:val="0"/>
        <w:widowControl w:val="0"/>
        <w:kinsoku/>
        <w:wordWrap/>
        <w:overflowPunct/>
        <w:topLinePunct w:val="0"/>
        <w:autoSpaceDE/>
        <w:autoSpaceDN/>
        <w:bidi w:val="0"/>
        <w:adjustRightInd/>
        <w:spacing w:before="60" w:after="60" w:line="480" w:lineRule="auto"/>
        <w:jc w:val="center"/>
        <w:textAlignment w:val="auto"/>
        <w:rPr>
          <w:rFonts w:ascii="宋体" w:hAnsi="宋体"/>
          <w:b/>
          <w:color w:val="auto"/>
          <w:sz w:val="44"/>
          <w:szCs w:val="44"/>
          <w:highlight w:val="none"/>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4D468EF8">
      <w:pPr>
        <w:pageBreakBefore w:val="0"/>
        <w:kinsoku/>
        <w:topLinePunct w:val="0"/>
        <w:bidi w:val="0"/>
        <w:spacing w:before="60" w:after="60" w:line="360" w:lineRule="auto"/>
        <w:jc w:val="center"/>
        <w:rPr>
          <w:rFonts w:ascii="宋体" w:hAnsi="宋体"/>
          <w:b/>
          <w:color w:val="auto"/>
          <w:sz w:val="44"/>
          <w:szCs w:val="44"/>
          <w:highlight w:val="none"/>
        </w:rPr>
      </w:pPr>
    </w:p>
    <w:p w14:paraId="64B99963">
      <w:pPr>
        <w:pageBreakBefore w:val="0"/>
        <w:kinsoku/>
        <w:topLinePunct w:val="0"/>
        <w:bidi w:val="0"/>
        <w:spacing w:before="60" w:after="60"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20A854A7">
      <w:pPr>
        <w:pageBreakBefore w:val="0"/>
        <w:kinsoku/>
        <w:topLinePunct w:val="0"/>
        <w:bidi w:val="0"/>
        <w:spacing w:before="60" w:after="60" w:line="360" w:lineRule="auto"/>
        <w:rPr>
          <w:color w:val="auto"/>
          <w:highlight w:val="none"/>
        </w:rPr>
      </w:pPr>
    </w:p>
    <w:p w14:paraId="0E0A9CF5">
      <w:pPr>
        <w:pageBreakBefore w:val="0"/>
        <w:kinsoku/>
        <w:topLinePunct w:val="0"/>
        <w:bidi w:val="0"/>
        <w:spacing w:before="60" w:after="60" w:line="360" w:lineRule="auto"/>
        <w:jc w:val="center"/>
        <w:rPr>
          <w:rFonts w:ascii="宋体" w:hAnsi="宋体"/>
          <w:b/>
          <w:color w:val="auto"/>
          <w:sz w:val="44"/>
          <w:szCs w:val="44"/>
          <w:highlight w:val="none"/>
        </w:rPr>
      </w:pPr>
    </w:p>
    <w:p w14:paraId="46C8BF7D">
      <w:pPr>
        <w:pStyle w:val="22"/>
        <w:keepNext w:val="0"/>
        <w:keepLines w:val="0"/>
        <w:pageBreakBefore w:val="0"/>
        <w:widowControl w:val="0"/>
        <w:tabs>
          <w:tab w:val="right" w:leader="dot" w:pos="8879"/>
        </w:tabs>
        <w:kinsoku/>
        <w:wordWrap/>
        <w:overflowPunct/>
        <w:topLinePunct w:val="0"/>
        <w:autoSpaceDE/>
        <w:autoSpaceDN/>
        <w:bidi w:val="0"/>
        <w:adjustRightInd/>
        <w:spacing w:before="60" w:after="60" w:line="72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TOC \o "1-3" \h \z \u</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_Toc20065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第一章 竞争性磋商公告</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_Toc20065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2</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253A356A">
      <w:pPr>
        <w:pStyle w:val="22"/>
        <w:keepNext w:val="0"/>
        <w:keepLines w:val="0"/>
        <w:pageBreakBefore w:val="0"/>
        <w:widowControl w:val="0"/>
        <w:tabs>
          <w:tab w:val="right" w:leader="dot" w:pos="8879"/>
        </w:tabs>
        <w:kinsoku/>
        <w:wordWrap/>
        <w:overflowPunct/>
        <w:topLinePunct w:val="0"/>
        <w:autoSpaceDE/>
        <w:autoSpaceDN/>
        <w:bidi w:val="0"/>
        <w:adjustRightInd/>
        <w:spacing w:before="60" w:after="60" w:line="72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_Toc75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第二章 供应商须知</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_Toc75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7</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3CDF7507">
      <w:pPr>
        <w:pStyle w:val="22"/>
        <w:keepNext w:val="0"/>
        <w:keepLines w:val="0"/>
        <w:pageBreakBefore w:val="0"/>
        <w:widowControl w:val="0"/>
        <w:tabs>
          <w:tab w:val="right" w:leader="dot" w:pos="8879"/>
        </w:tabs>
        <w:kinsoku/>
        <w:wordWrap/>
        <w:overflowPunct/>
        <w:topLinePunct w:val="0"/>
        <w:autoSpaceDE/>
        <w:autoSpaceDN/>
        <w:bidi w:val="0"/>
        <w:adjustRightInd/>
        <w:spacing w:before="60" w:after="60" w:line="72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_Toc15007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第三章 采购需求</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_Toc15007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28</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0EEB0C37">
      <w:pPr>
        <w:pStyle w:val="22"/>
        <w:keepNext w:val="0"/>
        <w:keepLines w:val="0"/>
        <w:pageBreakBefore w:val="0"/>
        <w:widowControl w:val="0"/>
        <w:tabs>
          <w:tab w:val="right" w:leader="dot" w:pos="8879"/>
        </w:tabs>
        <w:kinsoku/>
        <w:wordWrap/>
        <w:overflowPunct/>
        <w:topLinePunct w:val="0"/>
        <w:autoSpaceDE/>
        <w:autoSpaceDN/>
        <w:bidi w:val="0"/>
        <w:adjustRightInd/>
        <w:spacing w:before="60" w:after="60" w:line="72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_Toc2716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第四章 评审程序、评审方法和评审标准</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_Toc2716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47</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67BF730B">
      <w:pPr>
        <w:pStyle w:val="22"/>
        <w:keepNext w:val="0"/>
        <w:keepLines w:val="0"/>
        <w:pageBreakBefore w:val="0"/>
        <w:widowControl w:val="0"/>
        <w:tabs>
          <w:tab w:val="right" w:leader="dot" w:pos="8879"/>
        </w:tabs>
        <w:kinsoku/>
        <w:wordWrap/>
        <w:overflowPunct/>
        <w:topLinePunct w:val="0"/>
        <w:autoSpaceDE/>
        <w:autoSpaceDN/>
        <w:bidi w:val="0"/>
        <w:adjustRightInd/>
        <w:spacing w:before="60" w:after="60" w:line="72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_Toc4136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第五章 响应文件格式</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_Toc4136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57</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7AFE57BA">
      <w:pPr>
        <w:pStyle w:val="22"/>
        <w:keepNext w:val="0"/>
        <w:keepLines w:val="0"/>
        <w:pageBreakBefore w:val="0"/>
        <w:widowControl w:val="0"/>
        <w:tabs>
          <w:tab w:val="right" w:leader="dot" w:pos="8879"/>
        </w:tabs>
        <w:kinsoku/>
        <w:wordWrap/>
        <w:overflowPunct/>
        <w:topLinePunct w:val="0"/>
        <w:autoSpaceDE/>
        <w:autoSpaceDN/>
        <w:bidi w:val="0"/>
        <w:adjustRightInd/>
        <w:spacing w:before="60" w:after="60" w:line="72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\l _Toc1964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第六章 合同文本</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_Toc1964 \h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83</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14:paraId="06463C04">
      <w:pPr>
        <w:pStyle w:val="23"/>
        <w:keepNext w:val="0"/>
        <w:keepLines w:val="0"/>
        <w:pageBreakBefore w:val="0"/>
        <w:widowControl w:val="0"/>
        <w:tabs>
          <w:tab w:val="right" w:leader="dot" w:pos="8931"/>
          <w:tab w:val="clear" w:pos="8296"/>
        </w:tabs>
        <w:kinsoku/>
        <w:wordWrap/>
        <w:overflowPunct/>
        <w:topLinePunct w:val="0"/>
        <w:autoSpaceDE/>
        <w:autoSpaceDN/>
        <w:bidi w:val="0"/>
        <w:adjustRightInd/>
        <w:snapToGrid w:val="0"/>
        <w:spacing w:before="60" w:after="60" w:line="720" w:lineRule="auto"/>
        <w:ind w:left="0" w:leftChars="0"/>
        <w:textAlignment w:val="auto"/>
        <w:rPr>
          <w:rFonts w:ascii="宋体" w:hAnsi="宋体"/>
          <w:b/>
          <w:color w:val="auto"/>
          <w:sz w:val="24"/>
          <w:highlight w:val="none"/>
        </w:rPr>
      </w:pPr>
      <w:r>
        <w:rPr>
          <w:rFonts w:hint="eastAsia" w:ascii="宋体" w:hAnsi="宋体" w:eastAsia="宋体" w:cs="宋体"/>
          <w:b/>
          <w:bCs/>
          <w:color w:val="auto"/>
          <w:sz w:val="28"/>
          <w:szCs w:val="28"/>
          <w:highlight w:val="none"/>
        </w:rPr>
        <w:fldChar w:fldCharType="end"/>
      </w:r>
    </w:p>
    <w:p w14:paraId="13E9234B">
      <w:pPr>
        <w:pageBreakBefore w:val="0"/>
        <w:kinsoku/>
        <w:topLinePunct w:val="0"/>
        <w:bidi w:val="0"/>
        <w:spacing w:before="60" w:after="60" w:line="360" w:lineRule="auto"/>
        <w:rPr>
          <w:color w:val="auto"/>
          <w:highlight w:val="none"/>
        </w:rPr>
      </w:pPr>
    </w:p>
    <w:p w14:paraId="0FEDD902">
      <w:pPr>
        <w:pageBreakBefore w:val="0"/>
        <w:kinsoku/>
        <w:topLinePunct w:val="0"/>
        <w:bidi w:val="0"/>
        <w:spacing w:before="60" w:after="60" w:line="360" w:lineRule="auto"/>
        <w:rPr>
          <w:color w:val="auto"/>
          <w:highlight w:val="none"/>
        </w:rPr>
      </w:pPr>
    </w:p>
    <w:p w14:paraId="4D5867EB">
      <w:pPr>
        <w:pageBreakBefore w:val="0"/>
        <w:kinsoku/>
        <w:topLinePunct w:val="0"/>
        <w:bidi w:val="0"/>
        <w:spacing w:before="60" w:after="60" w:line="360" w:lineRule="auto"/>
        <w:rPr>
          <w:color w:val="auto"/>
          <w:highlight w:val="none"/>
        </w:rPr>
      </w:pPr>
    </w:p>
    <w:p w14:paraId="20076A35">
      <w:pPr>
        <w:pageBreakBefore w:val="0"/>
        <w:kinsoku/>
        <w:topLinePunct w:val="0"/>
        <w:bidi w:val="0"/>
        <w:spacing w:before="60" w:after="60" w:line="360" w:lineRule="auto"/>
        <w:rPr>
          <w:color w:val="auto"/>
          <w:highlight w:val="none"/>
        </w:rPr>
      </w:pPr>
    </w:p>
    <w:p w14:paraId="6A874293">
      <w:pPr>
        <w:pageBreakBefore w:val="0"/>
        <w:kinsoku/>
        <w:topLinePunct w:val="0"/>
        <w:bidi w:val="0"/>
        <w:spacing w:before="60" w:after="60" w:line="360" w:lineRule="auto"/>
        <w:rPr>
          <w:color w:val="auto"/>
          <w:highlight w:val="none"/>
        </w:rPr>
      </w:pPr>
    </w:p>
    <w:p w14:paraId="108520C7">
      <w:pPr>
        <w:pageBreakBefore w:val="0"/>
        <w:kinsoku/>
        <w:topLinePunct w:val="0"/>
        <w:bidi w:val="0"/>
        <w:spacing w:before="60" w:after="60" w:line="360" w:lineRule="auto"/>
        <w:rPr>
          <w:color w:val="auto"/>
          <w:highlight w:val="none"/>
        </w:rPr>
      </w:pPr>
    </w:p>
    <w:p w14:paraId="677E2CBA">
      <w:pPr>
        <w:pageBreakBefore w:val="0"/>
        <w:kinsoku/>
        <w:topLinePunct w:val="0"/>
        <w:bidi w:val="0"/>
        <w:spacing w:before="60" w:after="60" w:line="360" w:lineRule="auto"/>
        <w:rPr>
          <w:color w:val="auto"/>
          <w:highlight w:val="none"/>
        </w:rPr>
      </w:pPr>
    </w:p>
    <w:p w14:paraId="1D8CD437">
      <w:pPr>
        <w:pageBreakBefore w:val="0"/>
        <w:kinsoku/>
        <w:topLinePunct w:val="0"/>
        <w:bidi w:val="0"/>
        <w:spacing w:before="60" w:after="60" w:line="360" w:lineRule="auto"/>
        <w:rPr>
          <w:color w:val="auto"/>
          <w:highlight w:val="none"/>
        </w:rPr>
      </w:pPr>
    </w:p>
    <w:p w14:paraId="0EE152AB">
      <w:pPr>
        <w:pStyle w:val="3"/>
        <w:pageBreakBefore w:val="0"/>
        <w:kinsoku/>
        <w:topLinePunct w:val="0"/>
        <w:bidi w:val="0"/>
        <w:spacing w:before="60" w:after="60" w:line="360" w:lineRule="auto"/>
        <w:jc w:val="center"/>
        <w:rPr>
          <w:color w:val="auto"/>
          <w:highlight w:val="none"/>
        </w:rPr>
      </w:pPr>
      <w:bookmarkStart w:id="0" w:name="_Toc20065"/>
      <w:r>
        <w:rPr>
          <w:rFonts w:hint="eastAsia"/>
          <w:color w:val="auto"/>
          <w:highlight w:val="none"/>
        </w:rPr>
        <w:t>第一章 竞争性磋商公告</w:t>
      </w:r>
      <w:bookmarkEnd w:id="0"/>
    </w:p>
    <w:p w14:paraId="72586ED8">
      <w:pPr>
        <w:pageBreakBefore w:val="0"/>
        <w:kinsoku/>
        <w:topLinePunct w:val="0"/>
        <w:bidi w:val="0"/>
        <w:spacing w:before="60" w:after="60"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竞争性磋商公告</w:t>
      </w:r>
    </w:p>
    <w:p w14:paraId="6FF68343">
      <w:pPr>
        <w:pageBreakBefore w:val="0"/>
        <w:kinsoku/>
        <w:topLinePunct w:val="0"/>
        <w:bidi w:val="0"/>
        <w:spacing w:before="60" w:after="60" w:line="360" w:lineRule="auto"/>
        <w:rPr>
          <w:rFonts w:ascii="宋体" w:hAnsi="宋体"/>
          <w:color w:val="auto"/>
          <w:szCs w:val="21"/>
          <w:highlight w:val="none"/>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5"/>
      </w:tblGrid>
      <w:tr w14:paraId="5515B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5" w:type="dxa"/>
          </w:tcPr>
          <w:p w14:paraId="02EC65C4">
            <w:pPr>
              <w:keepNext w:val="0"/>
              <w:keepLines w:val="0"/>
              <w:pageBreakBefore w:val="0"/>
              <w:suppressLineNumbers w:val="0"/>
              <w:kinsoku/>
              <w:topLinePunct w:val="0"/>
              <w:bidi w:val="0"/>
              <w:spacing w:before="60" w:beforeAutospacing="0" w:after="60" w:afterAutospacing="0" w:line="360" w:lineRule="auto"/>
              <w:ind w:left="0" w:right="0"/>
              <w:rPr>
                <w:rFonts w:hint="eastAsia" w:ascii="宋体" w:hAnsi="宋体"/>
                <w:color w:val="auto"/>
                <w:szCs w:val="21"/>
                <w:highlight w:val="none"/>
                <w:vertAlign w:val="baseline"/>
                <w:lang w:val="en-US" w:eastAsia="zh-CN"/>
              </w:rPr>
            </w:pPr>
            <w:bookmarkStart w:id="1" w:name="_Hlk37430271"/>
            <w:r>
              <w:rPr>
                <w:rFonts w:hint="eastAsia" w:ascii="宋体" w:hAnsi="宋体"/>
                <w:color w:val="auto"/>
                <w:szCs w:val="21"/>
                <w:highlight w:val="none"/>
                <w:vertAlign w:val="baseline"/>
                <w:lang w:val="en-US" w:eastAsia="zh-CN"/>
              </w:rPr>
              <w:t>项目概况</w:t>
            </w:r>
          </w:p>
          <w:p w14:paraId="78F4A46B">
            <w:pPr>
              <w:keepNext w:val="0"/>
              <w:keepLines w:val="0"/>
              <w:pageBreakBefore w:val="0"/>
              <w:suppressLineNumbers w:val="0"/>
              <w:kinsoku/>
              <w:topLinePunct w:val="0"/>
              <w:bidi w:val="0"/>
              <w:spacing w:before="60" w:beforeAutospacing="0" w:after="60" w:afterAutospacing="0" w:line="360" w:lineRule="auto"/>
              <w:ind w:left="0" w:right="0" w:firstLine="420" w:firstLineChars="200"/>
              <w:rPr>
                <w:rFonts w:hint="eastAsia"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政府购买服务开展就业公共服务专题活动的潜在供应商应在“广西政府采购云平台”（http://www.gcy.zfcg.gxzf.gov.cn）获取（下载）竞争性磋商文件，并于2026年1月30日10 时30分（北京时间）前提交（上传）响应文件。</w:t>
            </w:r>
          </w:p>
        </w:tc>
      </w:tr>
    </w:tbl>
    <w:p w14:paraId="32441B38">
      <w:pPr>
        <w:pageBreakBefore w:val="0"/>
        <w:kinsoku/>
        <w:topLinePunct w:val="0"/>
        <w:bidi w:val="0"/>
        <w:spacing w:before="60" w:after="60" w:line="360" w:lineRule="auto"/>
        <w:ind w:firstLine="354" w:firstLineChars="147"/>
        <w:rPr>
          <w:rFonts w:ascii="黑体" w:hAnsi="黑体" w:eastAsia="黑体"/>
          <w:b/>
          <w:color w:val="auto"/>
          <w:sz w:val="24"/>
          <w:highlight w:val="none"/>
        </w:rPr>
      </w:pPr>
      <w:bookmarkStart w:id="2" w:name="_Toc35393798"/>
      <w:bookmarkStart w:id="3" w:name="_Toc28359012"/>
      <w:bookmarkStart w:id="4" w:name="_Toc44229878"/>
      <w:bookmarkStart w:id="5" w:name="_Toc71365905"/>
      <w:bookmarkStart w:id="6" w:name="_Toc28359089"/>
      <w:bookmarkStart w:id="7" w:name="_Toc35393629"/>
      <w:r>
        <w:rPr>
          <w:rFonts w:hint="eastAsia" w:ascii="黑体" w:hAnsi="黑体" w:eastAsia="黑体"/>
          <w:b/>
          <w:color w:val="auto"/>
          <w:sz w:val="24"/>
          <w:highlight w:val="none"/>
        </w:rPr>
        <w:t>一、项目基本情况</w:t>
      </w:r>
      <w:bookmarkEnd w:id="2"/>
      <w:bookmarkEnd w:id="3"/>
      <w:bookmarkEnd w:id="4"/>
      <w:bookmarkEnd w:id="5"/>
      <w:bookmarkEnd w:id="6"/>
      <w:bookmarkEnd w:id="7"/>
    </w:p>
    <w:p w14:paraId="3E3BA17B">
      <w:pPr>
        <w:pageBreakBefore w:val="0"/>
        <w:kinsoku/>
        <w:topLinePunct w:val="0"/>
        <w:bidi w:val="0"/>
        <w:spacing w:before="60" w:after="60"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QZZC2026-C3-220004-GXRS</w:t>
      </w:r>
    </w:p>
    <w:p w14:paraId="2DAE5FF9">
      <w:pPr>
        <w:pageBreakBefore w:val="0"/>
        <w:kinsoku/>
        <w:topLinePunct w:val="0"/>
        <w:bidi w:val="0"/>
        <w:spacing w:before="60" w:after="60" w:line="360" w:lineRule="auto"/>
        <w:ind w:firstLine="420" w:firstLineChars="200"/>
        <w:rPr>
          <w:rFonts w:hint="eastAsia" w:ascii="宋体" w:hAnsi="宋体" w:eastAsia="宋体"/>
          <w:color w:val="auto"/>
          <w:szCs w:val="21"/>
          <w:highlight w:val="none"/>
          <w:u w:val="singl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政府购买服务开展就业公共服务专题活动</w:t>
      </w:r>
    </w:p>
    <w:p w14:paraId="123D2A3F">
      <w:pPr>
        <w:pageBreakBefore w:val="0"/>
        <w:kinsoku/>
        <w:topLinePunct w:val="0"/>
        <w:bidi w:val="0"/>
        <w:spacing w:before="60" w:after="60" w:line="360" w:lineRule="auto"/>
        <w:ind w:firstLine="420" w:firstLineChars="200"/>
        <w:rPr>
          <w:rFonts w:ascii="宋体" w:hAnsi="宋体"/>
          <w:color w:val="auto"/>
          <w:szCs w:val="21"/>
          <w:highlight w:val="none"/>
        </w:rPr>
      </w:pPr>
      <w:r>
        <w:rPr>
          <w:rFonts w:hint="eastAsia" w:ascii="宋体" w:hAnsi="宋体"/>
          <w:color w:val="auto"/>
          <w:szCs w:val="21"/>
          <w:highlight w:val="none"/>
        </w:rPr>
        <w:t>采购方式：竞争性磋商</w:t>
      </w:r>
    </w:p>
    <w:p w14:paraId="519E5FDD">
      <w:pPr>
        <w:pageBreakBefore w:val="0"/>
        <w:kinsoku/>
        <w:topLinePunct w:val="0"/>
        <w:bidi w:val="0"/>
        <w:spacing w:before="60" w:after="60"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预算总金额（元）：291528</w:t>
      </w:r>
      <w:r>
        <w:rPr>
          <w:rFonts w:hint="eastAsia" w:ascii="宋体" w:hAnsi="宋体"/>
          <w:color w:val="auto"/>
          <w:szCs w:val="21"/>
          <w:highlight w:val="none"/>
          <w:lang w:val="en-US" w:eastAsia="zh-CN"/>
        </w:rPr>
        <w:t>0</w:t>
      </w:r>
    </w:p>
    <w:p w14:paraId="2DD8A0B6">
      <w:pPr>
        <w:pageBreakBefore w:val="0"/>
        <w:kinsoku/>
        <w:topLinePunct w:val="0"/>
        <w:bidi w:val="0"/>
        <w:spacing w:before="60" w:after="6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采购需求：</w:t>
      </w:r>
    </w:p>
    <w:p w14:paraId="13B760FA">
      <w:pPr>
        <w:pageBreakBefore w:val="0"/>
        <w:kinsoku/>
        <w:topLinePunct w:val="0"/>
        <w:bidi w:val="0"/>
        <w:spacing w:before="60" w:after="6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标项一 </w:t>
      </w:r>
    </w:p>
    <w:p w14:paraId="0D7D39A6">
      <w:pPr>
        <w:pageBreakBefore w:val="0"/>
        <w:kinsoku/>
        <w:topLinePunct w:val="0"/>
        <w:bidi w:val="0"/>
        <w:spacing w:before="60" w:after="6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标项名称:县城工业园区就业服务工作站</w:t>
      </w:r>
    </w:p>
    <w:p w14:paraId="5F302D5D">
      <w:pPr>
        <w:pageBreakBefore w:val="0"/>
        <w:kinsoku/>
        <w:topLinePunct w:val="0"/>
        <w:bidi w:val="0"/>
        <w:spacing w:before="60" w:after="6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数量:1</w:t>
      </w:r>
    </w:p>
    <w:p w14:paraId="382F0A38">
      <w:pPr>
        <w:pageBreakBefore w:val="0"/>
        <w:kinsoku/>
        <w:topLinePunct w:val="0"/>
        <w:bidi w:val="0"/>
        <w:spacing w:before="60" w:after="60"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预算金额（元）:</w:t>
      </w:r>
      <w:r>
        <w:rPr>
          <w:rFonts w:hint="eastAsia" w:ascii="宋体" w:hAnsi="宋体"/>
          <w:color w:val="auto"/>
          <w:szCs w:val="21"/>
          <w:highlight w:val="none"/>
          <w:lang w:val="en-US" w:eastAsia="zh-CN"/>
        </w:rPr>
        <w:t>1727100</w:t>
      </w:r>
    </w:p>
    <w:p w14:paraId="02BF39EB">
      <w:pPr>
        <w:pageBreakBefore w:val="0"/>
        <w:kinsoku/>
        <w:topLinePunct w:val="0"/>
        <w:bidi w:val="0"/>
        <w:spacing w:before="60" w:after="6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简要规格描述或项目基本概况介绍、用途：</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负责龙门、县城、福旺、乐民工业园区企业，园区外重点企业招工（含就业帮扶车间），“园区+车间+庭院”模式加工点（公司）招工</w:t>
      </w:r>
      <w:r>
        <w:rPr>
          <w:rFonts w:hint="eastAsia" w:ascii="宋体" w:hAnsi="宋体"/>
          <w:color w:val="auto"/>
          <w:szCs w:val="21"/>
          <w:highlight w:val="none"/>
          <w:lang w:val="en-US" w:eastAsia="zh-CN"/>
        </w:rPr>
        <w:t>就业</w:t>
      </w:r>
      <w:r>
        <w:rPr>
          <w:rFonts w:hint="eastAsia" w:ascii="宋体" w:hAnsi="宋体"/>
          <w:color w:val="auto"/>
          <w:szCs w:val="21"/>
          <w:highlight w:val="none"/>
        </w:rPr>
        <w:t>服务等工作；</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负责龙门、三合、江城街道、小江街道、福旺、官垌、乐民、平睦、六硍等9个镇（街道）的企业（含就业帮扶车间）、村（社区）就业服务指导等服务工作；收集的企业需招聘的岗位信息录入广西“数智人社”系统。</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w:t>
      </w:r>
      <w:r>
        <w:rPr>
          <w:rFonts w:hint="eastAsia" w:ascii="宋体" w:hAnsi="宋体"/>
          <w:color w:val="auto"/>
          <w:szCs w:val="21"/>
          <w:highlight w:val="none"/>
        </w:rPr>
        <w:t>负责辖区内零工市场相关业务工作，零工岗位信息要录入广西“数智人社”系统</w:t>
      </w:r>
      <w:r>
        <w:rPr>
          <w:rFonts w:hint="eastAsia" w:ascii="宋体" w:hAnsi="宋体"/>
          <w:color w:val="auto"/>
          <w:szCs w:val="21"/>
          <w:highlight w:val="none"/>
          <w:lang w:eastAsia="zh-CN"/>
        </w:rPr>
        <w:t>，</w:t>
      </w:r>
      <w:r>
        <w:rPr>
          <w:rFonts w:hint="eastAsia" w:ascii="宋体" w:hAnsi="宋体"/>
          <w:color w:val="auto"/>
          <w:szCs w:val="21"/>
          <w:highlight w:val="none"/>
        </w:rPr>
        <w:t>具体内容详见</w:t>
      </w:r>
      <w:r>
        <w:rPr>
          <w:rFonts w:hint="eastAsia" w:ascii="宋体" w:hAnsi="宋体"/>
          <w:color w:val="auto"/>
          <w:szCs w:val="21"/>
          <w:highlight w:val="none"/>
          <w:lang w:eastAsia="zh-CN"/>
        </w:rPr>
        <w:t>采购文件</w:t>
      </w:r>
      <w:r>
        <w:rPr>
          <w:rFonts w:hint="eastAsia" w:ascii="宋体" w:hAnsi="宋体"/>
          <w:color w:val="auto"/>
          <w:szCs w:val="21"/>
          <w:highlight w:val="none"/>
        </w:rPr>
        <w:t>。</w:t>
      </w:r>
    </w:p>
    <w:p w14:paraId="4B39BA11">
      <w:pPr>
        <w:pageBreakBefore w:val="0"/>
        <w:kinsoku/>
        <w:topLinePunct w:val="0"/>
        <w:bidi w:val="0"/>
        <w:spacing w:before="60" w:after="6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最高限价（如有）：</w:t>
      </w:r>
      <w:r>
        <w:rPr>
          <w:rFonts w:hint="eastAsia" w:ascii="宋体" w:hAnsi="宋体"/>
          <w:color w:val="auto"/>
          <w:szCs w:val="21"/>
          <w:highlight w:val="none"/>
          <w:lang w:val="en-US" w:eastAsia="zh-CN"/>
        </w:rPr>
        <w:t>1727100</w:t>
      </w:r>
      <w:r>
        <w:rPr>
          <w:rFonts w:hint="eastAsia" w:ascii="宋体" w:hAnsi="宋体"/>
          <w:color w:val="auto"/>
          <w:szCs w:val="21"/>
          <w:highlight w:val="none"/>
        </w:rPr>
        <w:t xml:space="preserve"> </w:t>
      </w:r>
    </w:p>
    <w:p w14:paraId="770960DE">
      <w:pPr>
        <w:pageBreakBefore w:val="0"/>
        <w:kinsoku/>
        <w:topLinePunct w:val="0"/>
        <w:bidi w:val="0"/>
        <w:spacing w:before="60" w:after="60"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合同履约期限：</w:t>
      </w:r>
      <w:r>
        <w:rPr>
          <w:rFonts w:hint="eastAsia" w:ascii="宋体" w:hAnsi="宋体" w:eastAsia="宋体" w:cs="宋体"/>
          <w:color w:val="auto"/>
          <w:sz w:val="21"/>
          <w:szCs w:val="21"/>
          <w:highlight w:val="none"/>
        </w:rPr>
        <w:t>通过采取政府购买服务方式实施，活动期3年，实行合同一年一签，第一年运营费用县城工业园区就业服务工作站预算为伍拾柒万伍仟柒佰元整（¥575,700元）；</w:t>
      </w:r>
      <w:r>
        <w:rPr>
          <w:rFonts w:hint="eastAsia" w:ascii="宋体" w:hAnsi="宋体" w:eastAsia="宋体" w:cs="宋体"/>
          <w:color w:val="auto"/>
          <w:sz w:val="21"/>
          <w:szCs w:val="21"/>
          <w:highlight w:val="none"/>
          <w:lang w:val="en-US" w:eastAsia="zh-CN"/>
        </w:rPr>
        <w:t>第二、第三年运营经费、服务内容结合实际进行调整优化，</w:t>
      </w:r>
      <w:r>
        <w:rPr>
          <w:rFonts w:hint="eastAsia" w:ascii="宋体" w:hAnsi="宋体" w:cs="宋体"/>
          <w:color w:val="auto"/>
          <w:sz w:val="21"/>
          <w:szCs w:val="21"/>
          <w:highlight w:val="none"/>
          <w:lang w:val="en-US" w:eastAsia="zh-CN"/>
        </w:rPr>
        <w:t>报县人民政府审批后，</w:t>
      </w:r>
      <w:r>
        <w:rPr>
          <w:rFonts w:hint="eastAsia" w:ascii="宋体" w:hAnsi="宋体" w:eastAsia="宋体" w:cs="宋体"/>
          <w:color w:val="auto"/>
          <w:sz w:val="21"/>
          <w:szCs w:val="21"/>
          <w:highlight w:val="none"/>
          <w:lang w:val="en-US" w:eastAsia="zh-CN"/>
        </w:rPr>
        <w:t>双方再续签合同，如遇上级政策调整，以上级政策为准，可终止实施。如果当年</w:t>
      </w:r>
      <w:r>
        <w:rPr>
          <w:rFonts w:hint="eastAsia" w:ascii="宋体" w:hAnsi="宋体" w:cs="宋体"/>
          <w:color w:val="auto"/>
          <w:sz w:val="21"/>
          <w:szCs w:val="21"/>
          <w:highlight w:val="none"/>
          <w:lang w:val="en-US" w:eastAsia="zh-CN"/>
        </w:rPr>
        <w:t>有2项（含2项）以上</w:t>
      </w:r>
      <w:r>
        <w:rPr>
          <w:rFonts w:hint="eastAsia" w:ascii="宋体" w:hAnsi="宋体" w:eastAsia="宋体" w:cs="宋体"/>
          <w:color w:val="auto"/>
          <w:sz w:val="21"/>
          <w:szCs w:val="21"/>
          <w:highlight w:val="none"/>
          <w:lang w:val="en-US" w:eastAsia="zh-CN"/>
        </w:rPr>
        <w:t>考核指标</w:t>
      </w:r>
      <w:r>
        <w:rPr>
          <w:rFonts w:hint="eastAsia" w:ascii="宋体" w:hAnsi="宋体" w:cs="宋体"/>
          <w:color w:val="auto"/>
          <w:sz w:val="21"/>
          <w:szCs w:val="21"/>
          <w:highlight w:val="none"/>
          <w:lang w:val="en-US" w:eastAsia="zh-CN"/>
        </w:rPr>
        <w:t>低于80%的</w:t>
      </w:r>
      <w:r>
        <w:rPr>
          <w:rFonts w:hint="eastAsia" w:ascii="宋体" w:hAnsi="宋体" w:eastAsia="宋体" w:cs="宋体"/>
          <w:color w:val="auto"/>
          <w:sz w:val="21"/>
          <w:szCs w:val="21"/>
          <w:highlight w:val="none"/>
          <w:lang w:val="en-US" w:eastAsia="zh-CN"/>
        </w:rPr>
        <w:t>，次年可终止实施。</w:t>
      </w:r>
    </w:p>
    <w:p w14:paraId="7891A833">
      <w:pPr>
        <w:pageBreakBefore w:val="0"/>
        <w:kinsoku/>
        <w:topLinePunct w:val="0"/>
        <w:bidi w:val="0"/>
        <w:spacing w:before="60" w:after="6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本标项（否）接受联合体投标</w:t>
      </w:r>
    </w:p>
    <w:p w14:paraId="278F4093">
      <w:pPr>
        <w:pageBreakBefore w:val="0"/>
        <w:kinsoku/>
        <w:topLinePunct w:val="0"/>
        <w:bidi w:val="0"/>
        <w:spacing w:before="60" w:after="6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备注：</w:t>
      </w:r>
      <w:r>
        <w:rPr>
          <w:rFonts w:hint="eastAsia" w:ascii="宋体" w:hAnsi="宋体"/>
          <w:color w:val="auto"/>
          <w:szCs w:val="21"/>
          <w:highlight w:val="none"/>
          <w:lang w:val="en-US" w:eastAsia="zh-CN"/>
        </w:rPr>
        <w:t>/</w:t>
      </w:r>
      <w:r>
        <w:rPr>
          <w:rFonts w:hint="eastAsia" w:ascii="宋体" w:hAnsi="宋体"/>
          <w:color w:val="auto"/>
          <w:szCs w:val="21"/>
          <w:highlight w:val="none"/>
        </w:rPr>
        <w:t>。</w:t>
      </w:r>
    </w:p>
    <w:p w14:paraId="0193082E">
      <w:pPr>
        <w:pageBreakBefore w:val="0"/>
        <w:kinsoku/>
        <w:topLinePunct w:val="0"/>
        <w:bidi w:val="0"/>
        <w:spacing w:before="60" w:after="60" w:line="360" w:lineRule="auto"/>
        <w:ind w:firstLine="422" w:firstLineChars="200"/>
        <w:rPr>
          <w:rFonts w:hint="eastAsia" w:ascii="宋体" w:hAnsi="宋体" w:eastAsia="宋体"/>
          <w:b/>
          <w:bCs/>
          <w:color w:val="auto"/>
          <w:szCs w:val="21"/>
          <w:highlight w:val="none"/>
          <w:lang w:eastAsia="zh-CN"/>
        </w:rPr>
      </w:pPr>
      <w:r>
        <w:rPr>
          <w:rFonts w:hint="eastAsia" w:ascii="宋体" w:hAnsi="宋体"/>
          <w:b/>
          <w:bCs/>
          <w:color w:val="auto"/>
          <w:szCs w:val="21"/>
          <w:highlight w:val="none"/>
        </w:rPr>
        <w:t>标项</w:t>
      </w:r>
      <w:r>
        <w:rPr>
          <w:rFonts w:hint="eastAsia" w:ascii="宋体" w:hAnsi="宋体"/>
          <w:b/>
          <w:bCs/>
          <w:color w:val="auto"/>
          <w:szCs w:val="21"/>
          <w:highlight w:val="none"/>
          <w:lang w:eastAsia="zh-CN"/>
        </w:rPr>
        <w:t>二</w:t>
      </w:r>
    </w:p>
    <w:p w14:paraId="1C39C398">
      <w:pPr>
        <w:pageBreakBefore w:val="0"/>
        <w:kinsoku/>
        <w:topLinePunct w:val="0"/>
        <w:bidi w:val="0"/>
        <w:spacing w:before="60" w:after="6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标项名称:泉水工业园区就业服务工作站</w:t>
      </w:r>
    </w:p>
    <w:p w14:paraId="61750FA2">
      <w:pPr>
        <w:pageBreakBefore w:val="0"/>
        <w:kinsoku/>
        <w:topLinePunct w:val="0"/>
        <w:bidi w:val="0"/>
        <w:spacing w:before="60" w:after="6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数量:1</w:t>
      </w:r>
    </w:p>
    <w:p w14:paraId="4976A5A2">
      <w:pPr>
        <w:pageBreakBefore w:val="0"/>
        <w:kinsoku/>
        <w:topLinePunct w:val="0"/>
        <w:bidi w:val="0"/>
        <w:spacing w:before="60" w:after="60"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预算金额（元）:</w:t>
      </w:r>
      <w:r>
        <w:rPr>
          <w:rFonts w:hint="eastAsia" w:ascii="宋体" w:hAnsi="宋体"/>
          <w:color w:val="auto"/>
          <w:szCs w:val="21"/>
          <w:highlight w:val="none"/>
          <w:lang w:val="en-US" w:eastAsia="zh-CN"/>
        </w:rPr>
        <w:t>1188180</w:t>
      </w:r>
    </w:p>
    <w:p w14:paraId="7FD5B70B">
      <w:pPr>
        <w:pageBreakBefore w:val="0"/>
        <w:kinsoku/>
        <w:topLinePunct w:val="0"/>
        <w:bidi w:val="0"/>
        <w:spacing w:before="60" w:after="6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简要规格描述或项目基本概况介绍、用途：</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负责泉水、张黄工业园区企业，园区外重点企业招工（含就业帮扶车间），“园区+车间+庭院”模式加工点（公司）招工</w:t>
      </w:r>
      <w:r>
        <w:rPr>
          <w:rFonts w:hint="eastAsia" w:ascii="宋体" w:hAnsi="宋体"/>
          <w:color w:val="auto"/>
          <w:szCs w:val="21"/>
          <w:highlight w:val="none"/>
          <w:lang w:val="en-US" w:eastAsia="zh-CN"/>
        </w:rPr>
        <w:t>就业</w:t>
      </w:r>
      <w:r>
        <w:rPr>
          <w:rFonts w:hint="eastAsia" w:ascii="宋体" w:hAnsi="宋体"/>
          <w:color w:val="auto"/>
          <w:szCs w:val="21"/>
          <w:highlight w:val="none"/>
        </w:rPr>
        <w:t>服务等工作；</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负责泉水、石埇、安石、张黄、大成、白石水、北通等7个镇的企业（含就业帮扶车间）、村（社区）就业服务指导等工作；收集的企业需招聘的岗位信息录入广西“数智人社”系统。</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w:t>
      </w:r>
      <w:r>
        <w:rPr>
          <w:rFonts w:hint="eastAsia" w:ascii="宋体" w:hAnsi="宋体"/>
          <w:color w:val="auto"/>
          <w:szCs w:val="21"/>
          <w:highlight w:val="none"/>
        </w:rPr>
        <w:t>负责辖区内零工市场相关业务工作，零工岗位信息要录入广西“数智人社”系统</w:t>
      </w:r>
      <w:r>
        <w:rPr>
          <w:rFonts w:hint="eastAsia" w:ascii="宋体" w:hAnsi="宋体"/>
          <w:color w:val="auto"/>
          <w:szCs w:val="21"/>
          <w:highlight w:val="none"/>
          <w:lang w:eastAsia="zh-CN"/>
        </w:rPr>
        <w:t>，</w:t>
      </w:r>
      <w:r>
        <w:rPr>
          <w:rFonts w:hint="eastAsia" w:ascii="宋体" w:hAnsi="宋体"/>
          <w:color w:val="auto"/>
          <w:szCs w:val="21"/>
          <w:highlight w:val="none"/>
        </w:rPr>
        <w:t>具体内容详见</w:t>
      </w:r>
      <w:r>
        <w:rPr>
          <w:rFonts w:hint="eastAsia" w:ascii="宋体" w:hAnsi="宋体"/>
          <w:color w:val="auto"/>
          <w:szCs w:val="21"/>
          <w:highlight w:val="none"/>
          <w:lang w:eastAsia="zh-CN"/>
        </w:rPr>
        <w:t>采购文件</w:t>
      </w:r>
      <w:r>
        <w:rPr>
          <w:rFonts w:hint="eastAsia" w:ascii="宋体" w:hAnsi="宋体"/>
          <w:color w:val="auto"/>
          <w:szCs w:val="21"/>
          <w:highlight w:val="none"/>
        </w:rPr>
        <w:t>。</w:t>
      </w:r>
    </w:p>
    <w:p w14:paraId="758A7F0D">
      <w:pPr>
        <w:pageBreakBefore w:val="0"/>
        <w:kinsoku/>
        <w:topLinePunct w:val="0"/>
        <w:bidi w:val="0"/>
        <w:spacing w:before="60" w:after="60"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最高限价（如有）：</w:t>
      </w:r>
      <w:r>
        <w:rPr>
          <w:rFonts w:hint="eastAsia" w:ascii="宋体" w:hAnsi="宋体"/>
          <w:color w:val="auto"/>
          <w:szCs w:val="21"/>
          <w:highlight w:val="none"/>
          <w:lang w:val="en-US" w:eastAsia="zh-CN"/>
        </w:rPr>
        <w:t>1188180</w:t>
      </w:r>
    </w:p>
    <w:p w14:paraId="696B74C4">
      <w:pPr>
        <w:pageBreakBefore w:val="0"/>
        <w:kinsoku/>
        <w:topLinePunct w:val="0"/>
        <w:bidi w:val="0"/>
        <w:spacing w:before="60" w:after="60"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合同履约期限：</w:t>
      </w:r>
      <w:r>
        <w:rPr>
          <w:rFonts w:hint="eastAsia" w:ascii="宋体" w:hAnsi="宋体" w:eastAsia="宋体" w:cs="宋体"/>
          <w:color w:val="auto"/>
          <w:sz w:val="21"/>
          <w:szCs w:val="21"/>
          <w:highlight w:val="none"/>
          <w:lang w:val="en-US" w:eastAsia="zh-CN"/>
        </w:rPr>
        <w:t>通过采取政府购买服务方式实施，活动期3年，实行合同一年一签，第一年运营费用泉水工业园区就业服务工作站预算为叁拾玖万陆仟零陆拾元整（¥396,060元）；第二、第三年运营经费、服务内容结合实际进行调整优化，</w:t>
      </w:r>
      <w:r>
        <w:rPr>
          <w:rFonts w:hint="eastAsia" w:ascii="宋体" w:hAnsi="宋体" w:cs="宋体"/>
          <w:color w:val="auto"/>
          <w:sz w:val="21"/>
          <w:szCs w:val="21"/>
          <w:highlight w:val="none"/>
          <w:lang w:val="en-US" w:eastAsia="zh-CN"/>
        </w:rPr>
        <w:t>报县人民政府审批后，</w:t>
      </w:r>
      <w:r>
        <w:rPr>
          <w:rFonts w:hint="eastAsia" w:ascii="宋体" w:hAnsi="宋体" w:eastAsia="宋体" w:cs="宋体"/>
          <w:color w:val="auto"/>
          <w:sz w:val="21"/>
          <w:szCs w:val="21"/>
          <w:highlight w:val="none"/>
          <w:lang w:val="en-US" w:eastAsia="zh-CN"/>
        </w:rPr>
        <w:t>双方再续签合同，如遇上级政策调整，以上级政策为准，可终止实施。如果当年</w:t>
      </w:r>
      <w:r>
        <w:rPr>
          <w:rFonts w:hint="eastAsia" w:ascii="宋体" w:hAnsi="宋体" w:cs="宋体"/>
          <w:color w:val="auto"/>
          <w:sz w:val="21"/>
          <w:szCs w:val="21"/>
          <w:highlight w:val="none"/>
          <w:lang w:val="en-US" w:eastAsia="zh-CN"/>
        </w:rPr>
        <w:t>有2项（含2项）以上</w:t>
      </w:r>
      <w:r>
        <w:rPr>
          <w:rFonts w:hint="eastAsia" w:ascii="宋体" w:hAnsi="宋体" w:eastAsia="宋体" w:cs="宋体"/>
          <w:color w:val="auto"/>
          <w:sz w:val="21"/>
          <w:szCs w:val="21"/>
          <w:highlight w:val="none"/>
          <w:lang w:val="en-US" w:eastAsia="zh-CN"/>
        </w:rPr>
        <w:t>考核指标</w:t>
      </w:r>
      <w:r>
        <w:rPr>
          <w:rFonts w:hint="eastAsia" w:ascii="宋体" w:hAnsi="宋体" w:cs="宋体"/>
          <w:color w:val="auto"/>
          <w:sz w:val="21"/>
          <w:szCs w:val="21"/>
          <w:highlight w:val="none"/>
          <w:lang w:val="en-US" w:eastAsia="zh-CN"/>
        </w:rPr>
        <w:t>低于80%的</w:t>
      </w:r>
      <w:r>
        <w:rPr>
          <w:rFonts w:hint="eastAsia" w:ascii="宋体" w:hAnsi="宋体" w:eastAsia="宋体" w:cs="宋体"/>
          <w:color w:val="auto"/>
          <w:sz w:val="21"/>
          <w:szCs w:val="21"/>
          <w:highlight w:val="none"/>
          <w:lang w:val="en-US" w:eastAsia="zh-CN"/>
        </w:rPr>
        <w:t>，次年可终止实施。</w:t>
      </w:r>
    </w:p>
    <w:p w14:paraId="2C50E8E1">
      <w:pPr>
        <w:pageBreakBefore w:val="0"/>
        <w:kinsoku/>
        <w:topLinePunct w:val="0"/>
        <w:bidi w:val="0"/>
        <w:spacing w:before="60" w:after="6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本标项（否）接受联合体投标</w:t>
      </w:r>
    </w:p>
    <w:p w14:paraId="46D917BF">
      <w:pPr>
        <w:pageBreakBefore w:val="0"/>
        <w:kinsoku/>
        <w:topLinePunct w:val="0"/>
        <w:bidi w:val="0"/>
        <w:spacing w:before="60" w:after="60" w:line="360" w:lineRule="auto"/>
        <w:ind w:firstLine="420" w:firstLineChars="200"/>
        <w:rPr>
          <w:color w:val="auto"/>
          <w:highlight w:val="none"/>
        </w:rPr>
      </w:pPr>
      <w:r>
        <w:rPr>
          <w:rFonts w:hint="eastAsia" w:ascii="宋体" w:hAnsi="宋体"/>
          <w:color w:val="auto"/>
          <w:szCs w:val="21"/>
          <w:highlight w:val="none"/>
        </w:rPr>
        <w:t>备注：</w:t>
      </w:r>
      <w:r>
        <w:rPr>
          <w:rFonts w:hint="eastAsia" w:ascii="宋体" w:hAnsi="宋体"/>
          <w:color w:val="auto"/>
          <w:szCs w:val="21"/>
          <w:highlight w:val="none"/>
          <w:lang w:val="en-US" w:eastAsia="zh-CN"/>
        </w:rPr>
        <w:t>/</w:t>
      </w:r>
      <w:r>
        <w:rPr>
          <w:rFonts w:hint="eastAsia" w:ascii="宋体" w:hAnsi="宋体"/>
          <w:color w:val="auto"/>
          <w:szCs w:val="21"/>
          <w:highlight w:val="none"/>
        </w:rPr>
        <w:t>。</w:t>
      </w:r>
    </w:p>
    <w:p w14:paraId="14BD3965">
      <w:pPr>
        <w:pageBreakBefore w:val="0"/>
        <w:kinsoku/>
        <w:topLinePunct w:val="0"/>
        <w:bidi w:val="0"/>
        <w:spacing w:before="60" w:after="60" w:line="360" w:lineRule="auto"/>
        <w:ind w:firstLine="354" w:firstLineChars="147"/>
        <w:rPr>
          <w:rFonts w:ascii="黑体" w:hAnsi="黑体" w:eastAsia="黑体"/>
          <w:b/>
          <w:color w:val="auto"/>
          <w:sz w:val="24"/>
          <w:highlight w:val="none"/>
        </w:rPr>
      </w:pPr>
      <w:bookmarkStart w:id="8" w:name="_Toc28359013"/>
      <w:bookmarkStart w:id="9" w:name="_Toc71365906"/>
      <w:bookmarkStart w:id="10" w:name="_Toc35393799"/>
      <w:bookmarkStart w:id="11" w:name="_Toc44229879"/>
      <w:bookmarkStart w:id="12" w:name="_Toc28359090"/>
      <w:bookmarkStart w:id="13" w:name="_Toc35393630"/>
      <w:r>
        <w:rPr>
          <w:rFonts w:hint="eastAsia" w:ascii="黑体" w:hAnsi="黑体" w:eastAsia="黑体"/>
          <w:b/>
          <w:color w:val="auto"/>
          <w:sz w:val="24"/>
          <w:highlight w:val="none"/>
        </w:rPr>
        <w:t>二、申请人的资格条件：</w:t>
      </w:r>
      <w:bookmarkEnd w:id="8"/>
      <w:bookmarkEnd w:id="9"/>
      <w:bookmarkEnd w:id="10"/>
      <w:bookmarkEnd w:id="11"/>
      <w:bookmarkEnd w:id="12"/>
      <w:bookmarkEnd w:id="13"/>
    </w:p>
    <w:p w14:paraId="72FBD166">
      <w:pPr>
        <w:pageBreakBefore w:val="0"/>
        <w:kinsoku/>
        <w:topLinePunct w:val="0"/>
        <w:bidi w:val="0"/>
        <w:spacing w:before="60" w:after="60" w:line="360" w:lineRule="auto"/>
        <w:ind w:firstLine="420" w:firstLineChars="200"/>
        <w:rPr>
          <w:rFonts w:ascii="宋体" w:hAnsi="宋体"/>
          <w:color w:val="auto"/>
          <w:szCs w:val="21"/>
          <w:highlight w:val="none"/>
        </w:rPr>
      </w:pPr>
      <w:bookmarkStart w:id="14" w:name="_Toc28359091"/>
      <w:bookmarkStart w:id="15" w:name="_Toc44229880"/>
      <w:bookmarkStart w:id="16" w:name="_Toc35393631"/>
      <w:bookmarkStart w:id="17" w:name="_Toc35393800"/>
      <w:bookmarkStart w:id="18" w:name="_Toc28359014"/>
      <w:r>
        <w:rPr>
          <w:rFonts w:hint="eastAsia" w:ascii="宋体" w:hAnsi="宋体"/>
          <w:color w:val="auto"/>
          <w:szCs w:val="21"/>
          <w:highlight w:val="none"/>
        </w:rPr>
        <w:t>1</w:t>
      </w:r>
      <w:r>
        <w:rPr>
          <w:rFonts w:hint="eastAsia" w:ascii="宋体" w:hAnsi="宋体"/>
          <w:color w:val="auto"/>
          <w:szCs w:val="21"/>
          <w:highlight w:val="none"/>
          <w:lang w:eastAsia="zh-CN"/>
        </w:rPr>
        <w:t>.</w:t>
      </w:r>
      <w:r>
        <w:rPr>
          <w:rFonts w:hint="eastAsia" w:ascii="宋体" w:hAnsi="宋体"/>
          <w:color w:val="auto"/>
          <w:szCs w:val="21"/>
          <w:highlight w:val="none"/>
        </w:rPr>
        <w:t>满足《中华人民共和国政府采购法》第二十二条规定；</w:t>
      </w:r>
    </w:p>
    <w:p w14:paraId="21FE11D0">
      <w:pPr>
        <w:pageBreakBefore w:val="0"/>
        <w:kinsoku/>
        <w:topLinePunct w:val="0"/>
        <w:bidi w:val="0"/>
        <w:spacing w:before="60" w:after="60" w:line="360" w:lineRule="auto"/>
        <w:ind w:firstLine="420" w:firstLineChars="200"/>
        <w:rPr>
          <w:rFonts w:ascii="宋体" w:hAnsi="宋体"/>
          <w:color w:val="auto"/>
          <w:highlight w:val="none"/>
        </w:rPr>
      </w:pPr>
      <w:r>
        <w:rPr>
          <w:rFonts w:hint="eastAsia" w:ascii="宋体" w:hAnsi="宋体"/>
          <w:color w:val="auto"/>
          <w:highlight w:val="none"/>
        </w:rPr>
        <w:t>2</w:t>
      </w:r>
      <w:r>
        <w:rPr>
          <w:rFonts w:hint="eastAsia" w:ascii="宋体" w:hAnsi="宋体"/>
          <w:color w:val="auto"/>
          <w:highlight w:val="none"/>
          <w:lang w:eastAsia="zh-CN"/>
        </w:rPr>
        <w:t>.</w:t>
      </w:r>
      <w:r>
        <w:rPr>
          <w:rFonts w:hint="eastAsia" w:ascii="宋体" w:hAnsi="宋体"/>
          <w:color w:val="auto"/>
          <w:highlight w:val="none"/>
        </w:rPr>
        <w:t>落实政府采购政策需满足的资格要求：</w:t>
      </w:r>
      <w:r>
        <w:rPr>
          <w:rFonts w:hint="eastAsia" w:ascii="宋体" w:hAnsi="宋体"/>
          <w:color w:val="auto"/>
          <w:szCs w:val="21"/>
          <w:highlight w:val="none"/>
          <w:lang w:eastAsia="zh-CN"/>
        </w:rPr>
        <w:t>本项目为专门面向中小企业采购的项目。供应商必须提供中小企业声明函或者残疾人福利性单位声明函(格式后附)或者供应商属于监狱企业的需提供由省级以上监狱管理局、戒毒管理局(含新疆生产建设兵团)出具的属于监狱企业的证明文件)</w:t>
      </w:r>
      <w:r>
        <w:rPr>
          <w:rFonts w:hint="eastAsia" w:ascii="宋体" w:hAnsi="宋体"/>
          <w:color w:val="auto"/>
          <w:szCs w:val="21"/>
          <w:highlight w:val="none"/>
        </w:rPr>
        <w:t>；</w:t>
      </w:r>
    </w:p>
    <w:p w14:paraId="658183A5">
      <w:pPr>
        <w:pageBreakBefore w:val="0"/>
        <w:kinsoku/>
        <w:wordWrap w:val="0"/>
        <w:topLinePunct w:val="0"/>
        <w:bidi w:val="0"/>
        <w:spacing w:before="60" w:after="60" w:line="360" w:lineRule="auto"/>
        <w:ind w:firstLine="420" w:firstLineChars="200"/>
        <w:rPr>
          <w:rFonts w:ascii="宋体" w:hAnsi="宋体"/>
          <w:color w:val="auto"/>
          <w:highlight w:val="none"/>
        </w:rPr>
      </w:pPr>
      <w:r>
        <w:rPr>
          <w:rFonts w:hint="eastAsia" w:ascii="宋体" w:hAnsi="宋体"/>
          <w:color w:val="auto"/>
          <w:highlight w:val="none"/>
        </w:rPr>
        <w:t>3</w:t>
      </w:r>
      <w:r>
        <w:rPr>
          <w:rFonts w:hint="eastAsia" w:ascii="宋体" w:hAnsi="宋体"/>
          <w:color w:val="auto"/>
          <w:highlight w:val="none"/>
          <w:lang w:eastAsia="zh-CN"/>
        </w:rPr>
        <w:t>.</w:t>
      </w:r>
      <w:r>
        <w:rPr>
          <w:rFonts w:hint="eastAsia" w:ascii="宋体" w:hAnsi="宋体"/>
          <w:color w:val="auto"/>
          <w:highlight w:val="none"/>
        </w:rPr>
        <w:t>本项目的特定资格要求：</w:t>
      </w:r>
      <w:r>
        <w:rPr>
          <w:rFonts w:hint="eastAsia" w:ascii="宋体" w:hAnsi="宋体"/>
          <w:color w:val="auto"/>
          <w:highlight w:val="none"/>
          <w:lang w:eastAsia="zh-CN"/>
        </w:rPr>
        <w:t>供应商须具有</w:t>
      </w:r>
      <w:r>
        <w:rPr>
          <w:rFonts w:hint="eastAsia" w:ascii="宋体" w:hAnsi="宋体"/>
          <w:color w:val="auto"/>
          <w:highlight w:val="none"/>
          <w:lang w:val="en-US" w:eastAsia="zh-CN"/>
        </w:rPr>
        <w:t>有效的</w:t>
      </w:r>
      <w:r>
        <w:rPr>
          <w:rFonts w:hint="eastAsia" w:ascii="宋体" w:hAnsi="宋体"/>
          <w:color w:val="auto"/>
          <w:highlight w:val="none"/>
        </w:rPr>
        <w:t>人力资源服务许可证；</w:t>
      </w:r>
    </w:p>
    <w:p w14:paraId="750337F0">
      <w:pPr>
        <w:pageBreakBefore w:val="0"/>
        <w:kinsoku/>
        <w:wordWrap w:val="0"/>
        <w:topLinePunct w:val="0"/>
        <w:bidi w:val="0"/>
        <w:spacing w:before="60" w:after="60" w:line="360" w:lineRule="auto"/>
        <w:ind w:firstLine="420" w:firstLineChars="200"/>
        <w:rPr>
          <w:rFonts w:ascii="宋体" w:hAnsi="宋体"/>
          <w:b/>
          <w:bCs/>
          <w:color w:val="auto"/>
          <w:highlight w:val="none"/>
        </w:rPr>
      </w:pPr>
      <w:r>
        <w:rPr>
          <w:rFonts w:hint="eastAsia" w:ascii="宋体" w:hAnsi="宋体"/>
          <w:color w:val="auto"/>
          <w:highlight w:val="none"/>
        </w:rPr>
        <w:t>4</w:t>
      </w:r>
      <w:r>
        <w:rPr>
          <w:rFonts w:hint="eastAsia" w:ascii="宋体" w:hAnsi="宋体"/>
          <w:color w:val="auto"/>
          <w:highlight w:val="none"/>
          <w:lang w:eastAsia="zh-CN"/>
        </w:rPr>
        <w:t>.</w:t>
      </w:r>
      <w:r>
        <w:rPr>
          <w:rFonts w:hint="eastAsia" w:ascii="宋体" w:hAnsi="宋体"/>
          <w:color w:val="auto"/>
          <w:highlight w:val="none"/>
        </w:rPr>
        <w:t>本项目的特定条件：</w:t>
      </w:r>
      <w:r>
        <w:rPr>
          <w:rFonts w:hint="eastAsia" w:ascii="宋体" w:hAnsi="宋体"/>
          <w:color w:val="auto"/>
          <w:highlight w:val="none"/>
          <w:lang w:val="en-US" w:eastAsia="zh-CN"/>
        </w:rPr>
        <w:t>无。</w:t>
      </w:r>
    </w:p>
    <w:p w14:paraId="3A3AE813">
      <w:pPr>
        <w:pageBreakBefore w:val="0"/>
        <w:kinsoku/>
        <w:topLinePunct w:val="0"/>
        <w:bidi w:val="0"/>
        <w:spacing w:before="60" w:after="60" w:line="360" w:lineRule="auto"/>
        <w:ind w:firstLine="354" w:firstLineChars="147"/>
        <w:rPr>
          <w:rFonts w:ascii="黑体" w:hAnsi="黑体" w:eastAsia="黑体"/>
          <w:b/>
          <w:color w:val="auto"/>
          <w:sz w:val="24"/>
          <w:highlight w:val="none"/>
        </w:rPr>
      </w:pPr>
      <w:bookmarkStart w:id="19" w:name="_Toc71365907"/>
      <w:r>
        <w:rPr>
          <w:rFonts w:hint="eastAsia" w:ascii="黑体" w:hAnsi="黑体" w:eastAsia="黑体"/>
          <w:b/>
          <w:color w:val="auto"/>
          <w:sz w:val="24"/>
          <w:highlight w:val="none"/>
        </w:rPr>
        <w:t>三、获取竞争性磋商文件</w:t>
      </w:r>
      <w:bookmarkEnd w:id="14"/>
      <w:bookmarkEnd w:id="15"/>
      <w:bookmarkEnd w:id="16"/>
      <w:bookmarkEnd w:id="17"/>
      <w:bookmarkEnd w:id="18"/>
      <w:bookmarkEnd w:id="19"/>
    </w:p>
    <w:p w14:paraId="4F54BDA7">
      <w:pPr>
        <w:pageBreakBefore w:val="0"/>
        <w:kinsoku/>
        <w:topLinePunct w:val="0"/>
        <w:bidi w:val="0"/>
        <w:spacing w:before="60" w:after="60" w:line="360" w:lineRule="auto"/>
        <w:ind w:firstLine="420" w:firstLineChars="200"/>
        <w:rPr>
          <w:rFonts w:ascii="宋体" w:hAnsi="宋体" w:cs="宋体"/>
          <w:bCs/>
          <w:color w:val="auto"/>
          <w:kern w:val="0"/>
          <w:szCs w:val="21"/>
          <w:highlight w:val="none"/>
        </w:rPr>
      </w:pPr>
      <w:bookmarkStart w:id="20" w:name="_Toc44229881"/>
      <w:bookmarkStart w:id="21" w:name="_Toc35393801"/>
      <w:bookmarkStart w:id="22" w:name="_Toc35393632"/>
      <w:bookmarkStart w:id="23" w:name="_Toc28359015"/>
      <w:bookmarkStart w:id="24" w:name="_Toc28359092"/>
      <w:r>
        <w:rPr>
          <w:rFonts w:hint="eastAsia" w:ascii="宋体" w:hAnsi="宋体" w:cs="宋体"/>
          <w:bCs/>
          <w:color w:val="auto"/>
          <w:kern w:val="0"/>
          <w:szCs w:val="21"/>
          <w:highlight w:val="none"/>
        </w:rPr>
        <w:t>时间：</w:t>
      </w:r>
      <w:r>
        <w:rPr>
          <w:rFonts w:hint="eastAsia" w:ascii="宋体" w:hAnsi="宋体"/>
          <w:bCs/>
          <w:color w:val="auto"/>
          <w:szCs w:val="21"/>
          <w:highlight w:val="none"/>
          <w:u w:val="single"/>
          <w:lang w:eastAsia="zh-CN"/>
        </w:rPr>
        <w:t>202</w:t>
      </w:r>
      <w:r>
        <w:rPr>
          <w:rFonts w:hint="eastAsia" w:ascii="宋体" w:hAnsi="宋体"/>
          <w:bCs/>
          <w:color w:val="auto"/>
          <w:szCs w:val="21"/>
          <w:highlight w:val="none"/>
          <w:u w:val="single"/>
          <w:lang w:val="en-US" w:eastAsia="zh-CN"/>
        </w:rPr>
        <w:t>6</w:t>
      </w:r>
      <w:r>
        <w:rPr>
          <w:rFonts w:hint="eastAsia" w:ascii="宋体" w:hAnsi="宋体"/>
          <w:bCs/>
          <w:color w:val="auto"/>
          <w:szCs w:val="21"/>
          <w:highlight w:val="none"/>
          <w:u w:val="single"/>
          <w:lang w:eastAsia="zh-CN"/>
        </w:rPr>
        <w:t>年</w:t>
      </w:r>
      <w:r>
        <w:rPr>
          <w:rFonts w:hint="eastAsia" w:ascii="宋体" w:hAnsi="宋体"/>
          <w:bCs/>
          <w:color w:val="auto"/>
          <w:szCs w:val="21"/>
          <w:highlight w:val="none"/>
          <w:u w:val="single"/>
          <w:lang w:val="en-US" w:eastAsia="zh-CN"/>
        </w:rPr>
        <w:t>1月19日</w:t>
      </w:r>
      <w:r>
        <w:rPr>
          <w:rFonts w:hint="eastAsia" w:ascii="宋体" w:hAnsi="宋体" w:cs="宋体"/>
          <w:bCs/>
          <w:color w:val="auto"/>
          <w:kern w:val="0"/>
          <w:szCs w:val="21"/>
          <w:highlight w:val="none"/>
        </w:rPr>
        <w:t>至</w:t>
      </w:r>
      <w:r>
        <w:rPr>
          <w:rFonts w:hint="eastAsia" w:ascii="宋体" w:hAnsi="宋体"/>
          <w:bCs/>
          <w:color w:val="auto"/>
          <w:szCs w:val="21"/>
          <w:highlight w:val="none"/>
          <w:u w:val="single"/>
          <w:lang w:eastAsia="zh-CN"/>
        </w:rPr>
        <w:t>202</w:t>
      </w:r>
      <w:r>
        <w:rPr>
          <w:rFonts w:hint="eastAsia" w:ascii="宋体" w:hAnsi="宋体"/>
          <w:bCs/>
          <w:color w:val="auto"/>
          <w:szCs w:val="21"/>
          <w:highlight w:val="none"/>
          <w:u w:val="single"/>
          <w:lang w:val="en-US" w:eastAsia="zh-CN"/>
        </w:rPr>
        <w:t>6</w:t>
      </w:r>
      <w:r>
        <w:rPr>
          <w:rFonts w:hint="eastAsia" w:ascii="宋体" w:hAnsi="宋体"/>
          <w:bCs/>
          <w:color w:val="auto"/>
          <w:szCs w:val="21"/>
          <w:highlight w:val="none"/>
          <w:u w:val="single"/>
          <w:lang w:eastAsia="zh-CN"/>
        </w:rPr>
        <w:t>年</w:t>
      </w:r>
      <w:r>
        <w:rPr>
          <w:rFonts w:hint="eastAsia" w:ascii="宋体" w:hAnsi="宋体"/>
          <w:bCs/>
          <w:color w:val="auto"/>
          <w:szCs w:val="21"/>
          <w:highlight w:val="none"/>
          <w:u w:val="single"/>
          <w:lang w:val="en-US" w:eastAsia="zh-CN"/>
        </w:rPr>
        <w:t>1月26 日</w:t>
      </w:r>
      <w:r>
        <w:rPr>
          <w:rFonts w:hint="eastAsia" w:ascii="宋体" w:hAnsi="宋体" w:cs="宋体"/>
          <w:bCs/>
          <w:color w:val="auto"/>
          <w:kern w:val="0"/>
          <w:szCs w:val="21"/>
          <w:highlight w:val="none"/>
        </w:rPr>
        <w:t>，每天上午</w:t>
      </w:r>
      <w:r>
        <w:rPr>
          <w:rFonts w:hint="eastAsia" w:ascii="宋体" w:hAnsi="宋体" w:cs="宋体"/>
          <w:bCs/>
          <w:color w:val="auto"/>
          <w:kern w:val="0"/>
          <w:szCs w:val="21"/>
          <w:highlight w:val="none"/>
          <w:u w:val="single"/>
          <w:lang w:val="en-US" w:eastAsia="zh-CN"/>
        </w:rPr>
        <w:t>00</w:t>
      </w:r>
      <w:r>
        <w:rPr>
          <w:rFonts w:hint="eastAsia" w:ascii="宋体" w:hAnsi="宋体" w:cs="宋体"/>
          <w:bCs/>
          <w:color w:val="auto"/>
          <w:kern w:val="0"/>
          <w:szCs w:val="21"/>
          <w:highlight w:val="none"/>
          <w:u w:val="single"/>
        </w:rPr>
        <w:t>：</w:t>
      </w:r>
      <w:r>
        <w:rPr>
          <w:rFonts w:hint="eastAsia" w:ascii="宋体" w:hAnsi="宋体" w:cs="宋体"/>
          <w:bCs/>
          <w:color w:val="auto"/>
          <w:kern w:val="0"/>
          <w:szCs w:val="21"/>
          <w:highlight w:val="none"/>
          <w:u w:val="single"/>
          <w:lang w:val="en-US" w:eastAsia="zh-CN"/>
        </w:rPr>
        <w:t>0</w:t>
      </w:r>
      <w:r>
        <w:rPr>
          <w:rFonts w:hint="eastAsia" w:ascii="宋体" w:hAnsi="宋体" w:cs="宋体"/>
          <w:bCs/>
          <w:color w:val="auto"/>
          <w:kern w:val="0"/>
          <w:szCs w:val="21"/>
          <w:highlight w:val="none"/>
          <w:u w:val="single"/>
        </w:rPr>
        <w:t>0</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rPr>
        <w:t>1</w:t>
      </w:r>
      <w:r>
        <w:rPr>
          <w:rFonts w:ascii="宋体" w:hAnsi="宋体" w:cs="宋体"/>
          <w:bCs/>
          <w:color w:val="auto"/>
          <w:kern w:val="0"/>
          <w:szCs w:val="21"/>
          <w:highlight w:val="none"/>
          <w:u w:val="single"/>
        </w:rPr>
        <w:t>2</w:t>
      </w:r>
      <w:r>
        <w:rPr>
          <w:rFonts w:hint="eastAsia" w:ascii="宋体" w:hAnsi="宋体" w:cs="宋体"/>
          <w:bCs/>
          <w:color w:val="auto"/>
          <w:kern w:val="0"/>
          <w:szCs w:val="21"/>
          <w:highlight w:val="none"/>
          <w:u w:val="single"/>
        </w:rPr>
        <w:t>：00</w:t>
      </w:r>
      <w:r>
        <w:rPr>
          <w:rFonts w:hint="eastAsia" w:ascii="宋体" w:hAnsi="宋体" w:cs="宋体"/>
          <w:bCs/>
          <w:color w:val="auto"/>
          <w:kern w:val="0"/>
          <w:szCs w:val="21"/>
          <w:highlight w:val="none"/>
        </w:rPr>
        <w:t>，下午</w:t>
      </w:r>
      <w:r>
        <w:rPr>
          <w:rFonts w:hint="eastAsia" w:ascii="宋体" w:hAnsi="宋体" w:cs="宋体"/>
          <w:bCs/>
          <w:color w:val="auto"/>
          <w:kern w:val="0"/>
          <w:szCs w:val="21"/>
          <w:highlight w:val="none"/>
          <w:u w:val="single"/>
          <w:lang w:val="en-US" w:eastAsia="zh-CN"/>
        </w:rPr>
        <w:t>12</w:t>
      </w:r>
      <w:r>
        <w:rPr>
          <w:rFonts w:hint="eastAsia" w:ascii="宋体" w:hAnsi="宋体" w:cs="宋体"/>
          <w:bCs/>
          <w:color w:val="auto"/>
          <w:kern w:val="0"/>
          <w:szCs w:val="21"/>
          <w:highlight w:val="none"/>
          <w:u w:val="single"/>
        </w:rPr>
        <w:t>：</w:t>
      </w:r>
      <w:r>
        <w:rPr>
          <w:rFonts w:hint="eastAsia" w:ascii="宋体" w:hAnsi="宋体" w:cs="宋体"/>
          <w:bCs/>
          <w:color w:val="auto"/>
          <w:kern w:val="0"/>
          <w:szCs w:val="21"/>
          <w:highlight w:val="none"/>
          <w:u w:val="single"/>
          <w:lang w:val="en-US" w:eastAsia="zh-CN"/>
        </w:rPr>
        <w:t>0</w:t>
      </w:r>
      <w:r>
        <w:rPr>
          <w:rFonts w:hint="eastAsia" w:ascii="宋体" w:hAnsi="宋体" w:cs="宋体"/>
          <w:bCs/>
          <w:color w:val="auto"/>
          <w:kern w:val="0"/>
          <w:szCs w:val="21"/>
          <w:highlight w:val="none"/>
          <w:u w:val="single"/>
        </w:rPr>
        <w:t>0</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lang w:val="en-US" w:eastAsia="zh-CN"/>
        </w:rPr>
        <w:t>23：59</w:t>
      </w:r>
      <w:r>
        <w:rPr>
          <w:rFonts w:hint="eastAsia" w:ascii="宋体" w:hAnsi="宋体" w:cs="宋体"/>
          <w:bCs/>
          <w:color w:val="auto"/>
          <w:kern w:val="0"/>
          <w:szCs w:val="21"/>
          <w:highlight w:val="none"/>
        </w:rPr>
        <w:t>（北京时间）</w:t>
      </w:r>
    </w:p>
    <w:p w14:paraId="71D8E955">
      <w:pPr>
        <w:pageBreakBefore w:val="0"/>
        <w:kinsoku/>
        <w:topLinePunct w:val="0"/>
        <w:bidi w:val="0"/>
        <w:spacing w:before="60" w:after="60"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地点：“广西政府采购云平台”（</w:t>
      </w:r>
      <w:r>
        <w:rPr>
          <w:rFonts w:ascii="宋体" w:hAnsi="宋体" w:cs="宋体"/>
          <w:bCs/>
          <w:color w:val="auto"/>
          <w:kern w:val="0"/>
          <w:szCs w:val="21"/>
          <w:highlight w:val="none"/>
        </w:rPr>
        <w:t>http://www</w:t>
      </w:r>
      <w:r>
        <w:rPr>
          <w:rFonts w:hint="eastAsia" w:ascii="宋体" w:hAnsi="宋体" w:cs="宋体"/>
          <w:bCs/>
          <w:color w:val="auto"/>
          <w:kern w:val="0"/>
          <w:szCs w:val="21"/>
          <w:highlight w:val="none"/>
          <w:lang w:eastAsia="zh-CN"/>
        </w:rPr>
        <w:t>.</w:t>
      </w:r>
      <w:r>
        <w:rPr>
          <w:rFonts w:ascii="宋体" w:hAnsi="宋体" w:cs="宋体"/>
          <w:bCs/>
          <w:color w:val="auto"/>
          <w:kern w:val="0"/>
          <w:szCs w:val="21"/>
          <w:highlight w:val="none"/>
        </w:rPr>
        <w:t>gcy</w:t>
      </w:r>
      <w:r>
        <w:rPr>
          <w:rFonts w:hint="eastAsia" w:ascii="宋体" w:hAnsi="宋体" w:cs="宋体"/>
          <w:bCs/>
          <w:color w:val="auto"/>
          <w:kern w:val="0"/>
          <w:szCs w:val="21"/>
          <w:highlight w:val="none"/>
          <w:lang w:eastAsia="zh-CN"/>
        </w:rPr>
        <w:t>.</w:t>
      </w:r>
      <w:r>
        <w:rPr>
          <w:rFonts w:ascii="宋体" w:hAnsi="宋体" w:cs="宋体"/>
          <w:bCs/>
          <w:color w:val="auto"/>
          <w:kern w:val="0"/>
          <w:szCs w:val="21"/>
          <w:highlight w:val="none"/>
        </w:rPr>
        <w:t>zfcg</w:t>
      </w:r>
      <w:r>
        <w:rPr>
          <w:rFonts w:hint="eastAsia" w:ascii="宋体" w:hAnsi="宋体" w:cs="宋体"/>
          <w:bCs/>
          <w:color w:val="auto"/>
          <w:kern w:val="0"/>
          <w:szCs w:val="21"/>
          <w:highlight w:val="none"/>
          <w:lang w:eastAsia="zh-CN"/>
        </w:rPr>
        <w:t>.</w:t>
      </w:r>
      <w:r>
        <w:rPr>
          <w:rFonts w:ascii="宋体" w:hAnsi="宋体" w:cs="宋体"/>
          <w:bCs/>
          <w:color w:val="auto"/>
          <w:kern w:val="0"/>
          <w:szCs w:val="21"/>
          <w:highlight w:val="none"/>
        </w:rPr>
        <w:t>gxzf</w:t>
      </w:r>
      <w:r>
        <w:rPr>
          <w:rFonts w:hint="eastAsia" w:ascii="宋体" w:hAnsi="宋体" w:cs="宋体"/>
          <w:bCs/>
          <w:color w:val="auto"/>
          <w:kern w:val="0"/>
          <w:szCs w:val="21"/>
          <w:highlight w:val="none"/>
          <w:lang w:eastAsia="zh-CN"/>
        </w:rPr>
        <w:t>.</w:t>
      </w:r>
      <w:r>
        <w:rPr>
          <w:rFonts w:ascii="宋体" w:hAnsi="宋体" w:cs="宋体"/>
          <w:bCs/>
          <w:color w:val="auto"/>
          <w:kern w:val="0"/>
          <w:szCs w:val="21"/>
          <w:highlight w:val="none"/>
        </w:rPr>
        <w:t>gov</w:t>
      </w:r>
      <w:r>
        <w:rPr>
          <w:rFonts w:hint="eastAsia" w:ascii="宋体" w:hAnsi="宋体" w:cs="宋体"/>
          <w:bCs/>
          <w:color w:val="auto"/>
          <w:kern w:val="0"/>
          <w:szCs w:val="21"/>
          <w:highlight w:val="none"/>
          <w:lang w:eastAsia="zh-CN"/>
        </w:rPr>
        <w:t>.</w:t>
      </w:r>
      <w:r>
        <w:rPr>
          <w:rFonts w:ascii="宋体" w:hAnsi="宋体" w:cs="宋体"/>
          <w:bCs/>
          <w:color w:val="auto"/>
          <w:kern w:val="0"/>
          <w:szCs w:val="21"/>
          <w:highlight w:val="none"/>
        </w:rPr>
        <w:t>cn</w:t>
      </w:r>
      <w:r>
        <w:rPr>
          <w:rFonts w:hint="eastAsia" w:ascii="宋体" w:hAnsi="宋体" w:cs="宋体"/>
          <w:bCs/>
          <w:color w:val="auto"/>
          <w:kern w:val="0"/>
          <w:szCs w:val="21"/>
          <w:highlight w:val="none"/>
        </w:rPr>
        <w:t>）</w:t>
      </w:r>
    </w:p>
    <w:p w14:paraId="139C6B2A">
      <w:pPr>
        <w:pageBreakBefore w:val="0"/>
        <w:kinsoku/>
        <w:topLinePunct w:val="0"/>
        <w:bidi w:val="0"/>
        <w:spacing w:before="60" w:after="60" w:line="360" w:lineRule="auto"/>
        <w:ind w:firstLine="420" w:firstLineChars="200"/>
        <w:rPr>
          <w:rFonts w:ascii="宋体" w:hAnsi="宋体" w:cs="宋体"/>
          <w:bCs/>
          <w:color w:val="auto"/>
          <w:kern w:val="0"/>
          <w:szCs w:val="21"/>
          <w:highlight w:val="none"/>
        </w:rPr>
      </w:pPr>
      <w:bookmarkStart w:id="25" w:name="_Toc71365908"/>
      <w:r>
        <w:rPr>
          <w:rFonts w:hint="eastAsia" w:ascii="宋体" w:hAnsi="宋体" w:cs="宋体"/>
          <w:bCs/>
          <w:color w:val="auto"/>
          <w:kern w:val="0"/>
          <w:szCs w:val="21"/>
          <w:highlight w:val="none"/>
        </w:rPr>
        <w:t>方式：网上下载。本项目不发放纸质文件，供应商应自行在</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宋体" w:hAnsi="宋体" w:cs="宋体"/>
          <w:bCs/>
          <w:color w:val="auto"/>
          <w:kern w:val="0"/>
          <w:szCs w:val="21"/>
          <w:highlight w:val="none"/>
        </w:rPr>
        <w:t>“广西政府采购云平台”（</w:t>
      </w:r>
      <w:r>
        <w:rPr>
          <w:rFonts w:ascii="宋体" w:hAnsi="宋体" w:cs="宋体"/>
          <w:bCs/>
          <w:color w:val="auto"/>
          <w:kern w:val="0"/>
          <w:szCs w:val="21"/>
          <w:highlight w:val="none"/>
        </w:rPr>
        <w:t>http://www</w:t>
      </w:r>
      <w:r>
        <w:rPr>
          <w:rFonts w:hint="eastAsia" w:ascii="宋体" w:hAnsi="宋体" w:cs="宋体"/>
          <w:bCs/>
          <w:color w:val="auto"/>
          <w:kern w:val="0"/>
          <w:szCs w:val="21"/>
          <w:highlight w:val="none"/>
          <w:lang w:eastAsia="zh-CN"/>
        </w:rPr>
        <w:t>.</w:t>
      </w:r>
      <w:r>
        <w:rPr>
          <w:rFonts w:ascii="宋体" w:hAnsi="宋体" w:cs="宋体"/>
          <w:bCs/>
          <w:color w:val="auto"/>
          <w:kern w:val="0"/>
          <w:szCs w:val="21"/>
          <w:highlight w:val="none"/>
        </w:rPr>
        <w:t>gcy</w:t>
      </w:r>
      <w:r>
        <w:rPr>
          <w:rFonts w:hint="eastAsia" w:ascii="宋体" w:hAnsi="宋体" w:cs="宋体"/>
          <w:bCs/>
          <w:color w:val="auto"/>
          <w:kern w:val="0"/>
          <w:szCs w:val="21"/>
          <w:highlight w:val="none"/>
          <w:lang w:eastAsia="zh-CN"/>
        </w:rPr>
        <w:t>.</w:t>
      </w:r>
      <w:r>
        <w:rPr>
          <w:rFonts w:ascii="宋体" w:hAnsi="宋体" w:cs="宋体"/>
          <w:bCs/>
          <w:color w:val="auto"/>
          <w:kern w:val="0"/>
          <w:szCs w:val="21"/>
          <w:highlight w:val="none"/>
        </w:rPr>
        <w:t>zfcg</w:t>
      </w:r>
      <w:r>
        <w:rPr>
          <w:rFonts w:hint="eastAsia" w:ascii="宋体" w:hAnsi="宋体" w:cs="宋体"/>
          <w:bCs/>
          <w:color w:val="auto"/>
          <w:kern w:val="0"/>
          <w:szCs w:val="21"/>
          <w:highlight w:val="none"/>
          <w:lang w:eastAsia="zh-CN"/>
        </w:rPr>
        <w:t>.</w:t>
      </w:r>
      <w:r>
        <w:rPr>
          <w:rFonts w:ascii="宋体" w:hAnsi="宋体" w:cs="宋体"/>
          <w:bCs/>
          <w:color w:val="auto"/>
          <w:kern w:val="0"/>
          <w:szCs w:val="21"/>
          <w:highlight w:val="none"/>
        </w:rPr>
        <w:t>gxzf</w:t>
      </w:r>
      <w:r>
        <w:rPr>
          <w:rFonts w:hint="eastAsia" w:ascii="宋体" w:hAnsi="宋体" w:cs="宋体"/>
          <w:bCs/>
          <w:color w:val="auto"/>
          <w:kern w:val="0"/>
          <w:szCs w:val="21"/>
          <w:highlight w:val="none"/>
          <w:lang w:eastAsia="zh-CN"/>
        </w:rPr>
        <w:t>.</w:t>
      </w:r>
      <w:r>
        <w:rPr>
          <w:rFonts w:ascii="宋体" w:hAnsi="宋体" w:cs="宋体"/>
          <w:bCs/>
          <w:color w:val="auto"/>
          <w:kern w:val="0"/>
          <w:szCs w:val="21"/>
          <w:highlight w:val="none"/>
        </w:rPr>
        <w:t>gov</w:t>
      </w:r>
      <w:r>
        <w:rPr>
          <w:rFonts w:hint="eastAsia" w:ascii="宋体" w:hAnsi="宋体" w:cs="宋体"/>
          <w:bCs/>
          <w:color w:val="auto"/>
          <w:kern w:val="0"/>
          <w:szCs w:val="21"/>
          <w:highlight w:val="none"/>
          <w:lang w:eastAsia="zh-CN"/>
        </w:rPr>
        <w:t>.</w:t>
      </w:r>
      <w:r>
        <w:rPr>
          <w:rFonts w:ascii="宋体" w:hAnsi="宋体" w:cs="宋体"/>
          <w:bCs/>
          <w:color w:val="auto"/>
          <w:kern w:val="0"/>
          <w:szCs w:val="21"/>
          <w:highlight w:val="none"/>
        </w:rPr>
        <w:t>cn</w:t>
      </w:r>
      <w:r>
        <w:rPr>
          <w:rFonts w:hint="eastAsia" w:ascii="宋体" w:hAnsi="宋体" w:cs="宋体"/>
          <w:bCs/>
          <w:color w:val="auto"/>
          <w:kern w:val="0"/>
          <w:szCs w:val="21"/>
          <w:highlight w:val="none"/>
        </w:rPr>
        <w:t>）下载竞争性磋商文件（操作路径：登录“广西政府采购云平台”-项目采购-获取采购文件-找到本项目-点击“申请获取采购文件”），电子响应文件制作需要基于“广西政府采购云平台”获取的竞争性磋商文件编制。</w:t>
      </w:r>
    </w:p>
    <w:p w14:paraId="5B9F1D80">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售价：0元。</w:t>
      </w:r>
    </w:p>
    <w:p w14:paraId="239B4C3D">
      <w:pPr>
        <w:pageBreakBefore w:val="0"/>
        <w:kinsoku/>
        <w:topLinePunct w:val="0"/>
        <w:bidi w:val="0"/>
        <w:spacing w:before="60" w:after="60" w:line="360" w:lineRule="auto"/>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四、响应文件提交</w:t>
      </w:r>
      <w:bookmarkEnd w:id="20"/>
      <w:bookmarkEnd w:id="21"/>
      <w:bookmarkEnd w:id="22"/>
      <w:bookmarkEnd w:id="23"/>
      <w:bookmarkEnd w:id="24"/>
      <w:bookmarkEnd w:id="25"/>
    </w:p>
    <w:p w14:paraId="16B4DF6E">
      <w:pPr>
        <w:pageBreakBefore w:val="0"/>
        <w:kinsoku/>
        <w:topLinePunct w:val="0"/>
        <w:bidi w:val="0"/>
        <w:spacing w:before="60" w:after="60" w:line="360" w:lineRule="auto"/>
        <w:ind w:firstLine="420" w:firstLineChars="200"/>
        <w:rPr>
          <w:rFonts w:ascii="宋体" w:hAnsi="宋体" w:cs="宋体"/>
          <w:color w:val="auto"/>
          <w:szCs w:val="21"/>
          <w:highlight w:val="none"/>
          <w:u w:val="single"/>
        </w:rPr>
      </w:pPr>
      <w:bookmarkStart w:id="26" w:name="_Toc28359016"/>
      <w:bookmarkStart w:id="27" w:name="_Toc35393633"/>
      <w:bookmarkStart w:id="28" w:name="_Toc28359093"/>
      <w:bookmarkStart w:id="29" w:name="_Toc44229882"/>
      <w:bookmarkStart w:id="30" w:name="_Toc35393802"/>
      <w:r>
        <w:rPr>
          <w:rFonts w:hint="eastAsia" w:ascii="宋体" w:hAnsi="宋体"/>
          <w:color w:val="auto"/>
          <w:szCs w:val="21"/>
          <w:highlight w:val="none"/>
        </w:rPr>
        <w:t>截止时间：</w:t>
      </w:r>
      <w:r>
        <w:rPr>
          <w:rFonts w:hint="eastAsia" w:ascii="宋体" w:hAnsi="宋体"/>
          <w:bCs/>
          <w:color w:val="auto"/>
          <w:szCs w:val="21"/>
          <w:highlight w:val="none"/>
          <w:u w:val="single"/>
          <w:lang w:eastAsia="zh-CN"/>
        </w:rPr>
        <w:t>202</w:t>
      </w:r>
      <w:r>
        <w:rPr>
          <w:rFonts w:hint="eastAsia" w:ascii="宋体" w:hAnsi="宋体"/>
          <w:bCs/>
          <w:color w:val="auto"/>
          <w:szCs w:val="21"/>
          <w:highlight w:val="none"/>
          <w:u w:val="single"/>
          <w:lang w:val="en-US" w:eastAsia="zh-CN"/>
        </w:rPr>
        <w:t>6</w:t>
      </w:r>
      <w:r>
        <w:rPr>
          <w:rFonts w:hint="eastAsia" w:ascii="宋体" w:hAnsi="宋体"/>
          <w:bCs/>
          <w:color w:val="auto"/>
          <w:szCs w:val="21"/>
          <w:highlight w:val="none"/>
          <w:u w:val="single"/>
          <w:lang w:eastAsia="zh-CN"/>
        </w:rPr>
        <w:t>年</w:t>
      </w:r>
      <w:r>
        <w:rPr>
          <w:rFonts w:hint="eastAsia" w:ascii="宋体" w:hAnsi="宋体"/>
          <w:bCs/>
          <w:color w:val="auto"/>
          <w:szCs w:val="21"/>
          <w:highlight w:val="none"/>
          <w:u w:val="single"/>
          <w:lang w:val="en-US" w:eastAsia="zh-CN"/>
        </w:rPr>
        <w:t>1月30日10</w:t>
      </w:r>
      <w:r>
        <w:rPr>
          <w:rFonts w:hint="eastAsia" w:ascii="宋体" w:hAnsi="宋体"/>
          <w:bCs/>
          <w:color w:val="auto"/>
          <w:szCs w:val="21"/>
          <w:highlight w:val="none"/>
          <w:u w:val="single"/>
          <w:lang w:eastAsia="zh-CN"/>
        </w:rPr>
        <w:t>时</w:t>
      </w:r>
      <w:r>
        <w:rPr>
          <w:rFonts w:hint="eastAsia" w:ascii="宋体" w:hAnsi="宋体"/>
          <w:bCs/>
          <w:color w:val="auto"/>
          <w:szCs w:val="21"/>
          <w:highlight w:val="none"/>
          <w:u w:val="single"/>
          <w:lang w:val="en-US" w:eastAsia="zh-CN"/>
        </w:rPr>
        <w:t>30</w:t>
      </w:r>
      <w:r>
        <w:rPr>
          <w:rFonts w:hint="eastAsia" w:ascii="宋体" w:hAnsi="宋体"/>
          <w:bCs/>
          <w:color w:val="auto"/>
          <w:szCs w:val="21"/>
          <w:highlight w:val="none"/>
          <w:u w:val="single"/>
          <w:lang w:eastAsia="zh-CN"/>
        </w:rPr>
        <w:t>分</w:t>
      </w:r>
      <w:r>
        <w:rPr>
          <w:rFonts w:hint="eastAsia" w:ascii="宋体" w:hAnsi="宋体"/>
          <w:bCs/>
          <w:color w:val="auto"/>
          <w:szCs w:val="21"/>
          <w:highlight w:val="none"/>
        </w:rPr>
        <w:t>（北京时间）</w:t>
      </w:r>
    </w:p>
    <w:p w14:paraId="529A550E">
      <w:pPr>
        <w:pageBreakBefore w:val="0"/>
        <w:kinsoku/>
        <w:topLinePunct w:val="0"/>
        <w:bidi w:val="0"/>
        <w:spacing w:before="60" w:after="60" w:line="360" w:lineRule="auto"/>
        <w:ind w:firstLine="420" w:firstLineChars="200"/>
        <w:rPr>
          <w:rFonts w:ascii="宋体" w:hAnsi="宋体"/>
          <w:color w:val="auto"/>
          <w:szCs w:val="21"/>
          <w:highlight w:val="none"/>
        </w:rPr>
      </w:pPr>
      <w:r>
        <w:rPr>
          <w:rFonts w:hint="eastAsia" w:ascii="宋体" w:hAnsi="宋体"/>
          <w:color w:val="auto"/>
          <w:szCs w:val="21"/>
          <w:highlight w:val="none"/>
        </w:rPr>
        <w:t>地点：</w:t>
      </w:r>
      <w:r>
        <w:rPr>
          <w:rFonts w:hint="eastAsia" w:ascii="宋体" w:hAnsi="宋体" w:cs="宋体"/>
          <w:color w:val="auto"/>
          <w:szCs w:val="21"/>
          <w:highlight w:val="none"/>
        </w:rPr>
        <w:t>通过“广西政府采购云平台”在线提交。</w:t>
      </w:r>
    </w:p>
    <w:p w14:paraId="3B56FE92">
      <w:pPr>
        <w:pageBreakBefore w:val="0"/>
        <w:kinsoku/>
        <w:topLinePunct w:val="0"/>
        <w:bidi w:val="0"/>
        <w:spacing w:before="60" w:after="60" w:line="360" w:lineRule="auto"/>
        <w:ind w:firstLine="354" w:firstLineChars="147"/>
        <w:rPr>
          <w:rFonts w:ascii="黑体" w:hAnsi="黑体" w:eastAsia="黑体"/>
          <w:b/>
          <w:color w:val="auto"/>
          <w:sz w:val="24"/>
          <w:highlight w:val="none"/>
        </w:rPr>
      </w:pPr>
      <w:bookmarkStart w:id="31" w:name="_Toc71365909"/>
      <w:r>
        <w:rPr>
          <w:rFonts w:hint="eastAsia" w:ascii="黑体" w:hAnsi="黑体" w:eastAsia="黑体"/>
          <w:b/>
          <w:color w:val="auto"/>
          <w:sz w:val="24"/>
          <w:highlight w:val="none"/>
        </w:rPr>
        <w:t>五、开启</w:t>
      </w:r>
      <w:bookmarkEnd w:id="26"/>
      <w:bookmarkEnd w:id="27"/>
      <w:bookmarkEnd w:id="28"/>
      <w:bookmarkEnd w:id="29"/>
      <w:bookmarkEnd w:id="30"/>
      <w:bookmarkEnd w:id="31"/>
    </w:p>
    <w:p w14:paraId="4890737C">
      <w:pPr>
        <w:pageBreakBefore w:val="0"/>
        <w:kinsoku/>
        <w:topLinePunct w:val="0"/>
        <w:bidi w:val="0"/>
        <w:spacing w:before="60" w:after="60"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1</w:t>
      </w:r>
      <w:r>
        <w:rPr>
          <w:rFonts w:hint="eastAsia" w:ascii="宋体" w:hAnsi="宋体"/>
          <w:color w:val="auto"/>
          <w:szCs w:val="21"/>
          <w:highlight w:val="none"/>
          <w:lang w:eastAsia="zh-CN"/>
        </w:rPr>
        <w:t>.</w:t>
      </w:r>
      <w:r>
        <w:rPr>
          <w:rFonts w:hint="eastAsia" w:ascii="宋体" w:hAnsi="宋体"/>
          <w:color w:val="auto"/>
          <w:szCs w:val="21"/>
          <w:highlight w:val="none"/>
        </w:rPr>
        <w:t>时间：</w:t>
      </w:r>
      <w:r>
        <w:rPr>
          <w:rFonts w:hint="eastAsia" w:ascii="宋体" w:hAnsi="宋体"/>
          <w:bCs/>
          <w:color w:val="auto"/>
          <w:szCs w:val="21"/>
          <w:highlight w:val="none"/>
          <w:u w:val="single"/>
          <w:lang w:eastAsia="zh-CN"/>
        </w:rPr>
        <w:t>202</w:t>
      </w:r>
      <w:r>
        <w:rPr>
          <w:rFonts w:hint="eastAsia" w:ascii="宋体" w:hAnsi="宋体"/>
          <w:bCs/>
          <w:color w:val="auto"/>
          <w:szCs w:val="21"/>
          <w:highlight w:val="none"/>
          <w:u w:val="single"/>
          <w:lang w:val="en-US" w:eastAsia="zh-CN"/>
        </w:rPr>
        <w:t>6</w:t>
      </w:r>
      <w:r>
        <w:rPr>
          <w:rFonts w:hint="eastAsia" w:ascii="宋体" w:hAnsi="宋体"/>
          <w:bCs/>
          <w:color w:val="auto"/>
          <w:szCs w:val="21"/>
          <w:highlight w:val="none"/>
          <w:u w:val="single"/>
          <w:lang w:eastAsia="zh-CN"/>
        </w:rPr>
        <w:t>年</w:t>
      </w:r>
      <w:r>
        <w:rPr>
          <w:rFonts w:hint="eastAsia" w:ascii="宋体" w:hAnsi="宋体"/>
          <w:bCs/>
          <w:color w:val="auto"/>
          <w:szCs w:val="21"/>
          <w:highlight w:val="none"/>
          <w:u w:val="single"/>
          <w:lang w:val="en-US" w:eastAsia="zh-CN"/>
        </w:rPr>
        <w:t>1月 30日10</w:t>
      </w:r>
      <w:r>
        <w:rPr>
          <w:rFonts w:hint="eastAsia" w:ascii="宋体" w:hAnsi="宋体"/>
          <w:bCs/>
          <w:color w:val="auto"/>
          <w:szCs w:val="21"/>
          <w:highlight w:val="none"/>
          <w:u w:val="single"/>
          <w:lang w:eastAsia="zh-CN"/>
        </w:rPr>
        <w:t>时</w:t>
      </w:r>
      <w:r>
        <w:rPr>
          <w:rFonts w:hint="eastAsia" w:ascii="宋体" w:hAnsi="宋体"/>
          <w:bCs/>
          <w:color w:val="auto"/>
          <w:szCs w:val="21"/>
          <w:highlight w:val="none"/>
          <w:u w:val="single"/>
          <w:lang w:val="en-US" w:eastAsia="zh-CN"/>
        </w:rPr>
        <w:t>30</w:t>
      </w:r>
      <w:r>
        <w:rPr>
          <w:rFonts w:hint="eastAsia" w:ascii="宋体" w:hAnsi="宋体"/>
          <w:bCs/>
          <w:color w:val="auto"/>
          <w:szCs w:val="21"/>
          <w:highlight w:val="none"/>
          <w:u w:val="single"/>
          <w:lang w:eastAsia="zh-CN"/>
        </w:rPr>
        <w:t>分</w:t>
      </w:r>
      <w:r>
        <w:rPr>
          <w:rFonts w:hint="eastAsia" w:ascii="宋体" w:hAnsi="宋体"/>
          <w:bCs/>
          <w:color w:val="auto"/>
          <w:szCs w:val="21"/>
          <w:highlight w:val="none"/>
        </w:rPr>
        <w:t>（北京时间）</w:t>
      </w:r>
    </w:p>
    <w:p w14:paraId="2E686A35">
      <w:pPr>
        <w:pageBreakBefore w:val="0"/>
        <w:kinsoku/>
        <w:topLinePunct w:val="0"/>
        <w:bidi w:val="0"/>
        <w:spacing w:before="60" w:after="60"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2</w:t>
      </w:r>
      <w:r>
        <w:rPr>
          <w:rFonts w:hint="eastAsia" w:ascii="宋体" w:hAnsi="宋体"/>
          <w:color w:val="auto"/>
          <w:szCs w:val="21"/>
          <w:highlight w:val="none"/>
          <w:lang w:eastAsia="zh-CN"/>
        </w:rPr>
        <w:t>.</w:t>
      </w:r>
      <w:r>
        <w:rPr>
          <w:rFonts w:hint="eastAsia" w:ascii="宋体" w:hAnsi="宋体"/>
          <w:color w:val="auto"/>
          <w:szCs w:val="21"/>
          <w:highlight w:val="none"/>
        </w:rPr>
        <w:t>地点：</w:t>
      </w:r>
      <w:r>
        <w:rPr>
          <w:rFonts w:hint="eastAsia" w:ascii="宋体" w:hAnsi="宋体" w:cs="宋体"/>
          <w:color w:val="auto"/>
          <w:szCs w:val="21"/>
          <w:highlight w:val="none"/>
        </w:rPr>
        <w:t>本项目将在“广西政府采购云平台”电子开标大厅解密、开启</w:t>
      </w:r>
    </w:p>
    <w:p w14:paraId="7B4A2D4C">
      <w:pPr>
        <w:pageBreakBefore w:val="0"/>
        <w:kinsoku/>
        <w:topLinePunct w:val="0"/>
        <w:bidi w:val="0"/>
        <w:spacing w:before="60" w:after="60" w:line="360" w:lineRule="auto"/>
        <w:ind w:firstLine="354" w:firstLineChars="147"/>
        <w:rPr>
          <w:rFonts w:ascii="黑体" w:hAnsi="黑体" w:eastAsia="黑体"/>
          <w:b/>
          <w:color w:val="auto"/>
          <w:sz w:val="24"/>
          <w:highlight w:val="none"/>
        </w:rPr>
      </w:pPr>
      <w:bookmarkStart w:id="32" w:name="_Toc44229883"/>
      <w:bookmarkStart w:id="33" w:name="_Toc35393634"/>
      <w:bookmarkStart w:id="34" w:name="_Toc35393803"/>
      <w:bookmarkStart w:id="35" w:name="_Toc71365910"/>
      <w:bookmarkStart w:id="36" w:name="_Toc28359017"/>
      <w:bookmarkStart w:id="37" w:name="_Toc28359094"/>
      <w:r>
        <w:rPr>
          <w:rFonts w:hint="eastAsia" w:ascii="黑体" w:hAnsi="黑体" w:eastAsia="黑体"/>
          <w:b/>
          <w:color w:val="auto"/>
          <w:sz w:val="24"/>
          <w:highlight w:val="none"/>
        </w:rPr>
        <w:t>六、公告期限</w:t>
      </w:r>
      <w:bookmarkEnd w:id="32"/>
      <w:bookmarkEnd w:id="33"/>
      <w:bookmarkEnd w:id="34"/>
      <w:bookmarkEnd w:id="35"/>
      <w:bookmarkEnd w:id="36"/>
      <w:bookmarkEnd w:id="37"/>
    </w:p>
    <w:p w14:paraId="7B660A1B">
      <w:pPr>
        <w:pageBreakBefore w:val="0"/>
        <w:kinsoku/>
        <w:topLinePunct w:val="0"/>
        <w:bidi w:val="0"/>
        <w:spacing w:before="60" w:after="60"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个工作日。</w:t>
      </w:r>
    </w:p>
    <w:p w14:paraId="017F7135">
      <w:pPr>
        <w:pageBreakBefore w:val="0"/>
        <w:kinsoku/>
        <w:topLinePunct w:val="0"/>
        <w:bidi w:val="0"/>
        <w:spacing w:before="60" w:after="60" w:line="360" w:lineRule="auto"/>
        <w:ind w:firstLine="354" w:firstLineChars="147"/>
        <w:rPr>
          <w:rFonts w:ascii="黑体" w:hAnsi="黑体" w:eastAsia="黑体"/>
          <w:b/>
          <w:color w:val="auto"/>
          <w:sz w:val="24"/>
          <w:highlight w:val="none"/>
        </w:rPr>
      </w:pPr>
      <w:bookmarkStart w:id="38" w:name="_Toc35393804"/>
      <w:bookmarkStart w:id="39" w:name="_Toc44229884"/>
      <w:bookmarkStart w:id="40" w:name="_Toc35393635"/>
      <w:bookmarkStart w:id="41" w:name="_Toc71365911"/>
      <w:r>
        <w:rPr>
          <w:rFonts w:hint="eastAsia" w:ascii="黑体" w:hAnsi="黑体" w:eastAsia="黑体"/>
          <w:b/>
          <w:color w:val="auto"/>
          <w:sz w:val="24"/>
          <w:highlight w:val="none"/>
        </w:rPr>
        <w:t>七、其他补充事宜</w:t>
      </w:r>
      <w:bookmarkEnd w:id="38"/>
      <w:bookmarkEnd w:id="39"/>
      <w:bookmarkEnd w:id="40"/>
      <w:bookmarkEnd w:id="41"/>
    </w:p>
    <w:p w14:paraId="66C12B6D">
      <w:pPr>
        <w:pageBreakBefore w:val="0"/>
        <w:kinsoku/>
        <w:topLinePunct w:val="0"/>
        <w:bidi w:val="0"/>
        <w:spacing w:before="60" w:after="60"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网上查询地址</w:t>
      </w:r>
    </w:p>
    <w:p w14:paraId="59F60DFC">
      <w:pPr>
        <w:pageBreakBefore w:val="0"/>
        <w:kinsoku/>
        <w:topLinePunct w:val="0"/>
        <w:bidi w:val="0"/>
        <w:spacing w:before="60" w:after="60"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www</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ccgp</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gov</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cn（中国政府采购网）、https://zfcg.gxzf.gov.cn/site/home（广西壮族自治区政府采购网）、</w:t>
      </w:r>
      <w:r>
        <w:rPr>
          <w:rFonts w:hint="eastAsia" w:ascii="宋体" w:hAnsi="宋体" w:cs="宋体"/>
          <w:color w:val="auto"/>
          <w:kern w:val="0"/>
          <w:szCs w:val="21"/>
          <w:highlight w:val="none"/>
          <w:lang w:eastAsia="zh-CN"/>
        </w:rPr>
        <w:t>http://ggzy.jgswj.gxzf.gov.cn/qzggzy/</w:t>
      </w:r>
      <w:r>
        <w:rPr>
          <w:rFonts w:hint="eastAsia" w:ascii="宋体" w:hAnsi="宋体" w:cs="宋体"/>
          <w:color w:val="auto"/>
          <w:spacing w:val="0"/>
          <w:position w:val="0"/>
          <w:szCs w:val="21"/>
          <w:highlight w:val="none"/>
          <w:lang w:bidi="ar"/>
        </w:rPr>
        <w:t>[全国公共资源交易平台（广西.浦北）]</w:t>
      </w:r>
    </w:p>
    <w:p w14:paraId="6416F10D">
      <w:pPr>
        <w:pageBreakBefore w:val="0"/>
        <w:kinsoku/>
        <w:topLinePunct w:val="0"/>
        <w:bidi w:val="0"/>
        <w:spacing w:before="60" w:after="60" w:line="360" w:lineRule="auto"/>
        <w:ind w:firstLine="424" w:firstLineChars="202"/>
        <w:rPr>
          <w:rFonts w:ascii="宋体" w:hAnsi="宋体" w:cs="宋体"/>
          <w:color w:val="auto"/>
          <w:kern w:val="0"/>
          <w:szCs w:val="21"/>
          <w:highlight w:val="none"/>
        </w:rPr>
      </w:pPr>
      <w:bookmarkStart w:id="42" w:name="_Hlk37429674"/>
      <w:bookmarkStart w:id="43" w:name="_Toc35393805"/>
      <w:bookmarkStart w:id="44" w:name="_Toc35393636"/>
      <w:bookmarkStart w:id="45" w:name="_Toc28359018"/>
      <w:bookmarkStart w:id="46" w:name="_Toc28359095"/>
      <w:bookmarkStart w:id="47" w:name="_Toc44229885"/>
      <w:r>
        <w:rPr>
          <w:rFonts w:hint="eastAsia" w:ascii="宋体" w:hAnsi="宋体"/>
          <w:color w:val="auto"/>
          <w:szCs w:val="21"/>
          <w:highlight w:val="none"/>
        </w:rPr>
        <w:t>2</w:t>
      </w:r>
      <w:r>
        <w:rPr>
          <w:rFonts w:hint="eastAsia" w:ascii="宋体" w:hAnsi="宋体"/>
          <w:color w:val="auto"/>
          <w:szCs w:val="21"/>
          <w:highlight w:val="none"/>
          <w:lang w:eastAsia="zh-CN"/>
        </w:rPr>
        <w:t>.</w:t>
      </w:r>
      <w:r>
        <w:rPr>
          <w:rFonts w:hint="eastAsia" w:ascii="宋体" w:hAnsi="宋体" w:cs="宋体"/>
          <w:color w:val="auto"/>
          <w:kern w:val="0"/>
          <w:szCs w:val="21"/>
          <w:highlight w:val="none"/>
        </w:rPr>
        <w:t>本项目需要落实的政府采购政策</w:t>
      </w:r>
    </w:p>
    <w:p w14:paraId="13902AA5">
      <w:pPr>
        <w:pageBreakBefore w:val="0"/>
        <w:kinsoku/>
        <w:topLinePunct w:val="0"/>
        <w:bidi w:val="0"/>
        <w:spacing w:before="60" w:after="60" w:line="360" w:lineRule="auto"/>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（1）政府采购促进中小企业发展。</w:t>
      </w:r>
    </w:p>
    <w:p w14:paraId="540D77E7">
      <w:pPr>
        <w:pageBreakBefore w:val="0"/>
        <w:kinsoku/>
        <w:topLinePunct w:val="0"/>
        <w:bidi w:val="0"/>
        <w:spacing w:before="60" w:after="60" w:line="360" w:lineRule="auto"/>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（2）政府采购支持采用本国产品的政策。</w:t>
      </w:r>
    </w:p>
    <w:p w14:paraId="1F896929">
      <w:pPr>
        <w:pageBreakBefore w:val="0"/>
        <w:kinsoku/>
        <w:topLinePunct w:val="0"/>
        <w:bidi w:val="0"/>
        <w:spacing w:before="60" w:after="60" w:line="360" w:lineRule="auto"/>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（3）强制采购节能产品；优先采购节能产品、环境标志产品。</w:t>
      </w:r>
    </w:p>
    <w:p w14:paraId="649057EB">
      <w:pPr>
        <w:pageBreakBefore w:val="0"/>
        <w:kinsoku/>
        <w:topLinePunct w:val="0"/>
        <w:bidi w:val="0"/>
        <w:spacing w:before="60" w:after="60" w:line="360" w:lineRule="auto"/>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（4）政府采购促进残疾人就业政策。</w:t>
      </w:r>
    </w:p>
    <w:p w14:paraId="0CC5E6CA">
      <w:pPr>
        <w:pageBreakBefore w:val="0"/>
        <w:kinsoku/>
        <w:topLinePunct w:val="0"/>
        <w:bidi w:val="0"/>
        <w:spacing w:before="60" w:after="60" w:line="360" w:lineRule="auto"/>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（5）政府采购支持监狱企业发展。</w:t>
      </w:r>
    </w:p>
    <w:bookmarkEnd w:id="42"/>
    <w:p w14:paraId="6696A07D">
      <w:pPr>
        <w:pageBreakBefore w:val="0"/>
        <w:widowControl/>
        <w:kinsoku/>
        <w:topLinePunct w:val="0"/>
        <w:bidi w:val="0"/>
        <w:spacing w:before="60" w:after="60" w:line="360" w:lineRule="auto"/>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供应商</w:t>
      </w:r>
      <w:r>
        <w:rPr>
          <w:rFonts w:hint="eastAsia" w:ascii="宋体" w:hAnsi="宋体"/>
          <w:color w:val="auto"/>
          <w:szCs w:val="21"/>
          <w:highlight w:val="none"/>
        </w:rPr>
        <w:t>竞标注意事项</w:t>
      </w:r>
    </w:p>
    <w:p w14:paraId="2A518BD1">
      <w:pPr>
        <w:pageBreakBefore w:val="0"/>
        <w:widowControl/>
        <w:kinsoku/>
        <w:topLinePunct w:val="0"/>
        <w:bidi w:val="0"/>
        <w:spacing w:before="60" w:after="6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（1）本项目为全流程电子化采购项目，通过“广西政府采购云平台”（</w:t>
      </w:r>
      <w:r>
        <w:rPr>
          <w:rFonts w:ascii="宋体" w:hAnsi="宋体"/>
          <w:color w:val="auto"/>
          <w:szCs w:val="21"/>
          <w:highlight w:val="none"/>
        </w:rPr>
        <w:t>http://www</w:t>
      </w:r>
      <w:r>
        <w:rPr>
          <w:rFonts w:hint="eastAsia" w:ascii="宋体" w:hAnsi="宋体"/>
          <w:color w:val="auto"/>
          <w:szCs w:val="21"/>
          <w:highlight w:val="none"/>
          <w:lang w:eastAsia="zh-CN"/>
        </w:rPr>
        <w:t>.</w:t>
      </w:r>
      <w:r>
        <w:rPr>
          <w:rFonts w:ascii="宋体" w:hAnsi="宋体"/>
          <w:color w:val="auto"/>
          <w:szCs w:val="21"/>
          <w:highlight w:val="none"/>
        </w:rPr>
        <w:t>gcy</w:t>
      </w:r>
      <w:r>
        <w:rPr>
          <w:rFonts w:hint="eastAsia" w:ascii="宋体" w:hAnsi="宋体"/>
          <w:color w:val="auto"/>
          <w:szCs w:val="21"/>
          <w:highlight w:val="none"/>
          <w:lang w:eastAsia="zh-CN"/>
        </w:rPr>
        <w:t>.</w:t>
      </w:r>
      <w:r>
        <w:rPr>
          <w:rFonts w:ascii="宋体" w:hAnsi="宋体"/>
          <w:color w:val="auto"/>
          <w:szCs w:val="21"/>
          <w:highlight w:val="none"/>
        </w:rPr>
        <w:t>zfcg</w:t>
      </w:r>
      <w:r>
        <w:rPr>
          <w:rFonts w:hint="eastAsia" w:ascii="宋体" w:hAnsi="宋体"/>
          <w:color w:val="auto"/>
          <w:szCs w:val="21"/>
          <w:highlight w:val="none"/>
          <w:lang w:eastAsia="zh-CN"/>
        </w:rPr>
        <w:t>.</w:t>
      </w:r>
      <w:r>
        <w:rPr>
          <w:rFonts w:ascii="宋体" w:hAnsi="宋体"/>
          <w:color w:val="auto"/>
          <w:szCs w:val="21"/>
          <w:highlight w:val="none"/>
        </w:rPr>
        <w:t>gxzf</w:t>
      </w:r>
      <w:r>
        <w:rPr>
          <w:rFonts w:hint="eastAsia" w:ascii="宋体" w:hAnsi="宋体"/>
          <w:color w:val="auto"/>
          <w:szCs w:val="21"/>
          <w:highlight w:val="none"/>
          <w:lang w:eastAsia="zh-CN"/>
        </w:rPr>
        <w:t>.</w:t>
      </w:r>
      <w:r>
        <w:rPr>
          <w:rFonts w:ascii="宋体" w:hAnsi="宋体"/>
          <w:color w:val="auto"/>
          <w:szCs w:val="21"/>
          <w:highlight w:val="none"/>
        </w:rPr>
        <w:t>gov</w:t>
      </w:r>
      <w:r>
        <w:rPr>
          <w:rFonts w:hint="eastAsia" w:ascii="宋体" w:hAnsi="宋体"/>
          <w:color w:val="auto"/>
          <w:szCs w:val="21"/>
          <w:highlight w:val="none"/>
          <w:lang w:eastAsia="zh-CN"/>
        </w:rPr>
        <w:t>.</w:t>
      </w:r>
      <w:r>
        <w:rPr>
          <w:rFonts w:ascii="宋体" w:hAnsi="宋体"/>
          <w:color w:val="auto"/>
          <w:szCs w:val="21"/>
          <w:highlight w:val="none"/>
        </w:rPr>
        <w:t>cn</w:t>
      </w:r>
      <w:r>
        <w:rPr>
          <w:rFonts w:hint="eastAsia" w:ascii="宋体" w:hAnsi="宋体"/>
          <w:color w:val="auto"/>
          <w:szCs w:val="21"/>
          <w:highlight w:val="none"/>
        </w:rPr>
        <w:t>）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 “广西政府采购云平台”（加密的电子响应文件是指</w:t>
      </w:r>
      <w:r>
        <w:rPr>
          <w:rFonts w:hint="eastAsia"/>
          <w:color w:val="auto"/>
          <w:highlight w:val="none"/>
        </w:rPr>
        <w:t>后缀名为“jm</w:t>
      </w:r>
      <w:r>
        <w:rPr>
          <w:color w:val="auto"/>
          <w:highlight w:val="none"/>
        </w:rPr>
        <w:t>bs</w:t>
      </w:r>
      <w:r>
        <w:rPr>
          <w:rFonts w:hint="eastAsia"/>
          <w:color w:val="auto"/>
          <w:highlight w:val="none"/>
        </w:rPr>
        <w:t>”的文件</w:t>
      </w:r>
      <w:r>
        <w:rPr>
          <w:rFonts w:hint="eastAsia" w:ascii="宋体" w:hAnsi="宋体"/>
          <w:color w:val="auto"/>
          <w:szCs w:val="21"/>
          <w:highlight w:val="none"/>
        </w:rPr>
        <w:t>），</w:t>
      </w:r>
      <w:r>
        <w:rPr>
          <w:rFonts w:hint="eastAsia" w:ascii="宋体" w:hAnsi="宋体"/>
          <w:b/>
          <w:color w:val="auto"/>
          <w:szCs w:val="21"/>
          <w:highlight w:val="none"/>
        </w:rPr>
        <w:t>供应商在“广西政府采购云平台”提交电子响应文件时，请填写参加远程采购活动经办人联系方式。</w:t>
      </w:r>
      <w:r>
        <w:rPr>
          <w:rFonts w:hint="eastAsia" w:ascii="宋体" w:hAnsi="宋体"/>
          <w:color w:val="auto"/>
          <w:szCs w:val="21"/>
          <w:highlight w:val="none"/>
        </w:rPr>
        <w:t>供应商登录“广西政府采购云平台”，依次进入“服务中心-项目采购-操作流程-电子招投标-</w:t>
      </w:r>
      <w:r>
        <w:rPr>
          <w:rFonts w:hint="eastAsia"/>
          <w:color w:val="auto"/>
          <w:highlight w:val="none"/>
        </w:rPr>
        <w:t>政府采购项目电子交易管理操作指</w:t>
      </w:r>
      <w:r>
        <w:rPr>
          <w:rFonts w:hint="eastAsia" w:ascii="宋体" w:hAnsi="宋体"/>
          <w:color w:val="auto"/>
          <w:szCs w:val="21"/>
          <w:highlight w:val="none"/>
        </w:rPr>
        <w:t>南</w:t>
      </w:r>
      <w:r>
        <w:rPr>
          <w:rFonts w:ascii="宋体" w:hAnsi="宋体"/>
          <w:color w:val="auto"/>
          <w:szCs w:val="21"/>
          <w:highlight w:val="none"/>
        </w:rPr>
        <w:t>-</w:t>
      </w:r>
      <w:r>
        <w:rPr>
          <w:rFonts w:hint="eastAsia" w:ascii="宋体" w:hAnsi="宋体"/>
          <w:color w:val="auto"/>
          <w:szCs w:val="21"/>
          <w:highlight w:val="none"/>
        </w:rPr>
        <w:t>供应商”查看电子竞标具体操作流程。</w:t>
      </w:r>
    </w:p>
    <w:p w14:paraId="28E9B5E8">
      <w:pPr>
        <w:pageBreakBefore w:val="0"/>
        <w:widowControl/>
        <w:kinsoku/>
        <w:topLinePunct w:val="0"/>
        <w:bidi w:val="0"/>
        <w:spacing w:before="60" w:after="6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w:t>
      </w:r>
      <w:r>
        <w:rPr>
          <w:rFonts w:hint="eastAsia" w:ascii="宋体" w:hAnsi="宋体"/>
          <w:color w:val="auto"/>
          <w:szCs w:val="21"/>
          <w:highlight w:val="none"/>
          <w:lang w:eastAsia="zh-CN"/>
        </w:rPr>
        <w:t>登录</w:t>
      </w:r>
      <w:r>
        <w:rPr>
          <w:rFonts w:hint="eastAsia" w:ascii="宋体" w:hAnsi="宋体"/>
          <w:color w:val="auto"/>
          <w:szCs w:val="21"/>
          <w:highlight w:val="none"/>
        </w:rPr>
        <w:t>“广西政府采购云平台”，依次进入“服务中心-入驻与配置”中查看CA数字证书办理操作流程。如在操作过程中遇到问题或者需要技术支持，请致电广西政府采购云平台客服热线：</w:t>
      </w:r>
      <w:r>
        <w:rPr>
          <w:rFonts w:ascii="宋体" w:hAnsi="宋体"/>
          <w:color w:val="auto"/>
          <w:szCs w:val="21"/>
          <w:highlight w:val="none"/>
        </w:rPr>
        <w:t>95763</w:t>
      </w:r>
      <w:r>
        <w:rPr>
          <w:rFonts w:hint="eastAsia" w:ascii="宋体" w:hAnsi="宋体"/>
          <w:color w:val="auto"/>
          <w:szCs w:val="21"/>
          <w:highlight w:val="none"/>
        </w:rPr>
        <w:t>）。</w:t>
      </w:r>
    </w:p>
    <w:p w14:paraId="7C6A8158">
      <w:pPr>
        <w:pageBreakBefore w:val="0"/>
        <w:widowControl/>
        <w:kinsoku/>
        <w:topLinePunct w:val="0"/>
        <w:bidi w:val="0"/>
        <w:spacing w:before="60" w:after="60" w:line="360" w:lineRule="auto"/>
        <w:ind w:firstLine="420" w:firstLineChars="200"/>
        <w:jc w:val="left"/>
        <w:rPr>
          <w:rFonts w:ascii="宋体" w:hAnsi="宋体" w:cs="宋体"/>
          <w:color w:val="auto"/>
          <w:kern w:val="0"/>
          <w:szCs w:val="21"/>
          <w:highlight w:val="none"/>
        </w:rPr>
      </w:pPr>
      <w:r>
        <w:rPr>
          <w:rFonts w:hint="eastAsia" w:ascii="宋体" w:hAnsi="宋体"/>
          <w:color w:val="auto"/>
          <w:szCs w:val="21"/>
          <w:highlight w:val="none"/>
        </w:rPr>
        <w:t>（3）CA证书在线解密：首次响应文件开启时，需携带制作响应文件时用来加密的有效数字证书（CA认证）登录“广西政府采购云平台”</w:t>
      </w:r>
      <w:r>
        <w:rPr>
          <w:rFonts w:hint="eastAsia" w:ascii="宋体" w:hAnsi="宋体" w:cs="宋体"/>
          <w:color w:val="auto"/>
          <w:kern w:val="0"/>
          <w:szCs w:val="21"/>
          <w:highlight w:val="none"/>
        </w:rPr>
        <w:t>电子开标大厅现场按规定时间对加密的响应文件进行解密，否则后果自负。</w:t>
      </w:r>
    </w:p>
    <w:p w14:paraId="611824B4">
      <w:pPr>
        <w:pageBreakBefore w:val="0"/>
        <w:widowControl/>
        <w:kinsoku/>
        <w:topLinePunct w:val="0"/>
        <w:bidi w:val="0"/>
        <w:spacing w:before="60" w:after="60" w:line="360" w:lineRule="auto"/>
        <w:ind w:firstLine="420" w:firstLineChars="200"/>
        <w:jc w:val="left"/>
        <w:rPr>
          <w:rFonts w:ascii="宋体" w:hAnsi="宋体"/>
          <w:bCs/>
          <w:color w:val="auto"/>
          <w:szCs w:val="21"/>
          <w:highlight w:val="none"/>
        </w:rPr>
      </w:pPr>
      <w:r>
        <w:rPr>
          <w:rFonts w:hint="eastAsia" w:ascii="宋体" w:hAnsi="宋体"/>
          <w:color w:val="auto"/>
          <w:szCs w:val="21"/>
          <w:highlight w:val="none"/>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75E40BAE">
      <w:pPr>
        <w:pageBreakBefore w:val="0"/>
        <w:kinsoku/>
        <w:topLinePunct w:val="0"/>
        <w:bidi w:val="0"/>
        <w:spacing w:before="60" w:after="60"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（4）供应商需要在具备有摄像头及语音功能且互联网网络状况良好的电脑登录“广西政府采购云平台”远程开标大厅参与本次磋商，否则后果自负。</w:t>
      </w:r>
    </w:p>
    <w:p w14:paraId="3470BF54">
      <w:pPr>
        <w:pageBreakBefore w:val="0"/>
        <w:kinsoku/>
        <w:topLinePunct w:val="0"/>
        <w:bidi w:val="0"/>
        <w:spacing w:before="60" w:after="60" w:line="360" w:lineRule="auto"/>
        <w:ind w:firstLine="482" w:firstLineChars="200"/>
        <w:rPr>
          <w:rFonts w:ascii="黑体" w:hAnsi="黑体" w:eastAsia="黑体"/>
          <w:b/>
          <w:color w:val="auto"/>
          <w:sz w:val="24"/>
          <w:highlight w:val="none"/>
        </w:rPr>
      </w:pPr>
      <w:r>
        <w:rPr>
          <w:rFonts w:hint="eastAsia" w:ascii="黑体" w:hAnsi="黑体" w:eastAsia="黑体"/>
          <w:b/>
          <w:color w:val="auto"/>
          <w:sz w:val="24"/>
          <w:highlight w:val="none"/>
        </w:rPr>
        <w:t>八、凡对本次采购提出询问，请按</w:t>
      </w:r>
      <w:r>
        <w:rPr>
          <w:rFonts w:ascii="黑体" w:hAnsi="黑体" w:eastAsia="黑体"/>
          <w:b/>
          <w:color w:val="auto"/>
          <w:sz w:val="24"/>
          <w:highlight w:val="none"/>
        </w:rPr>
        <w:t>以下方式</w:t>
      </w:r>
      <w:r>
        <w:rPr>
          <w:rFonts w:hint="eastAsia" w:ascii="黑体" w:hAnsi="黑体" w:eastAsia="黑体"/>
          <w:b/>
          <w:color w:val="auto"/>
          <w:sz w:val="24"/>
          <w:highlight w:val="none"/>
        </w:rPr>
        <w:t>联系。</w:t>
      </w:r>
      <w:bookmarkEnd w:id="43"/>
      <w:bookmarkEnd w:id="44"/>
      <w:bookmarkEnd w:id="45"/>
      <w:bookmarkEnd w:id="46"/>
      <w:bookmarkEnd w:id="47"/>
    </w:p>
    <w:p w14:paraId="68F395CC">
      <w:pPr>
        <w:pageBreakBefore w:val="0"/>
        <w:kinsoku/>
        <w:topLinePunct w:val="0"/>
        <w:bidi w:val="0"/>
        <w:spacing w:before="60" w:after="60" w:line="360" w:lineRule="auto"/>
        <w:ind w:firstLine="420" w:firstLineChars="200"/>
        <w:rPr>
          <w:rFonts w:ascii="宋体" w:hAnsi="宋体" w:cs="宋体"/>
          <w:color w:val="auto"/>
          <w:kern w:val="0"/>
          <w:szCs w:val="21"/>
          <w:highlight w:val="none"/>
        </w:rPr>
      </w:pPr>
      <w:bookmarkStart w:id="48" w:name="_Toc28359096"/>
      <w:bookmarkStart w:id="49" w:name="_Toc35393806"/>
      <w:bookmarkStart w:id="50" w:name="_Toc35393637"/>
      <w:bookmarkStart w:id="51" w:name="_Toc28359019"/>
      <w:r>
        <w:rPr>
          <w:rFonts w:hint="eastAsia" w:ascii="宋体" w:hAnsi="宋体" w:cs="宋体"/>
          <w:color w:val="auto"/>
          <w:kern w:val="0"/>
          <w:szCs w:val="21"/>
          <w:highlight w:val="none"/>
        </w:rPr>
        <w:t>1</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采购人信息</w:t>
      </w:r>
      <w:bookmarkEnd w:id="48"/>
      <w:bookmarkEnd w:id="49"/>
      <w:bookmarkEnd w:id="50"/>
      <w:bookmarkEnd w:id="51"/>
    </w:p>
    <w:p w14:paraId="3D776887">
      <w:pPr>
        <w:pageBreakBefore w:val="0"/>
        <w:kinsoku/>
        <w:topLinePunct w:val="0"/>
        <w:bidi w:val="0"/>
        <w:spacing w:before="60" w:after="60" w:line="360" w:lineRule="auto"/>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名    称：</w:t>
      </w:r>
      <w:r>
        <w:rPr>
          <w:rFonts w:hint="eastAsia" w:ascii="宋体" w:hAnsi="宋体"/>
          <w:color w:val="auto"/>
          <w:szCs w:val="21"/>
          <w:highlight w:val="none"/>
          <w:u w:val="single"/>
          <w:lang w:eastAsia="zh-CN"/>
        </w:rPr>
        <w:t>浦北县人力资源和社会保障局</w:t>
      </w:r>
    </w:p>
    <w:p w14:paraId="24DC1C64">
      <w:pPr>
        <w:pageBreakBefore w:val="0"/>
        <w:kinsoku/>
        <w:topLinePunct w:val="0"/>
        <w:bidi w:val="0"/>
        <w:spacing w:before="60" w:after="6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地    址：广西浦北县江城街道越新路121号</w:t>
      </w:r>
    </w:p>
    <w:p w14:paraId="3C586670">
      <w:pPr>
        <w:pageBreakBefore w:val="0"/>
        <w:kinsoku/>
        <w:topLinePunct w:val="0"/>
        <w:bidi w:val="0"/>
        <w:spacing w:before="60" w:after="6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联系</w:t>
      </w:r>
      <w:r>
        <w:rPr>
          <w:rFonts w:hint="eastAsia" w:ascii="宋体" w:hAnsi="宋体"/>
          <w:color w:val="auto"/>
          <w:szCs w:val="21"/>
          <w:highlight w:val="none"/>
          <w:lang w:eastAsia="zh-CN"/>
        </w:rPr>
        <w:t>人</w:t>
      </w:r>
      <w:r>
        <w:rPr>
          <w:rFonts w:hint="eastAsia" w:ascii="宋体" w:hAnsi="宋体"/>
          <w:color w:val="auto"/>
          <w:szCs w:val="21"/>
          <w:highlight w:val="none"/>
        </w:rPr>
        <w:t>：朱正芬</w:t>
      </w:r>
    </w:p>
    <w:p w14:paraId="17F58740">
      <w:pPr>
        <w:pageBreakBefore w:val="0"/>
        <w:kinsoku/>
        <w:topLinePunct w:val="0"/>
        <w:bidi w:val="0"/>
        <w:spacing w:before="60" w:after="60" w:line="360" w:lineRule="auto"/>
        <w:ind w:firstLine="420" w:firstLineChars="200"/>
        <w:jc w:val="left"/>
        <w:rPr>
          <w:rFonts w:hint="eastAsia" w:ascii="宋体" w:hAnsi="宋体" w:eastAsia="宋体"/>
          <w:color w:val="auto"/>
          <w:szCs w:val="21"/>
          <w:highlight w:val="none"/>
          <w:u w:val="single"/>
          <w:lang w:val="en-US" w:eastAsia="zh-CN"/>
        </w:rPr>
      </w:pPr>
      <w:r>
        <w:rPr>
          <w:rFonts w:hint="eastAsia" w:ascii="宋体" w:hAnsi="宋体"/>
          <w:color w:val="auto"/>
          <w:szCs w:val="21"/>
          <w:highlight w:val="none"/>
          <w:u w:val="none"/>
          <w:lang w:eastAsia="zh-CN"/>
        </w:rPr>
        <w:t>联系方式：</w:t>
      </w:r>
      <w:r>
        <w:rPr>
          <w:rFonts w:hint="eastAsia" w:ascii="宋体" w:hAnsi="宋体"/>
          <w:color w:val="auto"/>
          <w:szCs w:val="21"/>
          <w:highlight w:val="none"/>
          <w:u w:val="single"/>
          <w:lang w:val="en-US" w:eastAsia="zh-CN"/>
        </w:rPr>
        <w:t>0777-8213578</w:t>
      </w:r>
    </w:p>
    <w:p w14:paraId="6CFF4702">
      <w:pPr>
        <w:pageBreakBefore w:val="0"/>
        <w:kinsoku/>
        <w:topLinePunct w:val="0"/>
        <w:bidi w:val="0"/>
        <w:spacing w:before="60" w:after="60" w:line="360" w:lineRule="auto"/>
        <w:ind w:firstLine="420" w:firstLineChars="200"/>
        <w:rPr>
          <w:rFonts w:ascii="宋体" w:hAnsi="宋体" w:cs="宋体"/>
          <w:color w:val="auto"/>
          <w:kern w:val="0"/>
          <w:szCs w:val="21"/>
          <w:highlight w:val="none"/>
        </w:rPr>
      </w:pPr>
      <w:bookmarkStart w:id="52" w:name="_Toc35393807"/>
      <w:bookmarkStart w:id="53" w:name="_Toc28359020"/>
      <w:bookmarkStart w:id="54" w:name="_Toc28359097"/>
      <w:bookmarkStart w:id="55" w:name="_Toc35393638"/>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采购代理机构信息</w:t>
      </w:r>
      <w:bookmarkEnd w:id="52"/>
      <w:bookmarkEnd w:id="53"/>
      <w:bookmarkEnd w:id="54"/>
      <w:bookmarkEnd w:id="55"/>
    </w:p>
    <w:p w14:paraId="385BB431">
      <w:pPr>
        <w:pageBreakBefore w:val="0"/>
        <w:kinsoku/>
        <w:topLinePunct w:val="0"/>
        <w:bidi w:val="0"/>
        <w:spacing w:before="60" w:after="60"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名 称：</w:t>
      </w:r>
      <w:r>
        <w:rPr>
          <w:rFonts w:hint="eastAsia" w:ascii="宋体" w:hAnsi="宋体"/>
          <w:color w:val="auto"/>
          <w:szCs w:val="21"/>
          <w:highlight w:val="none"/>
          <w:u w:val="single"/>
          <w:lang w:eastAsia="zh-CN"/>
        </w:rPr>
        <w:t>广西荣胜项目管理有限公司</w:t>
      </w:r>
    </w:p>
    <w:p w14:paraId="45183012">
      <w:pPr>
        <w:pageBreakBefore w:val="0"/>
        <w:kinsoku/>
        <w:topLinePunct w:val="0"/>
        <w:bidi w:val="0"/>
        <w:spacing w:before="60" w:after="60"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地址：</w:t>
      </w:r>
      <w:r>
        <w:rPr>
          <w:rFonts w:hint="eastAsia" w:ascii="宋体" w:hAnsi="宋体"/>
          <w:color w:val="auto"/>
          <w:szCs w:val="21"/>
          <w:highlight w:val="none"/>
          <w:u w:val="single"/>
          <w:lang w:eastAsia="zh-CN"/>
        </w:rPr>
        <w:t>钦州市蓬莱大道鸿亭街333号皇庭天麓湖小区183栋203室</w:t>
      </w:r>
    </w:p>
    <w:p w14:paraId="3972AA24">
      <w:pPr>
        <w:pageBreakBefore w:val="0"/>
        <w:kinsoku/>
        <w:topLinePunct w:val="0"/>
        <w:bidi w:val="0"/>
        <w:spacing w:before="60" w:after="60" w:line="360" w:lineRule="auto"/>
        <w:ind w:firstLine="420" w:firstLineChars="200"/>
        <w:rPr>
          <w:rFonts w:hint="eastAsia" w:ascii="宋体" w:hAnsi="宋体" w:eastAsia="宋体"/>
          <w:color w:val="auto"/>
          <w:szCs w:val="21"/>
          <w:highlight w:val="none"/>
          <w:u w:val="single"/>
          <w:lang w:eastAsia="zh-CN"/>
        </w:rPr>
      </w:pPr>
      <w:r>
        <w:rPr>
          <w:rFonts w:hint="eastAsia" w:ascii="宋体" w:hAnsi="宋体"/>
          <w:color w:val="auto"/>
          <w:szCs w:val="21"/>
          <w:highlight w:val="none"/>
        </w:rPr>
        <w:t>联系方式：</w:t>
      </w:r>
      <w:r>
        <w:rPr>
          <w:rFonts w:hint="eastAsia" w:ascii="宋体" w:hAnsi="宋体"/>
          <w:color w:val="auto"/>
          <w:szCs w:val="21"/>
          <w:highlight w:val="none"/>
          <w:u w:val="single"/>
          <w:lang w:eastAsia="zh-CN"/>
        </w:rPr>
        <w:t>0777-5512166</w:t>
      </w:r>
    </w:p>
    <w:p w14:paraId="352E4428">
      <w:pPr>
        <w:pageBreakBefore w:val="0"/>
        <w:kinsoku/>
        <w:topLinePunct w:val="0"/>
        <w:bidi w:val="0"/>
        <w:spacing w:before="60" w:after="60" w:line="360" w:lineRule="auto"/>
        <w:ind w:firstLine="420" w:firstLineChars="200"/>
        <w:rPr>
          <w:rFonts w:ascii="宋体" w:hAnsi="宋体" w:cs="宋体"/>
          <w:color w:val="auto"/>
          <w:kern w:val="0"/>
          <w:szCs w:val="21"/>
          <w:highlight w:val="none"/>
        </w:rPr>
      </w:pPr>
      <w:bookmarkStart w:id="56" w:name="_Toc35393808"/>
      <w:bookmarkStart w:id="57" w:name="_Toc28359021"/>
      <w:bookmarkStart w:id="58" w:name="_Toc35393639"/>
      <w:bookmarkStart w:id="59" w:name="_Toc28359098"/>
      <w:r>
        <w:rPr>
          <w:rFonts w:hint="eastAsia" w:ascii="宋体" w:hAnsi="宋体" w:cs="宋体"/>
          <w:color w:val="auto"/>
          <w:kern w:val="0"/>
          <w:szCs w:val="21"/>
          <w:highlight w:val="none"/>
        </w:rPr>
        <w:t>3</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项目联系</w:t>
      </w:r>
      <w:r>
        <w:rPr>
          <w:rFonts w:ascii="宋体" w:hAnsi="宋体" w:cs="宋体"/>
          <w:color w:val="auto"/>
          <w:kern w:val="0"/>
          <w:szCs w:val="21"/>
          <w:highlight w:val="none"/>
        </w:rPr>
        <w:t>方式</w:t>
      </w:r>
      <w:bookmarkEnd w:id="56"/>
      <w:bookmarkEnd w:id="57"/>
      <w:bookmarkEnd w:id="58"/>
      <w:bookmarkEnd w:id="59"/>
    </w:p>
    <w:p w14:paraId="7F9C3504">
      <w:pPr>
        <w:pStyle w:val="15"/>
        <w:pageBreakBefore w:val="0"/>
        <w:kinsoku/>
        <w:topLinePunct w:val="0"/>
        <w:bidi w:val="0"/>
        <w:spacing w:before="60" w:after="60" w:line="360" w:lineRule="auto"/>
        <w:ind w:firstLine="420" w:firstLineChars="200"/>
        <w:rPr>
          <w:rFonts w:hint="eastAsia" w:hAnsi="宋体" w:eastAsia="宋体"/>
          <w:color w:val="auto"/>
          <w:sz w:val="21"/>
          <w:highlight w:val="none"/>
          <w:lang w:eastAsia="zh-CN"/>
        </w:rPr>
      </w:pPr>
      <w:r>
        <w:rPr>
          <w:rFonts w:hint="eastAsia" w:hAnsi="宋体"/>
          <w:color w:val="auto"/>
          <w:sz w:val="21"/>
          <w:highlight w:val="none"/>
        </w:rPr>
        <w:t>项目联系人：</w:t>
      </w:r>
      <w:r>
        <w:rPr>
          <w:rFonts w:hint="eastAsia" w:hAnsi="宋体"/>
          <w:color w:val="auto"/>
          <w:sz w:val="21"/>
          <w:highlight w:val="none"/>
          <w:u w:val="single"/>
          <w:lang w:eastAsia="zh-CN"/>
        </w:rPr>
        <w:t>黄工</w:t>
      </w:r>
    </w:p>
    <w:p w14:paraId="5D4355B9">
      <w:pPr>
        <w:pageBreakBefore w:val="0"/>
        <w:kinsoku/>
        <w:topLinePunct w:val="0"/>
        <w:bidi w:val="0"/>
        <w:spacing w:before="60" w:after="60" w:line="360" w:lineRule="auto"/>
        <w:ind w:firstLine="420" w:firstLineChars="200"/>
        <w:rPr>
          <w:rFonts w:hint="eastAsia" w:ascii="宋体" w:hAnsi="宋体" w:eastAsia="宋体"/>
          <w:color w:val="auto"/>
          <w:szCs w:val="21"/>
          <w:highlight w:val="none"/>
          <w:u w:val="single"/>
          <w:lang w:eastAsia="zh-CN"/>
        </w:rPr>
      </w:pPr>
      <w:r>
        <w:rPr>
          <w:rFonts w:hint="eastAsia" w:ascii="宋体" w:hAnsi="宋体"/>
          <w:color w:val="auto"/>
          <w:szCs w:val="21"/>
          <w:highlight w:val="none"/>
        </w:rPr>
        <w:t>电　　话：</w:t>
      </w:r>
      <w:r>
        <w:rPr>
          <w:rFonts w:hint="eastAsia" w:ascii="宋体" w:hAnsi="宋体"/>
          <w:color w:val="auto"/>
          <w:szCs w:val="21"/>
          <w:highlight w:val="none"/>
          <w:u w:val="single"/>
          <w:lang w:eastAsia="zh-CN"/>
        </w:rPr>
        <w:t>0777-5512166</w:t>
      </w:r>
    </w:p>
    <w:bookmarkEnd w:id="1"/>
    <w:p w14:paraId="298F9CDF">
      <w:pPr>
        <w:pageBreakBefore w:val="0"/>
        <w:kinsoku/>
        <w:topLinePunct w:val="0"/>
        <w:bidi w:val="0"/>
        <w:spacing w:before="60" w:after="60" w:line="360" w:lineRule="auto"/>
        <w:jc w:val="right"/>
        <w:rPr>
          <w:rFonts w:hint="eastAsia" w:ascii="宋体" w:hAnsi="宋体"/>
          <w:color w:val="auto"/>
          <w:szCs w:val="21"/>
          <w:highlight w:val="none"/>
          <w:u w:val="none"/>
        </w:rPr>
      </w:pPr>
    </w:p>
    <w:p w14:paraId="6F6EE55F">
      <w:pPr>
        <w:pageBreakBefore w:val="0"/>
        <w:kinsoku/>
        <w:topLinePunct w:val="0"/>
        <w:bidi w:val="0"/>
        <w:spacing w:before="60" w:after="60" w:line="360" w:lineRule="auto"/>
        <w:jc w:val="right"/>
        <w:rPr>
          <w:rFonts w:hint="eastAsia" w:ascii="宋体" w:hAnsi="宋体" w:eastAsia="宋体"/>
          <w:color w:val="auto"/>
          <w:szCs w:val="21"/>
          <w:highlight w:val="none"/>
          <w:u w:val="none"/>
          <w:lang w:eastAsia="zh-CN"/>
        </w:rPr>
      </w:pPr>
      <w:r>
        <w:rPr>
          <w:rFonts w:hint="eastAsia" w:ascii="宋体" w:hAnsi="宋体"/>
          <w:color w:val="auto"/>
          <w:szCs w:val="21"/>
          <w:highlight w:val="none"/>
          <w:u w:val="none"/>
          <w:lang w:eastAsia="zh-CN"/>
        </w:rPr>
        <w:t>广西荣胜项目管理有限公司</w:t>
      </w:r>
    </w:p>
    <w:p w14:paraId="0D269BF1">
      <w:pPr>
        <w:pageBreakBefore w:val="0"/>
        <w:kinsoku/>
        <w:topLinePunct w:val="0"/>
        <w:bidi w:val="0"/>
        <w:spacing w:before="0" w:after="0" w:line="240" w:lineRule="auto"/>
        <w:jc w:val="right"/>
        <w:rPr>
          <w:rFonts w:ascii="宋体" w:hAnsi="宋体"/>
          <w:color w:val="auto"/>
          <w:sz w:val="32"/>
          <w:szCs w:val="32"/>
          <w:highlight w:val="none"/>
        </w:rPr>
      </w:pPr>
      <w:r>
        <w:rPr>
          <w:rFonts w:hint="eastAsia" w:ascii="宋体" w:hAnsi="宋体"/>
          <w:color w:val="auto"/>
          <w:szCs w:val="21"/>
          <w:highlight w:val="none"/>
          <w:u w:val="none"/>
          <w:lang w:val="en-US" w:eastAsia="zh-CN"/>
        </w:rPr>
        <w:t>2026年1 月19 日</w:t>
      </w:r>
    </w:p>
    <w:p w14:paraId="0A201429">
      <w:pPr>
        <w:rPr>
          <w:rFonts w:hint="eastAsia"/>
          <w:color w:val="auto"/>
          <w:highlight w:val="none"/>
        </w:rPr>
      </w:pPr>
      <w:bookmarkStart w:id="60" w:name="_Toc75"/>
      <w:r>
        <w:rPr>
          <w:rFonts w:hint="eastAsia"/>
          <w:color w:val="auto"/>
          <w:highlight w:val="none"/>
        </w:rPr>
        <w:br w:type="page"/>
      </w:r>
    </w:p>
    <w:p w14:paraId="29BB1716">
      <w:pPr>
        <w:pStyle w:val="3"/>
        <w:pageBreakBefore w:val="0"/>
        <w:kinsoku/>
        <w:topLinePunct w:val="0"/>
        <w:bidi w:val="0"/>
        <w:spacing w:before="60" w:after="60" w:line="360" w:lineRule="auto"/>
        <w:jc w:val="center"/>
        <w:rPr>
          <w:color w:val="auto"/>
          <w:highlight w:val="none"/>
        </w:rPr>
      </w:pPr>
      <w:r>
        <w:rPr>
          <w:rFonts w:hint="eastAsia"/>
          <w:color w:val="auto"/>
          <w:highlight w:val="none"/>
        </w:rPr>
        <w:t>第二章 供应商须知</w:t>
      </w:r>
      <w:bookmarkEnd w:id="60"/>
    </w:p>
    <w:p w14:paraId="40019C48">
      <w:pPr>
        <w:pageBreakBefore w:val="0"/>
        <w:kinsoku/>
        <w:topLinePunct w:val="0"/>
        <w:bidi w:val="0"/>
        <w:spacing w:before="60" w:after="60" w:line="360" w:lineRule="auto"/>
        <w:jc w:val="center"/>
        <w:rPr>
          <w:rFonts w:ascii="宋体" w:hAnsi="宋体"/>
          <w:b/>
          <w:color w:val="auto"/>
          <w:sz w:val="32"/>
          <w:szCs w:val="32"/>
          <w:highlight w:val="none"/>
        </w:rPr>
      </w:pPr>
      <w:r>
        <w:rPr>
          <w:rFonts w:hint="eastAsia" w:ascii="宋体" w:hAnsi="宋体"/>
          <w:b/>
          <w:color w:val="auto"/>
          <w:sz w:val="32"/>
          <w:szCs w:val="32"/>
          <w:highlight w:val="none"/>
        </w:rPr>
        <w:t>供应商须知前附表</w:t>
      </w:r>
    </w:p>
    <w:p w14:paraId="72DB7920">
      <w:pPr>
        <w:pageBreakBefore w:val="0"/>
        <w:kinsoku/>
        <w:topLinePunct w:val="0"/>
        <w:bidi w:val="0"/>
        <w:spacing w:before="60" w:after="60" w:line="360" w:lineRule="auto"/>
        <w:jc w:val="center"/>
        <w:rPr>
          <w:rFonts w:ascii="宋体" w:hAnsi="宋体"/>
          <w:b/>
          <w:color w:val="auto"/>
          <w:sz w:val="32"/>
          <w:szCs w:val="32"/>
          <w:highlight w:val="none"/>
        </w:rPr>
      </w:pPr>
    </w:p>
    <w:tbl>
      <w:tblPr>
        <w:tblStyle w:val="30"/>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0C7E5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3CF88F92">
            <w:pPr>
              <w:keepNext w:val="0"/>
              <w:keepLines w:val="0"/>
              <w:pageBreakBefore w:val="0"/>
              <w:suppressLineNumbers w:val="0"/>
              <w:kinsoku/>
              <w:topLinePunct w:val="0"/>
              <w:bidi w:val="0"/>
              <w:spacing w:before="60" w:beforeAutospacing="0" w:after="60" w:afterAutospacing="0" w:line="360" w:lineRule="auto"/>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条款号</w:t>
            </w:r>
          </w:p>
        </w:tc>
        <w:tc>
          <w:tcPr>
            <w:tcW w:w="7912" w:type="dxa"/>
          </w:tcPr>
          <w:p w14:paraId="2547BF9F">
            <w:pPr>
              <w:keepNext w:val="0"/>
              <w:keepLines w:val="0"/>
              <w:pageBreakBefore w:val="0"/>
              <w:suppressLineNumbers w:val="0"/>
              <w:kinsoku/>
              <w:topLinePunct w:val="0"/>
              <w:bidi w:val="0"/>
              <w:spacing w:before="60" w:beforeAutospacing="0" w:after="60" w:afterAutospacing="0" w:line="360" w:lineRule="auto"/>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内    容</w:t>
            </w:r>
          </w:p>
        </w:tc>
      </w:tr>
      <w:tr w14:paraId="74DD1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05CCB39">
            <w:pPr>
              <w:keepNext w:val="0"/>
              <w:keepLines w:val="0"/>
              <w:pageBreakBefore w:val="0"/>
              <w:suppressLineNumbers w:val="0"/>
              <w:kinsoku/>
              <w:topLinePunct w:val="0"/>
              <w:bidi w:val="0"/>
              <w:spacing w:before="60" w:beforeAutospacing="0" w:after="6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w:t>
            </w:r>
          </w:p>
        </w:tc>
        <w:tc>
          <w:tcPr>
            <w:tcW w:w="7912" w:type="dxa"/>
            <w:vAlign w:val="center"/>
          </w:tcPr>
          <w:p w14:paraId="04DAFF15">
            <w:pPr>
              <w:keepNext w:val="0"/>
              <w:keepLines w:val="0"/>
              <w:pageBreakBefore w:val="0"/>
              <w:suppressLineNumbers w:val="0"/>
              <w:kinsoku/>
              <w:topLinePunct w:val="0"/>
              <w:bidi w:val="0"/>
              <w:spacing w:before="60" w:beforeAutospacing="0" w:after="60" w:afterAutospacing="0" w:line="360" w:lineRule="auto"/>
              <w:ind w:left="0" w:right="0"/>
              <w:rPr>
                <w:rFonts w:hint="default" w:ascii="宋体" w:hAnsi="宋体"/>
                <w:color w:val="auto"/>
                <w:szCs w:val="21"/>
                <w:highlight w:val="none"/>
              </w:rPr>
            </w:pPr>
            <w:r>
              <w:rPr>
                <w:rFonts w:hint="eastAsia" w:ascii="宋体" w:hAnsi="宋体" w:cs="宋体"/>
                <w:bCs/>
                <w:color w:val="auto"/>
                <w:szCs w:val="21"/>
                <w:highlight w:val="none"/>
              </w:rPr>
              <w:t>1</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供应商的资格条件</w:t>
            </w:r>
            <w:r>
              <w:rPr>
                <w:rFonts w:hint="eastAsia" w:ascii="宋体" w:hAnsi="宋体" w:cs="宋体"/>
                <w:color w:val="auto"/>
                <w:szCs w:val="21"/>
                <w:highlight w:val="none"/>
              </w:rPr>
              <w:t>：详见竞争性磋商公告</w:t>
            </w:r>
          </w:p>
          <w:p w14:paraId="42C2A521">
            <w:pPr>
              <w:keepNext w:val="0"/>
              <w:keepLines w:val="0"/>
              <w:pageBreakBefore w:val="0"/>
              <w:suppressLineNumbers w:val="0"/>
              <w:kinsoku/>
              <w:topLinePunct w:val="0"/>
              <w:bidi w:val="0"/>
              <w:spacing w:before="60" w:beforeAutospacing="0" w:after="6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43C77F9C">
            <w:pPr>
              <w:keepNext w:val="0"/>
              <w:keepLines w:val="0"/>
              <w:pageBreakBefore w:val="0"/>
              <w:suppressLineNumbers w:val="0"/>
              <w:kinsoku/>
              <w:topLinePunct w:val="0"/>
              <w:bidi w:val="0"/>
              <w:spacing w:before="60" w:beforeAutospacing="0" w:after="6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3661A5D">
            <w:pPr>
              <w:keepNext w:val="0"/>
              <w:keepLines w:val="0"/>
              <w:pageBreakBefore w:val="0"/>
              <w:suppressLineNumbers w:val="0"/>
              <w:kinsoku/>
              <w:topLinePunct w:val="0"/>
              <w:bidi w:val="0"/>
              <w:spacing w:before="60" w:beforeAutospacing="0" w:after="6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2对在“信用中国”网站（www</w:t>
            </w:r>
            <w:r>
              <w:rPr>
                <w:rFonts w:hint="eastAsia" w:ascii="宋体" w:hAnsi="宋体" w:cs="宋体"/>
                <w:color w:val="auto"/>
                <w:szCs w:val="21"/>
                <w:highlight w:val="none"/>
                <w:lang w:eastAsia="zh-CN"/>
              </w:rPr>
              <w:t>.</w:t>
            </w:r>
            <w:r>
              <w:rPr>
                <w:rFonts w:hint="eastAsia" w:ascii="宋体" w:hAnsi="宋体" w:cs="宋体"/>
                <w:color w:val="auto"/>
                <w:szCs w:val="21"/>
                <w:highlight w:val="none"/>
              </w:rPr>
              <w:t>creditchina</w:t>
            </w:r>
            <w:r>
              <w:rPr>
                <w:rFonts w:hint="eastAsia" w:ascii="宋体" w:hAnsi="宋体" w:cs="宋体"/>
                <w:color w:val="auto"/>
                <w:szCs w:val="21"/>
                <w:highlight w:val="none"/>
                <w:lang w:eastAsia="zh-CN"/>
              </w:rPr>
              <w:t>.</w:t>
            </w:r>
            <w:r>
              <w:rPr>
                <w:rFonts w:hint="eastAsia" w:ascii="宋体" w:hAnsi="宋体" w:cs="宋体"/>
                <w:color w:val="auto"/>
                <w:szCs w:val="21"/>
                <w:highlight w:val="none"/>
              </w:rPr>
              <w:t>gov</w:t>
            </w:r>
            <w:r>
              <w:rPr>
                <w:rFonts w:hint="eastAsia" w:ascii="宋体" w:hAnsi="宋体" w:cs="宋体"/>
                <w:color w:val="auto"/>
                <w:szCs w:val="21"/>
                <w:highlight w:val="none"/>
                <w:lang w:eastAsia="zh-CN"/>
              </w:rPr>
              <w:t>.</w:t>
            </w:r>
            <w:r>
              <w:rPr>
                <w:rFonts w:hint="eastAsia" w:ascii="宋体" w:hAnsi="宋体" w:cs="宋体"/>
                <w:color w:val="auto"/>
                <w:szCs w:val="21"/>
                <w:highlight w:val="none"/>
              </w:rPr>
              <w:t>cn） 、中国政府采购网（www</w:t>
            </w:r>
            <w:r>
              <w:rPr>
                <w:rFonts w:hint="eastAsia" w:ascii="宋体" w:hAnsi="宋体" w:cs="宋体"/>
                <w:color w:val="auto"/>
                <w:szCs w:val="21"/>
                <w:highlight w:val="none"/>
                <w:lang w:eastAsia="zh-CN"/>
              </w:rPr>
              <w:t>.</w:t>
            </w:r>
            <w:r>
              <w:rPr>
                <w:rFonts w:hint="eastAsia" w:ascii="宋体" w:hAnsi="宋体" w:cs="宋体"/>
                <w:color w:val="auto"/>
                <w:szCs w:val="21"/>
                <w:highlight w:val="none"/>
              </w:rPr>
              <w:t>ccgp</w:t>
            </w:r>
            <w:r>
              <w:rPr>
                <w:rFonts w:hint="eastAsia" w:ascii="宋体" w:hAnsi="宋体" w:cs="宋体"/>
                <w:color w:val="auto"/>
                <w:szCs w:val="21"/>
                <w:highlight w:val="none"/>
                <w:lang w:eastAsia="zh-CN"/>
              </w:rPr>
              <w:t>.</w:t>
            </w:r>
            <w:r>
              <w:rPr>
                <w:rFonts w:hint="eastAsia" w:ascii="宋体" w:hAnsi="宋体" w:cs="宋体"/>
                <w:color w:val="auto"/>
                <w:szCs w:val="21"/>
                <w:highlight w:val="none"/>
              </w:rPr>
              <w:t>gov</w:t>
            </w:r>
            <w:r>
              <w:rPr>
                <w:rFonts w:hint="eastAsia" w:ascii="宋体" w:hAnsi="宋体" w:cs="宋体"/>
                <w:color w:val="auto"/>
                <w:szCs w:val="21"/>
                <w:highlight w:val="none"/>
                <w:lang w:eastAsia="zh-CN"/>
              </w:rPr>
              <w:t>.</w:t>
            </w:r>
            <w:r>
              <w:rPr>
                <w:rFonts w:hint="eastAsia" w:ascii="宋体" w:hAnsi="宋体" w:cs="宋体"/>
                <w:color w:val="auto"/>
                <w:szCs w:val="21"/>
                <w:highlight w:val="none"/>
              </w:rPr>
              <w:t>cn）被列入失信被执行人、重大税收违法失信主体、政府采购严重违法失信行为记录名单及其他不符合《中华人民共和国政府采购法》第二十二条规定条件的供应商，不得参与政府采购活动。</w:t>
            </w:r>
          </w:p>
        </w:tc>
      </w:tr>
      <w:tr w14:paraId="75B82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DCC1DE9">
            <w:pPr>
              <w:keepNext w:val="0"/>
              <w:keepLines w:val="0"/>
              <w:pageBreakBefore w:val="0"/>
              <w:suppressLineNumbers w:val="0"/>
              <w:kinsoku/>
              <w:topLinePunct w:val="0"/>
              <w:bidi w:val="0"/>
              <w:spacing w:before="60" w:beforeAutospacing="0" w:after="6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1</w:t>
            </w:r>
          </w:p>
        </w:tc>
        <w:tc>
          <w:tcPr>
            <w:tcW w:w="7912" w:type="dxa"/>
            <w:vAlign w:val="center"/>
          </w:tcPr>
          <w:p w14:paraId="5E5F86B3">
            <w:pPr>
              <w:keepNext w:val="0"/>
              <w:keepLines w:val="0"/>
              <w:pageBreakBefore w:val="0"/>
              <w:suppressLineNumbers w:val="0"/>
              <w:kinsoku/>
              <w:topLinePunct w:val="0"/>
              <w:bidi w:val="0"/>
              <w:spacing w:before="60" w:beforeAutospacing="0" w:after="60" w:afterAutospacing="0" w:line="360" w:lineRule="auto"/>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是否接受联合体竞标: 详见竞争性磋商公告</w:t>
            </w:r>
          </w:p>
        </w:tc>
      </w:tr>
      <w:tr w14:paraId="39F9E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CCD896A">
            <w:pPr>
              <w:keepNext w:val="0"/>
              <w:keepLines w:val="0"/>
              <w:pageBreakBefore w:val="0"/>
              <w:suppressLineNumbers w:val="0"/>
              <w:kinsoku/>
              <w:topLinePunct w:val="0"/>
              <w:bidi w:val="0"/>
              <w:spacing w:before="60" w:beforeAutospacing="0" w:after="6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w:t>
            </w:r>
            <w:r>
              <w:rPr>
                <w:rFonts w:hint="default" w:ascii="宋体" w:hAnsi="宋体" w:cs="宋体"/>
                <w:color w:val="auto"/>
                <w:szCs w:val="21"/>
                <w:highlight w:val="none"/>
              </w:rPr>
              <w:t>2</w:t>
            </w:r>
          </w:p>
        </w:tc>
        <w:tc>
          <w:tcPr>
            <w:tcW w:w="7912" w:type="dxa"/>
            <w:vAlign w:val="center"/>
          </w:tcPr>
          <w:p w14:paraId="57CBACA9">
            <w:pPr>
              <w:keepNext w:val="0"/>
              <w:keepLines w:val="0"/>
              <w:pageBreakBefore w:val="0"/>
              <w:suppressLineNumbers w:val="0"/>
              <w:kinsoku/>
              <w:topLinePunct w:val="0"/>
              <w:bidi w:val="0"/>
              <w:spacing w:before="60" w:beforeAutospacing="0" w:after="60" w:afterAutospacing="0" w:line="360" w:lineRule="auto"/>
              <w:ind w:left="0" w:right="0"/>
              <w:rPr>
                <w:rFonts w:hint="default" w:ascii="宋体" w:hAnsi="宋体" w:cs="宋体"/>
                <w:color w:val="auto"/>
                <w:szCs w:val="21"/>
                <w:highlight w:val="none"/>
              </w:rPr>
            </w:pPr>
            <w:r>
              <w:rPr>
                <w:rFonts w:hint="eastAsia" w:ascii="宋体" w:hAnsi="宋体"/>
                <w:color w:val="auto"/>
                <w:szCs w:val="21"/>
                <w:highlight w:val="none"/>
              </w:rPr>
              <w:t>如接受联合体竞标，联合体竞标要求如下：</w:t>
            </w:r>
            <w:r>
              <w:rPr>
                <w:rFonts w:hint="eastAsia"/>
                <w:color w:val="auto"/>
                <w:highlight w:val="none"/>
              </w:rPr>
              <w:t>本项目不接受联合体</w:t>
            </w:r>
          </w:p>
        </w:tc>
      </w:tr>
      <w:tr w14:paraId="33953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0088BB9">
            <w:pPr>
              <w:keepNext w:val="0"/>
              <w:keepLines w:val="0"/>
              <w:pageBreakBefore w:val="0"/>
              <w:suppressLineNumbers w:val="0"/>
              <w:kinsoku/>
              <w:topLinePunct w:val="0"/>
              <w:bidi w:val="0"/>
              <w:spacing w:before="60" w:beforeAutospacing="0" w:after="6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2</w:t>
            </w:r>
          </w:p>
        </w:tc>
        <w:tc>
          <w:tcPr>
            <w:tcW w:w="7912" w:type="dxa"/>
            <w:vAlign w:val="center"/>
          </w:tcPr>
          <w:p w14:paraId="0AD23249">
            <w:pPr>
              <w:pStyle w:val="10"/>
              <w:keepNext w:val="0"/>
              <w:keepLines w:val="0"/>
              <w:pageBreakBefore w:val="0"/>
              <w:suppressLineNumbers w:val="0"/>
              <w:kinsoku/>
              <w:topLinePunct w:val="0"/>
              <w:bidi w:val="0"/>
              <w:spacing w:before="60" w:beforeAutospacing="0" w:after="60" w:afterAutospacing="0" w:line="360" w:lineRule="auto"/>
              <w:ind w:left="0" w:right="0"/>
              <w:rPr>
                <w:rFonts w:hint="default" w:ascii="宋体" w:hAnsi="宋体"/>
                <w:color w:val="auto"/>
                <w:szCs w:val="21"/>
                <w:highlight w:val="none"/>
              </w:rPr>
            </w:pPr>
            <w:r>
              <w:rPr>
                <w:rFonts w:hint="eastAsia" w:ascii="宋体" w:hAnsi="宋体"/>
                <w:color w:val="auto"/>
                <w:szCs w:val="21"/>
                <w:highlight w:val="none"/>
              </w:rPr>
              <w:t>☑不允许分包</w:t>
            </w:r>
          </w:p>
          <w:p w14:paraId="66AAA232">
            <w:pPr>
              <w:pStyle w:val="10"/>
              <w:keepNext w:val="0"/>
              <w:keepLines w:val="0"/>
              <w:pageBreakBefore w:val="0"/>
              <w:suppressLineNumbers w:val="0"/>
              <w:kinsoku/>
              <w:topLinePunct w:val="0"/>
              <w:bidi w:val="0"/>
              <w:spacing w:before="60" w:beforeAutospacing="0" w:after="60" w:afterAutospacing="0" w:line="360" w:lineRule="auto"/>
              <w:ind w:left="0" w:right="0"/>
              <w:rPr>
                <w:rFonts w:hint="default" w:ascii="宋体" w:hAnsi="宋体"/>
                <w:color w:val="auto"/>
                <w:szCs w:val="21"/>
                <w:highlight w:val="none"/>
              </w:rPr>
            </w:pPr>
            <w:r>
              <w:rPr>
                <w:rFonts w:hint="eastAsia" w:ascii="宋体" w:hAnsi="宋体"/>
                <w:color w:val="auto"/>
                <w:szCs w:val="21"/>
                <w:highlight w:val="none"/>
              </w:rPr>
              <w:sym w:font="Wingdings 2" w:char="00A3"/>
            </w:r>
            <w:r>
              <w:rPr>
                <w:rFonts w:hint="eastAsia" w:ascii="宋体" w:hAnsi="宋体"/>
                <w:color w:val="auto"/>
                <w:szCs w:val="21"/>
                <w:highlight w:val="none"/>
              </w:rPr>
              <w:t>允许分包</w:t>
            </w:r>
          </w:p>
          <w:p w14:paraId="0887C91B">
            <w:pPr>
              <w:pStyle w:val="10"/>
              <w:keepNext w:val="0"/>
              <w:keepLines w:val="0"/>
              <w:pageBreakBefore w:val="0"/>
              <w:suppressLineNumbers w:val="0"/>
              <w:kinsoku/>
              <w:topLinePunct w:val="0"/>
              <w:bidi w:val="0"/>
              <w:spacing w:before="60" w:beforeAutospacing="0" w:after="60" w:afterAutospacing="0" w:line="360" w:lineRule="auto"/>
              <w:ind w:left="0" w:right="0"/>
              <w:rPr>
                <w:rFonts w:hint="default" w:ascii="宋体" w:hAnsi="宋体"/>
                <w:color w:val="auto"/>
                <w:szCs w:val="21"/>
                <w:highlight w:val="none"/>
              </w:rPr>
            </w:pPr>
            <w:r>
              <w:rPr>
                <w:rFonts w:hint="eastAsia" w:ascii="宋体" w:hAnsi="宋体"/>
                <w:color w:val="auto"/>
                <w:szCs w:val="21"/>
                <w:highlight w:val="none"/>
              </w:rPr>
              <w:t>分包内容及分包金额或者比例：</w:t>
            </w:r>
            <w:r>
              <w:rPr>
                <w:rFonts w:hint="eastAsia" w:ascii="宋体" w:hAnsi="宋体"/>
                <w:color w:val="auto"/>
                <w:szCs w:val="21"/>
                <w:highlight w:val="none"/>
                <w:u w:val="single"/>
              </w:rPr>
              <w:t xml:space="preserve">      。</w:t>
            </w:r>
          </w:p>
        </w:tc>
      </w:tr>
      <w:tr w14:paraId="01BEA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D848034">
            <w:pPr>
              <w:keepNext w:val="0"/>
              <w:keepLines w:val="0"/>
              <w:pageBreakBefore w:val="0"/>
              <w:suppressLineNumbers w:val="0"/>
              <w:kinsoku/>
              <w:topLinePunct w:val="0"/>
              <w:bidi w:val="0"/>
              <w:spacing w:before="60" w:beforeAutospacing="0" w:after="6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zCs w:val="21"/>
                <w:highlight w:val="none"/>
                <w:lang w:eastAsia="zh-CN"/>
              </w:rPr>
              <w:t>.</w:t>
            </w: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default" w:ascii="宋体" w:hAnsi="宋体" w:cs="宋体"/>
                <w:color w:val="auto"/>
                <w:szCs w:val="21"/>
                <w:highlight w:val="none"/>
              </w:rPr>
              <w:t>1</w:t>
            </w:r>
          </w:p>
        </w:tc>
        <w:tc>
          <w:tcPr>
            <w:tcW w:w="7912" w:type="dxa"/>
            <w:vAlign w:val="center"/>
          </w:tcPr>
          <w:p w14:paraId="40256283">
            <w:pPr>
              <w:keepNext w:val="0"/>
              <w:keepLines w:val="0"/>
              <w:pageBreakBefore w:val="0"/>
              <w:suppressLineNumbers w:val="0"/>
              <w:kinsoku/>
              <w:topLinePunct w:val="0"/>
              <w:bidi w:val="0"/>
              <w:snapToGrid w:val="0"/>
              <w:spacing w:before="60" w:beforeAutospacing="0" w:after="60" w:afterAutospacing="0" w:line="360" w:lineRule="auto"/>
              <w:ind w:left="0" w:right="0"/>
              <w:jc w:val="left"/>
              <w:rPr>
                <w:rFonts w:hint="default" w:ascii="宋体" w:hAnsi="宋体" w:cs="宋体"/>
                <w:b/>
                <w:color w:val="auto"/>
                <w:szCs w:val="21"/>
                <w:highlight w:val="none"/>
              </w:rPr>
            </w:pPr>
            <w:r>
              <w:rPr>
                <w:rFonts w:hint="eastAsia" w:ascii="宋体" w:hAnsi="宋体" w:cs="宋体"/>
                <w:b/>
                <w:color w:val="auto"/>
                <w:szCs w:val="21"/>
                <w:highlight w:val="none"/>
              </w:rPr>
              <w:t>资格证明文件</w:t>
            </w:r>
          </w:p>
          <w:p w14:paraId="39CA0057">
            <w:pPr>
              <w:pStyle w:val="10"/>
              <w:keepNext w:val="0"/>
              <w:keepLines w:val="0"/>
              <w:pageBreakBefore w:val="0"/>
              <w:suppressLineNumbers w:val="0"/>
              <w:kinsoku/>
              <w:topLinePunct w:val="0"/>
              <w:bidi w:val="0"/>
              <w:spacing w:before="60" w:beforeAutospacing="0" w:after="60" w:afterAutospacing="0" w:line="360" w:lineRule="auto"/>
              <w:ind w:left="0" w:right="0"/>
              <w:rPr>
                <w:rFonts w:hint="default" w:ascii="宋体" w:hAnsi="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供应商为法人或者其他组织的提供其营业执照等证明文件（如营业执照或者事业单位法人证书或者执业许可证或者登记证书等），供应商为自然人的提供其身份证复印件；（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788AED6">
            <w:pPr>
              <w:keepNext w:val="0"/>
              <w:keepLines w:val="0"/>
              <w:pageBreakBefore w:val="0"/>
              <w:suppressLineNumbers w:val="0"/>
              <w:kinsoku/>
              <w:topLinePunct w:val="0"/>
              <w:bidi w:val="0"/>
              <w:spacing w:before="60" w:beforeAutospacing="0" w:after="60" w:afterAutospacing="0" w:line="360" w:lineRule="auto"/>
              <w:ind w:left="0" w:right="0"/>
              <w:contextualSpacing/>
              <w:jc w:val="left"/>
              <w:rPr>
                <w:rFonts w:hint="default"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供应商依法缴纳税收的相关材料（</w:t>
            </w:r>
            <w:r>
              <w:rPr>
                <w:rFonts w:hint="eastAsia" w:ascii="宋体" w:hAnsi="宋体" w:cs="宋体"/>
                <w:color w:val="auto"/>
                <w:szCs w:val="21"/>
                <w:highlight w:val="none"/>
                <w:u w:val="single"/>
                <w:lang w:eastAsia="zh-CN"/>
              </w:rPr>
              <w:t>2025年</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lang w:eastAsia="zh-CN"/>
              </w:rPr>
              <w:t>月以来任意1个月</w:t>
            </w:r>
            <w:r>
              <w:rPr>
                <w:rFonts w:hint="eastAsia" w:ascii="宋体" w:hAnsi="宋体" w:cs="宋体"/>
                <w:color w:val="auto"/>
                <w:szCs w:val="21"/>
                <w:highlight w:val="none"/>
              </w:rPr>
              <w:t>的依法缴纳税收的凭据复印件；</w:t>
            </w:r>
            <w:r>
              <w:rPr>
                <w:rFonts w:hint="eastAsia"/>
                <w:color w:val="auto"/>
                <w:highlight w:val="none"/>
              </w:rPr>
              <w:t>依法免税的，必须提供相应文件证明其依法免税。</w:t>
            </w:r>
            <w:r>
              <w:rPr>
                <w:rFonts w:hint="eastAsia" w:ascii="宋体" w:hAnsi="宋体" w:cs="宋体"/>
                <w:color w:val="auto"/>
                <w:szCs w:val="21"/>
                <w:highlight w:val="none"/>
              </w:rPr>
              <w:t>从</w:t>
            </w:r>
            <w:r>
              <w:rPr>
                <w:rFonts w:hint="default"/>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到响应文件提交截止时间止不足要求月数的，只需提供从</w:t>
            </w:r>
            <w:r>
              <w:rPr>
                <w:rFonts w:hint="default"/>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的依法缴纳税收</w:t>
            </w:r>
            <w:r>
              <w:rPr>
                <w:rFonts w:hint="eastAsia"/>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8D94D04">
            <w:pPr>
              <w:keepNext w:val="0"/>
              <w:keepLines w:val="0"/>
              <w:pageBreakBefore w:val="0"/>
              <w:suppressLineNumbers w:val="0"/>
              <w:kinsoku/>
              <w:topLinePunct w:val="0"/>
              <w:bidi w:val="0"/>
              <w:spacing w:before="60" w:beforeAutospacing="0" w:after="60" w:afterAutospacing="0" w:line="360" w:lineRule="auto"/>
              <w:ind w:left="0" w:right="0"/>
              <w:contextualSpacing/>
              <w:jc w:val="left"/>
              <w:rPr>
                <w:rFonts w:hint="default"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供应商依法缴纳社会保障资金的相关材料[</w:t>
            </w:r>
            <w:r>
              <w:rPr>
                <w:rFonts w:hint="eastAsia" w:ascii="宋体" w:hAnsi="宋体" w:cs="宋体"/>
                <w:color w:val="auto"/>
                <w:szCs w:val="21"/>
                <w:highlight w:val="none"/>
                <w:u w:val="single"/>
                <w:lang w:eastAsia="zh-CN"/>
              </w:rPr>
              <w:t>2025年</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lang w:eastAsia="zh-CN"/>
              </w:rPr>
              <w:t>月以来任意1个月</w:t>
            </w:r>
            <w:r>
              <w:rPr>
                <w:rFonts w:hint="eastAsia" w:ascii="宋体" w:hAnsi="宋体" w:cs="宋体"/>
                <w:color w:val="auto"/>
                <w:szCs w:val="21"/>
                <w:highlight w:val="none"/>
              </w:rPr>
              <w:t>的依法缴纳社会保障资金的缴费凭证（专用收据或者社会保险缴纳清单）复印件；</w:t>
            </w:r>
            <w:r>
              <w:rPr>
                <w:rFonts w:hint="eastAsia"/>
                <w:color w:val="auto"/>
                <w:highlight w:val="none"/>
              </w:rPr>
              <w:t>依法不需要缴纳社会保障资金的，必须提供相应文件证明不需要缴纳社会保障资金。</w:t>
            </w:r>
            <w:r>
              <w:rPr>
                <w:rFonts w:hint="eastAsia" w:ascii="宋体" w:hAnsi="宋体" w:cs="宋体"/>
                <w:color w:val="auto"/>
                <w:szCs w:val="21"/>
                <w:highlight w:val="none"/>
              </w:rPr>
              <w:t>从</w:t>
            </w:r>
            <w:r>
              <w:rPr>
                <w:rFonts w:hint="default"/>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到响应文件提交截止时间止不足要求月数的只需提供从</w:t>
            </w:r>
            <w:r>
              <w:rPr>
                <w:rFonts w:hint="default"/>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的依法缴纳社会保障资金的</w:t>
            </w:r>
            <w:r>
              <w:rPr>
                <w:rFonts w:hint="eastAsia"/>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C3CCB04">
            <w:pPr>
              <w:keepNext w:val="0"/>
              <w:keepLines w:val="0"/>
              <w:pageBreakBefore w:val="0"/>
              <w:suppressLineNumbers w:val="0"/>
              <w:kinsoku/>
              <w:topLinePunct w:val="0"/>
              <w:bidi w:val="0"/>
              <w:spacing w:before="60" w:beforeAutospacing="0" w:after="60" w:afterAutospacing="0" w:line="360" w:lineRule="auto"/>
              <w:ind w:left="0" w:right="0"/>
              <w:contextualSpacing/>
              <w:jc w:val="left"/>
              <w:rPr>
                <w:rFonts w:hint="default" w:ascii="宋体" w:hAnsi="宋体" w:cs="宋体"/>
                <w:b/>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供应商</w:t>
            </w:r>
            <w:r>
              <w:rPr>
                <w:rFonts w:hint="eastAsia"/>
                <w:color w:val="auto"/>
                <w:szCs w:val="21"/>
                <w:highlight w:val="none"/>
              </w:rPr>
              <w:t>财务状况报告（</w:t>
            </w:r>
            <w:r>
              <w:rPr>
                <w:rFonts w:hint="eastAsia" w:ascii="宋体" w:hAnsi="宋体" w:cs="宋体"/>
                <w:color w:val="auto"/>
                <w:szCs w:val="21"/>
                <w:highlight w:val="none"/>
                <w:u w:val="single"/>
                <w:lang w:val="en-US" w:eastAsia="zh-CN"/>
              </w:rPr>
              <w:t>2024</w:t>
            </w:r>
            <w:r>
              <w:rPr>
                <w:rFonts w:hint="eastAsia"/>
                <w:color w:val="auto"/>
                <w:szCs w:val="21"/>
                <w:highlight w:val="none"/>
              </w:rPr>
              <w:t>年度</w:t>
            </w:r>
            <w:r>
              <w:rPr>
                <w:rFonts w:hint="eastAsia"/>
                <w:color w:val="auto"/>
                <w:szCs w:val="21"/>
                <w:highlight w:val="none"/>
                <w:lang w:eastAsia="zh-CN"/>
              </w:rPr>
              <w:t>或</w:t>
            </w:r>
            <w:r>
              <w:rPr>
                <w:rFonts w:hint="eastAsia"/>
                <w:color w:val="auto"/>
                <w:szCs w:val="21"/>
                <w:highlight w:val="none"/>
                <w:u w:val="single"/>
                <w:lang w:val="en-US" w:eastAsia="zh-CN"/>
              </w:rPr>
              <w:t>2025</w:t>
            </w:r>
            <w:r>
              <w:rPr>
                <w:rFonts w:hint="eastAsia"/>
                <w:color w:val="auto"/>
                <w:szCs w:val="21"/>
                <w:highlight w:val="none"/>
                <w:lang w:val="en-US" w:eastAsia="zh-CN"/>
              </w:rPr>
              <w:t>年度</w:t>
            </w:r>
            <w:r>
              <w:rPr>
                <w:rFonts w:hint="eastAsia"/>
                <w:color w:val="auto"/>
                <w:szCs w:val="21"/>
                <w:highlight w:val="none"/>
              </w:rPr>
              <w:t>财务报表复印件，或者银行出具的资信证明，或者中国人民银行征信中心出具的信用报告（企业竞标的提供企业信用报告，自然人竞标的提供个人信用报告）；供应商属于</w:t>
            </w:r>
            <w:r>
              <w:rPr>
                <w:rFonts w:hint="eastAsia"/>
                <w:color w:val="auto"/>
                <w:highlight w:val="none"/>
              </w:rPr>
              <w:t>成立时间</w:t>
            </w:r>
            <w:r>
              <w:rPr>
                <w:rFonts w:hint="eastAsia"/>
                <w:color w:val="auto"/>
                <w:kern w:val="0"/>
                <w:highlight w:val="none"/>
              </w:rPr>
              <w:t>在规定年度之后</w:t>
            </w:r>
            <w:r>
              <w:rPr>
                <w:rFonts w:hint="eastAsia"/>
                <w:color w:val="auto"/>
                <w:highlight w:val="none"/>
              </w:rPr>
              <w:t>的</w:t>
            </w:r>
            <w:r>
              <w:rPr>
                <w:rFonts w:hint="eastAsia"/>
                <w:color w:val="auto"/>
                <w:szCs w:val="21"/>
                <w:highlight w:val="none"/>
              </w:rPr>
              <w:t>法人或其他组织</w:t>
            </w:r>
            <w:r>
              <w:rPr>
                <w:rFonts w:hint="eastAsia"/>
                <w:color w:val="auto"/>
                <w:highlight w:val="none"/>
              </w:rPr>
              <w:t>，需提供成立之日起至响应文件提交截止时间前的月报表</w:t>
            </w:r>
            <w:r>
              <w:rPr>
                <w:rFonts w:hint="eastAsia"/>
                <w:color w:val="auto"/>
                <w:szCs w:val="21"/>
                <w:highlight w:val="none"/>
              </w:rPr>
              <w:t>或银行出具的资信证明或者中国人民银行征信中心出具的企业信用报告；资信证明应在有效期内，未注明有效期的，银行出具时间至响应文件提交截止时间不超过一年）</w:t>
            </w:r>
            <w:r>
              <w:rPr>
                <w:rFonts w:hint="eastAsia" w:ascii="宋体" w:hAnsi="宋体" w:cs="宋体"/>
                <w:color w:val="auto"/>
                <w:szCs w:val="21"/>
                <w:highlight w:val="none"/>
              </w:rPr>
              <w:t>；</w:t>
            </w:r>
            <w:r>
              <w:rPr>
                <w:rFonts w:hint="eastAsia" w:ascii="宋体" w:hAnsi="宋体" w:cs="宋体"/>
                <w:bCs/>
                <w:color w:val="auto"/>
                <w:szCs w:val="21"/>
                <w:highlight w:val="none"/>
              </w:rPr>
              <w:t>（</w:t>
            </w:r>
            <w:r>
              <w:rPr>
                <w:rFonts w:hint="eastAsia" w:ascii="宋体" w:hAnsi="宋体"/>
                <w:b/>
                <w:color w:val="auto"/>
                <w:szCs w:val="21"/>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bCs/>
                <w:color w:val="auto"/>
                <w:szCs w:val="21"/>
                <w:highlight w:val="none"/>
              </w:rPr>
              <w:t>）</w:t>
            </w:r>
          </w:p>
          <w:p w14:paraId="72B87CC5">
            <w:pPr>
              <w:keepNext w:val="0"/>
              <w:keepLines w:val="0"/>
              <w:pageBreakBefore w:val="0"/>
              <w:suppressLineNumbers w:val="0"/>
              <w:kinsoku/>
              <w:topLinePunct w:val="0"/>
              <w:bidi w:val="0"/>
              <w:spacing w:before="60" w:beforeAutospacing="0" w:after="60" w:afterAutospacing="0" w:line="360" w:lineRule="auto"/>
              <w:ind w:left="0" w:right="0"/>
              <w:contextualSpacing/>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供应商直接控股、管理关系信息表（格式后附）；（</w:t>
            </w:r>
            <w:r>
              <w:rPr>
                <w:rFonts w:hint="eastAsia" w:ascii="宋体" w:hAnsi="宋体" w:eastAsia="宋体" w:cs="宋体"/>
                <w:b/>
                <w:bCs/>
                <w:color w:val="auto"/>
                <w:szCs w:val="21"/>
                <w:highlight w:val="none"/>
              </w:rPr>
              <w:t>必须提供，否则响应文件按无效响应处理</w:t>
            </w:r>
            <w:r>
              <w:rPr>
                <w:rFonts w:hint="eastAsia" w:ascii="宋体" w:hAnsi="宋体" w:eastAsia="宋体" w:cs="宋体"/>
                <w:color w:val="auto"/>
                <w:szCs w:val="21"/>
                <w:highlight w:val="none"/>
              </w:rPr>
              <w:t>）</w:t>
            </w:r>
          </w:p>
          <w:p w14:paraId="4C065CF5">
            <w:pPr>
              <w:keepNext w:val="0"/>
              <w:keepLines w:val="0"/>
              <w:pageBreakBefore w:val="0"/>
              <w:suppressLineNumbers w:val="0"/>
              <w:kinsoku/>
              <w:topLinePunct w:val="0"/>
              <w:bidi w:val="0"/>
              <w:spacing w:before="60" w:beforeAutospacing="0" w:after="60" w:afterAutospacing="0" w:line="360" w:lineRule="auto"/>
              <w:ind w:left="0" w:right="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竞标声明（格式后附）；（</w:t>
            </w:r>
            <w:r>
              <w:rPr>
                <w:rFonts w:hint="eastAsia" w:ascii="宋体" w:hAnsi="宋体" w:eastAsia="宋体" w:cs="宋体"/>
                <w:b/>
                <w:bCs/>
                <w:color w:val="auto"/>
                <w:szCs w:val="21"/>
                <w:highlight w:val="none"/>
              </w:rPr>
              <w:t>必须提供，否则响应文件按无效响应处理</w:t>
            </w:r>
            <w:r>
              <w:rPr>
                <w:rFonts w:hint="eastAsia" w:ascii="宋体" w:hAnsi="宋体" w:eastAsia="宋体" w:cs="宋体"/>
                <w:color w:val="auto"/>
                <w:szCs w:val="21"/>
                <w:highlight w:val="none"/>
              </w:rPr>
              <w:t>）</w:t>
            </w:r>
          </w:p>
          <w:p w14:paraId="26E48D42">
            <w:pPr>
              <w:keepNext w:val="0"/>
              <w:keepLines w:val="0"/>
              <w:pageBreakBefore w:val="0"/>
              <w:suppressLineNumbers w:val="0"/>
              <w:kinsoku/>
              <w:topLinePunct w:val="0"/>
              <w:bidi w:val="0"/>
              <w:spacing w:before="60" w:beforeAutospacing="0" w:after="60" w:afterAutospacing="0" w:line="360" w:lineRule="auto"/>
              <w:ind w:left="0" w:right="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7.中小企业声明函或者残疾人福利性单位声明函或者供应商属于监狱企业的证明材料（格式后附）；（</w:t>
            </w:r>
            <w:r>
              <w:rPr>
                <w:rFonts w:hint="eastAsia" w:ascii="宋体" w:hAnsi="宋体" w:eastAsia="宋体" w:cs="宋体"/>
                <w:b/>
                <w:bCs/>
                <w:color w:val="auto"/>
                <w:szCs w:val="21"/>
                <w:highlight w:val="none"/>
                <w:lang w:val="en-US" w:eastAsia="zh-CN"/>
              </w:rPr>
              <w:t>必须提供，否则响应文件按无效响应处理</w:t>
            </w:r>
            <w:r>
              <w:rPr>
                <w:rFonts w:hint="eastAsia" w:ascii="宋体" w:hAnsi="宋体" w:eastAsia="宋体" w:cs="宋体"/>
                <w:color w:val="auto"/>
                <w:szCs w:val="21"/>
                <w:highlight w:val="none"/>
                <w:lang w:val="en-US" w:eastAsia="zh-CN"/>
              </w:rPr>
              <w:t>）</w:t>
            </w:r>
          </w:p>
          <w:p w14:paraId="236EF5D9">
            <w:pPr>
              <w:keepNext w:val="0"/>
              <w:keepLines w:val="0"/>
              <w:pageBreakBefore w:val="0"/>
              <w:suppressLineNumbers w:val="0"/>
              <w:kinsoku/>
              <w:topLinePunct w:val="0"/>
              <w:bidi w:val="0"/>
              <w:spacing w:before="60" w:beforeAutospacing="0" w:after="60" w:afterAutospacing="0" w:line="360" w:lineRule="auto"/>
              <w:ind w:left="0" w:right="0"/>
              <w:contextualSpacing/>
              <w:jc w:val="left"/>
              <w:rPr>
                <w:rFonts w:hint="eastAsia" w:ascii="宋体" w:hAnsi="宋体"/>
                <w:color w:val="auto"/>
                <w:highlight w:val="none"/>
              </w:rPr>
            </w:pPr>
            <w:r>
              <w:rPr>
                <w:rFonts w:hint="eastAsia" w:ascii="宋体" w:hAnsi="宋体" w:eastAsia="宋体" w:cs="宋体"/>
                <w:color w:val="auto"/>
                <w:szCs w:val="21"/>
                <w:highlight w:val="none"/>
                <w:lang w:val="en-US" w:eastAsia="zh-CN"/>
              </w:rPr>
              <w:t>8供应商须具有有效的人力资源服务许可证；（</w:t>
            </w:r>
            <w:r>
              <w:rPr>
                <w:rFonts w:hint="eastAsia" w:ascii="宋体" w:hAnsi="宋体" w:eastAsia="宋体" w:cs="宋体"/>
                <w:b/>
                <w:bCs/>
                <w:color w:val="auto"/>
                <w:szCs w:val="21"/>
                <w:highlight w:val="none"/>
                <w:lang w:val="en-US" w:eastAsia="zh-CN"/>
              </w:rPr>
              <w:t>必须提供，否则响应文件按无效响应处理</w:t>
            </w:r>
            <w:r>
              <w:rPr>
                <w:rFonts w:hint="eastAsia" w:ascii="宋体" w:hAnsi="宋体" w:eastAsia="宋体" w:cs="宋体"/>
                <w:color w:val="auto"/>
                <w:szCs w:val="21"/>
                <w:highlight w:val="none"/>
                <w:lang w:val="en-US" w:eastAsia="zh-CN"/>
              </w:rPr>
              <w:t>）</w:t>
            </w:r>
          </w:p>
          <w:p w14:paraId="787FC67A">
            <w:pPr>
              <w:keepNext w:val="0"/>
              <w:keepLines w:val="0"/>
              <w:pageBreakBefore w:val="0"/>
              <w:suppressLineNumbers w:val="0"/>
              <w:kinsoku/>
              <w:topLinePunct w:val="0"/>
              <w:bidi w:val="0"/>
              <w:spacing w:before="60" w:beforeAutospacing="0" w:after="60" w:afterAutospacing="0" w:line="360" w:lineRule="auto"/>
              <w:ind w:left="0" w:right="0"/>
              <w:contextualSpacing/>
              <w:jc w:val="left"/>
              <w:rPr>
                <w:rFonts w:hint="default" w:ascii="宋体" w:hAnsi="宋体" w:eastAsia="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联合体竞标协议书（格式后附）；（</w:t>
            </w:r>
            <w:r>
              <w:rPr>
                <w:rFonts w:hint="eastAsia" w:ascii="宋体" w:hAnsi="宋体" w:eastAsia="宋体" w:cs="宋体"/>
                <w:b/>
                <w:bCs/>
                <w:color w:val="auto"/>
                <w:szCs w:val="21"/>
                <w:highlight w:val="none"/>
              </w:rPr>
              <w:t>根据公告资格要求，如接受联合体竞标时，联合体竞标时必须提供，否则响应文件按无效响应处理</w:t>
            </w:r>
            <w:r>
              <w:rPr>
                <w:rFonts w:hint="eastAsia" w:ascii="宋体" w:hAnsi="宋体" w:eastAsia="宋体" w:cs="宋体"/>
                <w:color w:val="auto"/>
                <w:szCs w:val="21"/>
                <w:highlight w:val="none"/>
              </w:rPr>
              <w:t>）</w:t>
            </w:r>
          </w:p>
          <w:p w14:paraId="5ED15020">
            <w:pPr>
              <w:keepNext w:val="0"/>
              <w:keepLines w:val="0"/>
              <w:pageBreakBefore w:val="0"/>
              <w:suppressLineNumbers w:val="0"/>
              <w:kinsoku/>
              <w:topLinePunct w:val="0"/>
              <w:bidi w:val="0"/>
              <w:spacing w:before="60" w:beforeAutospacing="0" w:after="60" w:afterAutospacing="0" w:line="360" w:lineRule="auto"/>
              <w:ind w:left="0" w:right="0"/>
              <w:contextualSpacing/>
              <w:jc w:val="left"/>
              <w:rPr>
                <w:rFonts w:hint="default" w:ascii="宋体" w:hAnsi="宋体" w:eastAsia="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除磋商文件规定必须提供以外，供应商认为需要提供的其他证明材料；</w:t>
            </w:r>
          </w:p>
          <w:p w14:paraId="0091E9CE">
            <w:pPr>
              <w:keepNext w:val="0"/>
              <w:keepLines w:val="0"/>
              <w:pageBreakBefore w:val="0"/>
              <w:suppressLineNumbers w:val="0"/>
              <w:kinsoku/>
              <w:topLinePunct w:val="0"/>
              <w:bidi w:val="0"/>
              <w:snapToGrid w:val="0"/>
              <w:spacing w:before="60" w:beforeAutospacing="0" w:after="60" w:afterAutospacing="0" w:line="360" w:lineRule="auto"/>
              <w:ind w:left="0" w:right="0"/>
              <w:jc w:val="left"/>
              <w:rPr>
                <w:rFonts w:hint="default" w:ascii="宋体" w:hAnsi="宋体" w:cs="宋体"/>
                <w:b/>
                <w:color w:val="auto"/>
                <w:szCs w:val="21"/>
                <w:highlight w:val="none"/>
              </w:rPr>
            </w:pPr>
            <w:r>
              <w:rPr>
                <w:rFonts w:hint="eastAsia" w:ascii="宋体" w:hAnsi="宋体" w:cs="宋体"/>
                <w:b/>
                <w:color w:val="auto"/>
                <w:szCs w:val="21"/>
                <w:highlight w:val="none"/>
              </w:rPr>
              <w:t>注：</w:t>
            </w:r>
          </w:p>
          <w:p w14:paraId="652D31AA">
            <w:pPr>
              <w:keepNext w:val="0"/>
              <w:keepLines w:val="0"/>
              <w:pageBreakBefore w:val="0"/>
              <w:suppressLineNumbers w:val="0"/>
              <w:kinsoku/>
              <w:topLinePunct w:val="0"/>
              <w:bidi w:val="0"/>
              <w:snapToGrid w:val="0"/>
              <w:spacing w:before="60" w:beforeAutospacing="0" w:after="60" w:afterAutospacing="0" w:line="360" w:lineRule="auto"/>
              <w:ind w:left="0" w:right="0" w:firstLine="413" w:firstLineChars="196"/>
              <w:jc w:val="left"/>
              <w:rPr>
                <w:rFonts w:hint="default" w:ascii="宋体" w:hAnsi="宋体" w:cs="宋体"/>
                <w:b/>
                <w:color w:val="auto"/>
                <w:szCs w:val="21"/>
                <w:highlight w:val="none"/>
              </w:rPr>
            </w:pPr>
            <w:r>
              <w:rPr>
                <w:rFonts w:hint="eastAsia" w:ascii="宋体" w:hAnsi="宋体" w:cs="宋体"/>
                <w:b/>
                <w:color w:val="auto"/>
                <w:szCs w:val="21"/>
                <w:highlight w:val="none"/>
              </w:rPr>
              <w:t>1</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以上标明“必须提供”的材料属于复印件的，必须加盖供应商</w:t>
            </w:r>
            <w:r>
              <w:rPr>
                <w:rFonts w:hint="eastAsia"/>
                <w:b/>
                <w:color w:val="auto"/>
                <w:highlight w:val="none"/>
              </w:rPr>
              <w:t>电子签章</w:t>
            </w:r>
            <w:r>
              <w:rPr>
                <w:rFonts w:hint="eastAsia" w:ascii="宋体" w:hAnsi="宋体" w:cs="宋体"/>
                <w:b/>
                <w:color w:val="auto"/>
                <w:szCs w:val="21"/>
                <w:highlight w:val="none"/>
              </w:rPr>
              <w:t>，否则响应文件按无效处理。</w:t>
            </w:r>
          </w:p>
          <w:p w14:paraId="0AD0B0FB">
            <w:pPr>
              <w:pStyle w:val="10"/>
              <w:keepNext w:val="0"/>
              <w:keepLines w:val="0"/>
              <w:pageBreakBefore w:val="0"/>
              <w:suppressLineNumbers w:val="0"/>
              <w:kinsoku/>
              <w:topLinePunct w:val="0"/>
              <w:bidi w:val="0"/>
              <w:spacing w:before="60" w:beforeAutospacing="0" w:after="60" w:afterAutospacing="0" w:line="360" w:lineRule="auto"/>
              <w:ind w:left="0" w:right="0" w:firstLine="422" w:firstLineChars="200"/>
              <w:rPr>
                <w:rFonts w:hint="default"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联合体竞标时，第1-5项资格证明文件联合体各方均必须分别提供，</w:t>
            </w:r>
            <w:r>
              <w:rPr>
                <w:rFonts w:hint="eastAsia"/>
                <w:b/>
                <w:color w:val="auto"/>
                <w:highlight w:val="none"/>
              </w:rPr>
              <w:t>并由</w:t>
            </w:r>
            <w:r>
              <w:rPr>
                <w:rFonts w:hint="eastAsia" w:ascii="宋体" w:hAnsi="宋体" w:cs="宋体"/>
                <w:b/>
                <w:color w:val="auto"/>
                <w:szCs w:val="21"/>
                <w:highlight w:val="none"/>
              </w:rPr>
              <w:t>联合体</w:t>
            </w:r>
            <w:r>
              <w:rPr>
                <w:rFonts w:hint="eastAsia"/>
                <w:b/>
                <w:color w:val="auto"/>
                <w:highlight w:val="none"/>
              </w:rPr>
              <w:t>牵头人加盖电子签章</w:t>
            </w:r>
            <w:r>
              <w:rPr>
                <w:rFonts w:hint="eastAsia" w:ascii="宋体" w:hAnsi="宋体" w:cs="宋体"/>
                <w:b/>
                <w:color w:val="auto"/>
                <w:szCs w:val="21"/>
                <w:highlight w:val="none"/>
              </w:rPr>
              <w:t>，</w:t>
            </w:r>
            <w:r>
              <w:rPr>
                <w:rFonts w:hint="eastAsia"/>
                <w:b/>
                <w:color w:val="auto"/>
                <w:highlight w:val="none"/>
              </w:rPr>
              <w:t>规定签字</w:t>
            </w:r>
            <w:r>
              <w:rPr>
                <w:rFonts w:hint="eastAsia" w:ascii="宋体" w:hAnsi="宋体" w:cs="宋体"/>
                <w:b/>
                <w:color w:val="auto"/>
                <w:szCs w:val="21"/>
                <w:highlight w:val="none"/>
              </w:rPr>
              <w:t>处签字</w:t>
            </w:r>
            <w:r>
              <w:rPr>
                <w:rFonts w:hint="eastAsia" w:ascii="宋体" w:hAnsi="宋体"/>
                <w:b/>
                <w:bCs/>
                <w:color w:val="auto"/>
                <w:szCs w:val="21"/>
                <w:highlight w:val="none"/>
              </w:rPr>
              <w:t>（或者电子签名）</w:t>
            </w:r>
            <w:r>
              <w:rPr>
                <w:rFonts w:hint="eastAsia" w:ascii="宋体" w:hAnsi="宋体" w:cs="宋体"/>
                <w:b/>
                <w:color w:val="auto"/>
                <w:szCs w:val="21"/>
                <w:highlight w:val="none"/>
              </w:rPr>
              <w:t>，否则响应文件按无效处理。</w:t>
            </w:r>
          </w:p>
          <w:p w14:paraId="765865E1">
            <w:pPr>
              <w:pStyle w:val="10"/>
              <w:keepNext w:val="0"/>
              <w:keepLines w:val="0"/>
              <w:pageBreakBefore w:val="0"/>
              <w:suppressLineNumbers w:val="0"/>
              <w:kinsoku/>
              <w:topLinePunct w:val="0"/>
              <w:bidi w:val="0"/>
              <w:spacing w:before="60" w:beforeAutospacing="0" w:after="60" w:afterAutospacing="0" w:line="360" w:lineRule="auto"/>
              <w:ind w:left="0" w:right="0" w:firstLine="422" w:firstLineChars="200"/>
              <w:rPr>
                <w:rFonts w:hint="eastAsia" w:ascii="宋体" w:hAnsi="宋体" w:eastAsia="宋体" w:cs="宋体"/>
                <w:b/>
                <w:color w:val="auto"/>
                <w:szCs w:val="21"/>
                <w:highlight w:val="none"/>
                <w:lang w:eastAsia="zh-CN"/>
              </w:rPr>
            </w:pPr>
            <w:r>
              <w:rPr>
                <w:rFonts w:hint="default" w:ascii="宋体" w:hAnsi="宋体"/>
                <w:b/>
                <w:bCs/>
                <w:color w:val="auto"/>
                <w:szCs w:val="21"/>
                <w:highlight w:val="none"/>
              </w:rPr>
              <w:t>3</w:t>
            </w:r>
            <w:r>
              <w:rPr>
                <w:rFonts w:hint="eastAsia" w:ascii="宋体" w:hAnsi="宋体"/>
                <w:b/>
                <w:bCs/>
                <w:color w:val="auto"/>
                <w:szCs w:val="21"/>
                <w:highlight w:val="none"/>
                <w:lang w:eastAsia="zh-CN"/>
              </w:rPr>
              <w:t>.</w:t>
            </w:r>
            <w:r>
              <w:rPr>
                <w:rFonts w:hint="eastAsia" w:ascii="宋体" w:hAnsi="宋体"/>
                <w:b/>
                <w:bCs/>
                <w:color w:val="auto"/>
                <w:szCs w:val="21"/>
                <w:highlight w:val="none"/>
              </w:rPr>
              <w:t>分公司参加竞标的，应当取得总公司授权</w:t>
            </w:r>
            <w:r>
              <w:rPr>
                <w:rFonts w:hint="eastAsia" w:ascii="宋体" w:hAnsi="宋体"/>
                <w:b/>
                <w:bCs/>
                <w:color w:val="auto"/>
                <w:szCs w:val="21"/>
                <w:highlight w:val="none"/>
                <w:lang w:eastAsia="zh-CN"/>
              </w:rPr>
              <w:t>。</w:t>
            </w:r>
          </w:p>
        </w:tc>
      </w:tr>
      <w:tr w14:paraId="2B29E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A26D7AF">
            <w:pPr>
              <w:keepNext w:val="0"/>
              <w:keepLines w:val="0"/>
              <w:pageBreakBefore w:val="0"/>
              <w:suppressLineNumbers w:val="0"/>
              <w:kinsoku/>
              <w:topLinePunct w:val="0"/>
              <w:bidi w:val="0"/>
              <w:spacing w:before="60" w:beforeAutospacing="0" w:after="6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zCs w:val="21"/>
                <w:highlight w:val="none"/>
                <w:lang w:eastAsia="zh-CN"/>
              </w:rPr>
              <w:t>.</w:t>
            </w: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2</w:t>
            </w:r>
          </w:p>
        </w:tc>
        <w:tc>
          <w:tcPr>
            <w:tcW w:w="7912" w:type="dxa"/>
            <w:vAlign w:val="center"/>
          </w:tcPr>
          <w:p w14:paraId="0A66E1E7">
            <w:pPr>
              <w:keepNext w:val="0"/>
              <w:keepLines w:val="0"/>
              <w:pageBreakBefore w:val="0"/>
              <w:suppressLineNumbers w:val="0"/>
              <w:kinsoku/>
              <w:topLinePunct w:val="0"/>
              <w:bidi w:val="0"/>
              <w:spacing w:before="60" w:beforeAutospacing="0" w:after="6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报价文件</w:t>
            </w:r>
          </w:p>
          <w:p w14:paraId="7430A207">
            <w:pPr>
              <w:keepNext w:val="0"/>
              <w:keepLines w:val="0"/>
              <w:pageBreakBefore w:val="0"/>
              <w:suppressLineNumbers w:val="0"/>
              <w:kinsoku/>
              <w:topLinePunct w:val="0"/>
              <w:bidi w:val="0"/>
              <w:spacing w:before="60" w:beforeAutospacing="0" w:after="6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竞标报价表（格式后附）；（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218CAFB9">
            <w:pPr>
              <w:keepNext w:val="0"/>
              <w:keepLines w:val="0"/>
              <w:pageBreakBefore w:val="0"/>
              <w:suppressLineNumbers w:val="0"/>
              <w:kinsoku/>
              <w:topLinePunct w:val="0"/>
              <w:bidi w:val="0"/>
              <w:spacing w:before="60" w:beforeAutospacing="0" w:after="6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供应商认为需要提供的其他有关资料。</w:t>
            </w:r>
          </w:p>
        </w:tc>
      </w:tr>
      <w:tr w14:paraId="5F409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2D395C8">
            <w:pPr>
              <w:keepNext w:val="0"/>
              <w:keepLines w:val="0"/>
              <w:pageBreakBefore w:val="0"/>
              <w:suppressLineNumbers w:val="0"/>
              <w:kinsoku/>
              <w:topLinePunct w:val="0"/>
              <w:bidi w:val="0"/>
              <w:spacing w:before="60" w:beforeAutospacing="0" w:after="6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zCs w:val="21"/>
                <w:highlight w:val="none"/>
                <w:lang w:eastAsia="zh-CN"/>
              </w:rPr>
              <w:t>.</w:t>
            </w:r>
            <w:r>
              <w:rPr>
                <w:rFonts w:hint="default"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3</w:t>
            </w:r>
          </w:p>
        </w:tc>
        <w:tc>
          <w:tcPr>
            <w:tcW w:w="7912" w:type="dxa"/>
            <w:vAlign w:val="center"/>
          </w:tcPr>
          <w:p w14:paraId="5AC25B21">
            <w:pPr>
              <w:keepNext w:val="0"/>
              <w:keepLines w:val="0"/>
              <w:pageBreakBefore w:val="0"/>
              <w:suppressLineNumbers w:val="0"/>
              <w:kinsoku/>
              <w:topLinePunct w:val="0"/>
              <w:bidi w:val="0"/>
              <w:spacing w:before="60" w:beforeAutospacing="0" w:after="60" w:afterAutospacing="0" w:line="360" w:lineRule="auto"/>
              <w:ind w:left="0" w:right="0"/>
              <w:rPr>
                <w:rFonts w:hint="default" w:ascii="宋体" w:hAnsi="宋体" w:cs="宋体"/>
                <w:b/>
                <w:bCs/>
                <w:color w:val="auto"/>
                <w:szCs w:val="21"/>
                <w:highlight w:val="none"/>
              </w:rPr>
            </w:pPr>
            <w:r>
              <w:rPr>
                <w:rFonts w:hint="eastAsia" w:ascii="宋体" w:hAnsi="宋体" w:cs="宋体"/>
                <w:b/>
                <w:bCs/>
                <w:color w:val="auto"/>
                <w:szCs w:val="21"/>
                <w:highlight w:val="none"/>
              </w:rPr>
              <w:t>商务技术文件</w:t>
            </w:r>
          </w:p>
          <w:p w14:paraId="4C96D1A5">
            <w:pPr>
              <w:keepNext w:val="0"/>
              <w:keepLines w:val="0"/>
              <w:pageBreakBefore w:val="0"/>
              <w:suppressLineNumbers w:val="0"/>
              <w:kinsoku/>
              <w:topLinePunct w:val="0"/>
              <w:bidi w:val="0"/>
              <w:spacing w:before="60" w:beforeAutospacing="0" w:after="60" w:afterAutospacing="0" w:line="360" w:lineRule="auto"/>
              <w:ind w:left="0" w:right="0"/>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无串通竞标行为的承诺函（格式后附）；</w:t>
            </w:r>
            <w:r>
              <w:rPr>
                <w:rFonts w:hint="eastAsia" w:ascii="宋体" w:hAnsi="宋体" w:eastAsia="宋体" w:cs="宋体"/>
                <w:b/>
                <w:bCs/>
                <w:color w:val="auto"/>
                <w:szCs w:val="21"/>
                <w:highlight w:val="none"/>
                <w:lang w:val="en-US" w:eastAsia="zh-CN"/>
              </w:rPr>
              <w:t>（必须提供，否则响应文件按无效响应处理）</w:t>
            </w:r>
          </w:p>
          <w:p w14:paraId="36F0C2EA">
            <w:pPr>
              <w:keepNext w:val="0"/>
              <w:keepLines w:val="0"/>
              <w:pageBreakBefore w:val="0"/>
              <w:suppressLineNumbers w:val="0"/>
              <w:kinsoku/>
              <w:topLinePunct w:val="0"/>
              <w:bidi w:val="0"/>
              <w:spacing w:before="60" w:beforeAutospacing="0" w:after="60" w:afterAutospacing="0" w:line="360" w:lineRule="auto"/>
              <w:ind w:left="0" w:right="0"/>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法定代表人身份证明书及法定代表人有效身份证正反面复印件（格式后附）；</w:t>
            </w:r>
            <w:r>
              <w:rPr>
                <w:rFonts w:hint="eastAsia" w:ascii="宋体" w:hAnsi="宋体" w:eastAsia="宋体" w:cs="宋体"/>
                <w:b/>
                <w:bCs/>
                <w:color w:val="auto"/>
                <w:szCs w:val="21"/>
                <w:highlight w:val="none"/>
                <w:lang w:val="en-US" w:eastAsia="zh-CN"/>
              </w:rPr>
              <w:t>（除自然人竞标外必须提供，否则响应文件按无效响应处理）</w:t>
            </w:r>
          </w:p>
          <w:p w14:paraId="448F55E1">
            <w:pPr>
              <w:keepNext w:val="0"/>
              <w:keepLines w:val="0"/>
              <w:pageBreakBefore w:val="0"/>
              <w:suppressLineNumbers w:val="0"/>
              <w:kinsoku/>
              <w:topLinePunct w:val="0"/>
              <w:bidi w:val="0"/>
              <w:spacing w:before="60" w:beforeAutospacing="0" w:after="60" w:afterAutospacing="0" w:line="360" w:lineRule="auto"/>
              <w:ind w:left="0" w:right="0"/>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lang w:val="en-US" w:eastAsia="zh-CN"/>
              </w:rPr>
              <w:t>3</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授权委托书及委托代理人有效身份证正反面复印件（格式后附）；</w:t>
            </w:r>
            <w:r>
              <w:rPr>
                <w:rFonts w:hint="eastAsia" w:ascii="宋体" w:hAnsi="宋体" w:eastAsia="宋体" w:cs="宋体"/>
                <w:b/>
                <w:bCs/>
                <w:color w:val="auto"/>
                <w:szCs w:val="21"/>
                <w:highlight w:val="none"/>
                <w:lang w:val="en-US" w:eastAsia="zh-CN"/>
              </w:rPr>
              <w:t>（委托时必须提供，否则响应文件按无效响应处理）</w:t>
            </w:r>
          </w:p>
          <w:p w14:paraId="01540C1E">
            <w:pPr>
              <w:keepNext w:val="0"/>
              <w:keepLines w:val="0"/>
              <w:pageBreakBefore w:val="0"/>
              <w:suppressLineNumbers w:val="0"/>
              <w:kinsoku/>
              <w:topLinePunct w:val="0"/>
              <w:bidi w:val="0"/>
              <w:spacing w:before="60" w:beforeAutospacing="0" w:after="60" w:afterAutospacing="0" w:line="360" w:lineRule="auto"/>
              <w:ind w:left="0" w:right="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商务要求偏离表（格式后附）；</w:t>
            </w:r>
            <w:r>
              <w:rPr>
                <w:rFonts w:hint="eastAsia" w:ascii="宋体" w:hAnsi="宋体" w:eastAsia="宋体" w:cs="宋体"/>
                <w:b/>
                <w:bCs/>
                <w:color w:val="auto"/>
                <w:szCs w:val="21"/>
                <w:highlight w:val="none"/>
                <w:lang w:val="en-US" w:eastAsia="zh-CN"/>
              </w:rPr>
              <w:t>（必须提供，否则响应文件按无效响应处理）</w:t>
            </w:r>
          </w:p>
          <w:p w14:paraId="632693B3">
            <w:pPr>
              <w:keepNext w:val="0"/>
              <w:keepLines w:val="0"/>
              <w:pageBreakBefore w:val="0"/>
              <w:suppressLineNumbers w:val="0"/>
              <w:kinsoku/>
              <w:topLinePunct w:val="0"/>
              <w:bidi w:val="0"/>
              <w:spacing w:before="60" w:beforeAutospacing="0" w:after="60" w:afterAutospacing="0" w:line="360" w:lineRule="auto"/>
              <w:ind w:left="0" w:right="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技术要求偏离表（格式后附）；</w:t>
            </w:r>
            <w:r>
              <w:rPr>
                <w:rFonts w:hint="eastAsia" w:ascii="宋体" w:hAnsi="宋体" w:eastAsia="宋体" w:cs="宋体"/>
                <w:b/>
                <w:bCs/>
                <w:color w:val="auto"/>
                <w:szCs w:val="21"/>
                <w:highlight w:val="none"/>
                <w:lang w:val="en-US" w:eastAsia="zh-CN"/>
              </w:rPr>
              <w:t>（必须提供，否则响应文件按无效响应处理）</w:t>
            </w:r>
          </w:p>
          <w:p w14:paraId="3F6FBB37">
            <w:pPr>
              <w:keepNext w:val="0"/>
              <w:keepLines w:val="0"/>
              <w:pageBreakBefore w:val="0"/>
              <w:suppressLineNumbers w:val="0"/>
              <w:kinsoku/>
              <w:topLinePunct w:val="0"/>
              <w:bidi w:val="0"/>
              <w:spacing w:before="60" w:beforeAutospacing="0" w:after="60" w:afterAutospacing="0" w:line="360" w:lineRule="auto"/>
              <w:ind w:left="0" w:right="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6.服务方案（供应商根据采购文件及评审方法自行提供</w:t>
            </w:r>
            <w:r>
              <w:rPr>
                <w:rFonts w:hint="eastAsia" w:ascii="宋体" w:hAnsi="宋体" w:eastAsia="宋体" w:cs="宋体"/>
                <w:color w:val="auto"/>
                <w:szCs w:val="21"/>
                <w:highlight w:val="none"/>
                <w:lang w:val="en-US" w:eastAsia="zh-CN"/>
              </w:rPr>
              <w:t>，格式自拟</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p>
          <w:p w14:paraId="70704264">
            <w:pPr>
              <w:keepNext w:val="0"/>
              <w:keepLines w:val="0"/>
              <w:pageBreakBefore w:val="0"/>
              <w:suppressLineNumbers w:val="0"/>
              <w:kinsoku/>
              <w:topLinePunct w:val="0"/>
              <w:bidi w:val="0"/>
              <w:spacing w:before="60" w:beforeAutospacing="0" w:after="60" w:afterAutospacing="0" w:line="360" w:lineRule="auto"/>
              <w:ind w:left="0" w:right="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7.服务团队及服务设施设备（供应商根据采购文件及评审方法自行提供</w:t>
            </w:r>
            <w:r>
              <w:rPr>
                <w:rFonts w:hint="eastAsia" w:ascii="宋体" w:hAnsi="宋体" w:eastAsia="宋体" w:cs="宋体"/>
                <w:color w:val="auto"/>
                <w:szCs w:val="21"/>
                <w:highlight w:val="none"/>
                <w:lang w:val="en-US" w:eastAsia="zh-CN"/>
              </w:rPr>
              <w:t>，格式自拟</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p>
          <w:p w14:paraId="311E0975">
            <w:pPr>
              <w:keepNext w:val="0"/>
              <w:keepLines w:val="0"/>
              <w:pageBreakBefore w:val="0"/>
              <w:suppressLineNumbers w:val="0"/>
              <w:kinsoku/>
              <w:topLinePunct w:val="0"/>
              <w:bidi w:val="0"/>
              <w:spacing w:before="60" w:beforeAutospacing="0" w:after="6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lang w:eastAsia="zh-CN"/>
              </w:rPr>
              <w:t>.服务承诺</w:t>
            </w:r>
            <w:r>
              <w:rPr>
                <w:rFonts w:hint="eastAsia" w:ascii="宋体" w:hAnsi="宋体" w:cs="宋体"/>
                <w:color w:val="auto"/>
                <w:szCs w:val="21"/>
                <w:highlight w:val="none"/>
                <w:lang w:val="en-US" w:eastAsia="zh-CN"/>
              </w:rPr>
              <w:t>（供应商根据采购文件及评审方法自行提供</w:t>
            </w:r>
            <w:r>
              <w:rPr>
                <w:rFonts w:hint="eastAsia" w:ascii="宋体" w:hAnsi="宋体" w:eastAsia="宋体" w:cs="宋体"/>
                <w:color w:val="auto"/>
                <w:szCs w:val="21"/>
                <w:highlight w:val="none"/>
                <w:lang w:val="en-US" w:eastAsia="zh-CN"/>
              </w:rPr>
              <w:t>，格式自拟</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w:t>
            </w:r>
          </w:p>
          <w:p w14:paraId="11008C28">
            <w:pPr>
              <w:keepNext w:val="0"/>
              <w:keepLines w:val="0"/>
              <w:pageBreakBefore w:val="0"/>
              <w:suppressLineNumbers w:val="0"/>
              <w:kinsoku/>
              <w:topLinePunct w:val="0"/>
              <w:bidi w:val="0"/>
              <w:spacing w:before="60" w:beforeAutospacing="0" w:after="60" w:afterAutospacing="0" w:line="360" w:lineRule="auto"/>
              <w:ind w:left="0" w:right="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9.进度保证和质量控制措施（供应商根据采购文件及评审方法自行提供</w:t>
            </w:r>
            <w:r>
              <w:rPr>
                <w:rFonts w:hint="eastAsia" w:ascii="宋体" w:hAnsi="宋体" w:eastAsia="宋体" w:cs="宋体"/>
                <w:color w:val="auto"/>
                <w:szCs w:val="21"/>
                <w:highlight w:val="none"/>
                <w:lang w:val="en-US" w:eastAsia="zh-CN"/>
              </w:rPr>
              <w:t>，格式自拟</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w:t>
            </w:r>
          </w:p>
          <w:p w14:paraId="397ED9B3">
            <w:pPr>
              <w:keepNext w:val="0"/>
              <w:keepLines w:val="0"/>
              <w:pageBreakBefore w:val="0"/>
              <w:suppressLineNumbers w:val="0"/>
              <w:kinsoku/>
              <w:topLinePunct w:val="0"/>
              <w:bidi w:val="0"/>
              <w:spacing w:before="60" w:beforeAutospacing="0" w:after="6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lang w:eastAsia="zh-CN"/>
              </w:rPr>
              <w:t>.</w:t>
            </w:r>
            <w:r>
              <w:rPr>
                <w:rFonts w:hint="eastAsia" w:ascii="宋体" w:hAnsi="宋体" w:cs="宋体"/>
                <w:color w:val="auto"/>
                <w:szCs w:val="21"/>
                <w:highlight w:val="none"/>
              </w:rPr>
              <w:t>对应采购需求的技术要求、商务要求提供的其他文件资料（格式自拟）；</w:t>
            </w:r>
          </w:p>
          <w:p w14:paraId="34A4C8B7">
            <w:pPr>
              <w:keepNext w:val="0"/>
              <w:keepLines w:val="0"/>
              <w:pageBreakBefore w:val="0"/>
              <w:suppressLineNumbers w:val="0"/>
              <w:kinsoku/>
              <w:topLinePunct w:val="0"/>
              <w:bidi w:val="0"/>
              <w:spacing w:before="60" w:beforeAutospacing="0" w:after="60" w:afterAutospacing="0" w:line="360" w:lineRule="auto"/>
              <w:ind w:left="0" w:right="0"/>
              <w:rPr>
                <w:rFonts w:hint="default" w:ascii="宋体" w:hAnsi="宋体" w:cs="宋体"/>
                <w:color w:val="auto"/>
                <w:szCs w:val="21"/>
                <w:highlight w:val="none"/>
              </w:rPr>
            </w:pPr>
            <w:r>
              <w:rPr>
                <w:rFonts w:hint="default"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供应商认为需要提供的其他有关资料。</w:t>
            </w:r>
          </w:p>
          <w:p w14:paraId="7AEBDC93">
            <w:pPr>
              <w:keepNext w:val="0"/>
              <w:keepLines w:val="0"/>
              <w:pageBreakBefore w:val="0"/>
              <w:suppressLineNumbers w:val="0"/>
              <w:kinsoku/>
              <w:topLinePunct w:val="0"/>
              <w:bidi w:val="0"/>
              <w:snapToGrid w:val="0"/>
              <w:spacing w:before="60" w:beforeAutospacing="0" w:after="60" w:afterAutospacing="0" w:line="360" w:lineRule="auto"/>
              <w:ind w:left="0" w:right="0"/>
              <w:jc w:val="left"/>
              <w:rPr>
                <w:rFonts w:hint="default" w:ascii="宋体" w:hAnsi="宋体" w:cs="宋体"/>
                <w:b/>
                <w:color w:val="auto"/>
                <w:szCs w:val="21"/>
                <w:highlight w:val="none"/>
              </w:rPr>
            </w:pPr>
            <w:r>
              <w:rPr>
                <w:rFonts w:hint="eastAsia" w:ascii="宋体" w:hAnsi="宋体" w:cs="宋体"/>
                <w:b/>
                <w:color w:val="auto"/>
                <w:szCs w:val="21"/>
                <w:highlight w:val="none"/>
              </w:rPr>
              <w:t>注：以上标明“必须提供”的材料属于复印件的，必须加盖供应商</w:t>
            </w:r>
            <w:r>
              <w:rPr>
                <w:rFonts w:hint="eastAsia" w:ascii="宋体" w:hAnsi="宋体"/>
                <w:b/>
                <w:bCs/>
                <w:color w:val="auto"/>
                <w:szCs w:val="21"/>
                <w:highlight w:val="none"/>
              </w:rPr>
              <w:t>电子签章</w:t>
            </w:r>
            <w:r>
              <w:rPr>
                <w:rFonts w:hint="eastAsia" w:ascii="宋体" w:hAnsi="宋体" w:cs="宋体"/>
                <w:b/>
                <w:color w:val="auto"/>
                <w:szCs w:val="21"/>
                <w:highlight w:val="none"/>
              </w:rPr>
              <w:t>，否则响应文件按无效响应处理。</w:t>
            </w:r>
          </w:p>
        </w:tc>
      </w:tr>
      <w:tr w14:paraId="1368B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9D754E4">
            <w:pPr>
              <w:keepNext w:val="0"/>
              <w:keepLines w:val="0"/>
              <w:pageBreakBefore w:val="0"/>
              <w:suppressLineNumbers w:val="0"/>
              <w:kinsoku/>
              <w:topLinePunct w:val="0"/>
              <w:bidi w:val="0"/>
              <w:spacing w:before="60" w:beforeAutospacing="0" w:after="6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cs="宋体"/>
                <w:color w:val="auto"/>
                <w:szCs w:val="21"/>
                <w:highlight w:val="none"/>
                <w:lang w:eastAsia="zh-CN"/>
              </w:rPr>
              <w:t>.</w:t>
            </w:r>
            <w:r>
              <w:rPr>
                <w:rFonts w:hint="eastAsia" w:ascii="宋体" w:hAnsi="宋体" w:cs="宋体"/>
                <w:color w:val="auto"/>
                <w:szCs w:val="21"/>
                <w:highlight w:val="none"/>
              </w:rPr>
              <w:t>2</w:t>
            </w:r>
          </w:p>
        </w:tc>
        <w:tc>
          <w:tcPr>
            <w:tcW w:w="7912" w:type="dxa"/>
            <w:vAlign w:val="center"/>
          </w:tcPr>
          <w:p w14:paraId="4CFC28DC">
            <w:pPr>
              <w:keepNext w:val="0"/>
              <w:keepLines w:val="0"/>
              <w:pageBreakBefore w:val="0"/>
              <w:suppressLineNumbers w:val="0"/>
              <w:kinsoku/>
              <w:topLinePunct w:val="0"/>
              <w:bidi w:val="0"/>
              <w:spacing w:before="60" w:beforeAutospacing="0" w:after="60" w:afterAutospacing="0" w:line="360" w:lineRule="auto"/>
              <w:ind w:left="0" w:right="0"/>
              <w:contextualSpacing/>
              <w:jc w:val="left"/>
              <w:rPr>
                <w:rFonts w:hint="default" w:ascii="宋体" w:hAnsi="宋体" w:cs="宋体"/>
                <w:color w:val="auto"/>
                <w:szCs w:val="21"/>
                <w:highlight w:val="none"/>
              </w:rPr>
            </w:pPr>
            <w:r>
              <w:rPr>
                <w:rFonts w:hint="eastAsia" w:ascii="宋体" w:hAnsi="宋体"/>
                <w:color w:val="auto"/>
                <w:szCs w:val="21"/>
                <w:highlight w:val="none"/>
              </w:rPr>
              <w:t>竞标报价是履行合同的最终价格，</w:t>
            </w:r>
            <w:r>
              <w:rPr>
                <w:rFonts w:hint="eastAsia" w:ascii="宋体" w:hAnsi="宋体" w:cs="宋体"/>
                <w:color w:val="auto"/>
                <w:szCs w:val="21"/>
                <w:highlight w:val="none"/>
              </w:rPr>
              <w:t>即满足全部采购需求所应提供的服务的价格；包括竞标服务的成本、技术服务、培训、税费等所有费用。</w:t>
            </w:r>
          </w:p>
        </w:tc>
      </w:tr>
      <w:tr w14:paraId="5321D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915905B">
            <w:pPr>
              <w:keepNext w:val="0"/>
              <w:keepLines w:val="0"/>
              <w:pageBreakBefore w:val="0"/>
              <w:suppressLineNumbers w:val="0"/>
              <w:kinsoku/>
              <w:topLinePunct w:val="0"/>
              <w:bidi w:val="0"/>
              <w:spacing w:before="60" w:beforeAutospacing="0" w:after="6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16</w:t>
            </w:r>
            <w:r>
              <w:rPr>
                <w:rFonts w:hint="eastAsia" w:ascii="宋体" w:hAnsi="宋体" w:cs="宋体"/>
                <w:color w:val="auto"/>
                <w:szCs w:val="21"/>
                <w:highlight w:val="none"/>
                <w:lang w:eastAsia="zh-CN"/>
              </w:rPr>
              <w:t>.</w:t>
            </w:r>
            <w:r>
              <w:rPr>
                <w:rFonts w:hint="default" w:ascii="宋体" w:hAnsi="宋体" w:cs="宋体"/>
                <w:color w:val="auto"/>
                <w:szCs w:val="21"/>
                <w:highlight w:val="none"/>
              </w:rPr>
              <w:t>2</w:t>
            </w:r>
          </w:p>
        </w:tc>
        <w:tc>
          <w:tcPr>
            <w:tcW w:w="7912" w:type="dxa"/>
            <w:vAlign w:val="center"/>
          </w:tcPr>
          <w:p w14:paraId="576A9DEC">
            <w:pPr>
              <w:pStyle w:val="8"/>
              <w:keepNext w:val="0"/>
              <w:keepLines w:val="0"/>
              <w:pageBreakBefore w:val="0"/>
              <w:widowControl w:val="0"/>
              <w:suppressLineNumbers w:val="0"/>
              <w:tabs>
                <w:tab w:val="clear" w:pos="454"/>
              </w:tabs>
              <w:kinsoku/>
              <w:topLinePunct w:val="0"/>
              <w:bidi w:val="0"/>
              <w:snapToGrid w:val="0"/>
              <w:spacing w:before="60" w:beforeAutospacing="0" w:after="60" w:afterLines="0" w:afterAutospacing="0" w:line="360" w:lineRule="auto"/>
              <w:ind w:left="283" w:right="0" w:hanging="283" w:hangingChars="135"/>
              <w:rPr>
                <w:rFonts w:hint="default"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hint="eastAsia" w:ascii="宋体" w:hAnsi="宋体" w:cs="宋体"/>
                <w:color w:val="auto"/>
                <w:kern w:val="2"/>
                <w:sz w:val="21"/>
                <w:szCs w:val="21"/>
                <w:highlight w:val="none"/>
                <w:u w:val="single"/>
              </w:rPr>
              <w:t>60</w:t>
            </w:r>
            <w:r>
              <w:rPr>
                <w:rFonts w:hint="eastAsia" w:ascii="宋体" w:hAnsi="宋体" w:cs="宋体"/>
                <w:color w:val="auto"/>
                <w:kern w:val="2"/>
                <w:sz w:val="21"/>
                <w:szCs w:val="21"/>
                <w:highlight w:val="none"/>
              </w:rPr>
              <w:t>日。</w:t>
            </w:r>
          </w:p>
        </w:tc>
      </w:tr>
      <w:tr w14:paraId="62FA3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AEAB000">
            <w:pPr>
              <w:keepNext w:val="0"/>
              <w:keepLines w:val="0"/>
              <w:pageBreakBefore w:val="0"/>
              <w:suppressLineNumbers w:val="0"/>
              <w:kinsoku/>
              <w:topLinePunct w:val="0"/>
              <w:bidi w:val="0"/>
              <w:spacing w:before="60" w:beforeAutospacing="0" w:after="6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17</w:t>
            </w:r>
            <w:r>
              <w:rPr>
                <w:rFonts w:hint="eastAsia" w:ascii="宋体" w:hAnsi="宋体" w:cs="宋体"/>
                <w:color w:val="auto"/>
                <w:szCs w:val="21"/>
                <w:highlight w:val="none"/>
                <w:lang w:eastAsia="zh-CN"/>
              </w:rPr>
              <w:t>.</w:t>
            </w:r>
            <w:r>
              <w:rPr>
                <w:rFonts w:hint="eastAsia" w:ascii="宋体" w:hAnsi="宋体" w:cs="宋体"/>
                <w:color w:val="auto"/>
                <w:szCs w:val="21"/>
                <w:highlight w:val="none"/>
              </w:rPr>
              <w:t>1</w:t>
            </w:r>
          </w:p>
        </w:tc>
        <w:tc>
          <w:tcPr>
            <w:tcW w:w="7912" w:type="dxa"/>
            <w:vAlign w:val="center"/>
          </w:tcPr>
          <w:p w14:paraId="74137F46">
            <w:pPr>
              <w:keepNext w:val="0"/>
              <w:keepLines w:val="0"/>
              <w:pageBreakBefore w:val="0"/>
              <w:suppressLineNumbers w:val="0"/>
              <w:kinsoku/>
              <w:topLinePunct w:val="0"/>
              <w:autoSpaceDE w:val="0"/>
              <w:autoSpaceDN w:val="0"/>
              <w:bidi w:val="0"/>
              <w:snapToGrid w:val="0"/>
              <w:spacing w:before="60" w:beforeAutospacing="0" w:after="60" w:afterAutospacing="0" w:line="360" w:lineRule="auto"/>
              <w:ind w:left="0" w:right="0"/>
              <w:textAlignment w:val="bottom"/>
              <w:rPr>
                <w:rFonts w:hint="default"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本项目不收取磋商保证金。</w:t>
            </w:r>
          </w:p>
          <w:p w14:paraId="2CE042DE">
            <w:pPr>
              <w:keepNext w:val="0"/>
              <w:keepLines w:val="0"/>
              <w:pageBreakBefore w:val="0"/>
              <w:suppressLineNumbers w:val="0"/>
              <w:kinsoku/>
              <w:topLinePunct w:val="0"/>
              <w:bidi w:val="0"/>
              <w:snapToGrid w:val="0"/>
              <w:spacing w:before="60" w:beforeAutospacing="0" w:after="60" w:afterAutospacing="0" w:line="360" w:lineRule="auto"/>
              <w:ind w:left="0" w:right="0"/>
              <w:rPr>
                <w:rFonts w:hint="default" w:ascii="宋体" w:hAnsi="宋体"/>
                <w:color w:val="auto"/>
                <w:szCs w:val="21"/>
                <w:highlight w:val="none"/>
              </w:rPr>
            </w:pPr>
            <w:r>
              <w:rPr>
                <w:rFonts w:hint="eastAsia" w:ascii="MS Mincho" w:hAnsi="MS Mincho" w:eastAsia="宋体" w:cs="MS Mincho"/>
                <w:color w:val="auto"/>
                <w:szCs w:val="21"/>
                <w:highlight w:val="none"/>
                <w:lang w:eastAsia="zh-CN"/>
              </w:rPr>
              <w:t>□</w:t>
            </w:r>
            <w:r>
              <w:rPr>
                <w:rFonts w:hint="eastAsia" w:ascii="宋体" w:hAnsi="宋体"/>
                <w:color w:val="auto"/>
                <w:szCs w:val="21"/>
                <w:highlight w:val="none"/>
              </w:rPr>
              <w:t>本项目收取磋商保证金，具体规定如下：</w:t>
            </w:r>
          </w:p>
          <w:p w14:paraId="40DFF5DD">
            <w:pPr>
              <w:keepNext w:val="0"/>
              <w:keepLines w:val="0"/>
              <w:pageBreakBefore w:val="0"/>
              <w:suppressLineNumbers w:val="0"/>
              <w:kinsoku/>
              <w:topLinePunct w:val="0"/>
              <w:bidi w:val="0"/>
              <w:snapToGrid w:val="0"/>
              <w:spacing w:before="60" w:beforeAutospacing="0" w:after="60" w:afterAutospacing="0" w:line="360" w:lineRule="auto"/>
              <w:ind w:left="0" w:right="0"/>
              <w:rPr>
                <w:rFonts w:hint="default" w:ascii="宋体" w:hAnsi="宋体"/>
                <w:color w:val="auto"/>
                <w:szCs w:val="21"/>
                <w:highlight w:val="none"/>
              </w:rPr>
            </w:pPr>
            <w:r>
              <w:rPr>
                <w:rFonts w:hint="eastAsia" w:ascii="宋体" w:hAnsi="宋体" w:cs="宋体"/>
                <w:color w:val="auto"/>
                <w:kern w:val="0"/>
                <w:szCs w:val="21"/>
                <w:highlight w:val="none"/>
              </w:rPr>
              <w:t>磋商保证金人民币元。</w:t>
            </w:r>
          </w:p>
          <w:p w14:paraId="1B829495">
            <w:pPr>
              <w:keepNext w:val="0"/>
              <w:keepLines w:val="0"/>
              <w:pageBreakBefore w:val="0"/>
              <w:suppressLineNumbers w:val="0"/>
              <w:kinsoku/>
              <w:topLinePunct w:val="0"/>
              <w:bidi w:val="0"/>
              <w:snapToGrid w:val="0"/>
              <w:spacing w:before="60" w:beforeAutospacing="0" w:after="60" w:afterAutospacing="0" w:line="360" w:lineRule="auto"/>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磋商保证金的交纳方式：银行转账、支票、汇票、本票或者银行、保险机构出具的保函，禁止采用现钞方式。采用银行转账方式的，在响应文件提交截止时间前交至指定账户并且到账（开户名称：；开户银行：；银行账号：；开户行行号：）；采用支票、汇票、本票或者保函等方式的，在响应文件提交截止时间前，供应商必须提交单独密封的支票、汇票、本票或者保函原件。否则视为无效磋商保证金。</w:t>
            </w:r>
          </w:p>
          <w:p w14:paraId="7E50D669">
            <w:pPr>
              <w:keepNext w:val="0"/>
              <w:keepLines w:val="0"/>
              <w:pageBreakBefore w:val="0"/>
              <w:suppressLineNumbers w:val="0"/>
              <w:kinsoku/>
              <w:topLinePunct w:val="0"/>
              <w:bidi w:val="0"/>
              <w:snapToGrid w:val="0"/>
              <w:spacing w:before="60" w:beforeAutospacing="0" w:after="6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相关要求：</w:t>
            </w:r>
          </w:p>
          <w:p w14:paraId="0BD9FA3B">
            <w:pPr>
              <w:keepNext w:val="0"/>
              <w:keepLines w:val="0"/>
              <w:pageBreakBefore w:val="0"/>
              <w:suppressLineNumbers w:val="0"/>
              <w:kinsoku/>
              <w:topLinePunct w:val="0"/>
              <w:bidi w:val="0"/>
              <w:snapToGrid w:val="0"/>
              <w:spacing w:before="60" w:beforeAutospacing="0" w:after="6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磋商保证金采用银行转账交纳方式的，在响应文件提交截止时间前交至指定账户并且到账，供应商应将银行转账底单的复印件作为磋商保证金提交凭证，放置于商务技术文件中，</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58E4BD2A">
            <w:pPr>
              <w:keepNext w:val="0"/>
              <w:keepLines w:val="0"/>
              <w:pageBreakBefore w:val="0"/>
              <w:suppressLineNumbers w:val="0"/>
              <w:kinsoku/>
              <w:topLinePunct w:val="0"/>
              <w:bidi w:val="0"/>
              <w:snapToGrid w:val="0"/>
              <w:spacing w:before="60" w:beforeAutospacing="0" w:after="60" w:afterAutospacing="0" w:line="360" w:lineRule="auto"/>
              <w:ind w:left="0" w:right="0"/>
              <w:rPr>
                <w:rFonts w:hint="default"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w:t>
            </w:r>
            <w:r>
              <w:rPr>
                <w:rFonts w:hint="eastAsia" w:ascii="宋体" w:hAnsi="宋体"/>
                <w:color w:val="auto"/>
                <w:szCs w:val="21"/>
                <w:highlight w:val="none"/>
              </w:rPr>
              <w:t>磋商保证金采用支票、汇票、本票或者银行、保险机构出具的保函交纳方式的，供应商应将支票、汇票、本票或者银行、保险机构出具的保函的复印件作为磋商保证金提交凭证，放置于</w:t>
            </w:r>
            <w:r>
              <w:rPr>
                <w:rFonts w:hint="eastAsia" w:ascii="宋体" w:hAnsi="宋体" w:cs="宋体"/>
                <w:color w:val="auto"/>
                <w:szCs w:val="21"/>
                <w:highlight w:val="none"/>
              </w:rPr>
              <w:t>商务技术文件</w:t>
            </w:r>
            <w:r>
              <w:rPr>
                <w:rFonts w:hint="eastAsia" w:ascii="宋体" w:hAnsi="宋体"/>
                <w:color w:val="auto"/>
                <w:szCs w:val="21"/>
                <w:highlight w:val="none"/>
              </w:rPr>
              <w:t>中，</w:t>
            </w:r>
            <w:r>
              <w:rPr>
                <w:rFonts w:hint="eastAsia" w:ascii="宋体" w:hAnsi="宋体" w:cs="宋体"/>
                <w:b/>
                <w:color w:val="auto"/>
                <w:szCs w:val="21"/>
                <w:highlight w:val="none"/>
              </w:rPr>
              <w:t>否则响应文件按无效处理</w:t>
            </w:r>
            <w:r>
              <w:rPr>
                <w:rFonts w:hint="eastAsia" w:ascii="宋体" w:hAnsi="宋体"/>
                <w:color w:val="auto"/>
                <w:szCs w:val="21"/>
                <w:highlight w:val="none"/>
              </w:rPr>
              <w:t>。供应商必须</w:t>
            </w:r>
            <w:r>
              <w:rPr>
                <w:rFonts w:hint="eastAsia"/>
                <w:color w:val="auto"/>
                <w:highlight w:val="none"/>
              </w:rPr>
              <w:t>在响应文件提交截止时间前采用现场或邮寄方式（现场提交地址：；邮寄地址：，收件人：，联系方式：）</w:t>
            </w:r>
            <w:r>
              <w:rPr>
                <w:rFonts w:hint="eastAsia" w:ascii="宋体" w:hAnsi="宋体"/>
                <w:color w:val="auto"/>
                <w:szCs w:val="21"/>
                <w:highlight w:val="none"/>
              </w:rPr>
              <w:t>将</w:t>
            </w:r>
            <w:r>
              <w:rPr>
                <w:rFonts w:hint="eastAsia" w:ascii="宋体" w:hAnsi="宋体" w:cs="宋体"/>
                <w:color w:val="auto"/>
                <w:kern w:val="0"/>
                <w:szCs w:val="21"/>
                <w:highlight w:val="none"/>
              </w:rPr>
              <w:t>单独密封的</w:t>
            </w:r>
            <w:r>
              <w:rPr>
                <w:rFonts w:hint="eastAsia" w:ascii="宋体" w:hAnsi="宋体"/>
                <w:color w:val="auto"/>
                <w:szCs w:val="21"/>
                <w:highlight w:val="none"/>
              </w:rPr>
              <w:t>支票、汇票、本票或者银行、保险机构出具的保函原件提交给采购人或者采购代理机构，由采购人或者采购代理机构向供应商出具回执（邮寄方式的除外），并妥善保管。</w:t>
            </w:r>
          </w:p>
          <w:p w14:paraId="2CF99D84">
            <w:pPr>
              <w:keepNext w:val="0"/>
              <w:keepLines w:val="0"/>
              <w:pageBreakBefore w:val="0"/>
              <w:suppressLineNumbers w:val="0"/>
              <w:kinsoku/>
              <w:topLinePunct w:val="0"/>
              <w:bidi w:val="0"/>
              <w:snapToGrid w:val="0"/>
              <w:spacing w:before="60" w:beforeAutospacing="0" w:after="60" w:afterAutospacing="0" w:line="360" w:lineRule="auto"/>
              <w:ind w:left="0" w:right="0"/>
              <w:rPr>
                <w:rFonts w:hint="default" w:ascii="宋体" w:hAnsi="宋体" w:cs="宋体"/>
                <w:b/>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供应商为联合体的，可以由联合体中的一方或者多方共同交纳磋商保证金，其交纳的保证金对联合体各方均具有约束力。</w:t>
            </w:r>
          </w:p>
          <w:p w14:paraId="2A4BDBBB">
            <w:pPr>
              <w:keepNext w:val="0"/>
              <w:keepLines w:val="0"/>
              <w:pageBreakBefore w:val="0"/>
              <w:suppressLineNumbers w:val="0"/>
              <w:kinsoku/>
              <w:topLinePunct w:val="0"/>
              <w:bidi w:val="0"/>
              <w:snapToGrid w:val="0"/>
              <w:spacing w:before="60" w:beforeAutospacing="0" w:after="60" w:afterAutospacing="0" w:line="360" w:lineRule="auto"/>
              <w:ind w:left="0" w:right="0"/>
              <w:rPr>
                <w:rFonts w:hint="default" w:ascii="宋体" w:hAnsi="宋体" w:cs="宋体"/>
                <w:b/>
                <w:color w:val="auto"/>
                <w:szCs w:val="21"/>
                <w:highlight w:val="none"/>
              </w:rPr>
            </w:pPr>
            <w:r>
              <w:rPr>
                <w:rFonts w:hint="eastAsia" w:ascii="宋体" w:hAnsi="宋体" w:cs="宋体"/>
                <w:b/>
                <w:color w:val="auto"/>
                <w:szCs w:val="21"/>
                <w:highlight w:val="none"/>
              </w:rPr>
              <w:t xml:space="preserve">备注： </w:t>
            </w:r>
          </w:p>
          <w:p w14:paraId="7D5351BD">
            <w:pPr>
              <w:keepNext w:val="0"/>
              <w:keepLines w:val="0"/>
              <w:pageBreakBefore w:val="0"/>
              <w:suppressLineNumbers w:val="0"/>
              <w:kinsoku/>
              <w:topLinePunct w:val="0"/>
              <w:bidi w:val="0"/>
              <w:snapToGrid w:val="0"/>
              <w:spacing w:before="60" w:beforeAutospacing="0" w:after="60" w:afterAutospacing="0" w:line="360" w:lineRule="auto"/>
              <w:ind w:left="0" w:right="0"/>
              <w:rPr>
                <w:rFonts w:hint="default" w:ascii="宋体" w:hAnsi="宋体" w:cs="宋体"/>
                <w:b/>
                <w:color w:val="auto"/>
                <w:szCs w:val="21"/>
                <w:highlight w:val="none"/>
              </w:rPr>
            </w:pPr>
            <w:r>
              <w:rPr>
                <w:rFonts w:hint="eastAsia" w:ascii="宋体" w:hAnsi="宋体" w:cs="宋体"/>
                <w:b/>
                <w:color w:val="auto"/>
                <w:szCs w:val="21"/>
                <w:highlight w:val="none"/>
              </w:rPr>
              <w:t>1</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磋商保证金在响应文件提交截止时间后提交的，或者不按规定交纳方式交纳的，或者未足额交纳的（包含保函额度不足的），视为无效磋商保证金。</w:t>
            </w:r>
          </w:p>
          <w:p w14:paraId="6210A9EA">
            <w:pPr>
              <w:keepNext w:val="0"/>
              <w:keepLines w:val="0"/>
              <w:pageBreakBefore w:val="0"/>
              <w:suppressLineNumbers w:val="0"/>
              <w:kinsoku/>
              <w:topLinePunct w:val="0"/>
              <w:bidi w:val="0"/>
              <w:snapToGrid w:val="0"/>
              <w:spacing w:before="60" w:beforeAutospacing="0" w:after="60" w:afterAutospacing="0" w:line="360" w:lineRule="auto"/>
              <w:ind w:left="0" w:right="0"/>
              <w:rPr>
                <w:rFonts w:hint="default"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供应商采用现钞方式或者从个人账户（自然人竞标除外）转出的磋商保证金，视为无效磋商保证金。</w:t>
            </w:r>
          </w:p>
          <w:p w14:paraId="4E4B877D">
            <w:pPr>
              <w:keepNext w:val="0"/>
              <w:keepLines w:val="0"/>
              <w:pageBreakBefore w:val="0"/>
              <w:suppressLineNumbers w:val="0"/>
              <w:kinsoku/>
              <w:topLinePunct w:val="0"/>
              <w:bidi w:val="0"/>
              <w:snapToGrid w:val="0"/>
              <w:spacing w:before="60" w:beforeAutospacing="0" w:after="60" w:afterAutospacing="0" w:line="360" w:lineRule="auto"/>
              <w:ind w:left="0" w:right="0"/>
              <w:rPr>
                <w:rFonts w:hint="default" w:ascii="宋体" w:hAnsi="宋体" w:cs="宋体"/>
                <w:b/>
                <w:color w:val="auto"/>
                <w:szCs w:val="21"/>
                <w:highlight w:val="none"/>
              </w:rPr>
            </w:pPr>
            <w:r>
              <w:rPr>
                <w:rFonts w:hint="eastAsia" w:ascii="宋体" w:hAnsi="宋体" w:cs="宋体"/>
                <w:b/>
                <w:color w:val="auto"/>
                <w:szCs w:val="21"/>
                <w:highlight w:val="none"/>
              </w:rPr>
              <w:t>3</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支票、汇票或者本票出现无效或者背书情形的，视为无效磋商保证金。</w:t>
            </w:r>
          </w:p>
          <w:p w14:paraId="5B922ED2">
            <w:pPr>
              <w:keepNext w:val="0"/>
              <w:keepLines w:val="0"/>
              <w:pageBreakBefore w:val="0"/>
              <w:suppressLineNumbers w:val="0"/>
              <w:kinsoku/>
              <w:topLinePunct w:val="0"/>
              <w:bidi w:val="0"/>
              <w:snapToGrid w:val="0"/>
              <w:spacing w:before="60" w:beforeAutospacing="0" w:after="60" w:afterAutospacing="0" w:line="360" w:lineRule="auto"/>
              <w:ind w:left="0" w:right="0"/>
              <w:rPr>
                <w:rFonts w:hint="default" w:ascii="宋体" w:hAnsi="宋体" w:cs="宋体"/>
                <w:b/>
                <w:color w:val="auto"/>
                <w:szCs w:val="21"/>
                <w:highlight w:val="none"/>
              </w:rPr>
            </w:pPr>
            <w:r>
              <w:rPr>
                <w:rFonts w:hint="eastAsia" w:ascii="宋体" w:hAnsi="宋体" w:cs="宋体"/>
                <w:b/>
                <w:color w:val="auto"/>
                <w:szCs w:val="21"/>
                <w:highlight w:val="none"/>
              </w:rPr>
              <w:t>4</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保函有效期低于竞标有效期的，视为无效磋商保证金。</w:t>
            </w:r>
          </w:p>
          <w:p w14:paraId="6BC1962D">
            <w:pPr>
              <w:keepNext w:val="0"/>
              <w:keepLines w:val="0"/>
              <w:pageBreakBefore w:val="0"/>
              <w:suppressLineNumbers w:val="0"/>
              <w:kinsoku/>
              <w:topLinePunct w:val="0"/>
              <w:bidi w:val="0"/>
              <w:snapToGrid w:val="0"/>
              <w:spacing w:before="60" w:beforeAutospacing="0" w:after="60" w:afterAutospacing="0" w:line="360" w:lineRule="auto"/>
              <w:ind w:left="0" w:right="0"/>
              <w:rPr>
                <w:rFonts w:hint="default" w:ascii="宋体" w:hAnsi="宋体" w:cs="宋体"/>
                <w:color w:val="auto"/>
                <w:szCs w:val="21"/>
                <w:highlight w:val="none"/>
              </w:rPr>
            </w:pPr>
            <w:r>
              <w:rPr>
                <w:rFonts w:hint="eastAsia" w:ascii="宋体" w:hAnsi="宋体" w:cs="宋体"/>
                <w:b/>
                <w:color w:val="auto"/>
                <w:szCs w:val="21"/>
                <w:highlight w:val="none"/>
              </w:rPr>
              <w:t>5</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采用银行、保险机构出具保函的，必须为无条件保函，否则视为无效磋商保证金。</w:t>
            </w:r>
          </w:p>
        </w:tc>
      </w:tr>
      <w:tr w14:paraId="40A0B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D1468CE">
            <w:pPr>
              <w:keepNext w:val="0"/>
              <w:keepLines w:val="0"/>
              <w:pageBreakBefore w:val="0"/>
              <w:suppressLineNumbers w:val="0"/>
              <w:kinsoku/>
              <w:topLinePunct w:val="0"/>
              <w:bidi w:val="0"/>
              <w:spacing w:before="60" w:beforeAutospacing="0" w:after="60" w:afterAutospacing="0" w:line="360" w:lineRule="auto"/>
              <w:ind w:left="0" w:right="0"/>
              <w:jc w:val="center"/>
              <w:rPr>
                <w:rFonts w:hint="default" w:ascii="宋体" w:hAnsi="宋体" w:cs="宋体"/>
                <w:color w:val="auto"/>
                <w:szCs w:val="21"/>
                <w:highlight w:val="none"/>
              </w:rPr>
            </w:pPr>
            <w:r>
              <w:rPr>
                <w:rFonts w:hint="default" w:ascii="宋体" w:hAnsi="宋体" w:cs="宋体"/>
                <w:color w:val="auto"/>
                <w:szCs w:val="21"/>
                <w:highlight w:val="none"/>
              </w:rPr>
              <w:t>19</w:t>
            </w:r>
          </w:p>
        </w:tc>
        <w:tc>
          <w:tcPr>
            <w:tcW w:w="7912" w:type="dxa"/>
            <w:vAlign w:val="center"/>
          </w:tcPr>
          <w:p w14:paraId="59296D7A">
            <w:pPr>
              <w:keepNext w:val="0"/>
              <w:keepLines w:val="0"/>
              <w:pageBreakBefore w:val="0"/>
              <w:suppressLineNumbers w:val="0"/>
              <w:kinsoku/>
              <w:topLinePunct w:val="0"/>
              <w:bidi w:val="0"/>
              <w:spacing w:before="60" w:beforeAutospacing="0" w:after="60" w:afterAutospacing="0" w:line="360" w:lineRule="auto"/>
              <w:ind w:left="0" w:right="0"/>
              <w:rPr>
                <w:rFonts w:hint="default" w:ascii="宋体" w:hAnsi="宋体" w:cs="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备份响应文件</w:t>
            </w:r>
          </w:p>
        </w:tc>
      </w:tr>
      <w:tr w14:paraId="7866C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7C0F345">
            <w:pPr>
              <w:keepNext w:val="0"/>
              <w:keepLines w:val="0"/>
              <w:pageBreakBefore w:val="0"/>
              <w:suppressLineNumbers w:val="0"/>
              <w:kinsoku/>
              <w:topLinePunct w:val="0"/>
              <w:bidi w:val="0"/>
              <w:spacing w:before="60" w:beforeAutospacing="0" w:after="6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20</w:t>
            </w:r>
            <w:r>
              <w:rPr>
                <w:rFonts w:hint="eastAsia" w:ascii="宋体" w:hAnsi="宋体" w:cs="宋体"/>
                <w:color w:val="auto"/>
                <w:szCs w:val="21"/>
                <w:highlight w:val="none"/>
                <w:lang w:eastAsia="zh-CN"/>
              </w:rPr>
              <w:t>.</w:t>
            </w:r>
            <w:r>
              <w:rPr>
                <w:rFonts w:hint="eastAsia" w:ascii="宋体" w:hAnsi="宋体" w:cs="宋体"/>
                <w:color w:val="auto"/>
                <w:szCs w:val="21"/>
                <w:highlight w:val="none"/>
              </w:rPr>
              <w:t>1</w:t>
            </w:r>
          </w:p>
        </w:tc>
        <w:tc>
          <w:tcPr>
            <w:tcW w:w="7912" w:type="dxa"/>
            <w:vAlign w:val="center"/>
          </w:tcPr>
          <w:p w14:paraId="51AA99F2">
            <w:pPr>
              <w:keepNext w:val="0"/>
              <w:keepLines w:val="0"/>
              <w:pageBreakBefore w:val="0"/>
              <w:suppressLineNumbers w:val="0"/>
              <w:kinsoku/>
              <w:topLinePunct w:val="0"/>
              <w:bidi w:val="0"/>
              <w:spacing w:before="60" w:beforeAutospacing="0" w:after="60" w:afterAutospacing="0" w:line="360" w:lineRule="auto"/>
              <w:ind w:left="0" w:right="0"/>
              <w:contextualSpacing/>
              <w:jc w:val="left"/>
              <w:rPr>
                <w:rFonts w:hint="default" w:ascii="宋体" w:hAnsi="宋体" w:cs="宋体"/>
                <w:color w:val="auto"/>
                <w:szCs w:val="21"/>
                <w:highlight w:val="none"/>
                <w:u w:val="single"/>
              </w:rPr>
            </w:pPr>
            <w:r>
              <w:rPr>
                <w:rFonts w:hint="eastAsia" w:ascii="宋体" w:hAnsi="宋体" w:cs="宋体"/>
                <w:color w:val="auto"/>
                <w:szCs w:val="21"/>
                <w:highlight w:val="none"/>
              </w:rPr>
              <w:t>响应文件提交截止时间：详见竞争性磋商公告或者竞标邀请函。</w:t>
            </w:r>
          </w:p>
          <w:p w14:paraId="3EFDC4D2">
            <w:pPr>
              <w:keepNext w:val="0"/>
              <w:keepLines w:val="0"/>
              <w:pageBreakBefore w:val="0"/>
              <w:suppressLineNumbers w:val="0"/>
              <w:kinsoku/>
              <w:topLinePunct w:val="0"/>
              <w:bidi w:val="0"/>
              <w:spacing w:before="60" w:beforeAutospacing="0" w:after="60" w:afterAutospacing="0" w:line="360" w:lineRule="auto"/>
              <w:ind w:left="0" w:right="0"/>
              <w:contextualSpacing/>
              <w:jc w:val="left"/>
              <w:rPr>
                <w:rFonts w:hint="default" w:ascii="宋体" w:hAnsi="宋体" w:cs="宋体"/>
                <w:color w:val="auto"/>
                <w:szCs w:val="21"/>
                <w:highlight w:val="none"/>
              </w:rPr>
            </w:pPr>
            <w:r>
              <w:rPr>
                <w:rFonts w:hint="eastAsia" w:ascii="宋体" w:hAnsi="宋体" w:cs="宋体"/>
                <w:color w:val="auto"/>
                <w:szCs w:val="21"/>
                <w:highlight w:val="none"/>
              </w:rPr>
              <w:t>响应文件提交地点：详见竞争性磋商公告或者竞标邀请函。</w:t>
            </w:r>
          </w:p>
        </w:tc>
      </w:tr>
      <w:tr w14:paraId="0CA0C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C1DCFE2">
            <w:pPr>
              <w:keepNext w:val="0"/>
              <w:keepLines w:val="0"/>
              <w:pageBreakBefore w:val="0"/>
              <w:suppressLineNumbers w:val="0"/>
              <w:kinsoku/>
              <w:topLinePunct w:val="0"/>
              <w:bidi w:val="0"/>
              <w:spacing w:before="60" w:beforeAutospacing="0" w:after="6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24</w:t>
            </w:r>
            <w:r>
              <w:rPr>
                <w:rFonts w:hint="eastAsia" w:ascii="宋体" w:hAnsi="宋体" w:cs="宋体"/>
                <w:color w:val="auto"/>
                <w:szCs w:val="21"/>
                <w:highlight w:val="none"/>
                <w:lang w:eastAsia="zh-CN"/>
              </w:rPr>
              <w:t>.</w:t>
            </w:r>
            <w:r>
              <w:rPr>
                <w:rFonts w:hint="eastAsia" w:ascii="宋体" w:hAnsi="宋体" w:cs="宋体"/>
                <w:color w:val="auto"/>
                <w:szCs w:val="21"/>
                <w:highlight w:val="none"/>
              </w:rPr>
              <w:t>1</w:t>
            </w:r>
          </w:p>
        </w:tc>
        <w:tc>
          <w:tcPr>
            <w:tcW w:w="7912" w:type="dxa"/>
            <w:vAlign w:val="center"/>
          </w:tcPr>
          <w:p w14:paraId="15FE7B71">
            <w:pPr>
              <w:keepNext w:val="0"/>
              <w:keepLines w:val="0"/>
              <w:pageBreakBefore w:val="0"/>
              <w:suppressLineNumbers w:val="0"/>
              <w:kinsoku/>
              <w:topLinePunct w:val="0"/>
              <w:bidi w:val="0"/>
              <w:snapToGrid w:val="0"/>
              <w:spacing w:before="60" w:beforeAutospacing="0" w:after="60" w:afterAutospacing="0" w:line="360" w:lineRule="auto"/>
              <w:ind w:left="0" w:right="0"/>
              <w:jc w:val="left"/>
              <w:rPr>
                <w:rFonts w:hint="default"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人。</w:t>
            </w:r>
          </w:p>
        </w:tc>
      </w:tr>
      <w:tr w14:paraId="66EC0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8A39989">
            <w:pPr>
              <w:keepNext w:val="0"/>
              <w:keepLines w:val="0"/>
              <w:pageBreakBefore w:val="0"/>
              <w:suppressLineNumbers w:val="0"/>
              <w:kinsoku/>
              <w:topLinePunct w:val="0"/>
              <w:bidi w:val="0"/>
              <w:spacing w:before="60" w:beforeAutospacing="0" w:after="6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w:t>
            </w:r>
            <w:r>
              <w:rPr>
                <w:rFonts w:hint="default" w:ascii="宋体" w:hAnsi="宋体" w:cs="宋体"/>
                <w:color w:val="auto"/>
                <w:szCs w:val="21"/>
                <w:highlight w:val="none"/>
              </w:rPr>
              <w:t>5</w:t>
            </w:r>
          </w:p>
        </w:tc>
        <w:tc>
          <w:tcPr>
            <w:tcW w:w="7912" w:type="dxa"/>
            <w:vAlign w:val="center"/>
          </w:tcPr>
          <w:p w14:paraId="6939271D">
            <w:pPr>
              <w:keepNext w:val="0"/>
              <w:keepLines w:val="0"/>
              <w:pageBreakBefore w:val="0"/>
              <w:suppressLineNumbers w:val="0"/>
              <w:kinsoku/>
              <w:topLinePunct w:val="0"/>
              <w:bidi w:val="0"/>
              <w:snapToGrid w:val="0"/>
              <w:spacing w:before="60" w:beforeAutospacing="0" w:after="60" w:afterAutospacing="0" w:line="360" w:lineRule="auto"/>
              <w:ind w:left="0" w:right="0"/>
              <w:jc w:val="left"/>
              <w:rPr>
                <w:rFonts w:hint="default" w:ascii="宋体" w:hAnsi="宋体" w:cs="宋体"/>
                <w:color w:val="auto"/>
                <w:szCs w:val="21"/>
                <w:highlight w:val="none"/>
              </w:rPr>
            </w:pPr>
            <w:r>
              <w:rPr>
                <w:rFonts w:hint="eastAsia" w:ascii="宋体" w:hAnsi="宋体" w:cs="宋体"/>
                <w:color w:val="auto"/>
                <w:szCs w:val="21"/>
                <w:highlight w:val="none"/>
              </w:rPr>
              <w:t>首次响应文件开启时间详见“竞争性磋商公告”或者“竞标邀请函”</w:t>
            </w:r>
          </w:p>
          <w:p w14:paraId="0FE9FC42">
            <w:pPr>
              <w:keepNext w:val="0"/>
              <w:keepLines w:val="0"/>
              <w:pageBreakBefore w:val="0"/>
              <w:suppressLineNumbers w:val="0"/>
              <w:kinsoku/>
              <w:topLinePunct w:val="0"/>
              <w:bidi w:val="0"/>
              <w:snapToGrid w:val="0"/>
              <w:spacing w:before="60" w:beforeAutospacing="0" w:after="60" w:afterAutospacing="0" w:line="360" w:lineRule="auto"/>
              <w:ind w:left="0" w:right="0"/>
              <w:jc w:val="left"/>
              <w:rPr>
                <w:rFonts w:hint="default" w:ascii="宋体" w:hAnsi="宋体" w:cs="宋体"/>
                <w:color w:val="auto"/>
                <w:szCs w:val="21"/>
                <w:highlight w:val="none"/>
              </w:rPr>
            </w:pPr>
            <w:r>
              <w:rPr>
                <w:rFonts w:hint="eastAsia" w:ascii="宋体" w:hAnsi="宋体" w:cs="宋体"/>
                <w:color w:val="auto"/>
                <w:szCs w:val="21"/>
                <w:highlight w:val="none"/>
              </w:rPr>
              <w:t>首次响应文件解密时间：</w:t>
            </w:r>
            <w:r>
              <w:rPr>
                <w:rFonts w:hint="eastAsia" w:hAnsi="宋体"/>
                <w:color w:val="auto"/>
                <w:highlight w:val="none"/>
                <w:u w:val="single"/>
              </w:rPr>
              <w:t>30</w:t>
            </w:r>
            <w:r>
              <w:rPr>
                <w:rFonts w:hint="eastAsia" w:hAnsi="宋体"/>
                <w:color w:val="auto"/>
                <w:highlight w:val="none"/>
              </w:rPr>
              <w:t>分钟</w:t>
            </w:r>
          </w:p>
        </w:tc>
      </w:tr>
      <w:tr w14:paraId="49F7F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Align w:val="center"/>
          </w:tcPr>
          <w:p w14:paraId="52EBA86E">
            <w:pPr>
              <w:keepNext w:val="0"/>
              <w:keepLines w:val="0"/>
              <w:pageBreakBefore w:val="0"/>
              <w:suppressLineNumbers w:val="0"/>
              <w:kinsoku/>
              <w:topLinePunct w:val="0"/>
              <w:bidi w:val="0"/>
              <w:spacing w:before="60" w:beforeAutospacing="0" w:after="6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w:t>
            </w:r>
            <w:r>
              <w:rPr>
                <w:rFonts w:hint="default" w:ascii="宋体" w:hAnsi="宋体" w:cs="宋体"/>
                <w:color w:val="auto"/>
                <w:szCs w:val="21"/>
                <w:highlight w:val="none"/>
              </w:rPr>
              <w:t>6</w:t>
            </w:r>
            <w:r>
              <w:rPr>
                <w:rFonts w:hint="eastAsia" w:ascii="宋体" w:hAnsi="宋体" w:cs="宋体"/>
                <w:color w:val="auto"/>
                <w:szCs w:val="21"/>
                <w:highlight w:val="none"/>
                <w:lang w:eastAsia="zh-CN"/>
              </w:rPr>
              <w:t>.</w:t>
            </w:r>
            <w:r>
              <w:rPr>
                <w:rFonts w:hint="default" w:ascii="宋体" w:hAnsi="宋体" w:cs="宋体"/>
                <w:color w:val="auto"/>
                <w:szCs w:val="21"/>
                <w:highlight w:val="none"/>
              </w:rPr>
              <w:t>3</w:t>
            </w:r>
          </w:p>
        </w:tc>
        <w:tc>
          <w:tcPr>
            <w:tcW w:w="7912" w:type="dxa"/>
            <w:vAlign w:val="center"/>
          </w:tcPr>
          <w:p w14:paraId="3203FEBF">
            <w:pPr>
              <w:keepNext w:val="0"/>
              <w:keepLines w:val="0"/>
              <w:pageBreakBefore w:val="0"/>
              <w:suppressLineNumbers w:val="0"/>
              <w:kinsoku/>
              <w:topLinePunct w:val="0"/>
              <w:bidi w:val="0"/>
              <w:snapToGrid w:val="0"/>
              <w:spacing w:before="60" w:beforeAutospacing="0" w:after="6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p w14:paraId="53238752">
            <w:pPr>
              <w:keepNext w:val="0"/>
              <w:keepLines w:val="0"/>
              <w:pageBreakBefore w:val="0"/>
              <w:suppressLineNumbers w:val="0"/>
              <w:kinsoku/>
              <w:topLinePunct w:val="0"/>
              <w:bidi w:val="0"/>
              <w:snapToGrid w:val="0"/>
              <w:spacing w:before="60" w:beforeAutospacing="0" w:after="6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tc>
      </w:tr>
      <w:tr w14:paraId="04658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99B9AFD">
            <w:pPr>
              <w:keepNext w:val="0"/>
              <w:keepLines w:val="0"/>
              <w:pageBreakBefore w:val="0"/>
              <w:suppressLineNumbers w:val="0"/>
              <w:kinsoku/>
              <w:topLinePunct w:val="0"/>
              <w:bidi w:val="0"/>
              <w:spacing w:before="60" w:beforeAutospacing="0" w:after="60" w:afterAutospacing="0" w:line="360" w:lineRule="auto"/>
              <w:ind w:left="0" w:right="0"/>
              <w:jc w:val="center"/>
              <w:rPr>
                <w:rFonts w:hint="default" w:ascii="宋体" w:hAnsi="宋体" w:cs="宋体"/>
                <w:color w:val="auto"/>
                <w:szCs w:val="21"/>
                <w:highlight w:val="none"/>
              </w:rPr>
            </w:pPr>
            <w:r>
              <w:rPr>
                <w:rFonts w:hint="default" w:ascii="宋体" w:hAnsi="宋体" w:cs="宋体"/>
                <w:color w:val="auto"/>
                <w:szCs w:val="21"/>
                <w:highlight w:val="none"/>
              </w:rPr>
              <w:t>28</w:t>
            </w:r>
            <w:r>
              <w:rPr>
                <w:rFonts w:hint="eastAsia" w:ascii="宋体" w:hAnsi="宋体" w:cs="宋体"/>
                <w:color w:val="auto"/>
                <w:szCs w:val="21"/>
                <w:highlight w:val="none"/>
                <w:lang w:eastAsia="zh-CN"/>
              </w:rPr>
              <w:t>.</w:t>
            </w:r>
            <w:r>
              <w:rPr>
                <w:rFonts w:hint="default" w:ascii="宋体" w:hAnsi="宋体" w:cs="宋体"/>
                <w:color w:val="auto"/>
                <w:szCs w:val="21"/>
                <w:highlight w:val="none"/>
              </w:rPr>
              <w:t>1</w:t>
            </w:r>
          </w:p>
        </w:tc>
        <w:tc>
          <w:tcPr>
            <w:tcW w:w="7912" w:type="dxa"/>
            <w:vAlign w:val="center"/>
          </w:tcPr>
          <w:p w14:paraId="7C2E6DBE">
            <w:pPr>
              <w:keepNext w:val="0"/>
              <w:keepLines w:val="0"/>
              <w:pageBreakBefore w:val="0"/>
              <w:suppressLineNumbers w:val="0"/>
              <w:kinsoku/>
              <w:topLinePunct w:val="0"/>
              <w:autoSpaceDE w:val="0"/>
              <w:autoSpaceDN w:val="0"/>
              <w:bidi w:val="0"/>
              <w:snapToGrid w:val="0"/>
              <w:spacing w:before="60" w:beforeAutospacing="0" w:after="60" w:afterAutospacing="0" w:line="360" w:lineRule="auto"/>
              <w:ind w:left="0" w:right="0"/>
              <w:textAlignment w:val="bottom"/>
              <w:rPr>
                <w:rFonts w:hint="default" w:ascii="宋体" w:hAnsi="宋体"/>
                <w:color w:val="auto"/>
                <w:szCs w:val="21"/>
                <w:highlight w:val="none"/>
              </w:rPr>
            </w:pPr>
            <w:r>
              <w:rPr>
                <w:rFonts w:hint="eastAsia" w:ascii="MS Mincho" w:hAnsi="MS Mincho" w:cs="MS Mincho"/>
                <w:color w:val="auto"/>
                <w:szCs w:val="21"/>
                <w:highlight w:val="none"/>
                <w:lang w:eastAsia="zh-CN"/>
              </w:rPr>
              <w:t>☑</w:t>
            </w:r>
            <w:r>
              <w:rPr>
                <w:rFonts w:hint="eastAsia" w:ascii="宋体" w:hAnsi="宋体"/>
                <w:color w:val="auto"/>
                <w:szCs w:val="21"/>
                <w:highlight w:val="none"/>
              </w:rPr>
              <w:t>本项目不收取履约保证金。</w:t>
            </w:r>
          </w:p>
          <w:p w14:paraId="0631B01E">
            <w:pPr>
              <w:keepNext w:val="0"/>
              <w:keepLines w:val="0"/>
              <w:pageBreakBefore w:val="0"/>
              <w:suppressLineNumbers w:val="0"/>
              <w:kinsoku/>
              <w:topLinePunct w:val="0"/>
              <w:autoSpaceDE w:val="0"/>
              <w:autoSpaceDN w:val="0"/>
              <w:bidi w:val="0"/>
              <w:snapToGrid w:val="0"/>
              <w:spacing w:before="60" w:beforeAutospacing="0" w:after="60" w:afterAutospacing="0" w:line="360" w:lineRule="auto"/>
              <w:ind w:left="0" w:right="0"/>
              <w:textAlignment w:val="bottom"/>
              <w:rPr>
                <w:rFonts w:hint="default"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本项目收取履约保证金，具体规定如下：</w:t>
            </w:r>
          </w:p>
          <w:p w14:paraId="30E25133">
            <w:pPr>
              <w:keepNext w:val="0"/>
              <w:keepLines w:val="0"/>
              <w:pageBreakBefore w:val="0"/>
              <w:suppressLineNumbers w:val="0"/>
              <w:kinsoku/>
              <w:topLinePunct w:val="0"/>
              <w:bidi w:val="0"/>
              <w:spacing w:before="60" w:beforeAutospacing="0" w:after="60" w:afterAutospacing="0" w:line="360" w:lineRule="auto"/>
              <w:ind w:left="0" w:right="0"/>
              <w:contextualSpacing/>
              <w:rPr>
                <w:rFonts w:hint="default" w:ascii="宋体" w:hAnsi="宋体" w:cs="宋体"/>
                <w:color w:val="auto"/>
                <w:szCs w:val="21"/>
                <w:highlight w:val="none"/>
              </w:rPr>
            </w:pPr>
            <w:r>
              <w:rPr>
                <w:rFonts w:hint="eastAsia" w:ascii="宋体" w:hAnsi="宋体" w:cs="宋体"/>
                <w:color w:val="auto"/>
                <w:szCs w:val="21"/>
                <w:highlight w:val="none"/>
              </w:rPr>
              <w:t>履约保证金金额：</w:t>
            </w:r>
            <w:r>
              <w:rPr>
                <w:rFonts w:hint="eastAsia" w:ascii="宋体" w:hAnsi="宋体" w:cs="宋体"/>
                <w:color w:val="auto"/>
                <w:szCs w:val="21"/>
                <w:highlight w:val="none"/>
                <w:u w:val="single"/>
              </w:rPr>
              <w:t>按成交金额的</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10085F6E">
            <w:pPr>
              <w:keepNext w:val="0"/>
              <w:keepLines w:val="0"/>
              <w:pageBreakBefore w:val="0"/>
              <w:suppressLineNumbers w:val="0"/>
              <w:kinsoku/>
              <w:topLinePunct w:val="0"/>
              <w:bidi w:val="0"/>
              <w:spacing w:before="60" w:beforeAutospacing="0" w:after="60" w:afterAutospacing="0" w:line="360" w:lineRule="auto"/>
              <w:ind w:left="0" w:right="0"/>
              <w:contextualSpacing/>
              <w:rPr>
                <w:rFonts w:hint="default" w:ascii="宋体" w:hAnsi="宋体" w:cs="宋体"/>
                <w:color w:val="auto"/>
                <w:szCs w:val="21"/>
                <w:highlight w:val="none"/>
              </w:rPr>
            </w:pPr>
            <w:r>
              <w:rPr>
                <w:rFonts w:hint="eastAsia" w:ascii="宋体" w:hAnsi="宋体" w:cs="宋体"/>
                <w:color w:val="auto"/>
                <w:szCs w:val="21"/>
                <w:highlight w:val="none"/>
              </w:rPr>
              <w:t>履约保证金提交方式：</w:t>
            </w:r>
            <w:r>
              <w:rPr>
                <w:rFonts w:hint="eastAsia" w:ascii="宋体" w:hAnsi="宋体" w:eastAsia="宋体" w:cs="宋体"/>
                <w:color w:val="auto"/>
                <w:szCs w:val="21"/>
                <w:highlight w:val="none"/>
                <w:u w:val="single"/>
                <w:lang w:val="en-US" w:eastAsia="zh-CN"/>
              </w:rPr>
              <w:t>成交供应商在签订合同前5个工作日内以银行转账、支票、汇票、本票或者金融机构、担保</w:t>
            </w:r>
            <w:r>
              <w:rPr>
                <w:rFonts w:hint="eastAsia" w:ascii="宋体" w:hAnsi="宋体" w:eastAsia="宋体" w:cs="宋体"/>
                <w:color w:val="auto"/>
                <w:szCs w:val="21"/>
                <w:highlight w:val="none"/>
                <w:u w:val="single"/>
              </w:rPr>
              <w:t>机构出具的保函等非现金方式</w:t>
            </w:r>
            <w:r>
              <w:rPr>
                <w:rFonts w:hint="eastAsia" w:ascii="宋体" w:hAnsi="宋体" w:eastAsia="宋体" w:cs="宋体"/>
                <w:color w:val="auto"/>
                <w:szCs w:val="21"/>
                <w:highlight w:val="none"/>
                <w:u w:val="single"/>
                <w:lang w:eastAsia="zh-CN"/>
              </w:rPr>
              <w:t>向</w:t>
            </w:r>
            <w:r>
              <w:rPr>
                <w:rFonts w:hint="eastAsia" w:ascii="宋体" w:hAnsi="宋体" w:eastAsia="宋体" w:cs="宋体"/>
                <w:color w:val="auto"/>
                <w:szCs w:val="21"/>
                <w:highlight w:val="none"/>
                <w:u w:val="single"/>
                <w:lang w:val="en-US" w:eastAsia="zh-CN"/>
              </w:rPr>
              <w:t>采购方提交</w:t>
            </w:r>
            <w:r>
              <w:rPr>
                <w:rFonts w:hint="eastAsia" w:ascii="宋体" w:hAnsi="宋体" w:eastAsia="宋体" w:cs="宋体"/>
                <w:color w:val="auto"/>
                <w:szCs w:val="21"/>
                <w:highlight w:val="none"/>
              </w:rPr>
              <w:t>。</w:t>
            </w:r>
          </w:p>
          <w:p w14:paraId="29EB089D">
            <w:pPr>
              <w:keepNext w:val="0"/>
              <w:keepLines w:val="0"/>
              <w:pageBreakBefore w:val="0"/>
              <w:suppressLineNumbers w:val="0"/>
              <w:kinsoku/>
              <w:topLinePunct w:val="0"/>
              <w:bidi w:val="0"/>
              <w:spacing w:before="60" w:beforeAutospacing="0" w:after="60" w:afterAutospacing="0" w:line="360" w:lineRule="auto"/>
              <w:ind w:left="0" w:right="0"/>
              <w:contextualSpacing/>
              <w:rPr>
                <w:rFonts w:hint="default" w:ascii="宋体" w:hAnsi="宋体" w:cs="宋体"/>
                <w:color w:val="auto"/>
                <w:szCs w:val="21"/>
                <w:highlight w:val="none"/>
                <w:u w:val="single"/>
              </w:rPr>
            </w:pPr>
            <w:r>
              <w:rPr>
                <w:rFonts w:hint="eastAsia" w:ascii="宋体" w:hAnsi="宋体" w:cs="宋体"/>
                <w:color w:val="auto"/>
                <w:szCs w:val="21"/>
                <w:highlight w:val="none"/>
              </w:rPr>
              <w:t>履约保证金退付方式、时间及条件：</w:t>
            </w:r>
            <w:r>
              <w:rPr>
                <w:rFonts w:hint="eastAsia" w:ascii="宋体" w:hAnsi="宋体" w:eastAsia="宋体" w:cs="宋体"/>
                <w:color w:val="auto"/>
                <w:szCs w:val="21"/>
                <w:highlight w:val="none"/>
                <w:u w:val="single"/>
                <w:lang w:val="en-US" w:eastAsia="zh-CN"/>
              </w:rPr>
              <w:t>项目通过</w:t>
            </w:r>
            <w:r>
              <w:rPr>
                <w:rFonts w:hint="eastAsia" w:ascii="宋体" w:hAnsi="宋体" w:cs="宋体"/>
                <w:color w:val="auto"/>
                <w:szCs w:val="21"/>
                <w:highlight w:val="none"/>
                <w:u w:val="single"/>
                <w:lang w:val="en-US" w:eastAsia="zh-CN"/>
              </w:rPr>
              <w:t>相关部门</w:t>
            </w:r>
            <w:r>
              <w:rPr>
                <w:rFonts w:hint="eastAsia" w:ascii="宋体" w:hAnsi="宋体" w:eastAsia="宋体" w:cs="宋体"/>
                <w:color w:val="auto"/>
                <w:szCs w:val="21"/>
                <w:highlight w:val="none"/>
                <w:u w:val="single"/>
                <w:lang w:val="en-US" w:eastAsia="zh-CN"/>
              </w:rPr>
              <w:t>验收合格后，</w:t>
            </w:r>
            <w:r>
              <w:rPr>
                <w:rFonts w:hint="eastAsia" w:ascii="宋体" w:hAnsi="宋体" w:cs="宋体"/>
                <w:color w:val="auto"/>
                <w:szCs w:val="21"/>
                <w:highlight w:val="none"/>
                <w:u w:val="single"/>
              </w:rPr>
              <w:t>由成交供应商向履约保证金收取单位提供《广西壮族自治区政府采购项目合同验收书》（详见桂财采〔2015〕22号）及《政府采购项目履约保证金退付意见书》，保证金收取单位在收到合格材料后</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u w:val="single"/>
              </w:rPr>
              <w:t>个工作日内办理退还手续（不计利息）。</w:t>
            </w:r>
          </w:p>
          <w:p w14:paraId="065C7949">
            <w:pPr>
              <w:keepNext w:val="0"/>
              <w:keepLines w:val="0"/>
              <w:pageBreakBefore w:val="0"/>
              <w:suppressLineNumbers w:val="0"/>
              <w:kinsoku/>
              <w:topLinePunct w:val="0"/>
              <w:bidi w:val="0"/>
              <w:spacing w:before="60" w:beforeAutospacing="0" w:after="60" w:afterAutospacing="0" w:line="360" w:lineRule="auto"/>
              <w:ind w:left="0" w:right="0"/>
              <w:contextualSpacing/>
              <w:rPr>
                <w:rFonts w:hint="default" w:ascii="宋体" w:hAnsi="宋体" w:cs="宋体"/>
                <w:color w:val="auto"/>
                <w:szCs w:val="21"/>
                <w:highlight w:val="none"/>
              </w:rPr>
            </w:pPr>
            <w:r>
              <w:rPr>
                <w:rFonts w:hint="eastAsia" w:ascii="宋体" w:hAnsi="宋体" w:cs="宋体"/>
                <w:color w:val="auto"/>
                <w:szCs w:val="21"/>
                <w:highlight w:val="none"/>
              </w:rPr>
              <w:t>履约保证金指定账户：</w:t>
            </w:r>
          </w:p>
          <w:p w14:paraId="1288859D">
            <w:pPr>
              <w:keepNext w:val="0"/>
              <w:keepLines w:val="0"/>
              <w:pageBreakBefore w:val="0"/>
              <w:suppressLineNumbers w:val="0"/>
              <w:kinsoku/>
              <w:topLinePunct w:val="0"/>
              <w:bidi w:val="0"/>
              <w:spacing w:before="60" w:beforeAutospacing="0" w:after="60" w:afterAutospacing="0" w:line="360" w:lineRule="auto"/>
              <w:ind w:left="0" w:right="0"/>
              <w:contextualSpacing/>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开户名称：</w:t>
            </w:r>
          </w:p>
          <w:p w14:paraId="7F749E36">
            <w:pPr>
              <w:keepNext w:val="0"/>
              <w:keepLines w:val="0"/>
              <w:pageBreakBefore w:val="0"/>
              <w:suppressLineNumbers w:val="0"/>
              <w:kinsoku/>
              <w:topLinePunct w:val="0"/>
              <w:bidi w:val="0"/>
              <w:spacing w:before="60" w:beforeAutospacing="0" w:after="60" w:afterAutospacing="0" w:line="360" w:lineRule="auto"/>
              <w:ind w:left="0" w:right="0"/>
              <w:contextualSpacing/>
              <w:rPr>
                <w:rFonts w:hint="eastAsia" w:ascii="宋体" w:hAnsi="宋体" w:cs="宋体"/>
                <w:color w:val="auto"/>
                <w:szCs w:val="21"/>
                <w:highlight w:val="none"/>
              </w:rPr>
            </w:pPr>
            <w:r>
              <w:rPr>
                <w:rFonts w:hint="eastAsia" w:ascii="宋体" w:hAnsi="宋体" w:cs="宋体"/>
                <w:color w:val="auto"/>
                <w:szCs w:val="21"/>
                <w:highlight w:val="none"/>
              </w:rPr>
              <w:t>开户银行：</w:t>
            </w:r>
          </w:p>
          <w:p w14:paraId="014159CB">
            <w:pPr>
              <w:keepNext w:val="0"/>
              <w:keepLines w:val="0"/>
              <w:pageBreakBefore w:val="0"/>
              <w:suppressLineNumbers w:val="0"/>
              <w:kinsoku/>
              <w:topLinePunct w:val="0"/>
              <w:bidi w:val="0"/>
              <w:spacing w:before="60" w:beforeAutospacing="0" w:after="60" w:afterAutospacing="0" w:line="360" w:lineRule="auto"/>
              <w:ind w:left="0" w:right="0"/>
              <w:contextualSpacing/>
              <w:rPr>
                <w:rFonts w:hint="eastAsia" w:ascii="宋体" w:hAnsi="宋体" w:cs="宋体"/>
                <w:color w:val="auto"/>
                <w:szCs w:val="21"/>
                <w:highlight w:val="none"/>
              </w:rPr>
            </w:pPr>
            <w:r>
              <w:rPr>
                <w:rFonts w:hint="eastAsia" w:ascii="宋体" w:hAnsi="宋体" w:cs="宋体"/>
                <w:color w:val="auto"/>
                <w:szCs w:val="21"/>
                <w:highlight w:val="none"/>
              </w:rPr>
              <w:t>银行账号：</w:t>
            </w:r>
          </w:p>
          <w:p w14:paraId="6F8F7DB3">
            <w:pPr>
              <w:keepNext w:val="0"/>
              <w:keepLines w:val="0"/>
              <w:pageBreakBefore w:val="0"/>
              <w:suppressLineNumbers w:val="0"/>
              <w:kinsoku/>
              <w:topLinePunct w:val="0"/>
              <w:bidi w:val="0"/>
              <w:spacing w:before="60" w:beforeAutospacing="0" w:after="60" w:afterAutospacing="0" w:line="360" w:lineRule="auto"/>
              <w:ind w:left="0" w:right="0"/>
              <w:contextualSpacing/>
              <w:rPr>
                <w:rFonts w:hint="default" w:ascii="宋体" w:hAnsi="宋体" w:cs="宋体"/>
                <w:color w:val="auto"/>
                <w:szCs w:val="21"/>
                <w:highlight w:val="none"/>
              </w:rPr>
            </w:pPr>
            <w:r>
              <w:rPr>
                <w:rFonts w:hint="eastAsia" w:ascii="宋体" w:hAnsi="宋体" w:cs="宋体"/>
                <w:color w:val="auto"/>
                <w:szCs w:val="21"/>
                <w:highlight w:val="none"/>
              </w:rPr>
              <w:t>备注：</w:t>
            </w:r>
          </w:p>
          <w:p w14:paraId="6FA91ADF">
            <w:pPr>
              <w:keepNext w:val="0"/>
              <w:keepLines w:val="0"/>
              <w:pageBreakBefore w:val="0"/>
              <w:suppressLineNumbers w:val="0"/>
              <w:kinsoku/>
              <w:topLinePunct w:val="0"/>
              <w:bidi w:val="0"/>
              <w:spacing w:before="60" w:beforeAutospacing="0" w:after="60" w:afterAutospacing="0" w:line="360" w:lineRule="auto"/>
              <w:ind w:left="0" w:right="0"/>
              <w:contextualSpacing/>
              <w:rPr>
                <w:rFonts w:hint="default" w:ascii="宋体" w:hAnsi="宋体" w:cs="宋体"/>
                <w:b/>
                <w:color w:val="auto"/>
                <w:szCs w:val="21"/>
                <w:highlight w:val="none"/>
              </w:rPr>
            </w:pPr>
            <w:r>
              <w:rPr>
                <w:rFonts w:hint="eastAsia" w:ascii="宋体" w:hAnsi="宋体" w:cs="宋体"/>
                <w:b/>
                <w:color w:val="auto"/>
                <w:szCs w:val="21"/>
                <w:highlight w:val="none"/>
              </w:rPr>
              <w:t>1</w:t>
            </w:r>
            <w:bookmarkStart w:id="61" w:name="_Hlk54170335"/>
            <w:r>
              <w:rPr>
                <w:rFonts w:hint="eastAsia" w:ascii="宋体" w:hAnsi="宋体" w:cs="宋体"/>
                <w:b/>
                <w:color w:val="auto"/>
                <w:szCs w:val="21"/>
                <w:highlight w:val="none"/>
                <w:lang w:eastAsia="zh-CN"/>
              </w:rPr>
              <w:t>.</w:t>
            </w:r>
            <w:r>
              <w:rPr>
                <w:rFonts w:hint="eastAsia" w:ascii="宋体" w:hAnsi="宋体"/>
                <w:b/>
                <w:color w:val="auto"/>
                <w:szCs w:val="21"/>
                <w:highlight w:val="none"/>
              </w:rPr>
              <w:t>根据《广西壮族自治区财政厅关于进一步发挥政府采购政策功能促进企业发展的通知》（桂财采〔2022〕30号）规定，鼓励采购人在与中小微企业签订政府采购合同时，减少或免于收取履约保证金，有必要收取履约保证金的，收取的履约保证金不得超过政府采购合同金额的5%，对中小企业收取的履约保证金数额不得超过政府采购合同金额的2%。</w:t>
            </w:r>
            <w:bookmarkEnd w:id="61"/>
          </w:p>
          <w:p w14:paraId="24A46602">
            <w:pPr>
              <w:keepNext w:val="0"/>
              <w:keepLines w:val="0"/>
              <w:pageBreakBefore w:val="0"/>
              <w:suppressLineNumbers w:val="0"/>
              <w:kinsoku/>
              <w:topLinePunct w:val="0"/>
              <w:bidi w:val="0"/>
              <w:spacing w:before="60" w:beforeAutospacing="0" w:after="60" w:afterAutospacing="0" w:line="360" w:lineRule="auto"/>
              <w:ind w:left="0" w:right="0"/>
              <w:contextualSpacing/>
              <w:rPr>
                <w:rFonts w:hint="default"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履约保证金不足额缴纳的，或者银行、保险机构出具的保函额度不足的或者保函有效期低于合同履行期限（即签订采购合同之日起至履行完合同约定的权利及义务之日止）的，不予签订合同。</w:t>
            </w:r>
          </w:p>
          <w:p w14:paraId="1EF1CE59">
            <w:pPr>
              <w:keepNext w:val="0"/>
              <w:keepLines w:val="0"/>
              <w:pageBreakBefore w:val="0"/>
              <w:suppressLineNumbers w:val="0"/>
              <w:kinsoku/>
              <w:topLinePunct w:val="0"/>
              <w:bidi w:val="0"/>
              <w:spacing w:before="60" w:beforeAutospacing="0" w:after="60" w:afterAutospacing="0" w:line="360" w:lineRule="auto"/>
              <w:ind w:left="0" w:right="0"/>
              <w:contextualSpacing/>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w:t>
            </w: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rPr>
              <w:t>采用银行、保险机构出具的保函的，必须为无条件保函，否则不予签订合同。</w:t>
            </w:r>
          </w:p>
          <w:p w14:paraId="07E63D8A">
            <w:pPr>
              <w:keepNext w:val="0"/>
              <w:keepLines w:val="0"/>
              <w:pageBreakBefore w:val="0"/>
              <w:suppressLineNumbers w:val="0"/>
              <w:kinsoku/>
              <w:topLinePunct w:val="0"/>
              <w:bidi w:val="0"/>
              <w:spacing w:before="60" w:beforeAutospacing="0" w:after="60" w:afterAutospacing="0" w:line="360" w:lineRule="auto"/>
              <w:ind w:left="0" w:right="0"/>
              <w:contextualSpacing/>
              <w:rPr>
                <w:rFonts w:hint="default" w:ascii="宋体" w:hAnsi="宋体" w:cs="宋体"/>
                <w:color w:val="auto"/>
                <w:szCs w:val="21"/>
                <w:highlight w:val="none"/>
              </w:rPr>
            </w:pPr>
            <w:r>
              <w:rPr>
                <w:rFonts w:hint="eastAsia" w:ascii="宋体" w:hAnsi="宋体" w:eastAsia="宋体" w:cs="宋体"/>
                <w:b/>
                <w:color w:val="auto"/>
                <w:szCs w:val="21"/>
                <w:highlight w:val="none"/>
              </w:rPr>
              <w:t>4</w:t>
            </w: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rPr>
              <w:t>供应商为联合体的，由联合体任意一方按规定提交的履约保证金，视为有效履约保证金。</w:t>
            </w:r>
          </w:p>
        </w:tc>
      </w:tr>
      <w:tr w14:paraId="2FF70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EB69DCC">
            <w:pPr>
              <w:keepNext w:val="0"/>
              <w:keepLines w:val="0"/>
              <w:pageBreakBefore w:val="0"/>
              <w:suppressLineNumbers w:val="0"/>
              <w:kinsoku/>
              <w:topLinePunct w:val="0"/>
              <w:bidi w:val="0"/>
              <w:spacing w:before="60" w:beforeAutospacing="0" w:after="60" w:afterAutospacing="0" w:line="360" w:lineRule="auto"/>
              <w:ind w:left="0" w:right="0"/>
              <w:jc w:val="center"/>
              <w:rPr>
                <w:rFonts w:hint="default" w:ascii="宋体" w:hAnsi="宋体" w:cs="宋体"/>
                <w:color w:val="auto"/>
                <w:szCs w:val="21"/>
                <w:highlight w:val="none"/>
              </w:rPr>
            </w:pPr>
            <w:r>
              <w:rPr>
                <w:rFonts w:hint="default" w:ascii="宋体" w:hAnsi="宋体" w:cs="宋体"/>
                <w:color w:val="auto"/>
                <w:szCs w:val="21"/>
                <w:highlight w:val="none"/>
              </w:rPr>
              <w:t>29</w:t>
            </w:r>
            <w:r>
              <w:rPr>
                <w:rFonts w:hint="eastAsia" w:ascii="宋体" w:hAnsi="宋体" w:cs="宋体"/>
                <w:color w:val="auto"/>
                <w:szCs w:val="21"/>
                <w:highlight w:val="none"/>
                <w:lang w:eastAsia="zh-CN"/>
              </w:rPr>
              <w:t>.</w:t>
            </w:r>
            <w:r>
              <w:rPr>
                <w:rFonts w:hint="default" w:ascii="宋体" w:hAnsi="宋体" w:cs="宋体"/>
                <w:color w:val="auto"/>
                <w:szCs w:val="21"/>
                <w:highlight w:val="none"/>
              </w:rPr>
              <w:t>1</w:t>
            </w:r>
          </w:p>
        </w:tc>
        <w:tc>
          <w:tcPr>
            <w:tcW w:w="7912" w:type="dxa"/>
            <w:vAlign w:val="center"/>
          </w:tcPr>
          <w:p w14:paraId="3F959D4D">
            <w:pPr>
              <w:keepNext w:val="0"/>
              <w:keepLines w:val="0"/>
              <w:pageBreakBefore w:val="0"/>
              <w:suppressLineNumbers w:val="0"/>
              <w:kinsoku/>
              <w:topLinePunct w:val="0"/>
              <w:autoSpaceDE w:val="0"/>
              <w:autoSpaceDN w:val="0"/>
              <w:bidi w:val="0"/>
              <w:snapToGrid w:val="0"/>
              <w:spacing w:before="60" w:beforeAutospacing="0" w:after="60" w:afterAutospacing="0" w:line="360" w:lineRule="auto"/>
              <w:ind w:left="0" w:right="0"/>
              <w:textAlignment w:val="bottom"/>
              <w:rPr>
                <w:rFonts w:hint="default" w:ascii="宋体" w:hAnsi="宋体"/>
                <w:color w:val="auto"/>
                <w:szCs w:val="21"/>
                <w:highlight w:val="none"/>
              </w:rPr>
            </w:pPr>
            <w:r>
              <w:rPr>
                <w:rFonts w:hint="eastAsia" w:ascii="宋体" w:hAnsi="宋体"/>
                <w:color w:val="auto"/>
                <w:szCs w:val="21"/>
                <w:highlight w:val="none"/>
              </w:rPr>
              <w:t xml:space="preserve">签订合同携带的证明材料： </w:t>
            </w:r>
          </w:p>
          <w:p w14:paraId="5049079E">
            <w:pPr>
              <w:keepNext w:val="0"/>
              <w:keepLines w:val="0"/>
              <w:pageBreakBefore w:val="0"/>
              <w:suppressLineNumbers w:val="0"/>
              <w:kinsoku/>
              <w:topLinePunct w:val="0"/>
              <w:autoSpaceDE w:val="0"/>
              <w:autoSpaceDN w:val="0"/>
              <w:bidi w:val="0"/>
              <w:snapToGrid w:val="0"/>
              <w:spacing w:before="60" w:beforeAutospacing="0" w:after="60" w:afterAutospacing="0" w:line="360" w:lineRule="auto"/>
              <w:ind w:left="0" w:right="0"/>
              <w:textAlignment w:val="bottom"/>
              <w:rPr>
                <w:rFonts w:hint="default"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38A2FB1C">
            <w:pPr>
              <w:keepNext w:val="0"/>
              <w:keepLines w:val="0"/>
              <w:pageBreakBefore w:val="0"/>
              <w:suppressLineNumbers w:val="0"/>
              <w:kinsoku/>
              <w:topLinePunct w:val="0"/>
              <w:bidi w:val="0"/>
              <w:snapToGrid w:val="0"/>
              <w:spacing w:before="60" w:beforeAutospacing="0" w:after="60" w:afterAutospacing="0" w:line="360" w:lineRule="auto"/>
              <w:ind w:left="0" w:right="0"/>
              <w:rPr>
                <w:rFonts w:hint="default"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hint="default" w:ascii="宋体" w:hAnsi="宋体"/>
                <w:color w:val="auto"/>
                <w:szCs w:val="21"/>
                <w:highlight w:val="none"/>
              </w:rPr>
              <w:t>身份证明原件</w:t>
            </w:r>
            <w:r>
              <w:rPr>
                <w:rFonts w:hint="eastAsia" w:ascii="宋体" w:hAnsi="宋体"/>
                <w:color w:val="auto"/>
                <w:szCs w:val="21"/>
                <w:highlight w:val="none"/>
              </w:rPr>
              <w:t>及</w:t>
            </w:r>
            <w:r>
              <w:rPr>
                <w:rFonts w:hint="default" w:ascii="宋体" w:hAnsi="宋体"/>
                <w:color w:val="auto"/>
                <w:szCs w:val="21"/>
                <w:highlight w:val="none"/>
              </w:rPr>
              <w:t>身份证原件</w:t>
            </w:r>
            <w:r>
              <w:rPr>
                <w:rFonts w:hint="eastAsia" w:ascii="宋体" w:hAnsi="宋体"/>
                <w:color w:val="auto"/>
                <w:szCs w:val="21"/>
                <w:highlight w:val="none"/>
              </w:rPr>
              <w:t>等其他证明材料。</w:t>
            </w:r>
          </w:p>
        </w:tc>
      </w:tr>
      <w:tr w14:paraId="125D5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816F332">
            <w:pPr>
              <w:keepNext w:val="0"/>
              <w:keepLines w:val="0"/>
              <w:pageBreakBefore w:val="0"/>
              <w:suppressLineNumbers w:val="0"/>
              <w:kinsoku/>
              <w:topLinePunct w:val="0"/>
              <w:bidi w:val="0"/>
              <w:spacing w:before="60" w:beforeAutospacing="0" w:after="6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w:t>
            </w:r>
            <w:r>
              <w:rPr>
                <w:rFonts w:hint="default" w:ascii="宋体" w:hAnsi="宋体" w:cs="宋体"/>
                <w:color w:val="auto"/>
                <w:szCs w:val="21"/>
                <w:highlight w:val="none"/>
              </w:rPr>
              <w:t>1</w:t>
            </w:r>
            <w:r>
              <w:rPr>
                <w:rFonts w:hint="eastAsia" w:ascii="宋体" w:hAnsi="宋体" w:cs="宋体"/>
                <w:color w:val="auto"/>
                <w:szCs w:val="21"/>
                <w:highlight w:val="none"/>
                <w:lang w:eastAsia="zh-CN"/>
              </w:rPr>
              <w:t>.</w:t>
            </w:r>
            <w:r>
              <w:rPr>
                <w:rFonts w:hint="default" w:ascii="宋体" w:hAnsi="宋体" w:cs="宋体"/>
                <w:color w:val="auto"/>
                <w:szCs w:val="21"/>
                <w:highlight w:val="none"/>
              </w:rPr>
              <w:t>2</w:t>
            </w:r>
          </w:p>
        </w:tc>
        <w:tc>
          <w:tcPr>
            <w:tcW w:w="7912" w:type="dxa"/>
            <w:vAlign w:val="center"/>
          </w:tcPr>
          <w:p w14:paraId="2C63B84F">
            <w:pPr>
              <w:keepNext w:val="0"/>
              <w:keepLines w:val="0"/>
              <w:pageBreakBefore w:val="0"/>
              <w:suppressLineNumbers w:val="0"/>
              <w:kinsoku/>
              <w:topLinePunct w:val="0"/>
              <w:bidi w:val="0"/>
              <w:snapToGrid w:val="0"/>
              <w:spacing w:before="60" w:beforeAutospacing="0" w:after="6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接收质疑函方式：以书面形式。</w:t>
            </w:r>
          </w:p>
          <w:p w14:paraId="5D88C181">
            <w:pPr>
              <w:keepNext w:val="0"/>
              <w:keepLines w:val="0"/>
              <w:pageBreakBefore w:val="0"/>
              <w:suppressLineNumbers w:val="0"/>
              <w:kinsoku/>
              <w:topLinePunct w:val="0"/>
              <w:bidi w:val="0"/>
              <w:snapToGrid w:val="0"/>
              <w:spacing w:before="60" w:beforeAutospacing="0" w:after="60" w:afterAutospacing="0" w:line="360" w:lineRule="auto"/>
              <w:ind w:left="0" w:right="0"/>
              <w:rPr>
                <w:rFonts w:hint="default" w:ascii="宋体" w:hAnsi="宋体"/>
                <w:color w:val="auto"/>
                <w:szCs w:val="21"/>
                <w:highlight w:val="none"/>
              </w:rPr>
            </w:pPr>
            <w:r>
              <w:rPr>
                <w:rFonts w:hint="eastAsia" w:ascii="宋体" w:hAnsi="宋体"/>
                <w:color w:val="auto"/>
                <w:szCs w:val="21"/>
                <w:highlight w:val="none"/>
              </w:rPr>
              <w:t>质疑联系部门及联系方式：</w:t>
            </w:r>
            <w:r>
              <w:rPr>
                <w:rFonts w:hint="eastAsia" w:ascii="宋体" w:hAnsi="宋体"/>
                <w:color w:val="auto"/>
                <w:szCs w:val="21"/>
                <w:highlight w:val="none"/>
                <w:u w:val="single"/>
                <w:lang w:eastAsia="zh-CN"/>
              </w:rPr>
              <w:t>广西荣胜项目管理有限公司</w:t>
            </w:r>
            <w:r>
              <w:rPr>
                <w:rFonts w:hint="eastAsia" w:ascii="宋体" w:hAnsi="宋体"/>
                <w:color w:val="auto"/>
                <w:szCs w:val="21"/>
                <w:highlight w:val="none"/>
              </w:rPr>
              <w:t>，联系电话：</w:t>
            </w:r>
            <w:r>
              <w:rPr>
                <w:rFonts w:hint="eastAsia" w:ascii="宋体" w:hAnsi="宋体"/>
                <w:color w:val="auto"/>
                <w:szCs w:val="21"/>
                <w:highlight w:val="none"/>
                <w:lang w:eastAsia="zh-CN"/>
              </w:rPr>
              <w:t>0777-5512166</w:t>
            </w:r>
            <w:r>
              <w:rPr>
                <w:rFonts w:hint="eastAsia"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lang w:eastAsia="zh-CN"/>
              </w:rPr>
              <w:t>钦州市蓬莱大道鸿亭街333号皇庭天麓湖小区183栋203室</w:t>
            </w:r>
            <w:r>
              <w:rPr>
                <w:rFonts w:hint="eastAsia" w:ascii="宋体" w:hAnsi="宋体"/>
                <w:color w:val="auto"/>
                <w:szCs w:val="21"/>
                <w:highlight w:val="none"/>
              </w:rPr>
              <w:t>。</w:t>
            </w:r>
          </w:p>
          <w:p w14:paraId="7B1C3AA0">
            <w:pPr>
              <w:keepNext w:val="0"/>
              <w:keepLines w:val="0"/>
              <w:pageBreakBefore w:val="0"/>
              <w:suppressLineNumbers w:val="0"/>
              <w:kinsoku/>
              <w:topLinePunct w:val="0"/>
              <w:bidi w:val="0"/>
              <w:spacing w:before="60" w:beforeAutospacing="0" w:after="60" w:afterAutospacing="0" w:line="360" w:lineRule="auto"/>
              <w:ind w:left="0" w:right="0"/>
              <w:rPr>
                <w:rFonts w:hint="default" w:ascii="宋体" w:hAnsi="宋体"/>
                <w:color w:val="auto"/>
                <w:szCs w:val="21"/>
                <w:highlight w:val="none"/>
              </w:rPr>
            </w:pPr>
            <w:r>
              <w:rPr>
                <w:rFonts w:hint="eastAsia" w:ascii="宋体" w:hAnsi="宋体"/>
                <w:color w:val="auto"/>
                <w:szCs w:val="21"/>
                <w:highlight w:val="none"/>
              </w:rPr>
              <w:t>业务时间：工作日每天上午</w:t>
            </w:r>
            <w:r>
              <w:rPr>
                <w:rFonts w:hint="default" w:ascii="宋体" w:hAnsi="宋体"/>
                <w:color w:val="auto"/>
                <w:szCs w:val="21"/>
                <w:highlight w:val="none"/>
              </w:rPr>
              <w:t>8</w:t>
            </w:r>
            <w:r>
              <w:rPr>
                <w:rFonts w:hint="eastAsia" w:ascii="宋体" w:hAnsi="宋体"/>
                <w:color w:val="auto"/>
                <w:szCs w:val="21"/>
                <w:highlight w:val="none"/>
              </w:rPr>
              <w:t>时3</w:t>
            </w:r>
            <w:r>
              <w:rPr>
                <w:rFonts w:hint="default" w:ascii="宋体" w:hAnsi="宋体"/>
                <w:color w:val="auto"/>
                <w:szCs w:val="21"/>
                <w:highlight w:val="none"/>
              </w:rPr>
              <w:t>0</w:t>
            </w:r>
            <w:r>
              <w:rPr>
                <w:rFonts w:hint="eastAsia" w:ascii="宋体" w:hAnsi="宋体"/>
                <w:color w:val="auto"/>
                <w:szCs w:val="21"/>
                <w:highlight w:val="none"/>
              </w:rPr>
              <w:t>分到</w:t>
            </w:r>
            <w:r>
              <w:rPr>
                <w:rFonts w:hint="default" w:ascii="宋体" w:hAnsi="宋体"/>
                <w:color w:val="auto"/>
                <w:szCs w:val="21"/>
                <w:highlight w:val="none"/>
              </w:rPr>
              <w:t>12</w:t>
            </w:r>
            <w:r>
              <w:rPr>
                <w:rFonts w:hint="eastAsia" w:ascii="宋体" w:hAnsi="宋体"/>
                <w:color w:val="auto"/>
                <w:szCs w:val="21"/>
                <w:highlight w:val="none"/>
              </w:rPr>
              <w:t>时</w:t>
            </w:r>
            <w:r>
              <w:rPr>
                <w:rFonts w:hint="default" w:ascii="宋体" w:hAnsi="宋体"/>
                <w:color w:val="auto"/>
                <w:szCs w:val="21"/>
                <w:highlight w:val="none"/>
              </w:rPr>
              <w:t>00</w:t>
            </w:r>
            <w:r>
              <w:rPr>
                <w:rFonts w:hint="eastAsia" w:ascii="宋体" w:hAnsi="宋体"/>
                <w:color w:val="auto"/>
                <w:szCs w:val="21"/>
                <w:highlight w:val="none"/>
              </w:rPr>
              <w:t>分，下午</w:t>
            </w:r>
            <w:r>
              <w:rPr>
                <w:rFonts w:hint="eastAsia" w:ascii="宋体" w:hAnsi="宋体"/>
                <w:color w:val="auto"/>
                <w:szCs w:val="21"/>
                <w:highlight w:val="none"/>
                <w:lang w:val="en-US" w:eastAsia="zh-CN"/>
              </w:rPr>
              <w:t>15</w:t>
            </w:r>
            <w:r>
              <w:rPr>
                <w:rFonts w:hint="eastAsia" w:ascii="宋体" w:hAnsi="宋体"/>
                <w:color w:val="auto"/>
                <w:szCs w:val="21"/>
                <w:highlight w:val="none"/>
              </w:rPr>
              <w:t>时</w:t>
            </w:r>
            <w:r>
              <w:rPr>
                <w:rFonts w:hint="eastAsia" w:ascii="宋体" w:hAnsi="宋体"/>
                <w:color w:val="auto"/>
                <w:szCs w:val="21"/>
                <w:highlight w:val="none"/>
                <w:lang w:val="en-US" w:eastAsia="zh-CN"/>
              </w:rPr>
              <w:t>0</w:t>
            </w:r>
            <w:r>
              <w:rPr>
                <w:rFonts w:hint="default" w:ascii="宋体" w:hAnsi="宋体"/>
                <w:color w:val="auto"/>
                <w:szCs w:val="21"/>
                <w:highlight w:val="none"/>
              </w:rPr>
              <w:t>0</w:t>
            </w:r>
            <w:r>
              <w:rPr>
                <w:rFonts w:hint="eastAsia" w:ascii="宋体" w:hAnsi="宋体"/>
                <w:color w:val="auto"/>
                <w:szCs w:val="21"/>
                <w:highlight w:val="none"/>
              </w:rPr>
              <w:t>分到1</w:t>
            </w:r>
            <w:r>
              <w:rPr>
                <w:rFonts w:hint="eastAsia" w:ascii="宋体" w:hAnsi="宋体"/>
                <w:color w:val="auto"/>
                <w:szCs w:val="21"/>
                <w:highlight w:val="none"/>
                <w:lang w:val="en-US" w:eastAsia="zh-CN"/>
              </w:rPr>
              <w:t>8</w:t>
            </w:r>
            <w:r>
              <w:rPr>
                <w:rFonts w:hint="eastAsia" w:ascii="宋体" w:hAnsi="宋体"/>
                <w:color w:val="auto"/>
                <w:szCs w:val="21"/>
                <w:highlight w:val="none"/>
              </w:rPr>
              <w:t>时</w:t>
            </w:r>
            <w:r>
              <w:rPr>
                <w:rFonts w:hint="eastAsia" w:ascii="宋体" w:hAnsi="宋体"/>
                <w:color w:val="auto"/>
                <w:szCs w:val="21"/>
                <w:highlight w:val="none"/>
                <w:lang w:val="en-US" w:eastAsia="zh-CN"/>
              </w:rPr>
              <w:t>0</w:t>
            </w:r>
            <w:r>
              <w:rPr>
                <w:rFonts w:hint="default" w:ascii="宋体" w:hAnsi="宋体"/>
                <w:color w:val="auto"/>
                <w:szCs w:val="21"/>
                <w:highlight w:val="none"/>
              </w:rPr>
              <w:t>0</w:t>
            </w:r>
            <w:r>
              <w:rPr>
                <w:rFonts w:hint="eastAsia" w:ascii="宋体" w:hAnsi="宋体"/>
                <w:color w:val="auto"/>
                <w:szCs w:val="21"/>
                <w:highlight w:val="none"/>
              </w:rPr>
              <w:t>分。</w:t>
            </w:r>
          </w:p>
        </w:tc>
      </w:tr>
      <w:tr w14:paraId="6ABEE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89EED1C">
            <w:pPr>
              <w:keepNext w:val="0"/>
              <w:keepLines w:val="0"/>
              <w:pageBreakBefore w:val="0"/>
              <w:suppressLineNumbers w:val="0"/>
              <w:kinsoku/>
              <w:topLinePunct w:val="0"/>
              <w:bidi w:val="0"/>
              <w:spacing w:before="60" w:beforeAutospacing="0" w:after="60" w:afterAutospacing="0" w:line="360" w:lineRule="auto"/>
              <w:ind w:left="0" w:right="0"/>
              <w:jc w:val="center"/>
              <w:rPr>
                <w:rFonts w:hint="default" w:ascii="宋体" w:hAnsi="宋体" w:cs="宋体"/>
                <w:color w:val="auto"/>
                <w:szCs w:val="21"/>
                <w:highlight w:val="none"/>
              </w:rPr>
            </w:pPr>
            <w:r>
              <w:rPr>
                <w:rFonts w:hint="default" w:ascii="宋体" w:hAnsi="宋体" w:cs="宋体"/>
                <w:color w:val="auto"/>
                <w:szCs w:val="21"/>
                <w:highlight w:val="none"/>
              </w:rPr>
              <w:t>32</w:t>
            </w:r>
            <w:r>
              <w:rPr>
                <w:rFonts w:hint="eastAsia" w:ascii="宋体" w:hAnsi="宋体" w:cs="宋体"/>
                <w:color w:val="auto"/>
                <w:szCs w:val="21"/>
                <w:highlight w:val="none"/>
                <w:lang w:eastAsia="zh-CN"/>
              </w:rPr>
              <w:t>.</w:t>
            </w:r>
            <w:r>
              <w:rPr>
                <w:rFonts w:hint="default" w:ascii="宋体" w:hAnsi="宋体" w:cs="宋体"/>
                <w:color w:val="auto"/>
                <w:szCs w:val="21"/>
                <w:highlight w:val="none"/>
              </w:rPr>
              <w:t>1</w:t>
            </w:r>
          </w:p>
        </w:tc>
        <w:tc>
          <w:tcPr>
            <w:tcW w:w="7912" w:type="dxa"/>
            <w:vAlign w:val="center"/>
          </w:tcPr>
          <w:p w14:paraId="7D1F04AB">
            <w:pPr>
              <w:keepNext w:val="0"/>
              <w:keepLines w:val="0"/>
              <w:pageBreakBefore w:val="0"/>
              <w:suppressLineNumbers w:val="0"/>
              <w:kinsoku/>
              <w:topLinePunct w:val="0"/>
              <w:bidi w:val="0"/>
              <w:snapToGrid w:val="0"/>
              <w:spacing w:before="60" w:beforeAutospacing="0" w:after="60" w:afterAutospacing="0" w:line="360" w:lineRule="auto"/>
              <w:ind w:left="0" w:right="0"/>
              <w:rPr>
                <w:rFonts w:hint="default" w:hAnsi="宋体" w:cs="宋体"/>
                <w:color w:val="auto"/>
                <w:highlight w:val="none"/>
              </w:rPr>
            </w:pPr>
            <w:r>
              <w:rPr>
                <w:rFonts w:hint="eastAsia" w:hAnsi="宋体" w:cs="宋体"/>
                <w:color w:val="auto"/>
                <w:highlight w:val="none"/>
              </w:rPr>
              <w:t>1</w:t>
            </w:r>
            <w:r>
              <w:rPr>
                <w:rFonts w:hint="eastAsia" w:hAnsi="宋体" w:cs="宋体"/>
                <w:color w:val="auto"/>
                <w:highlight w:val="none"/>
                <w:lang w:eastAsia="zh-CN"/>
              </w:rPr>
              <w:t>.</w:t>
            </w:r>
            <w:r>
              <w:rPr>
                <w:rFonts w:hint="eastAsia" w:hAnsi="宋体" w:cs="宋体"/>
                <w:color w:val="auto"/>
                <w:highlight w:val="none"/>
              </w:rPr>
              <w:t>采购代理费支付方式：</w:t>
            </w:r>
          </w:p>
          <w:p w14:paraId="2EFC8E27">
            <w:pPr>
              <w:keepNext w:val="0"/>
              <w:keepLines w:val="0"/>
              <w:pageBreakBefore w:val="0"/>
              <w:suppressLineNumbers w:val="0"/>
              <w:kinsoku/>
              <w:topLinePunct w:val="0"/>
              <w:bidi w:val="0"/>
              <w:snapToGrid w:val="0"/>
              <w:spacing w:before="60" w:beforeAutospacing="0" w:after="60" w:afterAutospacing="0" w:line="360" w:lineRule="auto"/>
              <w:ind w:left="0" w:right="0"/>
              <w:rPr>
                <w:rFonts w:hint="default" w:ascii="宋体" w:hAnsi="宋体" w:cs="宋体"/>
                <w:color w:val="auto"/>
                <w:szCs w:val="21"/>
                <w:highlight w:val="none"/>
              </w:rPr>
            </w:pPr>
            <w:r>
              <w:rPr>
                <w:rFonts w:hint="default" w:ascii="Segoe UI Symbol" w:hAnsi="Segoe UI Symbol" w:cs="Segoe UI Symbol"/>
                <w:color w:val="auto"/>
                <w:szCs w:val="21"/>
                <w:highlight w:val="none"/>
              </w:rPr>
              <w:t>☑</w:t>
            </w:r>
            <w:r>
              <w:rPr>
                <w:rFonts w:hint="eastAsia" w:ascii="宋体" w:hAnsi="宋体" w:cs="宋体"/>
                <w:color w:val="auto"/>
                <w:szCs w:val="21"/>
                <w:highlight w:val="none"/>
              </w:rPr>
              <w:t>本项目</w:t>
            </w:r>
            <w:r>
              <w:rPr>
                <w:rFonts w:hint="eastAsia" w:hAnsi="宋体" w:cs="宋体"/>
                <w:color w:val="auto"/>
                <w:highlight w:val="none"/>
              </w:rPr>
              <w:t>代理</w:t>
            </w:r>
            <w:r>
              <w:rPr>
                <w:rFonts w:hint="eastAsia" w:ascii="宋体" w:hAnsi="宋体" w:cs="宋体"/>
                <w:color w:val="auto"/>
                <w:szCs w:val="21"/>
                <w:highlight w:val="none"/>
              </w:rPr>
              <w:t>服务费由</w:t>
            </w:r>
            <w:r>
              <w:rPr>
                <w:rFonts w:hint="eastAsia" w:ascii="宋体" w:hAnsi="宋体" w:cs="宋体"/>
                <w:color w:val="auto"/>
                <w:szCs w:val="21"/>
                <w:highlight w:val="none"/>
                <w:u w:val="single"/>
              </w:rPr>
              <w:t>成交供应商</w:t>
            </w:r>
            <w:r>
              <w:rPr>
                <w:rFonts w:hint="eastAsia" w:ascii="宋体" w:hAnsi="宋体" w:cs="宋体"/>
                <w:color w:val="auto"/>
                <w:szCs w:val="21"/>
                <w:highlight w:val="none"/>
              </w:rPr>
              <w:t>领取成交通知书前，一次性向采购代理机构支付。</w:t>
            </w:r>
          </w:p>
          <w:p w14:paraId="0A1F004E">
            <w:pPr>
              <w:pStyle w:val="15"/>
              <w:keepNext w:val="0"/>
              <w:keepLines w:val="0"/>
              <w:pageBreakBefore w:val="0"/>
              <w:suppressLineNumbers w:val="0"/>
              <w:kinsoku/>
              <w:topLinePunct w:val="0"/>
              <w:bidi w:val="0"/>
              <w:snapToGrid w:val="0"/>
              <w:spacing w:before="60" w:beforeAutospacing="0" w:after="60" w:afterAutospacing="0" w:line="360" w:lineRule="auto"/>
              <w:ind w:left="0" w:right="0"/>
              <w:rPr>
                <w:rFonts w:hint="default" w:hAnsi="宋体" w:cs="宋体"/>
                <w:color w:val="auto"/>
                <w:sz w:val="21"/>
                <w:highlight w:val="none"/>
              </w:rPr>
            </w:pPr>
            <w:r>
              <w:rPr>
                <w:rFonts w:hint="eastAsia" w:hAnsi="宋体" w:cs="宋体"/>
                <w:color w:val="auto"/>
                <w:sz w:val="21"/>
                <w:highlight w:val="none"/>
              </w:rPr>
              <w:t>□采购人支付。</w:t>
            </w:r>
          </w:p>
          <w:p w14:paraId="51211C1B">
            <w:pPr>
              <w:pStyle w:val="15"/>
              <w:keepNext w:val="0"/>
              <w:keepLines w:val="0"/>
              <w:pageBreakBefore w:val="0"/>
              <w:suppressLineNumbers w:val="0"/>
              <w:kinsoku/>
              <w:topLinePunct w:val="0"/>
              <w:bidi w:val="0"/>
              <w:snapToGrid w:val="0"/>
              <w:spacing w:before="60" w:beforeAutospacing="0" w:after="60" w:afterAutospacing="0" w:line="360" w:lineRule="auto"/>
              <w:ind w:left="0" w:right="0"/>
              <w:rPr>
                <w:rFonts w:hint="default" w:hAnsi="宋体" w:cs="宋体"/>
                <w:color w:val="auto"/>
                <w:sz w:val="21"/>
                <w:highlight w:val="none"/>
              </w:rPr>
            </w:pPr>
            <w:r>
              <w:rPr>
                <w:rFonts w:hint="eastAsia" w:hAnsi="宋体" w:cs="宋体"/>
                <w:color w:val="auto"/>
                <w:sz w:val="21"/>
                <w:highlight w:val="none"/>
              </w:rPr>
              <w:t>2</w:t>
            </w:r>
            <w:r>
              <w:rPr>
                <w:rFonts w:hint="eastAsia" w:hAnsi="宋体" w:cs="宋体"/>
                <w:color w:val="auto"/>
                <w:sz w:val="21"/>
                <w:highlight w:val="none"/>
                <w:lang w:eastAsia="zh-CN"/>
              </w:rPr>
              <w:t>.</w:t>
            </w:r>
            <w:r>
              <w:rPr>
                <w:rFonts w:hint="eastAsia" w:hAnsi="宋体" w:cs="宋体"/>
                <w:color w:val="auto"/>
                <w:sz w:val="21"/>
                <w:highlight w:val="none"/>
              </w:rPr>
              <w:t>采购代理费收取标准：</w:t>
            </w:r>
          </w:p>
          <w:p w14:paraId="250CD723">
            <w:pPr>
              <w:keepNext w:val="0"/>
              <w:keepLines w:val="0"/>
              <w:pageBreakBefore w:val="0"/>
              <w:suppressLineNumbers w:val="0"/>
              <w:kinsoku/>
              <w:topLinePunct w:val="0"/>
              <w:bidi w:val="0"/>
              <w:spacing w:before="60" w:beforeAutospacing="0" w:after="60" w:afterAutospacing="0" w:line="360" w:lineRule="auto"/>
              <w:ind w:left="0" w:right="0"/>
              <w:rPr>
                <w:rFonts w:hint="default" w:ascii="宋体" w:hAnsi="宋体" w:cs="宋体"/>
                <w:color w:val="auto"/>
                <w:szCs w:val="21"/>
                <w:highlight w:val="none"/>
              </w:rPr>
            </w:pPr>
            <w:r>
              <w:rPr>
                <w:rFonts w:hint="default" w:ascii="Segoe UI Symbol" w:hAnsi="Segoe UI Symbol" w:cs="Segoe UI Symbol"/>
                <w:color w:val="auto"/>
                <w:szCs w:val="21"/>
                <w:highlight w:val="none"/>
              </w:rPr>
              <w:t>☑</w:t>
            </w:r>
            <w:r>
              <w:rPr>
                <w:rFonts w:hint="default" w:ascii="Segoe UI Symbol" w:hAnsi="Segoe UI Symbol" w:cs="Segoe UI Symbol"/>
                <w:color w:val="auto"/>
                <w:szCs w:val="21"/>
                <w:highlight w:val="none"/>
                <w:lang w:val="en-US" w:eastAsia="zh-CN"/>
              </w:rPr>
              <w:t>按国家计委计价格[2002]1980号和发改办[2003]857号文规定由采购代理机构向成交供应商收取。即按成交金额100万元以下为1.</w:t>
            </w:r>
            <w:r>
              <w:rPr>
                <w:rFonts w:hint="eastAsia" w:ascii="Segoe UI Symbol" w:hAnsi="Segoe UI Symbol" w:cs="Segoe UI Symbol"/>
                <w:color w:val="auto"/>
                <w:szCs w:val="21"/>
                <w:highlight w:val="none"/>
                <w:lang w:val="en-US" w:eastAsia="zh-CN"/>
              </w:rPr>
              <w:t>5</w:t>
            </w:r>
            <w:r>
              <w:rPr>
                <w:rFonts w:hint="default" w:ascii="Segoe UI Symbol" w:hAnsi="Segoe UI Symbol" w:cs="Segoe UI Symbol"/>
                <w:color w:val="auto"/>
                <w:szCs w:val="21"/>
                <w:highlight w:val="none"/>
                <w:lang w:val="en-US" w:eastAsia="zh-CN"/>
              </w:rPr>
              <w:t>%，100-500万元为0.</w:t>
            </w:r>
            <w:r>
              <w:rPr>
                <w:rFonts w:hint="eastAsia" w:ascii="Segoe UI Symbol" w:hAnsi="Segoe UI Symbol" w:cs="Segoe UI Symbol"/>
                <w:color w:val="auto"/>
                <w:szCs w:val="21"/>
                <w:highlight w:val="none"/>
                <w:lang w:val="en-US" w:eastAsia="zh-CN"/>
              </w:rPr>
              <w:t>8</w:t>
            </w:r>
            <w:r>
              <w:rPr>
                <w:rFonts w:hint="default" w:ascii="Segoe UI Symbol" w:hAnsi="Segoe UI Symbol" w:cs="Segoe UI Symbol"/>
                <w:color w:val="auto"/>
                <w:szCs w:val="21"/>
                <w:highlight w:val="none"/>
                <w:lang w:val="en-US" w:eastAsia="zh-CN"/>
              </w:rPr>
              <w:t>%，并且按差额定率累进法计算</w:t>
            </w:r>
            <w:r>
              <w:rPr>
                <w:rFonts w:hint="eastAsia" w:ascii="宋体" w:hAnsi="宋体" w:cs="宋体"/>
                <w:color w:val="auto"/>
                <w:szCs w:val="21"/>
                <w:highlight w:val="none"/>
              </w:rPr>
              <w:t>。</w:t>
            </w:r>
          </w:p>
          <w:p w14:paraId="6971F6BA">
            <w:pPr>
              <w:pStyle w:val="15"/>
              <w:keepNext w:val="0"/>
              <w:keepLines w:val="0"/>
              <w:pageBreakBefore w:val="0"/>
              <w:suppressLineNumbers w:val="0"/>
              <w:kinsoku/>
              <w:topLinePunct w:val="0"/>
              <w:bidi w:val="0"/>
              <w:snapToGrid w:val="0"/>
              <w:spacing w:before="60" w:beforeAutospacing="0" w:after="60" w:afterAutospacing="0" w:line="360" w:lineRule="auto"/>
              <w:ind w:left="0" w:right="0"/>
              <w:rPr>
                <w:rFonts w:hint="default" w:hAnsi="宋体" w:cs="宋体"/>
                <w:color w:val="auto"/>
                <w:sz w:val="21"/>
                <w:highlight w:val="none"/>
                <w:u w:val="single"/>
              </w:rPr>
            </w:pPr>
            <w:r>
              <w:rPr>
                <w:rFonts w:hint="eastAsia" w:hAnsi="宋体" w:cs="宋体"/>
                <w:color w:val="auto"/>
                <w:sz w:val="21"/>
                <w:highlight w:val="none"/>
              </w:rPr>
              <w:t>□固定采购代理收费</w:t>
            </w:r>
            <w:r>
              <w:rPr>
                <w:rFonts w:hint="eastAsia" w:hAnsi="宋体" w:cs="宋体"/>
                <w:color w:val="auto"/>
                <w:sz w:val="21"/>
                <w:highlight w:val="none"/>
                <w:u w:val="single"/>
              </w:rPr>
              <w:t xml:space="preserve">              。</w:t>
            </w:r>
          </w:p>
          <w:p w14:paraId="2D3CC6AC">
            <w:pPr>
              <w:pStyle w:val="15"/>
              <w:keepNext w:val="0"/>
              <w:keepLines w:val="0"/>
              <w:pageBreakBefore w:val="0"/>
              <w:suppressLineNumbers w:val="0"/>
              <w:kinsoku/>
              <w:topLinePunct w:val="0"/>
              <w:bidi w:val="0"/>
              <w:snapToGrid w:val="0"/>
              <w:spacing w:before="60" w:beforeAutospacing="0" w:after="60" w:afterAutospacing="0" w:line="360" w:lineRule="auto"/>
              <w:ind w:left="0" w:right="0"/>
              <w:rPr>
                <w:rFonts w:hint="default" w:hAnsi="宋体" w:cs="宋体"/>
                <w:color w:val="auto"/>
                <w:sz w:val="21"/>
                <w:highlight w:val="none"/>
              </w:rPr>
            </w:pPr>
            <w:r>
              <w:rPr>
                <w:rFonts w:hint="eastAsia" w:hAnsi="宋体" w:cs="宋体"/>
                <w:color w:val="auto"/>
                <w:sz w:val="21"/>
                <w:highlight w:val="none"/>
              </w:rPr>
              <w:t>3</w:t>
            </w:r>
            <w:r>
              <w:rPr>
                <w:rFonts w:hint="eastAsia" w:hAnsi="宋体" w:cs="宋体"/>
                <w:color w:val="auto"/>
                <w:sz w:val="21"/>
                <w:highlight w:val="none"/>
                <w:lang w:eastAsia="zh-CN"/>
              </w:rPr>
              <w:t>.</w:t>
            </w:r>
            <w:r>
              <w:rPr>
                <w:rFonts w:hint="eastAsia" w:hAnsi="宋体" w:cs="宋体"/>
                <w:color w:val="auto"/>
                <w:sz w:val="21"/>
                <w:highlight w:val="none"/>
              </w:rPr>
              <w:t xml:space="preserve"> 采购代理费收取银行账户</w:t>
            </w:r>
          </w:p>
          <w:p w14:paraId="132CEBF2">
            <w:pPr>
              <w:pStyle w:val="15"/>
              <w:keepNext w:val="0"/>
              <w:keepLines w:val="0"/>
              <w:pageBreakBefore w:val="0"/>
              <w:suppressLineNumbers w:val="0"/>
              <w:kinsoku/>
              <w:topLinePunct w:val="0"/>
              <w:bidi w:val="0"/>
              <w:snapToGrid w:val="0"/>
              <w:spacing w:before="60" w:beforeAutospacing="0" w:after="60" w:afterAutospacing="0" w:line="360" w:lineRule="auto"/>
              <w:ind w:left="0" w:right="0"/>
              <w:rPr>
                <w:rFonts w:hint="eastAsia" w:hAnsi="宋体" w:eastAsia="宋体"/>
                <w:color w:val="auto"/>
                <w:sz w:val="21"/>
                <w:highlight w:val="none"/>
                <w:lang w:eastAsia="zh-CN"/>
              </w:rPr>
            </w:pPr>
            <w:r>
              <w:rPr>
                <w:rFonts w:hint="eastAsia" w:hAnsi="宋体"/>
                <w:color w:val="auto"/>
                <w:sz w:val="21"/>
                <w:highlight w:val="none"/>
              </w:rPr>
              <w:t>开户名称：</w:t>
            </w:r>
            <w:r>
              <w:rPr>
                <w:rFonts w:hint="eastAsia" w:hAnsi="宋体" w:cs="宋体"/>
                <w:color w:val="auto"/>
                <w:spacing w:val="0"/>
                <w:position w:val="0"/>
                <w:sz w:val="21"/>
                <w:highlight w:val="none"/>
                <w:lang w:val="en-US" w:eastAsia="zh-CN"/>
              </w:rPr>
              <w:t>广西荣胜项目管理有限公司灵山分公司</w:t>
            </w:r>
          </w:p>
          <w:p w14:paraId="3244B1E2">
            <w:pPr>
              <w:pStyle w:val="15"/>
              <w:keepNext w:val="0"/>
              <w:keepLines w:val="0"/>
              <w:pageBreakBefore w:val="0"/>
              <w:suppressLineNumbers w:val="0"/>
              <w:kinsoku/>
              <w:topLinePunct w:val="0"/>
              <w:bidi w:val="0"/>
              <w:snapToGrid w:val="0"/>
              <w:spacing w:before="60" w:beforeAutospacing="0" w:after="60" w:afterAutospacing="0" w:line="360" w:lineRule="auto"/>
              <w:ind w:left="0" w:right="0"/>
              <w:rPr>
                <w:rFonts w:hint="default" w:hAnsi="宋体"/>
                <w:color w:val="auto"/>
                <w:sz w:val="21"/>
                <w:highlight w:val="none"/>
              </w:rPr>
            </w:pPr>
            <w:r>
              <w:rPr>
                <w:rFonts w:hint="eastAsia" w:hAnsi="宋体"/>
                <w:color w:val="auto"/>
                <w:sz w:val="21"/>
                <w:highlight w:val="none"/>
              </w:rPr>
              <w:t>开户银行：</w:t>
            </w:r>
            <w:r>
              <w:rPr>
                <w:rFonts w:hint="eastAsia" w:hAnsi="宋体" w:cs="宋体"/>
                <w:color w:val="auto"/>
                <w:spacing w:val="0"/>
                <w:position w:val="0"/>
                <w:sz w:val="21"/>
                <w:highlight w:val="none"/>
                <w:lang w:val="en-US" w:eastAsia="zh-CN"/>
              </w:rPr>
              <w:t>灵山县农村信用合作联社平山信用社</w:t>
            </w:r>
          </w:p>
          <w:p w14:paraId="4E6990CA">
            <w:pPr>
              <w:pStyle w:val="15"/>
              <w:keepNext w:val="0"/>
              <w:keepLines w:val="0"/>
              <w:pageBreakBefore w:val="0"/>
              <w:suppressLineNumbers w:val="0"/>
              <w:kinsoku/>
              <w:topLinePunct w:val="0"/>
              <w:bidi w:val="0"/>
              <w:snapToGrid w:val="0"/>
              <w:spacing w:before="60" w:beforeAutospacing="0" w:after="60" w:afterAutospacing="0" w:line="360" w:lineRule="auto"/>
              <w:ind w:left="0" w:right="0"/>
              <w:rPr>
                <w:rFonts w:hint="default" w:hAnsi="宋体" w:cs="宋体"/>
                <w:color w:val="auto"/>
                <w:highlight w:val="none"/>
              </w:rPr>
            </w:pPr>
            <w:r>
              <w:rPr>
                <w:rFonts w:hint="eastAsia" w:hAnsi="宋体"/>
                <w:color w:val="auto"/>
                <w:sz w:val="21"/>
                <w:highlight w:val="none"/>
              </w:rPr>
              <w:t>银行账号：</w:t>
            </w:r>
            <w:r>
              <w:rPr>
                <w:rFonts w:hint="eastAsia" w:hAnsi="宋体" w:cs="宋体"/>
                <w:color w:val="auto"/>
                <w:spacing w:val="0"/>
                <w:position w:val="0"/>
                <w:sz w:val="21"/>
                <w:highlight w:val="none"/>
                <w:lang w:val="en-US" w:eastAsia="zh-CN"/>
              </w:rPr>
              <w:t>811712010121967396</w:t>
            </w:r>
          </w:p>
        </w:tc>
      </w:tr>
      <w:tr w14:paraId="196F3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EB3DD97">
            <w:pPr>
              <w:keepNext w:val="0"/>
              <w:keepLines w:val="0"/>
              <w:pageBreakBefore w:val="0"/>
              <w:suppressLineNumbers w:val="0"/>
              <w:kinsoku/>
              <w:topLinePunct w:val="0"/>
              <w:bidi w:val="0"/>
              <w:spacing w:before="60" w:beforeAutospacing="0" w:after="6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w:t>
            </w:r>
            <w:r>
              <w:rPr>
                <w:rFonts w:hint="default" w:ascii="宋体" w:hAnsi="宋体" w:cs="宋体"/>
                <w:color w:val="auto"/>
                <w:szCs w:val="21"/>
                <w:highlight w:val="none"/>
              </w:rPr>
              <w:t>3</w:t>
            </w:r>
            <w:r>
              <w:rPr>
                <w:rFonts w:hint="eastAsia" w:ascii="宋体" w:hAnsi="宋体" w:cs="宋体"/>
                <w:color w:val="auto"/>
                <w:szCs w:val="21"/>
                <w:highlight w:val="none"/>
                <w:lang w:eastAsia="zh-CN"/>
              </w:rPr>
              <w:t>.</w:t>
            </w:r>
            <w:r>
              <w:rPr>
                <w:rFonts w:hint="default" w:ascii="宋体" w:hAnsi="宋体" w:cs="宋体"/>
                <w:color w:val="auto"/>
                <w:szCs w:val="21"/>
                <w:highlight w:val="none"/>
              </w:rPr>
              <w:t>1</w:t>
            </w:r>
          </w:p>
        </w:tc>
        <w:tc>
          <w:tcPr>
            <w:tcW w:w="7912" w:type="dxa"/>
            <w:vAlign w:val="center"/>
          </w:tcPr>
          <w:p w14:paraId="22630A6E">
            <w:pPr>
              <w:pStyle w:val="15"/>
              <w:keepNext w:val="0"/>
              <w:keepLines w:val="0"/>
              <w:pageBreakBefore w:val="0"/>
              <w:suppressLineNumbers w:val="0"/>
              <w:kinsoku/>
              <w:topLinePunct w:val="0"/>
              <w:bidi w:val="0"/>
              <w:snapToGrid w:val="0"/>
              <w:spacing w:before="60" w:beforeAutospacing="0" w:after="60" w:afterAutospacing="0" w:line="360" w:lineRule="auto"/>
              <w:ind w:left="0" w:right="0"/>
              <w:rPr>
                <w:rFonts w:hint="default" w:hAnsi="宋体" w:cs="宋体"/>
                <w:color w:val="auto"/>
                <w:kern w:val="2"/>
                <w:sz w:val="21"/>
                <w:highlight w:val="none"/>
              </w:rPr>
            </w:pPr>
            <w:r>
              <w:rPr>
                <w:rFonts w:hint="eastAsia" w:hAnsi="宋体"/>
                <w:color w:val="auto"/>
                <w:sz w:val="21"/>
                <w:highlight w:val="none"/>
              </w:rPr>
              <w:t>解释：</w:t>
            </w:r>
            <w:r>
              <w:rPr>
                <w:rFonts w:hint="default" w:hAnsi="宋体"/>
                <w:color w:val="auto"/>
                <w:sz w:val="21"/>
                <w:highlight w:val="none"/>
              </w:rPr>
              <w:t>构成本</w:t>
            </w:r>
            <w:r>
              <w:rPr>
                <w:rFonts w:hint="eastAsia" w:hAnsi="宋体"/>
                <w:color w:val="auto"/>
                <w:sz w:val="21"/>
                <w:highlight w:val="none"/>
              </w:rPr>
              <w:t>磋商文件</w:t>
            </w:r>
            <w:r>
              <w:rPr>
                <w:rFonts w:hint="default" w:hAnsi="宋体"/>
                <w:color w:val="auto"/>
                <w:sz w:val="21"/>
                <w:highlight w:val="none"/>
              </w:rPr>
              <w:t>的各个组成文件应互为解释，互为说明；除</w:t>
            </w:r>
            <w:r>
              <w:rPr>
                <w:rFonts w:hint="eastAsia" w:hAnsi="宋体"/>
                <w:color w:val="auto"/>
                <w:sz w:val="21"/>
                <w:highlight w:val="none"/>
              </w:rPr>
              <w:t>磋商文件</w:t>
            </w:r>
            <w:r>
              <w:rPr>
                <w:rFonts w:hint="default" w:hAnsi="宋体"/>
                <w:color w:val="auto"/>
                <w:sz w:val="21"/>
                <w:highlight w:val="none"/>
              </w:rPr>
              <w:t>中有特别规定外，仅适用于</w:t>
            </w:r>
            <w:r>
              <w:rPr>
                <w:rFonts w:hint="eastAsia" w:hAnsi="宋体"/>
                <w:color w:val="auto"/>
                <w:sz w:val="21"/>
                <w:highlight w:val="none"/>
              </w:rPr>
              <w:t>竞标</w:t>
            </w:r>
            <w:r>
              <w:rPr>
                <w:rFonts w:hint="default" w:hAnsi="宋体"/>
                <w:color w:val="auto"/>
                <w:sz w:val="21"/>
                <w:highlight w:val="none"/>
              </w:rPr>
              <w:t>阶段的规定，按</w:t>
            </w:r>
            <w:r>
              <w:rPr>
                <w:rFonts w:hint="eastAsia" w:hAnsi="宋体"/>
                <w:color w:val="auto"/>
                <w:sz w:val="21"/>
                <w:highlight w:val="none"/>
              </w:rPr>
              <w:t>更正公告（澄清公告）</w:t>
            </w:r>
            <w:r>
              <w:rPr>
                <w:rFonts w:hint="default" w:hAnsi="宋体"/>
                <w:color w:val="auto"/>
                <w:sz w:val="21"/>
                <w:highlight w:val="none"/>
              </w:rPr>
              <w:t>、</w:t>
            </w:r>
            <w:r>
              <w:rPr>
                <w:rFonts w:hint="eastAsia" w:hAnsi="宋体"/>
                <w:color w:val="auto"/>
                <w:sz w:val="21"/>
                <w:highlight w:val="none"/>
              </w:rPr>
              <w:t>竞争性磋商</w:t>
            </w:r>
            <w:r>
              <w:rPr>
                <w:rFonts w:hint="default" w:hAnsi="宋体"/>
                <w:color w:val="auto"/>
                <w:sz w:val="21"/>
                <w:highlight w:val="none"/>
              </w:rPr>
              <w:t>公告、</w:t>
            </w:r>
            <w:r>
              <w:rPr>
                <w:rFonts w:hint="eastAsia" w:hAnsi="宋体"/>
                <w:color w:val="auto"/>
                <w:sz w:val="21"/>
                <w:highlight w:val="none"/>
              </w:rPr>
              <w:t>供应商</w:t>
            </w:r>
            <w:r>
              <w:rPr>
                <w:rFonts w:hint="default" w:hAnsi="宋体"/>
                <w:color w:val="auto"/>
                <w:sz w:val="21"/>
                <w:highlight w:val="none"/>
              </w:rPr>
              <w:t>须知</w:t>
            </w:r>
            <w:r>
              <w:rPr>
                <w:rFonts w:hint="eastAsia" w:hAnsi="宋体"/>
                <w:color w:val="auto"/>
                <w:sz w:val="21"/>
                <w:highlight w:val="none"/>
              </w:rPr>
              <w:t>、采购需求</w:t>
            </w:r>
            <w:r>
              <w:rPr>
                <w:rFonts w:hint="default" w:hAnsi="宋体"/>
                <w:color w:val="auto"/>
                <w:sz w:val="21"/>
                <w:highlight w:val="none"/>
              </w:rPr>
              <w:t>、</w:t>
            </w:r>
            <w:r>
              <w:rPr>
                <w:rFonts w:hint="eastAsia" w:hAnsi="宋体"/>
                <w:color w:val="auto"/>
                <w:sz w:val="21"/>
                <w:highlight w:val="none"/>
              </w:rPr>
              <w:t>评审程序、评审方法和评审标准</w:t>
            </w:r>
            <w:r>
              <w:rPr>
                <w:rFonts w:hint="default" w:hAnsi="宋体"/>
                <w:color w:val="auto"/>
                <w:sz w:val="21"/>
                <w:highlight w:val="none"/>
              </w:rPr>
              <w:t>、</w:t>
            </w:r>
            <w:r>
              <w:rPr>
                <w:rFonts w:hint="eastAsia" w:hAnsi="宋体"/>
                <w:color w:val="auto"/>
                <w:sz w:val="21"/>
                <w:highlight w:val="none"/>
              </w:rPr>
              <w:t>响应</w:t>
            </w:r>
            <w:r>
              <w:rPr>
                <w:rFonts w:hint="default" w:hAnsi="宋体"/>
                <w:color w:val="auto"/>
                <w:sz w:val="21"/>
                <w:highlight w:val="none"/>
              </w:rPr>
              <w:t>文件格式</w:t>
            </w:r>
            <w:r>
              <w:rPr>
                <w:rFonts w:hint="eastAsia" w:hAnsi="宋体"/>
                <w:color w:val="auto"/>
                <w:sz w:val="21"/>
                <w:highlight w:val="none"/>
              </w:rPr>
              <w:t>、合同文本</w:t>
            </w:r>
            <w:r>
              <w:rPr>
                <w:rFonts w:hint="default" w:hAnsi="宋体"/>
                <w:color w:val="auto"/>
                <w:sz w:val="21"/>
                <w:highlight w:val="none"/>
              </w:rPr>
              <w:t>的先后顺序解释；同一组成文件中就同一事项的规定或者约定不一致的，以编排顺序在后者为准；同一组成文件不同版本之间有不一致的，以形成时间在后者为准；</w:t>
            </w:r>
            <w:r>
              <w:rPr>
                <w:rFonts w:hint="eastAsia" w:hAnsi="宋体"/>
                <w:color w:val="auto"/>
                <w:sz w:val="21"/>
                <w:highlight w:val="none"/>
              </w:rPr>
              <w:t>更正公告（澄清公告）</w:t>
            </w:r>
            <w:r>
              <w:rPr>
                <w:rFonts w:hint="default" w:hAnsi="宋体"/>
                <w:color w:val="auto"/>
                <w:sz w:val="21"/>
                <w:highlight w:val="none"/>
              </w:rPr>
              <w:t>与同步更新的</w:t>
            </w:r>
            <w:r>
              <w:rPr>
                <w:rFonts w:hint="eastAsia" w:hAnsi="宋体"/>
                <w:color w:val="auto"/>
                <w:sz w:val="21"/>
                <w:highlight w:val="none"/>
              </w:rPr>
              <w:t>磋商文件</w:t>
            </w:r>
            <w:r>
              <w:rPr>
                <w:rFonts w:hint="default" w:hAnsi="宋体"/>
                <w:color w:val="auto"/>
                <w:sz w:val="21"/>
                <w:highlight w:val="none"/>
              </w:rPr>
              <w:t>不一致时以</w:t>
            </w:r>
            <w:r>
              <w:rPr>
                <w:rFonts w:hint="eastAsia" w:hAnsi="宋体"/>
                <w:color w:val="auto"/>
                <w:sz w:val="21"/>
                <w:highlight w:val="none"/>
              </w:rPr>
              <w:t>更正公告（澄清公告）</w:t>
            </w:r>
            <w:r>
              <w:rPr>
                <w:rFonts w:hint="default" w:hAnsi="宋体"/>
                <w:color w:val="auto"/>
                <w:sz w:val="21"/>
                <w:highlight w:val="none"/>
              </w:rPr>
              <w:t>为准。按本款前述规定仍不能形成结论的，由</w:t>
            </w:r>
            <w:r>
              <w:rPr>
                <w:rFonts w:hint="eastAsia" w:hAnsi="宋体"/>
                <w:color w:val="auto"/>
                <w:sz w:val="21"/>
                <w:highlight w:val="none"/>
              </w:rPr>
              <w:t>采购</w:t>
            </w:r>
            <w:r>
              <w:rPr>
                <w:rFonts w:hint="default" w:hAnsi="宋体"/>
                <w:color w:val="auto"/>
                <w:sz w:val="21"/>
                <w:highlight w:val="none"/>
              </w:rPr>
              <w:t>人</w:t>
            </w:r>
            <w:r>
              <w:rPr>
                <w:rFonts w:hint="eastAsia" w:hAnsi="宋体"/>
                <w:color w:val="auto"/>
                <w:sz w:val="21"/>
                <w:highlight w:val="none"/>
              </w:rPr>
              <w:t>或者采购代理机构</w:t>
            </w:r>
            <w:r>
              <w:rPr>
                <w:rFonts w:hint="default" w:hAnsi="宋体"/>
                <w:color w:val="auto"/>
                <w:sz w:val="21"/>
                <w:highlight w:val="none"/>
              </w:rPr>
              <w:t>负责解释。</w:t>
            </w:r>
          </w:p>
        </w:tc>
      </w:tr>
      <w:tr w14:paraId="56EC8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C1D7708">
            <w:pPr>
              <w:keepNext w:val="0"/>
              <w:keepLines w:val="0"/>
              <w:pageBreakBefore w:val="0"/>
              <w:suppressLineNumbers w:val="0"/>
              <w:kinsoku/>
              <w:topLinePunct w:val="0"/>
              <w:bidi w:val="0"/>
              <w:spacing w:before="60" w:beforeAutospacing="0" w:after="6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w:t>
            </w:r>
            <w:r>
              <w:rPr>
                <w:rFonts w:hint="default" w:ascii="宋体" w:hAnsi="宋体" w:cs="宋体"/>
                <w:color w:val="auto"/>
                <w:szCs w:val="21"/>
                <w:highlight w:val="none"/>
              </w:rPr>
              <w:t>3</w:t>
            </w:r>
            <w:r>
              <w:rPr>
                <w:rFonts w:hint="eastAsia" w:ascii="宋体" w:hAnsi="宋体" w:cs="宋体"/>
                <w:color w:val="auto"/>
                <w:szCs w:val="21"/>
                <w:highlight w:val="none"/>
                <w:lang w:eastAsia="zh-CN"/>
              </w:rPr>
              <w:t>.</w:t>
            </w:r>
            <w:r>
              <w:rPr>
                <w:rFonts w:hint="default" w:ascii="宋体" w:hAnsi="宋体" w:cs="宋体"/>
                <w:color w:val="auto"/>
                <w:szCs w:val="21"/>
                <w:highlight w:val="none"/>
              </w:rPr>
              <w:t>2</w:t>
            </w:r>
          </w:p>
        </w:tc>
        <w:tc>
          <w:tcPr>
            <w:tcW w:w="7912" w:type="dxa"/>
            <w:vAlign w:val="center"/>
          </w:tcPr>
          <w:p w14:paraId="7C4B04A2">
            <w:pPr>
              <w:pStyle w:val="15"/>
              <w:keepNext w:val="0"/>
              <w:keepLines w:val="0"/>
              <w:pageBreakBefore w:val="0"/>
              <w:suppressLineNumbers w:val="0"/>
              <w:kinsoku/>
              <w:topLinePunct w:val="0"/>
              <w:bidi w:val="0"/>
              <w:snapToGrid w:val="0"/>
              <w:spacing w:before="60" w:beforeAutospacing="0" w:after="60" w:afterAutospacing="0" w:line="360" w:lineRule="auto"/>
              <w:ind w:left="0" w:right="0"/>
              <w:rPr>
                <w:rFonts w:hint="default" w:hAnsi="宋体" w:cs="宋体"/>
                <w:color w:val="auto"/>
                <w:sz w:val="21"/>
                <w:highlight w:val="none"/>
              </w:rPr>
            </w:pPr>
            <w:r>
              <w:rPr>
                <w:rFonts w:hint="eastAsia" w:hAnsi="宋体" w:cs="宋体"/>
                <w:color w:val="auto"/>
                <w:sz w:val="21"/>
                <w:highlight w:val="none"/>
              </w:rPr>
              <w:t>1</w:t>
            </w:r>
            <w:r>
              <w:rPr>
                <w:rFonts w:hint="eastAsia" w:hAnsi="宋体" w:cs="宋体"/>
                <w:color w:val="auto"/>
                <w:sz w:val="21"/>
                <w:highlight w:val="none"/>
                <w:lang w:eastAsia="zh-CN"/>
              </w:rPr>
              <w:t>.</w:t>
            </w:r>
            <w:r>
              <w:rPr>
                <w:rFonts w:hint="eastAsia" w:hAnsi="宋体" w:cs="宋体"/>
                <w:color w:val="auto"/>
                <w:sz w:val="21"/>
                <w:highlight w:val="none"/>
              </w:rPr>
              <w:t>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123AD485">
            <w:pPr>
              <w:pStyle w:val="15"/>
              <w:keepNext w:val="0"/>
              <w:keepLines w:val="0"/>
              <w:pageBreakBefore w:val="0"/>
              <w:suppressLineNumbers w:val="0"/>
              <w:kinsoku/>
              <w:topLinePunct w:val="0"/>
              <w:bidi w:val="0"/>
              <w:snapToGrid w:val="0"/>
              <w:spacing w:before="60" w:beforeAutospacing="0" w:after="60" w:afterAutospacing="0" w:line="360" w:lineRule="auto"/>
              <w:ind w:left="0" w:right="0"/>
              <w:rPr>
                <w:rFonts w:hint="default" w:hAnsi="宋体" w:cs="宋体"/>
                <w:color w:val="auto"/>
                <w:sz w:val="21"/>
                <w:highlight w:val="none"/>
              </w:rPr>
            </w:pPr>
            <w:r>
              <w:rPr>
                <w:rFonts w:hint="eastAsia" w:hAnsi="宋体" w:cs="宋体"/>
                <w:bCs/>
                <w:color w:val="auto"/>
                <w:sz w:val="21"/>
                <w:highlight w:val="none"/>
              </w:rPr>
              <w:t>2</w:t>
            </w:r>
            <w:r>
              <w:rPr>
                <w:rFonts w:hint="eastAsia" w:hAnsi="宋体" w:cs="宋体"/>
                <w:bCs/>
                <w:color w:val="auto"/>
                <w:sz w:val="21"/>
                <w:highlight w:val="none"/>
                <w:lang w:eastAsia="zh-CN"/>
              </w:rPr>
              <w:t>.</w:t>
            </w:r>
            <w:r>
              <w:rPr>
                <w:rFonts w:hint="eastAsia" w:hAnsi="宋体" w:cs="宋体"/>
                <w:bCs/>
                <w:color w:val="auto"/>
                <w:sz w:val="21"/>
                <w:highlight w:val="none"/>
              </w:rPr>
              <w:t>本磋商文件所称的“</w:t>
            </w:r>
            <w:r>
              <w:rPr>
                <w:rFonts w:hint="eastAsia" w:hAnsi="宋体"/>
                <w:color w:val="auto"/>
                <w:sz w:val="21"/>
                <w:highlight w:val="none"/>
              </w:rPr>
              <w:t>电子签章</w:t>
            </w:r>
            <w:r>
              <w:rPr>
                <w:rFonts w:hint="eastAsia" w:hAnsi="宋体" w:cs="宋体"/>
                <w:bCs/>
                <w:color w:val="auto"/>
                <w:sz w:val="21"/>
                <w:highlight w:val="none"/>
              </w:rPr>
              <w:t>”、“电子签名”</w:t>
            </w:r>
            <w:r>
              <w:rPr>
                <w:rFonts w:hint="eastAsia" w:hAnsi="宋体"/>
                <w:color w:val="auto"/>
                <w:sz w:val="21"/>
                <w:highlight w:val="none"/>
              </w:rPr>
              <w:t>，是指经“广西政府采购云平台”认可的CA认证的电子签名数据为表现形式的印章，可用于签署电子响应文件，电子印章与实物印章具有同等法律效力，不因其采用电子化表现形式而否定其法律效力。</w:t>
            </w:r>
          </w:p>
          <w:p w14:paraId="49CA70C9">
            <w:pPr>
              <w:pStyle w:val="15"/>
              <w:keepNext w:val="0"/>
              <w:keepLines w:val="0"/>
              <w:pageBreakBefore w:val="0"/>
              <w:suppressLineNumbers w:val="0"/>
              <w:kinsoku/>
              <w:topLinePunct w:val="0"/>
              <w:bidi w:val="0"/>
              <w:snapToGrid w:val="0"/>
              <w:spacing w:before="60" w:beforeAutospacing="0" w:after="60" w:afterAutospacing="0" w:line="360" w:lineRule="auto"/>
              <w:ind w:left="0" w:right="0"/>
              <w:rPr>
                <w:rFonts w:hint="default" w:hAnsi="宋体" w:cs="宋体"/>
                <w:bCs/>
                <w:color w:val="auto"/>
                <w:sz w:val="21"/>
                <w:highlight w:val="none"/>
              </w:rPr>
            </w:pPr>
            <w:r>
              <w:rPr>
                <w:rFonts w:hint="default" w:hAnsi="宋体" w:cs="宋体"/>
                <w:color w:val="auto"/>
                <w:sz w:val="21"/>
                <w:highlight w:val="none"/>
              </w:rPr>
              <w:t>3</w:t>
            </w:r>
            <w:r>
              <w:rPr>
                <w:rFonts w:hint="eastAsia" w:hAnsi="宋体" w:cs="宋体"/>
                <w:color w:val="auto"/>
                <w:sz w:val="21"/>
                <w:highlight w:val="none"/>
                <w:lang w:eastAsia="zh-CN"/>
              </w:rPr>
              <w:t>.</w:t>
            </w:r>
            <w:r>
              <w:rPr>
                <w:rFonts w:hint="eastAsia" w:hAnsi="宋体" w:cs="宋体"/>
                <w:color w:val="auto"/>
                <w:sz w:val="21"/>
                <w:highlight w:val="none"/>
              </w:rPr>
              <w:t>供应商为其他组织或者自然人时，本磋商文件规定的法定代表人指负责人或者自然人。本磋商文件所称负责人是指参加竞标的其他组织</w:t>
            </w:r>
            <w:r>
              <w:rPr>
                <w:rFonts w:hint="eastAsia" w:hAnsi="宋体" w:cs="宋体"/>
                <w:bCs/>
                <w:color w:val="auto"/>
                <w:sz w:val="21"/>
                <w:highlight w:val="none"/>
              </w:rPr>
              <w:t>营业执照或者执业许可证等证照上的</w:t>
            </w:r>
            <w:r>
              <w:rPr>
                <w:rFonts w:hint="eastAsia" w:hAnsi="宋体" w:cs="宋体"/>
                <w:color w:val="auto"/>
                <w:sz w:val="21"/>
                <w:highlight w:val="none"/>
              </w:rPr>
              <w:t>负责人，本磋商文件所称自然人指参与竞标的自然人本人，</w:t>
            </w:r>
            <w:r>
              <w:rPr>
                <w:rFonts w:hint="eastAsia" w:hAnsi="宋体" w:cs="宋体"/>
                <w:bCs/>
                <w:color w:val="auto"/>
                <w:sz w:val="21"/>
                <w:highlight w:val="none"/>
              </w:rPr>
              <w:t>且应具备独立承担民事责任能力，自然人应当为年满18岁以上成年人（十六周岁以上的未成年人，以自己的劳动收入为主要生活来源的，视为完全民事行为能力人）。</w:t>
            </w:r>
          </w:p>
          <w:p w14:paraId="6100A892">
            <w:pPr>
              <w:pStyle w:val="15"/>
              <w:keepNext w:val="0"/>
              <w:keepLines w:val="0"/>
              <w:pageBreakBefore w:val="0"/>
              <w:suppressLineNumbers w:val="0"/>
              <w:kinsoku/>
              <w:topLinePunct w:val="0"/>
              <w:bidi w:val="0"/>
              <w:snapToGrid w:val="0"/>
              <w:spacing w:before="60" w:beforeAutospacing="0" w:after="60" w:afterAutospacing="0" w:line="360" w:lineRule="auto"/>
              <w:ind w:left="0" w:right="0"/>
              <w:rPr>
                <w:rFonts w:hint="default" w:hAnsi="宋体" w:cs="宋体"/>
                <w:color w:val="auto"/>
                <w:sz w:val="21"/>
                <w:highlight w:val="none"/>
              </w:rPr>
            </w:pPr>
            <w:r>
              <w:rPr>
                <w:rFonts w:hint="default" w:hAnsi="宋体" w:cs="宋体"/>
                <w:color w:val="auto"/>
                <w:sz w:val="21"/>
                <w:highlight w:val="none"/>
              </w:rPr>
              <w:t>4</w:t>
            </w:r>
            <w:r>
              <w:rPr>
                <w:rFonts w:hint="eastAsia" w:hAnsi="宋体" w:cs="宋体"/>
                <w:color w:val="auto"/>
                <w:sz w:val="21"/>
                <w:highlight w:val="none"/>
                <w:lang w:eastAsia="zh-CN"/>
              </w:rPr>
              <w:t>.</w:t>
            </w:r>
            <w:r>
              <w:rPr>
                <w:rFonts w:hint="eastAsia" w:hAnsi="宋体" w:cs="宋体"/>
                <w:color w:val="auto"/>
                <w:sz w:val="21"/>
                <w:highlight w:val="none"/>
              </w:rPr>
              <w:t>本磋商文件中描述供应商的“签字”是指供应商的法定代表人或者委托代理人亲自在文件规定签署处亲笔写上个人的名字的行为，私章、签字章、印鉴、影印等其他形式均不能代替亲笔签字。</w:t>
            </w:r>
          </w:p>
          <w:p w14:paraId="269537CF">
            <w:pPr>
              <w:pStyle w:val="15"/>
              <w:keepNext w:val="0"/>
              <w:keepLines w:val="0"/>
              <w:pageBreakBefore w:val="0"/>
              <w:suppressLineNumbers w:val="0"/>
              <w:kinsoku/>
              <w:topLinePunct w:val="0"/>
              <w:bidi w:val="0"/>
              <w:snapToGrid w:val="0"/>
              <w:spacing w:before="60" w:beforeAutospacing="0" w:after="60" w:afterAutospacing="0" w:line="360" w:lineRule="auto"/>
              <w:ind w:left="0" w:right="0"/>
              <w:rPr>
                <w:rFonts w:hint="default" w:hAnsi="宋体" w:cs="宋体"/>
                <w:color w:val="auto"/>
                <w:sz w:val="21"/>
                <w:highlight w:val="none"/>
              </w:rPr>
            </w:pPr>
            <w:r>
              <w:rPr>
                <w:rFonts w:hint="eastAsia" w:hAnsi="宋体" w:cs="宋体"/>
                <w:color w:val="auto"/>
                <w:sz w:val="21"/>
                <w:highlight w:val="none"/>
              </w:rPr>
              <w:t>5</w:t>
            </w:r>
            <w:r>
              <w:rPr>
                <w:rFonts w:hint="eastAsia" w:hAnsi="宋体" w:cs="宋体"/>
                <w:color w:val="auto"/>
                <w:sz w:val="21"/>
                <w:highlight w:val="none"/>
                <w:lang w:eastAsia="zh-CN"/>
              </w:rPr>
              <w:t>.</w:t>
            </w:r>
            <w:r>
              <w:rPr>
                <w:rFonts w:hint="eastAsia" w:hAnsi="宋体" w:cs="宋体"/>
                <w:color w:val="auto"/>
                <w:sz w:val="21"/>
                <w:highlight w:val="none"/>
              </w:rPr>
              <w:t>本磋商文件所称的“以上”“以下”“以内”“届满”，包括本数；所称的“不满”“超过”“以外”，不包括本数。</w:t>
            </w:r>
          </w:p>
        </w:tc>
      </w:tr>
    </w:tbl>
    <w:p w14:paraId="24BB8440">
      <w:pPr>
        <w:pageBreakBefore w:val="0"/>
        <w:kinsoku/>
        <w:topLinePunct w:val="0"/>
        <w:bidi w:val="0"/>
        <w:spacing w:before="60" w:after="60" w:line="360" w:lineRule="auto"/>
        <w:jc w:val="center"/>
        <w:rPr>
          <w:rFonts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供应商须知正文</w:t>
      </w:r>
    </w:p>
    <w:p w14:paraId="600BA7F1">
      <w:pPr>
        <w:pageBreakBefore w:val="0"/>
        <w:kinsoku/>
        <w:topLinePunct w:val="0"/>
        <w:bidi w:val="0"/>
        <w:spacing w:before="60" w:after="60" w:line="360" w:lineRule="auto"/>
        <w:jc w:val="center"/>
        <w:rPr>
          <w:rFonts w:ascii="宋体" w:hAnsi="宋体"/>
          <w:b/>
          <w:color w:val="auto"/>
          <w:sz w:val="32"/>
          <w:szCs w:val="32"/>
          <w:highlight w:val="none"/>
        </w:rPr>
      </w:pPr>
    </w:p>
    <w:p w14:paraId="7BEBEDC0">
      <w:pPr>
        <w:pageBreakBefore w:val="0"/>
        <w:kinsoku/>
        <w:topLinePunct w:val="0"/>
        <w:bidi w:val="0"/>
        <w:spacing w:before="60" w:after="60" w:line="360" w:lineRule="auto"/>
        <w:jc w:val="center"/>
        <w:rPr>
          <w:rFonts w:ascii="宋体" w:hAnsi="宋体"/>
          <w:b/>
          <w:color w:val="auto"/>
          <w:sz w:val="32"/>
          <w:szCs w:val="32"/>
          <w:highlight w:val="none"/>
        </w:rPr>
      </w:pPr>
      <w:r>
        <w:rPr>
          <w:rFonts w:hint="eastAsia" w:ascii="宋体" w:hAnsi="宋体"/>
          <w:b/>
          <w:color w:val="auto"/>
          <w:sz w:val="32"/>
          <w:szCs w:val="32"/>
          <w:highlight w:val="none"/>
        </w:rPr>
        <w:t>一、总则</w:t>
      </w:r>
    </w:p>
    <w:p w14:paraId="7A9122FF">
      <w:pPr>
        <w:pageBreakBefore w:val="0"/>
        <w:kinsoku/>
        <w:topLinePunct w:val="0"/>
        <w:bidi w:val="0"/>
        <w:spacing w:before="60" w:after="60" w:line="360" w:lineRule="auto"/>
        <w:rPr>
          <w:rFonts w:ascii="宋体" w:hAnsi="宋体"/>
          <w:color w:val="auto"/>
          <w:szCs w:val="21"/>
          <w:highlight w:val="none"/>
        </w:rPr>
      </w:pPr>
    </w:p>
    <w:p w14:paraId="6A70D47A">
      <w:pPr>
        <w:pageBreakBefore w:val="0"/>
        <w:kinsoku/>
        <w:topLinePunct w:val="0"/>
        <w:bidi w:val="0"/>
        <w:spacing w:before="60" w:after="60"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w:t>
      </w:r>
      <w:r>
        <w:rPr>
          <w:rFonts w:hint="eastAsia" w:ascii="黑体" w:hAnsi="黑体" w:eastAsia="黑体" w:cs="宋体"/>
          <w:b/>
          <w:bCs/>
          <w:color w:val="auto"/>
          <w:sz w:val="24"/>
          <w:highlight w:val="none"/>
          <w:lang w:eastAsia="zh-CN"/>
        </w:rPr>
        <w:t>.</w:t>
      </w:r>
      <w:r>
        <w:rPr>
          <w:rFonts w:hint="eastAsia" w:ascii="黑体" w:hAnsi="黑体" w:eastAsia="黑体" w:cs="宋体"/>
          <w:b/>
          <w:bCs/>
          <w:color w:val="auto"/>
          <w:sz w:val="24"/>
          <w:highlight w:val="none"/>
        </w:rPr>
        <w:t>适用范围</w:t>
      </w:r>
    </w:p>
    <w:p w14:paraId="1E5EEA7D">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14:paraId="5F6194E8">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6B5E0080">
      <w:pPr>
        <w:pageBreakBefore w:val="0"/>
        <w:kinsoku/>
        <w:topLinePunct w:val="0"/>
        <w:bidi w:val="0"/>
        <w:spacing w:before="60" w:after="60"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w:t>
      </w:r>
      <w:r>
        <w:rPr>
          <w:rFonts w:hint="eastAsia" w:ascii="黑体" w:hAnsi="黑体" w:eastAsia="黑体" w:cs="宋体"/>
          <w:b/>
          <w:bCs/>
          <w:color w:val="auto"/>
          <w:sz w:val="24"/>
          <w:highlight w:val="none"/>
          <w:lang w:eastAsia="zh-CN"/>
        </w:rPr>
        <w:t>.</w:t>
      </w:r>
      <w:r>
        <w:rPr>
          <w:rFonts w:hint="eastAsia" w:ascii="黑体" w:hAnsi="黑体" w:eastAsia="黑体" w:cs="宋体"/>
          <w:b/>
          <w:bCs/>
          <w:color w:val="auto"/>
          <w:sz w:val="24"/>
          <w:highlight w:val="none"/>
        </w:rPr>
        <w:t>定义</w:t>
      </w:r>
    </w:p>
    <w:p w14:paraId="50706BBB">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1“采购人”是指依法进行政府采购的国家机关、事业单位、团体组织。</w:t>
      </w:r>
    </w:p>
    <w:p w14:paraId="6D7D2AB9">
      <w:pPr>
        <w:pageBreakBefore w:val="0"/>
        <w:kinsoku/>
        <w:topLinePunct w:val="0"/>
        <w:bidi w:val="0"/>
        <w:spacing w:before="60" w:after="60"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2“采购代理机构”是指政府采购集中采购机构和集中采购机构以外的采购代理机构。</w:t>
      </w:r>
    </w:p>
    <w:p w14:paraId="4C53E037">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3“供应商”是指向采购人提供货物、工程或者服务的法人、其他组织或者自然人。</w:t>
      </w:r>
    </w:p>
    <w:p w14:paraId="367E1B09">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w:t>
      </w:r>
      <w:r>
        <w:rPr>
          <w:rFonts w:hint="eastAsia" w:ascii="宋体" w:hAnsi="宋体"/>
          <w:color w:val="auto"/>
          <w:szCs w:val="21"/>
          <w:highlight w:val="none"/>
        </w:rPr>
        <w:t>4“服务”是指除货物和工程以外的其他政府采购对象。</w:t>
      </w:r>
    </w:p>
    <w:p w14:paraId="31CE481A">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ascii="宋体" w:hAnsi="宋体" w:cs="宋体"/>
          <w:color w:val="auto"/>
          <w:szCs w:val="21"/>
          <w:highlight w:val="none"/>
        </w:rPr>
        <w:t>5</w:t>
      </w:r>
      <w:r>
        <w:rPr>
          <w:rFonts w:hint="eastAsia" w:ascii="宋体" w:hAnsi="宋体" w:cs="宋体"/>
          <w:color w:val="auto"/>
          <w:szCs w:val="21"/>
          <w:highlight w:val="none"/>
        </w:rPr>
        <w:t>“竞标”是指供应商按照本项目竞争性磋商公告规定的方式获取磋商文件、提交响应文件并希望获得标的的行为。</w:t>
      </w:r>
    </w:p>
    <w:p w14:paraId="676B1CA7">
      <w:pPr>
        <w:pageBreakBefore w:val="0"/>
        <w:kinsoku/>
        <w:topLinePunct w:val="0"/>
        <w:bidi w:val="0"/>
        <w:spacing w:before="60" w:after="60"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6“书面形式”是指合同书、信件和数据电文（包括电报、电传、传真、电子数据交换和电子邮件）等可以有形地表现所载内容的形式。</w:t>
      </w:r>
    </w:p>
    <w:p w14:paraId="130EEE98">
      <w:pPr>
        <w:pageBreakBefore w:val="0"/>
        <w:kinsoku/>
        <w:topLinePunct w:val="0"/>
        <w:bidi w:val="0"/>
        <w:spacing w:before="60" w:after="60"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7“响应文件”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3E85488E">
      <w:pPr>
        <w:pageBreakBefore w:val="0"/>
        <w:kinsoku/>
        <w:topLinePunct w:val="0"/>
        <w:bidi w:val="0"/>
        <w:spacing w:before="60" w:after="60"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8“实质性要求”是指磋商文件中已经指明不满足则响应文件按无效响应处理的条款，或者不能负偏离的条款，或者采购需求中带“▲”的条款。</w:t>
      </w:r>
    </w:p>
    <w:p w14:paraId="68A2910F">
      <w:pPr>
        <w:pageBreakBefore w:val="0"/>
        <w:kinsoku/>
        <w:topLinePunct w:val="0"/>
        <w:bidi w:val="0"/>
        <w:spacing w:before="60" w:after="60"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9“正偏离”，是指响应文件对磋商文件“采购需求”中有关条款作出的响应优于条款要求并有利于采购人的情形。</w:t>
      </w:r>
    </w:p>
    <w:p w14:paraId="05719C87">
      <w:pPr>
        <w:pageBreakBefore w:val="0"/>
        <w:kinsoku/>
        <w:topLinePunct w:val="0"/>
        <w:bidi w:val="0"/>
        <w:spacing w:before="60" w:after="60" w:line="360" w:lineRule="auto"/>
        <w:ind w:firstLine="420" w:firstLineChars="200"/>
        <w:contextualSpacing/>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10“负偏离”，是指响应文件对磋商文件“采购需求”中有关条款作出的响应不满足条款要求，导致采购人要求不能得到满足的情形。</w:t>
      </w:r>
    </w:p>
    <w:p w14:paraId="2A15FD57">
      <w:pPr>
        <w:pageBreakBefore w:val="0"/>
        <w:kinsoku/>
        <w:topLinePunct w:val="0"/>
        <w:bidi w:val="0"/>
        <w:spacing w:before="60" w:after="60"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11“允许负偏离的条款”是指采购需求中的不属于“实质性要求”的条款。</w:t>
      </w:r>
    </w:p>
    <w:p w14:paraId="5E2B1EE9">
      <w:pPr>
        <w:pageBreakBefore w:val="0"/>
        <w:kinsoku/>
        <w:topLinePunct w:val="0"/>
        <w:bidi w:val="0"/>
        <w:spacing w:before="60" w:after="60"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ascii="宋体" w:hAnsi="宋体" w:cs="宋体"/>
          <w:color w:val="auto"/>
          <w:szCs w:val="21"/>
          <w:highlight w:val="none"/>
        </w:rPr>
        <w:t>1</w:t>
      </w:r>
      <w:r>
        <w:rPr>
          <w:rFonts w:hint="eastAsia" w:ascii="宋体" w:hAnsi="宋体" w:cs="宋体"/>
          <w:color w:val="auto"/>
          <w:szCs w:val="21"/>
          <w:highlight w:val="none"/>
        </w:rPr>
        <w:t>2“首次报价”是指供应商提交的首次响应文件中的报价。</w:t>
      </w:r>
    </w:p>
    <w:p w14:paraId="128AE217">
      <w:pPr>
        <w:pageBreakBefore w:val="0"/>
        <w:kinsoku/>
        <w:topLinePunct w:val="0"/>
        <w:bidi w:val="0"/>
        <w:spacing w:before="60" w:after="60"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hint="eastAsia" w:ascii="黑体" w:hAnsi="黑体" w:eastAsia="黑体" w:cs="宋体"/>
          <w:b/>
          <w:bCs/>
          <w:color w:val="auto"/>
          <w:sz w:val="24"/>
          <w:highlight w:val="none"/>
          <w:lang w:eastAsia="zh-CN"/>
        </w:rPr>
        <w:t>.</w:t>
      </w:r>
      <w:r>
        <w:rPr>
          <w:rFonts w:hint="eastAsia" w:ascii="黑体" w:hAnsi="黑体" w:eastAsia="黑体" w:cs="宋体"/>
          <w:b/>
          <w:bCs/>
          <w:color w:val="auto"/>
          <w:sz w:val="24"/>
          <w:highlight w:val="none"/>
        </w:rPr>
        <w:t>供应商的资格条件</w:t>
      </w:r>
    </w:p>
    <w:p w14:paraId="5D55AF8D">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49BBCFFD">
      <w:pPr>
        <w:pageBreakBefore w:val="0"/>
        <w:kinsoku/>
        <w:topLinePunct w:val="0"/>
        <w:bidi w:val="0"/>
        <w:spacing w:before="60" w:after="60"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4</w:t>
      </w:r>
      <w:r>
        <w:rPr>
          <w:rFonts w:hint="eastAsia" w:ascii="黑体" w:hAnsi="黑体" w:eastAsia="黑体" w:cs="宋体"/>
          <w:b/>
          <w:bCs/>
          <w:color w:val="auto"/>
          <w:sz w:val="24"/>
          <w:highlight w:val="none"/>
          <w:lang w:eastAsia="zh-CN"/>
        </w:rPr>
        <w:t>.</w:t>
      </w:r>
      <w:r>
        <w:rPr>
          <w:rFonts w:hint="eastAsia" w:ascii="黑体" w:hAnsi="黑体" w:eastAsia="黑体" w:cs="宋体"/>
          <w:b/>
          <w:bCs/>
          <w:color w:val="auto"/>
          <w:sz w:val="24"/>
          <w:highlight w:val="none"/>
        </w:rPr>
        <w:t>竞标费用</w:t>
      </w:r>
    </w:p>
    <w:p w14:paraId="12DB3792">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w:t>
      </w:r>
      <w:r>
        <w:rPr>
          <w:rFonts w:hint="eastAsia" w:ascii="宋体" w:hAnsi="宋体" w:cs="宋体"/>
          <w:color w:val="auto"/>
          <w:szCs w:val="21"/>
          <w:highlight w:val="none"/>
          <w:lang w:eastAsia="zh-CN"/>
        </w:rPr>
        <w:t>勘查</w:t>
      </w:r>
      <w:r>
        <w:rPr>
          <w:rFonts w:hint="eastAsia" w:ascii="宋体" w:hAnsi="宋体" w:cs="宋体"/>
          <w:color w:val="auto"/>
          <w:szCs w:val="21"/>
          <w:highlight w:val="none"/>
        </w:rPr>
        <w:t>现场、编制和提交响应文件、参加磋商与应答、签订合同等，不论竞标结果如何，均应自行承担。</w:t>
      </w:r>
    </w:p>
    <w:p w14:paraId="0C0F48B7">
      <w:pPr>
        <w:pageBreakBefore w:val="0"/>
        <w:kinsoku/>
        <w:topLinePunct w:val="0"/>
        <w:bidi w:val="0"/>
        <w:spacing w:before="60" w:after="60"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hint="eastAsia" w:ascii="黑体" w:hAnsi="黑体" w:eastAsia="黑体" w:cs="宋体"/>
          <w:b/>
          <w:bCs/>
          <w:color w:val="auto"/>
          <w:sz w:val="24"/>
          <w:highlight w:val="none"/>
          <w:lang w:eastAsia="zh-CN"/>
        </w:rPr>
        <w:t>.</w:t>
      </w:r>
      <w:r>
        <w:rPr>
          <w:rFonts w:hint="eastAsia" w:ascii="黑体" w:hAnsi="黑体" w:eastAsia="黑体" w:cs="宋体"/>
          <w:b/>
          <w:bCs/>
          <w:color w:val="auto"/>
          <w:sz w:val="24"/>
          <w:highlight w:val="none"/>
        </w:rPr>
        <w:t>联合体竞标</w:t>
      </w:r>
    </w:p>
    <w:p w14:paraId="099DAB19">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1本项目是否接受联合体竞标，详见“供应商须知前附表”。</w:t>
      </w:r>
    </w:p>
    <w:p w14:paraId="22D24E21">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2</w:t>
      </w:r>
      <w:r>
        <w:rPr>
          <w:rFonts w:hint="eastAsia" w:ascii="宋体" w:hAnsi="宋体"/>
          <w:color w:val="auto"/>
          <w:highlight w:val="none"/>
        </w:rPr>
        <w:t>如接受联合体竞标，</w:t>
      </w:r>
      <w:r>
        <w:rPr>
          <w:rFonts w:hint="eastAsia" w:ascii="宋体" w:hAnsi="宋体" w:cs="宋体"/>
          <w:color w:val="auto"/>
          <w:szCs w:val="21"/>
          <w:highlight w:val="none"/>
        </w:rPr>
        <w:t>联合体竞标要求详见“供应商须知前附表”。</w:t>
      </w:r>
    </w:p>
    <w:p w14:paraId="508D0B58">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3</w:t>
      </w:r>
      <w:bookmarkStart w:id="62" w:name="_Hlk66782192"/>
      <w:r>
        <w:rPr>
          <w:rFonts w:hint="eastAsia" w:ascii="宋体" w:hAnsi="宋体"/>
          <w:color w:val="auto"/>
          <w:szCs w:val="21"/>
          <w:highlight w:val="none"/>
        </w:rPr>
        <w:t>根据《政府采购促进中小企业发展管理办法》（财库〔2020〕46号）和《广西壮族自治区财政厅关于进一步发挥政府采购政策功能促进企业发展的通知》（桂财采〔2022〕30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62"/>
    </w:p>
    <w:p w14:paraId="2D27E250">
      <w:pPr>
        <w:pageBreakBefore w:val="0"/>
        <w:kinsoku/>
        <w:topLinePunct w:val="0"/>
        <w:bidi w:val="0"/>
        <w:spacing w:before="60" w:after="60"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6</w:t>
      </w:r>
      <w:r>
        <w:rPr>
          <w:rFonts w:hint="eastAsia" w:ascii="黑体" w:hAnsi="黑体" w:eastAsia="黑体" w:cs="宋体"/>
          <w:b/>
          <w:bCs/>
          <w:color w:val="auto"/>
          <w:sz w:val="24"/>
          <w:highlight w:val="none"/>
          <w:lang w:eastAsia="zh-CN"/>
        </w:rPr>
        <w:t>.</w:t>
      </w:r>
      <w:r>
        <w:rPr>
          <w:rFonts w:hint="eastAsia" w:ascii="黑体" w:hAnsi="黑体" w:eastAsia="黑体" w:cs="宋体"/>
          <w:b/>
          <w:bCs/>
          <w:color w:val="auto"/>
          <w:sz w:val="24"/>
          <w:highlight w:val="none"/>
        </w:rPr>
        <w:t xml:space="preserve">转包与分包             </w:t>
      </w:r>
    </w:p>
    <w:p w14:paraId="330F01F7">
      <w:pPr>
        <w:pageBreakBefore w:val="0"/>
        <w:kinsoku/>
        <w:topLinePunct w:val="0"/>
        <w:bidi w:val="0"/>
        <w:spacing w:before="60" w:after="60" w:line="360" w:lineRule="auto"/>
        <w:ind w:firstLine="420" w:firstLineChars="200"/>
        <w:rPr>
          <w:rFonts w:ascii="宋体" w:hAnsi="宋体" w:cs="宋体"/>
          <w:color w:val="auto"/>
          <w:szCs w:val="21"/>
          <w:highlight w:val="none"/>
        </w:rPr>
      </w:pPr>
      <w:bookmarkStart w:id="63" w:name="_Toc254970673"/>
      <w:bookmarkStart w:id="64" w:name="_Toc254970532"/>
      <w:r>
        <w:rPr>
          <w:rFonts w:hint="eastAsia" w:ascii="宋体" w:hAnsi="宋体" w:cs="宋体"/>
          <w:color w:val="auto"/>
          <w:szCs w:val="21"/>
          <w:highlight w:val="none"/>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1本项目不允许转包。</w:t>
      </w:r>
    </w:p>
    <w:p w14:paraId="3F8150A0">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6</w:t>
      </w:r>
      <w:r>
        <w:rPr>
          <w:rFonts w:hint="eastAsia" w:ascii="宋体" w:hAnsi="宋体" w:cs="宋体"/>
          <w:color w:val="auto"/>
          <w:szCs w:val="21"/>
          <w:highlight w:val="none"/>
          <w:lang w:eastAsia="zh-CN"/>
        </w:rPr>
        <w:t>.</w:t>
      </w:r>
      <w:r>
        <w:rPr>
          <w:rFonts w:hint="eastAsia" w:ascii="宋体" w:hAnsi="宋体" w:cs="宋体"/>
          <w:color w:val="auto"/>
          <w:szCs w:val="21"/>
          <w:highlight w:val="none"/>
        </w:rPr>
        <w:t>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40EB601D">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6</w:t>
      </w:r>
      <w:r>
        <w:rPr>
          <w:rFonts w:hint="eastAsia" w:ascii="宋体" w:hAnsi="宋体" w:cs="宋体"/>
          <w:color w:val="auto"/>
          <w:szCs w:val="21"/>
          <w:highlight w:val="none"/>
          <w:lang w:eastAsia="zh-CN"/>
        </w:rPr>
        <w:t>.</w:t>
      </w:r>
      <w:r>
        <w:rPr>
          <w:rFonts w:hint="eastAsia" w:ascii="宋体" w:hAnsi="宋体" w:cs="宋体"/>
          <w:color w:val="auto"/>
          <w:szCs w:val="21"/>
          <w:highlight w:val="none"/>
        </w:rPr>
        <w:t>3供应商根据磋商文件的规定和采购项目的实际情况，拟在成交后将成交项目的非主体、非关键性工作分包的，应当在响应文件中载明分包承担主体，分包承担主体应当具备相应资质条件且不得再次分包。</w:t>
      </w:r>
    </w:p>
    <w:p w14:paraId="21DD627F">
      <w:pPr>
        <w:pageBreakBefore w:val="0"/>
        <w:kinsoku/>
        <w:topLinePunct w:val="0"/>
        <w:bidi w:val="0"/>
        <w:spacing w:before="60" w:after="60"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7</w:t>
      </w:r>
      <w:r>
        <w:rPr>
          <w:rFonts w:hint="eastAsia" w:ascii="黑体" w:hAnsi="黑体" w:eastAsia="黑体" w:cs="宋体"/>
          <w:b/>
          <w:bCs/>
          <w:color w:val="auto"/>
          <w:sz w:val="24"/>
          <w:highlight w:val="none"/>
          <w:lang w:eastAsia="zh-CN"/>
        </w:rPr>
        <w:t>.</w:t>
      </w:r>
      <w:r>
        <w:rPr>
          <w:rFonts w:hint="eastAsia" w:ascii="黑体" w:hAnsi="黑体" w:eastAsia="黑体" w:cs="宋体"/>
          <w:b/>
          <w:bCs/>
          <w:color w:val="auto"/>
          <w:sz w:val="24"/>
          <w:highlight w:val="none"/>
        </w:rPr>
        <w:t>特别说明</w:t>
      </w:r>
      <w:bookmarkEnd w:id="63"/>
      <w:bookmarkEnd w:id="64"/>
    </w:p>
    <w:p w14:paraId="6FE3F397">
      <w:pPr>
        <w:pageBreakBefore w:val="0"/>
        <w:kinsoku/>
        <w:topLinePunct w:val="0"/>
        <w:bidi w:val="0"/>
        <w:spacing w:before="60" w:after="60" w:line="360" w:lineRule="auto"/>
        <w:ind w:firstLine="420" w:firstLineChars="200"/>
        <w:rPr>
          <w:rFonts w:ascii="宋体" w:hAnsi="宋体" w:cs="宋体"/>
          <w:color w:val="auto"/>
          <w:szCs w:val="21"/>
          <w:highlight w:val="none"/>
        </w:rPr>
      </w:pPr>
      <w:bookmarkStart w:id="65" w:name="_8.1提供相同品牌产品且通过资格审查、符合性审查的不同投标人参加同一合"/>
      <w:bookmarkEnd w:id="65"/>
      <w:r>
        <w:rPr>
          <w:rFonts w:hint="eastAsia" w:ascii="宋体" w:hAnsi="宋体" w:cs="宋体"/>
          <w:color w:val="auto"/>
          <w:szCs w:val="21"/>
          <w:highlight w:val="none"/>
        </w:rPr>
        <w:t>7</w:t>
      </w:r>
      <w:r>
        <w:rPr>
          <w:rFonts w:hint="eastAsia" w:ascii="宋体" w:hAnsi="宋体" w:cs="宋体"/>
          <w:color w:val="auto"/>
          <w:szCs w:val="21"/>
          <w:highlight w:val="none"/>
          <w:lang w:eastAsia="zh-CN"/>
        </w:rPr>
        <w:t>.</w:t>
      </w:r>
      <w:r>
        <w:rPr>
          <w:rFonts w:ascii="宋体" w:hAnsi="宋体" w:cs="宋体"/>
          <w:color w:val="auto"/>
          <w:szCs w:val="21"/>
          <w:highlight w:val="none"/>
        </w:rPr>
        <w:t>1</w:t>
      </w:r>
      <w:bookmarkStart w:id="66" w:name="_Hlk65832145"/>
      <w:r>
        <w:rPr>
          <w:rFonts w:hint="eastAsia" w:ascii="宋体" w:hAnsi="宋体"/>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bookmarkEnd w:id="66"/>
    <w:p w14:paraId="0B00B031">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eastAsia="zh-CN"/>
        </w:rPr>
        <w:t>.</w:t>
      </w:r>
      <w:r>
        <w:rPr>
          <w:rFonts w:ascii="宋体" w:hAnsi="宋体" w:cs="宋体"/>
          <w:color w:val="auto"/>
          <w:szCs w:val="21"/>
          <w:highlight w:val="none"/>
        </w:rPr>
        <w:t>2</w:t>
      </w:r>
      <w:r>
        <w:rPr>
          <w:rFonts w:hint="eastAsia" w:ascii="宋体" w:hAnsi="宋体" w:cs="宋体"/>
          <w:color w:val="auto"/>
          <w:szCs w:val="21"/>
          <w:highlight w:val="none"/>
        </w:rPr>
        <w:t>供应商应仔细阅读磋商文件的所有内容，按照磋商文件的要求提交响应文件，并对所提供的全部资料的真实性承担法律责任。</w:t>
      </w:r>
    </w:p>
    <w:p w14:paraId="7BEACB20">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eastAsia="zh-CN"/>
        </w:rPr>
        <w:t>.</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供应商在竞标活动中提供任何疑似虚假材料，将报监管部门查处；签订合同后发现的，成交供应商须依法赔偿采购人，且民事赔偿并不免除违法供应商的行政与刑事责任。</w:t>
      </w:r>
    </w:p>
    <w:p w14:paraId="750FE667">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eastAsia="zh-CN"/>
        </w:rPr>
        <w:t>.</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14:paraId="33E81DE6">
      <w:pPr>
        <w:pageBreakBefore w:val="0"/>
        <w:kinsoku/>
        <w:topLinePunct w:val="0"/>
        <w:bidi w:val="0"/>
        <w:spacing w:before="60" w:after="6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6536E689">
      <w:pPr>
        <w:pageBreakBefore w:val="0"/>
        <w:kinsoku/>
        <w:topLinePunct w:val="0"/>
        <w:bidi w:val="0"/>
        <w:spacing w:before="60" w:after="6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7115346D">
      <w:pPr>
        <w:pageBreakBefore w:val="0"/>
        <w:kinsoku/>
        <w:topLinePunct w:val="0"/>
        <w:bidi w:val="0"/>
        <w:spacing w:before="60" w:after="6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11984689">
      <w:pPr>
        <w:pageBreakBefore w:val="0"/>
        <w:kinsoku/>
        <w:topLinePunct w:val="0"/>
        <w:bidi w:val="0"/>
        <w:spacing w:before="60" w:after="6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51440F68">
      <w:pPr>
        <w:pageBreakBefore w:val="0"/>
        <w:kinsoku/>
        <w:topLinePunct w:val="0"/>
        <w:bidi w:val="0"/>
        <w:spacing w:before="60" w:after="6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5CC232C7">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132BFB4">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eastAsia="zh-CN"/>
        </w:rPr>
        <w:t>.</w:t>
      </w:r>
      <w:r>
        <w:rPr>
          <w:rFonts w:ascii="宋体" w:hAnsi="宋体" w:cs="宋体"/>
          <w:color w:val="auto"/>
          <w:szCs w:val="21"/>
          <w:highlight w:val="none"/>
        </w:rPr>
        <w:t>5</w:t>
      </w:r>
      <w:r>
        <w:rPr>
          <w:rFonts w:hint="eastAsia" w:ascii="宋体" w:hAnsi="宋体" w:cs="宋体"/>
          <w:color w:val="auto"/>
          <w:szCs w:val="21"/>
          <w:highlight w:val="none"/>
        </w:rPr>
        <w:t>有下列情形之一的视为供应商相互串通竞标，响应文件将被视为无效：</w:t>
      </w:r>
    </w:p>
    <w:p w14:paraId="1BADB4A0">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 </w:t>
      </w:r>
    </w:p>
    <w:p w14:paraId="1B6C06DC">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3D286CAA">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0E5C9A27">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1A232323">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03ADAD2B">
      <w:pPr>
        <w:pageBreakBefore w:val="0"/>
        <w:tabs>
          <w:tab w:val="left" w:pos="6931"/>
        </w:tabs>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ascii="宋体" w:hAnsi="宋体" w:cs="宋体"/>
          <w:color w:val="auto"/>
          <w:szCs w:val="21"/>
          <w:highlight w:val="none"/>
        </w:rPr>
        <w:tab/>
      </w:r>
    </w:p>
    <w:p w14:paraId="15B7F0AE">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eastAsia="zh-CN"/>
        </w:rPr>
        <w:t>.</w:t>
      </w:r>
      <w:r>
        <w:rPr>
          <w:rFonts w:ascii="宋体" w:hAnsi="宋体" w:cs="宋体"/>
          <w:color w:val="auto"/>
          <w:szCs w:val="21"/>
          <w:highlight w:val="none"/>
        </w:rPr>
        <w:t>6</w:t>
      </w:r>
      <w:r>
        <w:rPr>
          <w:rFonts w:hint="eastAsia" w:ascii="宋体" w:hAnsi="宋体" w:cs="宋体"/>
          <w:color w:val="auto"/>
          <w:szCs w:val="21"/>
          <w:highlight w:val="none"/>
        </w:rPr>
        <w:t>供应商有下列情形之一的，属于恶意串通行为，将报同级监督管理部门：</w:t>
      </w:r>
    </w:p>
    <w:p w14:paraId="38F9BFB8">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329F8F52">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7035B5F9">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21DECE4D">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0F09D112">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0B86ABAA">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10E29763">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6E2CDC2B">
      <w:pPr>
        <w:pageBreakBefore w:val="0"/>
        <w:kinsoku/>
        <w:topLinePunct w:val="0"/>
        <w:bidi w:val="0"/>
        <w:spacing w:before="60" w:after="60" w:line="360" w:lineRule="auto"/>
        <w:ind w:firstLine="420" w:firstLineChars="200"/>
        <w:rPr>
          <w:rFonts w:ascii="宋体" w:hAnsi="宋体" w:cs="宋体"/>
          <w:color w:val="auto"/>
          <w:szCs w:val="21"/>
          <w:highlight w:val="none"/>
        </w:rPr>
      </w:pPr>
    </w:p>
    <w:p w14:paraId="79C8052B">
      <w:pPr>
        <w:pageBreakBefore w:val="0"/>
        <w:kinsoku/>
        <w:topLinePunct w:val="0"/>
        <w:bidi w:val="0"/>
        <w:spacing w:before="60" w:after="60" w:line="360" w:lineRule="auto"/>
        <w:ind w:left="1" w:firstLine="417" w:firstLineChars="199"/>
        <w:jc w:val="center"/>
        <w:rPr>
          <w:rFonts w:ascii="宋体" w:hAnsi="宋体"/>
          <w:color w:val="auto"/>
          <w:highlight w:val="none"/>
        </w:rPr>
      </w:pPr>
      <w:bookmarkStart w:id="67" w:name="_Toc254970675"/>
      <w:bookmarkStart w:id="68" w:name="_Toc254970534"/>
    </w:p>
    <w:p w14:paraId="0D118AE6">
      <w:pPr>
        <w:pageBreakBefore w:val="0"/>
        <w:kinsoku/>
        <w:topLinePunct w:val="0"/>
        <w:bidi w:val="0"/>
        <w:spacing w:before="60" w:after="60"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二、磋商文件</w:t>
      </w:r>
      <w:bookmarkEnd w:id="67"/>
      <w:bookmarkEnd w:id="68"/>
    </w:p>
    <w:p w14:paraId="5A76E8CC">
      <w:pPr>
        <w:pageBreakBefore w:val="0"/>
        <w:kinsoku/>
        <w:topLinePunct w:val="0"/>
        <w:bidi w:val="0"/>
        <w:spacing w:before="60" w:after="60" w:line="360" w:lineRule="auto"/>
        <w:rPr>
          <w:rFonts w:ascii="宋体" w:hAnsi="宋体"/>
          <w:color w:val="auto"/>
          <w:szCs w:val="21"/>
          <w:highlight w:val="none"/>
        </w:rPr>
      </w:pPr>
    </w:p>
    <w:p w14:paraId="382AA76F">
      <w:pPr>
        <w:pageBreakBefore w:val="0"/>
        <w:kinsoku/>
        <w:topLinePunct w:val="0"/>
        <w:bidi w:val="0"/>
        <w:spacing w:before="60" w:after="60"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8</w:t>
      </w:r>
      <w:r>
        <w:rPr>
          <w:rFonts w:hint="eastAsia" w:ascii="黑体" w:hAnsi="黑体" w:eastAsia="黑体" w:cs="宋体"/>
          <w:b/>
          <w:bCs/>
          <w:color w:val="auto"/>
          <w:sz w:val="24"/>
          <w:highlight w:val="none"/>
          <w:lang w:eastAsia="zh-CN"/>
        </w:rPr>
        <w:t>.</w:t>
      </w:r>
      <w:r>
        <w:rPr>
          <w:rFonts w:hint="eastAsia" w:ascii="黑体" w:hAnsi="黑体" w:eastAsia="黑体" w:cs="宋体"/>
          <w:b/>
          <w:bCs/>
          <w:color w:val="auto"/>
          <w:sz w:val="24"/>
          <w:highlight w:val="none"/>
        </w:rPr>
        <w:t>磋商文件的构成</w:t>
      </w:r>
    </w:p>
    <w:p w14:paraId="78800EFB">
      <w:pPr>
        <w:pageBreakBefore w:val="0"/>
        <w:kinsoku/>
        <w:topLinePunct w:val="0"/>
        <w:bidi w:val="0"/>
        <w:spacing w:before="60" w:after="6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（1）竞争性磋商公告/竞标邀请函；</w:t>
      </w:r>
    </w:p>
    <w:p w14:paraId="766665F7">
      <w:pPr>
        <w:pageBreakBefore w:val="0"/>
        <w:kinsoku/>
        <w:topLinePunct w:val="0"/>
        <w:bidi w:val="0"/>
        <w:spacing w:before="60" w:after="6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（2）供应商须知； </w:t>
      </w:r>
    </w:p>
    <w:p w14:paraId="5CB1D9C5">
      <w:pPr>
        <w:pageBreakBefore w:val="0"/>
        <w:kinsoku/>
        <w:topLinePunct w:val="0"/>
        <w:bidi w:val="0"/>
        <w:spacing w:before="60" w:after="6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（3）采购需求；</w:t>
      </w:r>
    </w:p>
    <w:p w14:paraId="3DDE1B4C">
      <w:pPr>
        <w:pageBreakBefore w:val="0"/>
        <w:kinsoku/>
        <w:topLinePunct w:val="0"/>
        <w:bidi w:val="0"/>
        <w:spacing w:before="60" w:after="6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（4）评审程序、评审方法和评审标准；</w:t>
      </w:r>
    </w:p>
    <w:p w14:paraId="5781EF86">
      <w:pPr>
        <w:pageBreakBefore w:val="0"/>
        <w:kinsoku/>
        <w:topLinePunct w:val="0"/>
        <w:bidi w:val="0"/>
        <w:spacing w:before="60" w:after="6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（5）响应文件格式；</w:t>
      </w:r>
    </w:p>
    <w:p w14:paraId="16AF8EA4">
      <w:pPr>
        <w:pageBreakBefore w:val="0"/>
        <w:kinsoku/>
        <w:topLinePunct w:val="0"/>
        <w:bidi w:val="0"/>
        <w:spacing w:before="60" w:after="6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（6）合同文本。</w:t>
      </w:r>
    </w:p>
    <w:p w14:paraId="0ADB4FF8">
      <w:pPr>
        <w:pageBreakBefore w:val="0"/>
        <w:kinsoku/>
        <w:topLinePunct w:val="0"/>
        <w:bidi w:val="0"/>
        <w:spacing w:before="60" w:after="60"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9</w:t>
      </w:r>
      <w:r>
        <w:rPr>
          <w:rFonts w:hint="eastAsia" w:ascii="黑体" w:hAnsi="黑体" w:eastAsia="黑体" w:cs="宋体"/>
          <w:b/>
          <w:bCs/>
          <w:color w:val="auto"/>
          <w:sz w:val="24"/>
          <w:highlight w:val="none"/>
          <w:lang w:eastAsia="zh-CN"/>
        </w:rPr>
        <w:t>.</w:t>
      </w:r>
      <w:r>
        <w:rPr>
          <w:rFonts w:hint="eastAsia" w:ascii="黑体" w:hAnsi="黑体" w:eastAsia="黑体" w:cs="宋体"/>
          <w:b/>
          <w:bCs/>
          <w:color w:val="auto"/>
          <w:sz w:val="24"/>
          <w:highlight w:val="none"/>
        </w:rPr>
        <w:t>供应商的询问</w:t>
      </w:r>
    </w:p>
    <w:p w14:paraId="70A3D018">
      <w:pPr>
        <w:pageBreakBefore w:val="0"/>
        <w:kinsoku/>
        <w:topLinePunct w:val="0"/>
        <w:bidi w:val="0"/>
        <w:spacing w:before="60" w:after="60"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0E17EF39">
      <w:pPr>
        <w:pageBreakBefore w:val="0"/>
        <w:kinsoku/>
        <w:topLinePunct w:val="0"/>
        <w:bidi w:val="0"/>
        <w:spacing w:before="60" w:after="60"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10</w:t>
      </w:r>
      <w:r>
        <w:rPr>
          <w:rFonts w:hint="eastAsia" w:ascii="黑体" w:hAnsi="黑体" w:eastAsia="黑体" w:cs="宋体"/>
          <w:b/>
          <w:bCs/>
          <w:color w:val="auto"/>
          <w:sz w:val="24"/>
          <w:highlight w:val="none"/>
          <w:lang w:eastAsia="zh-CN"/>
        </w:rPr>
        <w:t>.</w:t>
      </w:r>
      <w:r>
        <w:rPr>
          <w:rFonts w:hint="eastAsia" w:ascii="黑体" w:hAnsi="黑体" w:eastAsia="黑体" w:cs="宋体"/>
          <w:b/>
          <w:bCs/>
          <w:color w:val="auto"/>
          <w:sz w:val="24"/>
          <w:highlight w:val="none"/>
        </w:rPr>
        <w:t>磋商文件的澄清和修改</w:t>
      </w:r>
    </w:p>
    <w:p w14:paraId="28E6A759">
      <w:pPr>
        <w:pageBreakBefore w:val="0"/>
        <w:kinsoku/>
        <w:topLinePunct w:val="0"/>
        <w:bidi w:val="0"/>
        <w:spacing w:before="60" w:after="60" w:line="360" w:lineRule="auto"/>
        <w:ind w:firstLine="420" w:firstLineChars="200"/>
        <w:rPr>
          <w:rFonts w:ascii="宋体" w:hAnsi="宋体"/>
          <w:color w:val="auto"/>
          <w:szCs w:val="21"/>
          <w:highlight w:val="none"/>
        </w:rPr>
      </w:pPr>
      <w:r>
        <w:rPr>
          <w:rFonts w:ascii="宋体" w:hAnsi="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w:t>
      </w:r>
      <w:r>
        <w:rPr>
          <w:rFonts w:hint="eastAsia" w:ascii="宋体" w:hAnsi="宋体"/>
          <w:color w:val="auto"/>
          <w:szCs w:val="21"/>
          <w:highlight w:val="none"/>
        </w:rPr>
        <w:t>5日</w:t>
      </w:r>
      <w:r>
        <w:rPr>
          <w:rFonts w:ascii="宋体" w:hAnsi="宋体"/>
          <w:color w:val="auto"/>
          <w:szCs w:val="21"/>
          <w:highlight w:val="none"/>
        </w:rPr>
        <w:t>前，以书面形式通知所有</w:t>
      </w:r>
      <w:r>
        <w:rPr>
          <w:rFonts w:hint="eastAsia" w:ascii="宋体" w:hAnsi="宋体"/>
          <w:color w:val="auto"/>
          <w:szCs w:val="21"/>
          <w:highlight w:val="none"/>
        </w:rPr>
        <w:t>获取</w:t>
      </w:r>
      <w:r>
        <w:rPr>
          <w:rFonts w:ascii="宋体" w:hAnsi="宋体"/>
          <w:color w:val="auto"/>
          <w:szCs w:val="21"/>
          <w:highlight w:val="none"/>
        </w:rPr>
        <w:t>磋商文件的供应商，不足</w:t>
      </w:r>
      <w:r>
        <w:rPr>
          <w:rFonts w:hint="eastAsia" w:ascii="宋体" w:hAnsi="宋体"/>
          <w:color w:val="auto"/>
          <w:szCs w:val="21"/>
          <w:highlight w:val="none"/>
        </w:rPr>
        <w:t>5日</w:t>
      </w:r>
      <w:r>
        <w:rPr>
          <w:rFonts w:ascii="宋体" w:hAnsi="宋体"/>
          <w:color w:val="auto"/>
          <w:szCs w:val="21"/>
          <w:highlight w:val="none"/>
        </w:rPr>
        <w:t>的，应当顺延提交首次响应文件截止之日。</w:t>
      </w:r>
    </w:p>
    <w:p w14:paraId="730A4EB7">
      <w:pPr>
        <w:pageBreakBefore w:val="0"/>
        <w:kinsoku/>
        <w:topLinePunct w:val="0"/>
        <w:bidi w:val="0"/>
        <w:spacing w:before="60" w:after="60" w:line="360" w:lineRule="auto"/>
        <w:rPr>
          <w:rFonts w:ascii="宋体" w:hAnsi="宋体"/>
          <w:color w:val="auto"/>
          <w:szCs w:val="21"/>
          <w:highlight w:val="none"/>
        </w:rPr>
      </w:pPr>
    </w:p>
    <w:p w14:paraId="552A04AE">
      <w:pPr>
        <w:pageBreakBefore w:val="0"/>
        <w:kinsoku/>
        <w:topLinePunct w:val="0"/>
        <w:bidi w:val="0"/>
        <w:spacing w:before="60" w:after="60" w:line="360" w:lineRule="auto"/>
        <w:jc w:val="center"/>
        <w:rPr>
          <w:rFonts w:ascii="宋体" w:hAnsi="宋体"/>
          <w:b/>
          <w:bCs/>
          <w:color w:val="auto"/>
          <w:szCs w:val="21"/>
          <w:highlight w:val="none"/>
        </w:rPr>
      </w:pPr>
      <w:r>
        <w:rPr>
          <w:rFonts w:hint="eastAsia" w:ascii="宋体" w:hAnsi="宋体"/>
          <w:b/>
          <w:bCs/>
          <w:color w:val="auto"/>
          <w:sz w:val="32"/>
          <w:szCs w:val="32"/>
          <w:highlight w:val="none"/>
        </w:rPr>
        <w:t>三、响应文件的编制</w:t>
      </w:r>
    </w:p>
    <w:p w14:paraId="79A40D0E">
      <w:pPr>
        <w:pageBreakBefore w:val="0"/>
        <w:kinsoku/>
        <w:topLinePunct w:val="0"/>
        <w:bidi w:val="0"/>
        <w:spacing w:before="60" w:after="60" w:line="360" w:lineRule="auto"/>
        <w:rPr>
          <w:rFonts w:ascii="宋体" w:hAnsi="宋体"/>
          <w:color w:val="auto"/>
          <w:szCs w:val="21"/>
          <w:highlight w:val="none"/>
        </w:rPr>
      </w:pPr>
    </w:p>
    <w:p w14:paraId="74D42A34">
      <w:pPr>
        <w:pageBreakBefore w:val="0"/>
        <w:kinsoku/>
        <w:topLinePunct w:val="0"/>
        <w:bidi w:val="0"/>
        <w:spacing w:before="60" w:after="60"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11</w:t>
      </w:r>
      <w:r>
        <w:rPr>
          <w:rFonts w:hint="eastAsia" w:ascii="黑体" w:hAnsi="黑体" w:eastAsia="黑体" w:cs="宋体"/>
          <w:b/>
          <w:bCs/>
          <w:color w:val="auto"/>
          <w:sz w:val="24"/>
          <w:highlight w:val="none"/>
          <w:lang w:eastAsia="zh-CN"/>
        </w:rPr>
        <w:t>.</w:t>
      </w:r>
      <w:r>
        <w:rPr>
          <w:rFonts w:hint="eastAsia" w:ascii="黑体" w:hAnsi="黑体" w:eastAsia="黑体" w:cs="宋体"/>
          <w:b/>
          <w:bCs/>
          <w:color w:val="auto"/>
          <w:sz w:val="24"/>
          <w:highlight w:val="none"/>
        </w:rPr>
        <w:t>响应文件的编制原则</w:t>
      </w:r>
    </w:p>
    <w:p w14:paraId="3444E5D5">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3E667829">
      <w:pPr>
        <w:pageBreakBefore w:val="0"/>
        <w:kinsoku/>
        <w:topLinePunct w:val="0"/>
        <w:bidi w:val="0"/>
        <w:spacing w:before="60" w:after="60"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w:t>
      </w:r>
      <w:r>
        <w:rPr>
          <w:rFonts w:hint="eastAsia" w:ascii="黑体" w:hAnsi="黑体" w:eastAsia="黑体" w:cs="宋体"/>
          <w:b/>
          <w:bCs/>
          <w:color w:val="auto"/>
          <w:sz w:val="24"/>
          <w:highlight w:val="none"/>
          <w:lang w:eastAsia="zh-CN"/>
        </w:rPr>
        <w:t>.</w:t>
      </w:r>
      <w:r>
        <w:rPr>
          <w:rFonts w:hint="eastAsia" w:ascii="黑体" w:hAnsi="黑体" w:eastAsia="黑体" w:cs="宋体"/>
          <w:b/>
          <w:bCs/>
          <w:color w:val="auto"/>
          <w:sz w:val="24"/>
          <w:highlight w:val="none"/>
        </w:rPr>
        <w:t>响应文件的组成</w:t>
      </w:r>
    </w:p>
    <w:p w14:paraId="10564627">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zCs w:val="21"/>
          <w:highlight w:val="none"/>
          <w:lang w:eastAsia="zh-CN"/>
        </w:rPr>
        <w:t>.</w:t>
      </w:r>
      <w:r>
        <w:rPr>
          <w:rFonts w:hint="eastAsia" w:ascii="宋体" w:hAnsi="宋体" w:cs="宋体"/>
          <w:color w:val="auto"/>
          <w:szCs w:val="21"/>
          <w:highlight w:val="none"/>
        </w:rPr>
        <w:t>1响应文件由资格证明文件、报价文件、商务技术文件三部分组成。</w:t>
      </w:r>
    </w:p>
    <w:p w14:paraId="67699325">
      <w:pPr>
        <w:pageBreakBefore w:val="0"/>
        <w:kinsoku/>
        <w:topLinePunct w:val="0"/>
        <w:bidi w:val="0"/>
        <w:spacing w:before="60" w:after="60"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zCs w:val="21"/>
          <w:highlight w:val="none"/>
          <w:lang w:eastAsia="zh-CN"/>
        </w:rPr>
        <w:t>.</w:t>
      </w: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1资格证明文件：详见“供应商须知前附表”</w:t>
      </w:r>
    </w:p>
    <w:p w14:paraId="666E53CD">
      <w:pPr>
        <w:pageBreakBefore w:val="0"/>
        <w:kinsoku/>
        <w:topLinePunct w:val="0"/>
        <w:bidi w:val="0"/>
        <w:spacing w:before="60" w:after="60"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zCs w:val="21"/>
          <w:highlight w:val="none"/>
          <w:lang w:eastAsia="zh-CN"/>
        </w:rPr>
        <w:t>.</w:t>
      </w: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2报价文件：详见“供应商须知前附表”</w:t>
      </w:r>
    </w:p>
    <w:p w14:paraId="10042BB9">
      <w:pPr>
        <w:pageBreakBefore w:val="0"/>
        <w:kinsoku/>
        <w:topLinePunct w:val="0"/>
        <w:bidi w:val="0"/>
        <w:spacing w:before="60" w:after="60"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zCs w:val="21"/>
          <w:highlight w:val="none"/>
          <w:lang w:eastAsia="zh-CN"/>
        </w:rPr>
        <w:t>.</w:t>
      </w: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3商务技术文件：详见“供应商须知前附表”</w:t>
      </w:r>
    </w:p>
    <w:p w14:paraId="116FBCAD">
      <w:pPr>
        <w:pageBreakBefore w:val="0"/>
        <w:kinsoku/>
        <w:topLinePunct w:val="0"/>
        <w:bidi w:val="0"/>
        <w:spacing w:before="60" w:after="60"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13</w:t>
      </w:r>
      <w:r>
        <w:rPr>
          <w:rFonts w:hint="eastAsia" w:ascii="黑体" w:hAnsi="黑体" w:eastAsia="黑体" w:cs="宋体"/>
          <w:b/>
          <w:bCs/>
          <w:color w:val="auto"/>
          <w:sz w:val="24"/>
          <w:highlight w:val="none"/>
          <w:lang w:eastAsia="zh-CN"/>
        </w:rPr>
        <w:t>.</w:t>
      </w:r>
      <w:r>
        <w:rPr>
          <w:rFonts w:hint="eastAsia" w:ascii="黑体" w:hAnsi="黑体" w:eastAsia="黑体" w:cs="宋体"/>
          <w:b/>
          <w:bCs/>
          <w:color w:val="auto"/>
          <w:sz w:val="24"/>
          <w:highlight w:val="none"/>
        </w:rPr>
        <w:t>计量单位</w:t>
      </w:r>
    </w:p>
    <w:p w14:paraId="5F99E9FD">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190B2FE5">
      <w:pPr>
        <w:pageBreakBefore w:val="0"/>
        <w:kinsoku/>
        <w:topLinePunct w:val="0"/>
        <w:bidi w:val="0"/>
        <w:spacing w:before="60" w:after="60"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14</w:t>
      </w:r>
      <w:r>
        <w:rPr>
          <w:rFonts w:hint="eastAsia" w:ascii="黑体" w:hAnsi="黑体" w:eastAsia="黑体" w:cs="宋体"/>
          <w:b/>
          <w:bCs/>
          <w:color w:val="auto"/>
          <w:sz w:val="24"/>
          <w:highlight w:val="none"/>
          <w:lang w:eastAsia="zh-CN"/>
        </w:rPr>
        <w:t>.</w:t>
      </w:r>
      <w:r>
        <w:rPr>
          <w:rFonts w:hint="eastAsia" w:ascii="黑体" w:hAnsi="黑体" w:eastAsia="黑体" w:cs="宋体"/>
          <w:b/>
          <w:bCs/>
          <w:color w:val="auto"/>
          <w:sz w:val="24"/>
          <w:highlight w:val="none"/>
        </w:rPr>
        <w:t>竞标的风险</w:t>
      </w:r>
    </w:p>
    <w:p w14:paraId="468E24B0">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64DE468B">
      <w:pPr>
        <w:pageBreakBefore w:val="0"/>
        <w:kinsoku/>
        <w:topLinePunct w:val="0"/>
        <w:bidi w:val="0"/>
        <w:spacing w:before="60" w:after="60"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15</w:t>
      </w:r>
      <w:r>
        <w:rPr>
          <w:rFonts w:hint="eastAsia" w:ascii="黑体" w:hAnsi="黑体" w:eastAsia="黑体" w:cs="宋体"/>
          <w:b/>
          <w:bCs/>
          <w:color w:val="auto"/>
          <w:sz w:val="24"/>
          <w:highlight w:val="none"/>
          <w:lang w:eastAsia="zh-CN"/>
        </w:rPr>
        <w:t>.</w:t>
      </w:r>
      <w:r>
        <w:rPr>
          <w:rFonts w:hint="eastAsia" w:ascii="黑体" w:hAnsi="黑体" w:eastAsia="黑体" w:cs="宋体"/>
          <w:b/>
          <w:bCs/>
          <w:color w:val="auto"/>
          <w:sz w:val="24"/>
          <w:highlight w:val="none"/>
        </w:rPr>
        <w:t>竞标报价</w:t>
      </w:r>
    </w:p>
    <w:p w14:paraId="24D60704">
      <w:pPr>
        <w:pageBreakBefore w:val="0"/>
        <w:tabs>
          <w:tab w:val="left" w:pos="2492"/>
        </w:tabs>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cs="宋体"/>
          <w:color w:val="auto"/>
          <w:szCs w:val="21"/>
          <w:highlight w:val="none"/>
          <w:lang w:eastAsia="zh-CN"/>
        </w:rPr>
        <w:t>.</w:t>
      </w:r>
      <w:r>
        <w:rPr>
          <w:rFonts w:hint="eastAsia" w:ascii="宋体" w:hAnsi="宋体" w:cs="宋体"/>
          <w:color w:val="auto"/>
          <w:szCs w:val="21"/>
          <w:highlight w:val="none"/>
        </w:rPr>
        <w:t>1竞标报价应按磋商文件中“竞标报价表”格式填写。</w:t>
      </w:r>
    </w:p>
    <w:p w14:paraId="29715CB7">
      <w:pPr>
        <w:pageBreakBefore w:val="0"/>
        <w:tabs>
          <w:tab w:val="left" w:pos="2492"/>
        </w:tabs>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cs="宋体"/>
          <w:color w:val="auto"/>
          <w:szCs w:val="21"/>
          <w:highlight w:val="none"/>
          <w:lang w:eastAsia="zh-CN"/>
        </w:rPr>
        <w:t>.</w:t>
      </w:r>
      <w:r>
        <w:rPr>
          <w:rFonts w:hint="eastAsia" w:ascii="宋体" w:hAnsi="宋体" w:cs="宋体"/>
          <w:color w:val="auto"/>
          <w:szCs w:val="21"/>
          <w:highlight w:val="none"/>
        </w:rPr>
        <w:t>2竞标报价的内容见“供应商须知前附表”。</w:t>
      </w:r>
    </w:p>
    <w:p w14:paraId="0DEEBBAD">
      <w:pPr>
        <w:pageBreakBefore w:val="0"/>
        <w:kinsoku/>
        <w:topLinePunct w:val="0"/>
        <w:bidi w:val="0"/>
        <w:spacing w:before="60" w:after="60" w:line="360" w:lineRule="auto"/>
        <w:ind w:left="426" w:leftChars="203"/>
        <w:rPr>
          <w:rFonts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cs="宋体"/>
          <w:color w:val="auto"/>
          <w:szCs w:val="21"/>
          <w:highlight w:val="none"/>
          <w:lang w:eastAsia="zh-CN"/>
        </w:rPr>
        <w:t>.</w:t>
      </w:r>
      <w:r>
        <w:rPr>
          <w:rFonts w:hint="eastAsia" w:ascii="宋体" w:hAnsi="宋体" w:cs="宋体"/>
          <w:color w:val="auto"/>
          <w:szCs w:val="21"/>
          <w:highlight w:val="none"/>
        </w:rPr>
        <w:t>3竞标报价要求</w:t>
      </w:r>
    </w:p>
    <w:p w14:paraId="255A061B">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w:t>
      </w:r>
      <w:r>
        <w:rPr>
          <w:rFonts w:hint="eastAsia" w:ascii="宋体" w:hAnsi="宋体" w:cs="宋体"/>
          <w:color w:val="auto"/>
          <w:szCs w:val="21"/>
          <w:highlight w:val="none"/>
          <w:lang w:eastAsia="zh-CN"/>
        </w:rPr>
        <w:t>.</w:t>
      </w:r>
      <w:r>
        <w:rPr>
          <w:rFonts w:ascii="宋体" w:hAnsi="宋体" w:cs="宋体"/>
          <w:color w:val="auto"/>
          <w:szCs w:val="21"/>
          <w:highlight w:val="none"/>
        </w:rPr>
        <w:t>3</w:t>
      </w:r>
      <w:r>
        <w:rPr>
          <w:rFonts w:hint="eastAsia" w:ascii="宋体" w:hAnsi="宋体" w:cs="宋体"/>
          <w:color w:val="auto"/>
          <w:szCs w:val="21"/>
          <w:highlight w:val="none"/>
          <w:lang w:eastAsia="zh-CN"/>
        </w:rPr>
        <w:t>.</w:t>
      </w:r>
      <w:r>
        <w:rPr>
          <w:rFonts w:ascii="宋体" w:hAnsi="宋体" w:cs="宋体"/>
          <w:color w:val="auto"/>
          <w:szCs w:val="21"/>
          <w:highlight w:val="none"/>
        </w:rPr>
        <w:t>1</w:t>
      </w:r>
      <w:r>
        <w:rPr>
          <w:rFonts w:hint="eastAsia" w:ascii="宋体" w:hAnsi="宋体" w:cs="宋体"/>
          <w:color w:val="auto"/>
          <w:szCs w:val="21"/>
          <w:highlight w:val="none"/>
        </w:rPr>
        <w:t>供应商的竞标报价应符合以下要求，否则响应文件按无效响应处理：</w:t>
      </w:r>
    </w:p>
    <w:p w14:paraId="7A7C0222">
      <w:pPr>
        <w:pageBreakBefore w:val="0"/>
        <w:kinsoku/>
        <w:topLinePunct w:val="0"/>
        <w:bidi w:val="0"/>
        <w:spacing w:before="60" w:after="60"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（1）供应商必须就“采购需求”中所竞标的全部内容分别作完整唯一总价报价，不得存在漏项报价；</w:t>
      </w:r>
    </w:p>
    <w:p w14:paraId="36CE34F2">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）供应商必须就所竞标的单项内容作唯一报价。</w:t>
      </w:r>
    </w:p>
    <w:p w14:paraId="626D9846">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cs="宋体"/>
          <w:color w:val="auto"/>
          <w:szCs w:val="21"/>
          <w:highlight w:val="none"/>
          <w:lang w:eastAsia="zh-CN"/>
        </w:rPr>
        <w:t>.</w:t>
      </w:r>
      <w:r>
        <w:rPr>
          <w:rFonts w:hint="eastAsia" w:ascii="宋体" w:hAnsi="宋体" w:cs="宋体"/>
          <w:color w:val="auto"/>
          <w:szCs w:val="21"/>
          <w:highlight w:val="none"/>
        </w:rPr>
        <w:t>3</w:t>
      </w:r>
      <w:r>
        <w:rPr>
          <w:rFonts w:hint="eastAsia" w:ascii="宋体" w:hAnsi="宋体" w:cs="宋体"/>
          <w:color w:val="auto"/>
          <w:szCs w:val="21"/>
          <w:highlight w:val="none"/>
          <w:lang w:eastAsia="zh-CN"/>
        </w:rPr>
        <w:t>.</w:t>
      </w:r>
      <w:r>
        <w:rPr>
          <w:rFonts w:ascii="宋体" w:hAnsi="宋体" w:cs="宋体"/>
          <w:color w:val="auto"/>
          <w:szCs w:val="21"/>
          <w:highlight w:val="none"/>
        </w:rPr>
        <w:t>2</w:t>
      </w:r>
      <w:r>
        <w:rPr>
          <w:rFonts w:hint="eastAsia" w:ascii="宋体" w:hAnsi="宋体" w:cs="宋体"/>
          <w:color w:val="auto"/>
          <w:szCs w:val="21"/>
          <w:highlight w:val="none"/>
        </w:rPr>
        <w:t>竞标报价（包含首次报价、最后报价）超过所竞标规定的采购预算金额或者最高限价的，其响应文件将按无效处理。</w:t>
      </w:r>
    </w:p>
    <w:p w14:paraId="17838276">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cs="宋体"/>
          <w:color w:val="auto"/>
          <w:szCs w:val="21"/>
          <w:highlight w:val="none"/>
          <w:lang w:eastAsia="zh-CN"/>
        </w:rPr>
        <w:t>.</w:t>
      </w:r>
      <w:r>
        <w:rPr>
          <w:rFonts w:hint="eastAsia" w:ascii="宋体" w:hAnsi="宋体" w:cs="宋体"/>
          <w:color w:val="auto"/>
          <w:szCs w:val="21"/>
          <w:highlight w:val="none"/>
        </w:rPr>
        <w:t>3</w:t>
      </w:r>
      <w:r>
        <w:rPr>
          <w:rFonts w:hint="eastAsia" w:ascii="宋体" w:hAnsi="宋体" w:cs="宋体"/>
          <w:color w:val="auto"/>
          <w:szCs w:val="21"/>
          <w:highlight w:val="none"/>
          <w:lang w:eastAsia="zh-CN"/>
        </w:rPr>
        <w:t>.</w:t>
      </w:r>
      <w:r>
        <w:rPr>
          <w:rFonts w:ascii="宋体" w:hAnsi="宋体" w:cs="宋体"/>
          <w:color w:val="auto"/>
          <w:szCs w:val="21"/>
          <w:highlight w:val="none"/>
        </w:rPr>
        <w:t>3</w:t>
      </w:r>
      <w:bookmarkStart w:id="69" w:name="_Hlk42592874"/>
      <w:r>
        <w:rPr>
          <w:rFonts w:hint="eastAsia" w:ascii="宋体" w:hAnsi="宋体" w:cs="宋体"/>
          <w:color w:val="auto"/>
          <w:szCs w:val="21"/>
          <w:highlight w:val="none"/>
        </w:rPr>
        <w:t>竞标报价（包含首次报价、最后报价）超过采购预算金额或者最高限价的，其响应文件将按无效处理。</w:t>
      </w:r>
    </w:p>
    <w:bookmarkEnd w:id="69"/>
    <w:p w14:paraId="4580BF77">
      <w:pPr>
        <w:pageBreakBefore w:val="0"/>
        <w:kinsoku/>
        <w:topLinePunct w:val="0"/>
        <w:bidi w:val="0"/>
        <w:spacing w:before="60" w:after="60"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16</w:t>
      </w:r>
      <w:r>
        <w:rPr>
          <w:rFonts w:hint="eastAsia" w:ascii="黑体" w:hAnsi="黑体" w:eastAsia="黑体" w:cs="宋体"/>
          <w:b/>
          <w:bCs/>
          <w:color w:val="auto"/>
          <w:sz w:val="24"/>
          <w:highlight w:val="none"/>
          <w:lang w:eastAsia="zh-CN"/>
        </w:rPr>
        <w:t>.</w:t>
      </w:r>
      <w:r>
        <w:rPr>
          <w:rFonts w:hint="eastAsia" w:ascii="黑体" w:hAnsi="黑体" w:eastAsia="黑体" w:cs="宋体"/>
          <w:b/>
          <w:bCs/>
          <w:color w:val="auto"/>
          <w:sz w:val="24"/>
          <w:highlight w:val="none"/>
        </w:rPr>
        <w:t>竞标有效期</w:t>
      </w:r>
    </w:p>
    <w:p w14:paraId="410F4379">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w:t>
      </w:r>
      <w:r>
        <w:rPr>
          <w:rFonts w:hint="eastAsia" w:ascii="宋体" w:hAnsi="宋体" w:cs="宋体"/>
          <w:color w:val="auto"/>
          <w:szCs w:val="21"/>
          <w:highlight w:val="none"/>
          <w:lang w:eastAsia="zh-CN"/>
        </w:rPr>
        <w:t>.</w:t>
      </w:r>
      <w:r>
        <w:rPr>
          <w:rFonts w:hint="eastAsia" w:ascii="宋体" w:hAnsi="宋体" w:cs="宋体"/>
          <w:color w:val="auto"/>
          <w:szCs w:val="21"/>
          <w:highlight w:val="none"/>
        </w:rPr>
        <w:t>1竞标有效期是指为保证采购人有足够的时间在提交响应文件后完成评审、确定成交供应商、合同签订等工作而要求供应商提交的响应文件在一定时间内保持有效的期限。</w:t>
      </w:r>
    </w:p>
    <w:p w14:paraId="21F2EBCD">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w:t>
      </w:r>
      <w:r>
        <w:rPr>
          <w:rFonts w:hint="eastAsia" w:ascii="宋体" w:hAnsi="宋体" w:cs="宋体"/>
          <w:color w:val="auto"/>
          <w:szCs w:val="21"/>
          <w:highlight w:val="none"/>
          <w:lang w:eastAsia="zh-CN"/>
        </w:rPr>
        <w:t>.</w:t>
      </w:r>
      <w:r>
        <w:rPr>
          <w:rFonts w:hint="eastAsia" w:ascii="宋体" w:hAnsi="宋体" w:cs="宋体"/>
          <w:color w:val="auto"/>
          <w:szCs w:val="21"/>
          <w:highlight w:val="none"/>
        </w:rPr>
        <w:t>2 竞标有效期应由供应商按“供应商须知前附表”规定的期限作出响应。</w:t>
      </w:r>
    </w:p>
    <w:p w14:paraId="37AB26B2">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w:t>
      </w:r>
      <w:r>
        <w:rPr>
          <w:rFonts w:hint="eastAsia" w:ascii="宋体" w:hAnsi="宋体" w:cs="宋体"/>
          <w:color w:val="auto"/>
          <w:szCs w:val="21"/>
          <w:highlight w:val="none"/>
          <w:lang w:eastAsia="zh-CN"/>
        </w:rPr>
        <w:t>.</w:t>
      </w:r>
      <w:r>
        <w:rPr>
          <w:rFonts w:hint="eastAsia" w:ascii="宋体" w:hAnsi="宋体" w:cs="宋体"/>
          <w:color w:val="auto"/>
          <w:szCs w:val="21"/>
          <w:highlight w:val="none"/>
        </w:rPr>
        <w:t>3供应商的响应文件在竞标有效期内均保持有效。</w:t>
      </w:r>
    </w:p>
    <w:p w14:paraId="0C9BAFDB">
      <w:pPr>
        <w:pageBreakBefore w:val="0"/>
        <w:kinsoku/>
        <w:topLinePunct w:val="0"/>
        <w:bidi w:val="0"/>
        <w:spacing w:before="60" w:after="60"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17</w:t>
      </w:r>
      <w:r>
        <w:rPr>
          <w:rFonts w:hint="eastAsia" w:ascii="黑体" w:hAnsi="黑体" w:eastAsia="黑体" w:cs="宋体"/>
          <w:b/>
          <w:bCs/>
          <w:color w:val="auto"/>
          <w:sz w:val="24"/>
          <w:highlight w:val="none"/>
          <w:lang w:eastAsia="zh-CN"/>
        </w:rPr>
        <w:t>.</w:t>
      </w:r>
      <w:r>
        <w:rPr>
          <w:rFonts w:hint="eastAsia" w:ascii="黑体" w:hAnsi="黑体" w:eastAsia="黑体" w:cs="宋体"/>
          <w:b/>
          <w:bCs/>
          <w:color w:val="auto"/>
          <w:sz w:val="24"/>
          <w:highlight w:val="none"/>
        </w:rPr>
        <w:t>磋商保证金</w:t>
      </w:r>
    </w:p>
    <w:p w14:paraId="710A5474">
      <w:pPr>
        <w:pageBreakBefore w:val="0"/>
        <w:kinsoku/>
        <w:topLinePunct w:val="0"/>
        <w:bidi w:val="0"/>
        <w:spacing w:before="60" w:after="60"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w:t>
      </w:r>
      <w:r>
        <w:rPr>
          <w:rFonts w:hint="eastAsia" w:ascii="宋体" w:hAnsi="宋体" w:cs="宋体"/>
          <w:color w:val="auto"/>
          <w:szCs w:val="21"/>
          <w:highlight w:val="none"/>
          <w:lang w:eastAsia="zh-CN"/>
        </w:rPr>
        <w:t>.</w:t>
      </w:r>
      <w:r>
        <w:rPr>
          <w:rFonts w:hint="eastAsia" w:ascii="宋体" w:hAnsi="宋体" w:cs="宋体"/>
          <w:color w:val="auto"/>
          <w:szCs w:val="21"/>
          <w:highlight w:val="none"/>
        </w:rPr>
        <w:t>1供应商须按“供应商须知前附表”的规定提交磋商保证金。</w:t>
      </w:r>
    </w:p>
    <w:p w14:paraId="3D7D2C39">
      <w:pPr>
        <w:pageBreakBefore w:val="0"/>
        <w:kinsoku/>
        <w:topLinePunct w:val="0"/>
        <w:bidi w:val="0"/>
        <w:spacing w:before="60" w:after="60"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w:t>
      </w:r>
      <w:r>
        <w:rPr>
          <w:rFonts w:hint="eastAsia" w:ascii="宋体" w:hAnsi="宋体" w:cs="宋体"/>
          <w:color w:val="auto"/>
          <w:szCs w:val="21"/>
          <w:highlight w:val="none"/>
          <w:lang w:eastAsia="zh-CN"/>
        </w:rPr>
        <w:t>.</w:t>
      </w:r>
      <w:r>
        <w:rPr>
          <w:rFonts w:hint="eastAsia" w:ascii="宋体" w:hAnsi="宋体" w:cs="宋体"/>
          <w:color w:val="auto"/>
          <w:szCs w:val="21"/>
          <w:highlight w:val="none"/>
        </w:rPr>
        <w:t>2磋商保证金的退还</w:t>
      </w:r>
    </w:p>
    <w:p w14:paraId="57B34C4F">
      <w:pPr>
        <w:pageBreakBefore w:val="0"/>
        <w:kinsoku/>
        <w:topLinePunct w:val="0"/>
        <w:bidi w:val="0"/>
        <w:spacing w:before="60" w:after="60" w:line="360" w:lineRule="auto"/>
        <w:ind w:firstLine="420" w:firstLineChars="200"/>
        <w:rPr>
          <w:rFonts w:ascii="宋体" w:hAnsi="宋体" w:cs="宋体"/>
          <w:color w:val="auto"/>
          <w:szCs w:val="21"/>
          <w:highlight w:val="none"/>
        </w:rPr>
      </w:pPr>
      <w:bookmarkStart w:id="70" w:name="_Hlk66782243"/>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成交供应商的竞标保证金自成交通知书发出之日起5个工作日内退还；</w:t>
      </w:r>
      <w:r>
        <w:rPr>
          <w:rFonts w:hint="eastAsia" w:ascii="宋体" w:hAnsi="宋体" w:cs="宋体"/>
          <w:color w:val="auto"/>
          <w:szCs w:val="21"/>
          <w:highlight w:val="none"/>
        </w:rPr>
        <w:t>成交供应商的磋商保证金自签订合同之日起5个工作日内退还。</w:t>
      </w:r>
      <w:bookmarkEnd w:id="70"/>
    </w:p>
    <w:p w14:paraId="62AD6D5C">
      <w:pPr>
        <w:pageBreakBefore w:val="0"/>
        <w:kinsoku/>
        <w:topLinePunct w:val="0"/>
        <w:bidi w:val="0"/>
        <w:spacing w:before="60" w:after="60"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w:t>
      </w:r>
      <w:r>
        <w:rPr>
          <w:rFonts w:hint="eastAsia" w:ascii="宋体" w:hAnsi="宋体" w:cs="宋体"/>
          <w:color w:val="auto"/>
          <w:szCs w:val="21"/>
          <w:highlight w:val="none"/>
          <w:lang w:eastAsia="zh-CN"/>
        </w:rPr>
        <w:t>.</w:t>
      </w:r>
      <w:r>
        <w:rPr>
          <w:rFonts w:hint="eastAsia" w:ascii="宋体" w:hAnsi="宋体" w:cs="宋体"/>
          <w:color w:val="auto"/>
          <w:szCs w:val="21"/>
          <w:highlight w:val="none"/>
        </w:rPr>
        <w:t>3磋商保证金不计息。</w:t>
      </w:r>
    </w:p>
    <w:p w14:paraId="50B3B8C1">
      <w:pPr>
        <w:pageBreakBefore w:val="0"/>
        <w:kinsoku/>
        <w:topLinePunct w:val="0"/>
        <w:bidi w:val="0"/>
        <w:spacing w:before="60" w:after="60"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4供应商有下列情形之一的，磋商保证金将不予退还： </w:t>
      </w:r>
    </w:p>
    <w:p w14:paraId="67DA56B0">
      <w:pPr>
        <w:pageBreakBefore w:val="0"/>
        <w:kinsoku/>
        <w:topLinePunct w:val="0"/>
        <w:bidi w:val="0"/>
        <w:spacing w:before="60" w:after="60"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2A79CA0A">
      <w:pPr>
        <w:pageBreakBefore w:val="0"/>
        <w:kinsoku/>
        <w:topLinePunct w:val="0"/>
        <w:bidi w:val="0"/>
        <w:spacing w:before="60" w:after="60" w:line="360" w:lineRule="auto"/>
        <w:ind w:left="420" w:leftChars="200"/>
        <w:rPr>
          <w:rFonts w:ascii="宋体" w:hAnsi="宋体" w:cs="宋体"/>
          <w:color w:val="auto"/>
          <w:szCs w:val="21"/>
          <w:highlight w:val="none"/>
        </w:rPr>
      </w:pPr>
      <w:r>
        <w:rPr>
          <w:rFonts w:hint="eastAsia" w:ascii="宋体" w:hAnsi="宋体"/>
          <w:color w:val="auto"/>
          <w:szCs w:val="21"/>
          <w:highlight w:val="none"/>
        </w:rPr>
        <w:t>（2）未按规定提交履约保证金的；</w:t>
      </w:r>
    </w:p>
    <w:p w14:paraId="6A703C10">
      <w:pPr>
        <w:pageBreakBefore w:val="0"/>
        <w:kinsoku/>
        <w:topLinePunct w:val="0"/>
        <w:bidi w:val="0"/>
        <w:spacing w:before="60" w:after="60"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5184BEE4">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（4）除因不可抗力或者磋商文件认可的情形以外，成交供应商不与采购人签订合同的；</w:t>
      </w:r>
    </w:p>
    <w:p w14:paraId="5F5505AC">
      <w:pPr>
        <w:pageBreakBefore w:val="0"/>
        <w:kinsoku/>
        <w:topLinePunct w:val="0"/>
        <w:bidi w:val="0"/>
        <w:spacing w:before="60" w:after="60"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1A8BF405">
      <w:pPr>
        <w:pageBreakBefore w:val="0"/>
        <w:kinsoku/>
        <w:topLinePunct w:val="0"/>
        <w:bidi w:val="0"/>
        <w:spacing w:before="60" w:after="60"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（6）法律法规规定的其他情形。</w:t>
      </w:r>
    </w:p>
    <w:p w14:paraId="363E7FFD">
      <w:pPr>
        <w:pageBreakBefore w:val="0"/>
        <w:kinsoku/>
        <w:topLinePunct w:val="0"/>
        <w:bidi w:val="0"/>
        <w:spacing w:before="60" w:after="60"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18</w:t>
      </w:r>
      <w:r>
        <w:rPr>
          <w:rFonts w:hint="eastAsia" w:ascii="黑体" w:hAnsi="黑体" w:eastAsia="黑体" w:cs="宋体"/>
          <w:b/>
          <w:bCs/>
          <w:color w:val="auto"/>
          <w:sz w:val="24"/>
          <w:highlight w:val="none"/>
          <w:lang w:eastAsia="zh-CN"/>
        </w:rPr>
        <w:t>.</w:t>
      </w:r>
      <w:r>
        <w:rPr>
          <w:rFonts w:hint="eastAsia" w:ascii="黑体" w:hAnsi="黑体" w:eastAsia="黑体" w:cs="宋体"/>
          <w:b/>
          <w:bCs/>
          <w:color w:val="auto"/>
          <w:sz w:val="24"/>
          <w:highlight w:val="none"/>
        </w:rPr>
        <w:t>响应文件编制的要求</w:t>
      </w:r>
    </w:p>
    <w:p w14:paraId="270ACCF2">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w:t>
      </w:r>
      <w:r>
        <w:rPr>
          <w:rFonts w:hint="eastAsia" w:ascii="宋体" w:hAnsi="宋体" w:cs="宋体"/>
          <w:color w:val="auto"/>
          <w:szCs w:val="21"/>
          <w:highlight w:val="none"/>
          <w:lang w:eastAsia="zh-CN"/>
        </w:rPr>
        <w:t>.</w:t>
      </w:r>
      <w:r>
        <w:rPr>
          <w:rFonts w:hint="eastAsia" w:ascii="宋体" w:hAnsi="宋体" w:cs="宋体"/>
          <w:color w:val="auto"/>
          <w:szCs w:val="21"/>
          <w:highlight w:val="none"/>
        </w:rPr>
        <w:t>1供应商应先安装“广西政府采购云平台电子交易客户端”（请自行前往“广西政府采购云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14:paraId="4190AA04">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w:t>
      </w:r>
      <w:r>
        <w:rPr>
          <w:rFonts w:hint="eastAsia" w:ascii="宋体" w:hAnsi="宋体" w:cs="宋体"/>
          <w:color w:val="auto"/>
          <w:szCs w:val="21"/>
          <w:highlight w:val="none"/>
          <w:lang w:eastAsia="zh-CN"/>
        </w:rPr>
        <w:t>.</w:t>
      </w:r>
      <w:r>
        <w:rPr>
          <w:rFonts w:hint="eastAsia" w:ascii="宋体" w:hAnsi="宋体" w:cs="宋体"/>
          <w:color w:val="auto"/>
          <w:szCs w:val="21"/>
          <w:highlight w:val="none"/>
        </w:rPr>
        <w:t>2为确保网上操作合法、有效和安全，供应商应当在提交响应文件截止时间前完成在“广西政府采购云平台”的身份认证，确保在电子竞标过程中能够对相关数据电文进行加密和使用电子签章。</w:t>
      </w:r>
    </w:p>
    <w:p w14:paraId="20FBC0FF">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w:t>
      </w:r>
      <w:r>
        <w:rPr>
          <w:rFonts w:hint="eastAsia" w:ascii="宋体" w:hAnsi="宋体" w:cs="宋体"/>
          <w:color w:val="auto"/>
          <w:szCs w:val="21"/>
          <w:highlight w:val="none"/>
          <w:lang w:eastAsia="zh-CN"/>
        </w:rPr>
        <w:t>.</w:t>
      </w:r>
      <w:r>
        <w:rPr>
          <w:rFonts w:hint="eastAsia" w:ascii="宋体" w:hAnsi="宋体" w:cs="宋体"/>
          <w:color w:val="auto"/>
          <w:szCs w:val="21"/>
          <w:highlight w:val="none"/>
        </w:rPr>
        <w:t>3响应文件须由供应商在规定位置签字、盖章（具体以供应商须知前附表或响应文件格式规定为准），否则按无效响应处理。</w:t>
      </w:r>
    </w:p>
    <w:p w14:paraId="78FFE611">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w:t>
      </w:r>
      <w:r>
        <w:rPr>
          <w:rFonts w:hint="eastAsia" w:ascii="宋体" w:hAnsi="宋体" w:cs="宋体"/>
          <w:color w:val="auto"/>
          <w:szCs w:val="21"/>
          <w:highlight w:val="none"/>
          <w:lang w:eastAsia="zh-CN"/>
        </w:rPr>
        <w:t>.</w:t>
      </w:r>
      <w:r>
        <w:rPr>
          <w:rFonts w:hint="eastAsia" w:ascii="宋体" w:hAnsi="宋体" w:cs="宋体"/>
          <w:color w:val="auto"/>
          <w:szCs w:val="21"/>
          <w:highlight w:val="none"/>
        </w:rPr>
        <w:t>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68F63469">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w:t>
      </w:r>
      <w:r>
        <w:rPr>
          <w:rFonts w:hint="eastAsia" w:ascii="宋体" w:hAnsi="宋体" w:cs="宋体"/>
          <w:color w:val="auto"/>
          <w:szCs w:val="21"/>
          <w:highlight w:val="none"/>
          <w:lang w:eastAsia="zh-CN"/>
        </w:rPr>
        <w:t>.</w:t>
      </w:r>
      <w:r>
        <w:rPr>
          <w:rFonts w:hint="eastAsia" w:ascii="宋体" w:hAnsi="宋体" w:cs="宋体"/>
          <w:color w:val="auto"/>
          <w:szCs w:val="21"/>
          <w:highlight w:val="none"/>
        </w:rPr>
        <w:t>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6010738E">
      <w:pPr>
        <w:pageBreakBefore w:val="0"/>
        <w:kinsoku/>
        <w:topLinePunct w:val="0"/>
        <w:bidi w:val="0"/>
        <w:spacing w:before="60" w:after="60" w:line="360" w:lineRule="auto"/>
        <w:ind w:firstLine="482" w:firstLineChars="200"/>
        <w:rPr>
          <w:rFonts w:ascii="黑体" w:hAnsi="黑体" w:eastAsia="黑体"/>
          <w:color w:val="auto"/>
          <w:sz w:val="24"/>
          <w:highlight w:val="none"/>
        </w:rPr>
      </w:pPr>
      <w:r>
        <w:rPr>
          <w:rFonts w:hint="eastAsia" w:ascii="黑体" w:hAnsi="黑体" w:eastAsia="黑体" w:cs="宋体"/>
          <w:b/>
          <w:bCs/>
          <w:color w:val="auto"/>
          <w:sz w:val="24"/>
          <w:highlight w:val="none"/>
        </w:rPr>
        <w:t>19</w:t>
      </w:r>
      <w:r>
        <w:rPr>
          <w:rFonts w:hint="eastAsia" w:ascii="黑体" w:hAnsi="黑体" w:eastAsia="黑体" w:cs="宋体"/>
          <w:b/>
          <w:bCs/>
          <w:color w:val="auto"/>
          <w:sz w:val="24"/>
          <w:highlight w:val="none"/>
          <w:lang w:eastAsia="zh-CN"/>
        </w:rPr>
        <w:t>.</w:t>
      </w:r>
      <w:r>
        <w:rPr>
          <w:rFonts w:hint="eastAsia" w:ascii="黑体" w:hAnsi="黑体" w:eastAsia="黑体" w:cs="宋体"/>
          <w:b/>
          <w:bCs/>
          <w:color w:val="auto"/>
          <w:sz w:val="24"/>
          <w:highlight w:val="none"/>
        </w:rPr>
        <w:t>电子</w:t>
      </w:r>
      <w:r>
        <w:rPr>
          <w:rFonts w:hint="eastAsia" w:ascii="黑体" w:hAnsi="黑体" w:eastAsia="黑体"/>
          <w:b/>
          <w:color w:val="auto"/>
          <w:sz w:val="24"/>
          <w:highlight w:val="none"/>
        </w:rPr>
        <w:t>备份响应文件</w:t>
      </w:r>
    </w:p>
    <w:p w14:paraId="59C2C29A">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color w:val="auto"/>
          <w:highlight w:val="none"/>
        </w:rPr>
        <w:t>电子备份响应文件是指通过“广西政府采购云平台电子投标客户端”在线编制生成且后缀名为“</w:t>
      </w:r>
      <w:r>
        <w:rPr>
          <w:color w:val="auto"/>
          <w:highlight w:val="none"/>
        </w:rPr>
        <w:t>bfbs</w:t>
      </w:r>
      <w:r>
        <w:rPr>
          <w:rFonts w:hint="eastAsia"/>
          <w:color w:val="auto"/>
          <w:highlight w:val="none"/>
        </w:rPr>
        <w:t>”的文件，是否接受电子备份响应文件</w:t>
      </w:r>
      <w:r>
        <w:rPr>
          <w:rFonts w:hint="eastAsia" w:hAnsi="宋体"/>
          <w:bCs/>
          <w:color w:val="auto"/>
          <w:szCs w:val="21"/>
          <w:highlight w:val="none"/>
        </w:rPr>
        <w:t>详见在“供应商须知前附表”。</w:t>
      </w:r>
    </w:p>
    <w:p w14:paraId="6FA7E94E">
      <w:pPr>
        <w:pageBreakBefore w:val="0"/>
        <w:kinsoku/>
        <w:topLinePunct w:val="0"/>
        <w:bidi w:val="0"/>
        <w:spacing w:before="60" w:after="60"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20</w:t>
      </w:r>
      <w:r>
        <w:rPr>
          <w:rFonts w:hint="eastAsia" w:ascii="黑体" w:hAnsi="黑体" w:eastAsia="黑体" w:cs="宋体"/>
          <w:b/>
          <w:bCs/>
          <w:color w:val="auto"/>
          <w:sz w:val="24"/>
          <w:highlight w:val="none"/>
          <w:lang w:eastAsia="zh-CN"/>
        </w:rPr>
        <w:t>.</w:t>
      </w:r>
      <w:r>
        <w:rPr>
          <w:rFonts w:hint="eastAsia" w:ascii="黑体" w:hAnsi="黑体" w:eastAsia="黑体" w:cs="宋体"/>
          <w:b/>
          <w:bCs/>
          <w:color w:val="auto"/>
          <w:sz w:val="24"/>
          <w:highlight w:val="none"/>
        </w:rPr>
        <w:t>响应文件的提交</w:t>
      </w:r>
    </w:p>
    <w:p w14:paraId="7B7A267D">
      <w:pPr>
        <w:pageBreakBefore w:val="0"/>
        <w:kinsoku/>
        <w:topLinePunct w:val="0"/>
        <w:bidi w:val="0"/>
        <w:spacing w:before="60" w:after="60" w:line="360" w:lineRule="auto"/>
        <w:ind w:firstLine="420" w:firstLineChars="200"/>
        <w:rPr>
          <w:rFonts w:hAnsi="宋体"/>
          <w:b/>
          <w:color w:val="auto"/>
          <w:highlight w:val="none"/>
        </w:rPr>
      </w:pPr>
      <w:r>
        <w:rPr>
          <w:rFonts w:hint="eastAsia" w:hAnsi="宋体"/>
          <w:bCs/>
          <w:color w:val="auto"/>
          <w:szCs w:val="21"/>
          <w:highlight w:val="none"/>
        </w:rPr>
        <w:t>20</w:t>
      </w:r>
      <w:r>
        <w:rPr>
          <w:rFonts w:hint="eastAsia" w:hAnsi="宋体"/>
          <w:bCs/>
          <w:color w:val="auto"/>
          <w:szCs w:val="21"/>
          <w:highlight w:val="none"/>
          <w:lang w:eastAsia="zh-CN"/>
        </w:rPr>
        <w:t>.</w:t>
      </w:r>
      <w:r>
        <w:rPr>
          <w:rFonts w:hint="eastAsia" w:hAnsi="宋体"/>
          <w:bCs/>
          <w:color w:val="auto"/>
          <w:szCs w:val="21"/>
          <w:highlight w:val="none"/>
        </w:rPr>
        <w:t>1供应商必须按“供应商须知前附表”规定的</w:t>
      </w:r>
      <w:r>
        <w:rPr>
          <w:rFonts w:hint="eastAsia" w:ascii="宋体" w:hAnsi="宋体" w:cs="宋体"/>
          <w:color w:val="auto"/>
          <w:szCs w:val="21"/>
          <w:highlight w:val="none"/>
        </w:rPr>
        <w:t>时间</w:t>
      </w:r>
      <w:r>
        <w:rPr>
          <w:rFonts w:hint="eastAsia" w:ascii="宋体" w:hAnsi="宋体"/>
          <w:color w:val="auto"/>
          <w:szCs w:val="21"/>
          <w:highlight w:val="none"/>
        </w:rPr>
        <w:t>及</w:t>
      </w:r>
      <w:r>
        <w:rPr>
          <w:rFonts w:hint="eastAsia" w:hAnsi="宋体"/>
          <w:bCs/>
          <w:color w:val="auto"/>
          <w:szCs w:val="21"/>
          <w:highlight w:val="none"/>
        </w:rPr>
        <w:t>地点提交响应文件。电子响应文件应在制作完成后，</w:t>
      </w:r>
      <w:r>
        <w:rPr>
          <w:rFonts w:hAnsi="宋体"/>
          <w:bCs/>
          <w:color w:val="auto"/>
          <w:szCs w:val="21"/>
          <w:highlight w:val="none"/>
        </w:rPr>
        <w:t>在</w:t>
      </w:r>
      <w:r>
        <w:rPr>
          <w:rFonts w:hint="eastAsia" w:hAnsi="宋体"/>
          <w:bCs/>
          <w:color w:val="auto"/>
          <w:szCs w:val="21"/>
          <w:highlight w:val="none"/>
        </w:rPr>
        <w:t>提交响应文件截止</w:t>
      </w:r>
      <w:r>
        <w:rPr>
          <w:rFonts w:hAnsi="宋体"/>
          <w:bCs/>
          <w:color w:val="auto"/>
          <w:szCs w:val="21"/>
          <w:highlight w:val="none"/>
        </w:rPr>
        <w:t>时间前</w:t>
      </w:r>
      <w:r>
        <w:rPr>
          <w:rFonts w:hint="eastAsia" w:hAnsi="宋体"/>
          <w:bCs/>
          <w:color w:val="auto"/>
          <w:szCs w:val="21"/>
          <w:highlight w:val="none"/>
        </w:rPr>
        <w:t>通过有效数字证书（CA认证锁）进行电子签章、加密，然后通过网络将加密的电子响应文件提交至</w:t>
      </w:r>
      <w:r>
        <w:rPr>
          <w:rFonts w:hint="eastAsia" w:ascii="宋体" w:hAnsi="宋体"/>
          <w:color w:val="auto"/>
          <w:szCs w:val="21"/>
          <w:highlight w:val="none"/>
        </w:rPr>
        <w:t>“广西政府采购云平台”</w:t>
      </w:r>
      <w:r>
        <w:rPr>
          <w:rFonts w:hint="eastAsia" w:hAnsi="宋体"/>
          <w:bCs/>
          <w:color w:val="auto"/>
          <w:szCs w:val="21"/>
          <w:highlight w:val="none"/>
        </w:rPr>
        <w:t xml:space="preserve">。 </w:t>
      </w:r>
    </w:p>
    <w:p w14:paraId="00F6BCF3">
      <w:pPr>
        <w:pageBreakBefore w:val="0"/>
        <w:kinsoku/>
        <w:topLinePunct w:val="0"/>
        <w:bidi w:val="0"/>
        <w:spacing w:before="60" w:after="60" w:line="360" w:lineRule="auto"/>
        <w:ind w:firstLine="422" w:firstLineChars="200"/>
        <w:rPr>
          <w:rFonts w:ascii="宋体" w:hAnsi="宋体" w:cs="宋体"/>
          <w:color w:val="auto"/>
          <w:szCs w:val="21"/>
          <w:highlight w:val="none"/>
        </w:rPr>
      </w:pPr>
      <w:r>
        <w:rPr>
          <w:rFonts w:hint="eastAsia" w:ascii="宋体" w:hAnsi="宋体"/>
          <w:b/>
          <w:color w:val="auto"/>
          <w:szCs w:val="21"/>
          <w:highlight w:val="none"/>
        </w:rPr>
        <w:t>20</w:t>
      </w:r>
      <w:r>
        <w:rPr>
          <w:rFonts w:hint="eastAsia" w:ascii="宋体" w:hAnsi="宋体"/>
          <w:b/>
          <w:color w:val="auto"/>
          <w:szCs w:val="21"/>
          <w:highlight w:val="none"/>
          <w:lang w:eastAsia="zh-CN"/>
        </w:rPr>
        <w:t>.</w:t>
      </w:r>
      <w:r>
        <w:rPr>
          <w:rFonts w:ascii="宋体" w:hAnsi="宋体"/>
          <w:b/>
          <w:color w:val="auto"/>
          <w:szCs w:val="21"/>
          <w:highlight w:val="none"/>
        </w:rPr>
        <w:t>2</w:t>
      </w:r>
      <w:r>
        <w:rPr>
          <w:rFonts w:hint="eastAsia" w:ascii="宋体" w:hAnsi="宋体"/>
          <w:b/>
          <w:color w:val="auto"/>
          <w:szCs w:val="21"/>
          <w:highlight w:val="none"/>
        </w:rPr>
        <w:t>未在规定时间内提交或者未按照磋商文件要求加密的电子响应文件，“广西政府采购云平台”将拒收。</w:t>
      </w:r>
    </w:p>
    <w:p w14:paraId="7B0CACFE">
      <w:pPr>
        <w:pageBreakBefore w:val="0"/>
        <w:kinsoku/>
        <w:topLinePunct w:val="0"/>
        <w:bidi w:val="0"/>
        <w:spacing w:before="60" w:after="60"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21</w:t>
      </w:r>
      <w:r>
        <w:rPr>
          <w:rFonts w:hint="eastAsia" w:ascii="黑体" w:hAnsi="黑体" w:eastAsia="黑体" w:cs="宋体"/>
          <w:b/>
          <w:bCs/>
          <w:color w:val="auto"/>
          <w:sz w:val="24"/>
          <w:highlight w:val="none"/>
          <w:lang w:eastAsia="zh-CN"/>
        </w:rPr>
        <w:t>.</w:t>
      </w:r>
      <w:r>
        <w:rPr>
          <w:rFonts w:hint="eastAsia" w:ascii="黑体" w:hAnsi="黑体" w:eastAsia="黑体" w:cs="宋体"/>
          <w:b/>
          <w:bCs/>
          <w:color w:val="auto"/>
          <w:sz w:val="24"/>
          <w:highlight w:val="none"/>
        </w:rPr>
        <w:t>首次响应文件的补充、修改与撤回</w:t>
      </w:r>
    </w:p>
    <w:p w14:paraId="43AB69BA">
      <w:pPr>
        <w:pageBreakBefore w:val="0"/>
        <w:kinsoku/>
        <w:topLinePunct w:val="0"/>
        <w:bidi w:val="0"/>
        <w:snapToGrid w:val="0"/>
        <w:spacing w:before="60" w:after="60" w:line="360" w:lineRule="auto"/>
        <w:ind w:firstLine="420"/>
        <w:jc w:val="left"/>
        <w:rPr>
          <w:rFonts w:ascii="宋体" w:hAnsi="宋体"/>
          <w:color w:val="auto"/>
          <w:szCs w:val="21"/>
          <w:highlight w:val="none"/>
        </w:rPr>
      </w:pPr>
      <w:bookmarkStart w:id="71" w:name="_Toc254970684"/>
      <w:bookmarkStart w:id="72" w:name="_Toc254970543"/>
      <w:r>
        <w:rPr>
          <w:rFonts w:ascii="宋体" w:hAnsi="宋体" w:cs="宋体"/>
          <w:color w:val="auto"/>
          <w:szCs w:val="21"/>
          <w:highlight w:val="none"/>
        </w:rPr>
        <w:t>2</w:t>
      </w: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1</w:t>
      </w:r>
      <w:r>
        <w:rPr>
          <w:rFonts w:hint="eastAsia" w:ascii="宋体" w:hAnsi="宋体"/>
          <w:bCs/>
          <w:color w:val="auto"/>
          <w:szCs w:val="21"/>
          <w:highlight w:val="none"/>
        </w:rPr>
        <w:t>供应商应当在</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前完成电子响应文件的提交（上传），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可以补充、修改或者撤回响应文件。补充或者修改响应文件的，应当先行撤回原响应文件，补充、修改后重新提交（上传），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未完成提交（上传）的，视为撤回响应文件。</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以后提交（上传）的响应文件，“广西政府采购云平台”将予以拒收。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lang w:eastAsia="zh-CN"/>
        </w:rPr>
        <w:t>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进入“服务中心”中查看</w:t>
      </w:r>
      <w:r>
        <w:rPr>
          <w:rFonts w:hint="eastAsia" w:ascii="宋体" w:hAnsi="宋体" w:cs="宋体"/>
          <w:color w:val="auto"/>
          <w:szCs w:val="21"/>
          <w:highlight w:val="none"/>
        </w:rPr>
        <w:t xml:space="preserve"> “电子投标文件制作与投送教程”）</w:t>
      </w:r>
    </w:p>
    <w:bookmarkEnd w:id="71"/>
    <w:bookmarkEnd w:id="72"/>
    <w:p w14:paraId="2CF512EA">
      <w:pPr>
        <w:pStyle w:val="48"/>
        <w:pageBreakBefore w:val="0"/>
        <w:kinsoku/>
        <w:topLinePunct w:val="0"/>
        <w:bidi w:val="0"/>
        <w:spacing w:before="60" w:after="60" w:line="360" w:lineRule="auto"/>
        <w:ind w:firstLine="420"/>
        <w:rPr>
          <w:rFonts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1</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2在提交响应文件截止时间前，除供应商补充、修改或者撤回响应文件外，任何单位和个人不得解密或提取响应文件。</w:t>
      </w:r>
    </w:p>
    <w:p w14:paraId="2FB85DF0">
      <w:pPr>
        <w:pageBreakBefore w:val="0"/>
        <w:kinsoku/>
        <w:topLinePunct w:val="0"/>
        <w:bidi w:val="0"/>
        <w:spacing w:before="60" w:after="60" w:line="360" w:lineRule="auto"/>
        <w:ind w:firstLine="482" w:firstLineChars="200"/>
        <w:rPr>
          <w:rFonts w:ascii="黑体" w:hAnsi="黑体" w:eastAsia="黑体" w:cs="宋体"/>
          <w:b/>
          <w:bCs/>
          <w:color w:val="auto"/>
          <w:sz w:val="24"/>
          <w:highlight w:val="none"/>
        </w:rPr>
      </w:pPr>
      <w:bookmarkStart w:id="73" w:name="_Hlk45702405"/>
      <w:r>
        <w:rPr>
          <w:rFonts w:hint="eastAsia" w:ascii="黑体" w:hAnsi="黑体" w:eastAsia="黑体" w:cs="宋体"/>
          <w:b/>
          <w:bCs/>
          <w:color w:val="auto"/>
          <w:sz w:val="24"/>
          <w:highlight w:val="none"/>
        </w:rPr>
        <w:t>22</w:t>
      </w:r>
      <w:r>
        <w:rPr>
          <w:rFonts w:hint="eastAsia" w:ascii="黑体" w:hAnsi="黑体" w:eastAsia="黑体" w:cs="宋体"/>
          <w:b/>
          <w:bCs/>
          <w:color w:val="auto"/>
          <w:sz w:val="24"/>
          <w:highlight w:val="none"/>
          <w:lang w:eastAsia="zh-CN"/>
        </w:rPr>
        <w:t>.</w:t>
      </w:r>
      <w:r>
        <w:rPr>
          <w:rFonts w:hint="eastAsia" w:ascii="黑体" w:hAnsi="黑体" w:eastAsia="黑体" w:cs="宋体"/>
          <w:b/>
          <w:bCs/>
          <w:color w:val="auto"/>
          <w:sz w:val="24"/>
          <w:highlight w:val="none"/>
        </w:rPr>
        <w:t>响应文件的退回</w:t>
      </w:r>
    </w:p>
    <w:p w14:paraId="4D71D5DC">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1C7F9E80">
      <w:pPr>
        <w:pageBreakBefore w:val="0"/>
        <w:kinsoku/>
        <w:topLinePunct w:val="0"/>
        <w:bidi w:val="0"/>
        <w:spacing w:before="60" w:after="60"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23</w:t>
      </w:r>
      <w:r>
        <w:rPr>
          <w:rFonts w:hint="eastAsia" w:ascii="黑体" w:hAnsi="黑体" w:eastAsia="黑体" w:cs="宋体"/>
          <w:b/>
          <w:bCs/>
          <w:color w:val="auto"/>
          <w:sz w:val="24"/>
          <w:highlight w:val="none"/>
          <w:lang w:eastAsia="zh-CN"/>
        </w:rPr>
        <w:t>.</w:t>
      </w:r>
      <w:r>
        <w:rPr>
          <w:rFonts w:hint="eastAsia" w:ascii="黑体" w:hAnsi="黑体" w:eastAsia="黑体" w:cs="宋体"/>
          <w:b/>
          <w:bCs/>
          <w:color w:val="auto"/>
          <w:sz w:val="24"/>
          <w:highlight w:val="none"/>
        </w:rPr>
        <w:t>截止时间后的撤回</w:t>
      </w:r>
    </w:p>
    <w:p w14:paraId="6D3737C6">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供应商在响应文件提交截止时间后向采购人、采购代理机构书面申请撤回响应文件的，将根据本须知正文17</w:t>
      </w:r>
      <w:r>
        <w:rPr>
          <w:rFonts w:hint="eastAsia" w:ascii="宋体" w:hAnsi="宋体" w:cs="宋体"/>
          <w:color w:val="auto"/>
          <w:szCs w:val="21"/>
          <w:highlight w:val="none"/>
          <w:lang w:eastAsia="zh-CN"/>
        </w:rPr>
        <w:t>.</w:t>
      </w:r>
      <w:r>
        <w:rPr>
          <w:rFonts w:hint="eastAsia" w:ascii="宋体" w:hAnsi="宋体" w:cs="宋体"/>
          <w:color w:val="auto"/>
          <w:szCs w:val="21"/>
          <w:highlight w:val="none"/>
        </w:rPr>
        <w:t>4的规定不予退还其磋商保证金。</w:t>
      </w:r>
    </w:p>
    <w:bookmarkEnd w:id="73"/>
    <w:p w14:paraId="37E21E08">
      <w:pPr>
        <w:pageBreakBefore w:val="0"/>
        <w:kinsoku/>
        <w:topLinePunct w:val="0"/>
        <w:bidi w:val="0"/>
        <w:spacing w:before="60" w:after="60" w:line="360" w:lineRule="auto"/>
        <w:rPr>
          <w:rFonts w:ascii="宋体" w:hAnsi="宋体"/>
          <w:color w:val="auto"/>
          <w:szCs w:val="21"/>
          <w:highlight w:val="none"/>
        </w:rPr>
      </w:pPr>
    </w:p>
    <w:p w14:paraId="50749E80">
      <w:pPr>
        <w:pageBreakBefore w:val="0"/>
        <w:kinsoku/>
        <w:topLinePunct w:val="0"/>
        <w:bidi w:val="0"/>
        <w:spacing w:before="60" w:after="60" w:line="360" w:lineRule="auto"/>
        <w:ind w:left="420" w:firstLine="420"/>
        <w:jc w:val="center"/>
        <w:rPr>
          <w:rFonts w:ascii="宋体" w:hAnsi="宋体"/>
          <w:b/>
          <w:bCs/>
          <w:color w:val="auto"/>
          <w:sz w:val="32"/>
          <w:szCs w:val="32"/>
          <w:highlight w:val="none"/>
        </w:rPr>
      </w:pPr>
      <w:r>
        <w:rPr>
          <w:rFonts w:hint="eastAsia" w:ascii="宋体" w:hAnsi="宋体"/>
          <w:b/>
          <w:bCs/>
          <w:color w:val="auto"/>
          <w:sz w:val="32"/>
          <w:szCs w:val="32"/>
          <w:highlight w:val="none"/>
        </w:rPr>
        <w:t>四、评审及磋商</w:t>
      </w:r>
    </w:p>
    <w:p w14:paraId="179DD1D1">
      <w:pPr>
        <w:pageBreakBefore w:val="0"/>
        <w:kinsoku/>
        <w:topLinePunct w:val="0"/>
        <w:bidi w:val="0"/>
        <w:spacing w:before="60" w:after="60" w:line="360" w:lineRule="auto"/>
        <w:ind w:left="420" w:firstLine="420"/>
        <w:rPr>
          <w:rFonts w:ascii="宋体" w:hAnsi="宋体"/>
          <w:color w:val="auto"/>
          <w:szCs w:val="21"/>
          <w:highlight w:val="none"/>
        </w:rPr>
      </w:pPr>
    </w:p>
    <w:p w14:paraId="0BB92B1C">
      <w:pPr>
        <w:pageBreakBefore w:val="0"/>
        <w:kinsoku/>
        <w:topLinePunct w:val="0"/>
        <w:bidi w:val="0"/>
        <w:spacing w:before="60" w:after="60"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24</w:t>
      </w:r>
      <w:r>
        <w:rPr>
          <w:rFonts w:hint="eastAsia" w:ascii="黑体" w:hAnsi="黑体" w:eastAsia="黑体" w:cs="宋体"/>
          <w:b/>
          <w:bCs/>
          <w:color w:val="auto"/>
          <w:sz w:val="24"/>
          <w:highlight w:val="none"/>
          <w:lang w:eastAsia="zh-CN"/>
        </w:rPr>
        <w:t>.</w:t>
      </w:r>
      <w:r>
        <w:rPr>
          <w:rFonts w:hint="eastAsia" w:ascii="黑体" w:hAnsi="黑体" w:eastAsia="黑体" w:cs="宋体"/>
          <w:b/>
          <w:bCs/>
          <w:color w:val="auto"/>
          <w:sz w:val="24"/>
          <w:highlight w:val="none"/>
        </w:rPr>
        <w:t>磋商小组成立</w:t>
      </w:r>
    </w:p>
    <w:p w14:paraId="272162D8">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w:t>
      </w:r>
      <w:r>
        <w:rPr>
          <w:rFonts w:hint="eastAsia" w:ascii="宋体" w:hAnsi="宋体" w:cs="宋体"/>
          <w:color w:val="auto"/>
          <w:szCs w:val="21"/>
          <w:highlight w:val="none"/>
          <w:lang w:eastAsia="zh-CN"/>
        </w:rPr>
        <w:t>.</w:t>
      </w:r>
      <w:r>
        <w:rPr>
          <w:rFonts w:hint="eastAsia" w:ascii="宋体" w:hAnsi="宋体" w:cs="宋体"/>
          <w:color w:val="auto"/>
          <w:szCs w:val="21"/>
          <w:highlight w:val="none"/>
        </w:rPr>
        <w:t>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36698DA0">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w:t>
      </w:r>
      <w:r>
        <w:rPr>
          <w:rFonts w:hint="eastAsia" w:ascii="宋体" w:hAnsi="宋体" w:cs="宋体"/>
          <w:color w:val="auto"/>
          <w:szCs w:val="21"/>
          <w:highlight w:val="none"/>
          <w:lang w:eastAsia="zh-CN"/>
        </w:rPr>
        <w:t>.</w:t>
      </w:r>
      <w:r>
        <w:rPr>
          <w:rFonts w:hint="eastAsia" w:ascii="宋体" w:hAnsi="宋体" w:cs="宋体"/>
          <w:color w:val="auto"/>
          <w:szCs w:val="21"/>
          <w:highlight w:val="none"/>
        </w:rPr>
        <w:t>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7F5C8462">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w:t>
      </w:r>
      <w:r>
        <w:rPr>
          <w:rFonts w:hint="eastAsia" w:ascii="宋体" w:hAnsi="宋体" w:cs="宋体"/>
          <w:color w:val="auto"/>
          <w:szCs w:val="21"/>
          <w:highlight w:val="none"/>
          <w:lang w:eastAsia="zh-CN"/>
        </w:rPr>
        <w:t>.</w:t>
      </w:r>
      <w:r>
        <w:rPr>
          <w:rFonts w:hint="eastAsia" w:ascii="宋体" w:hAnsi="宋体" w:cs="宋体"/>
          <w:color w:val="auto"/>
          <w:szCs w:val="21"/>
          <w:highlight w:val="none"/>
        </w:rPr>
        <w:t>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基于“广西政府采购云平台”</w:t>
      </w:r>
      <w:r>
        <w:rPr>
          <w:rFonts w:hint="eastAsia" w:hAnsi="宋体"/>
          <w:bCs/>
          <w:color w:val="auto"/>
          <w:highlight w:val="none"/>
        </w:rPr>
        <w:t>抽（选）取</w:t>
      </w:r>
      <w:r>
        <w:rPr>
          <w:rFonts w:hint="eastAsia" w:hAnsi="宋体"/>
          <w:bCs/>
          <w:color w:val="auto"/>
          <w:szCs w:val="21"/>
          <w:highlight w:val="none"/>
        </w:rPr>
        <w:t>评审专家。</w:t>
      </w:r>
    </w:p>
    <w:p w14:paraId="05564E38">
      <w:pPr>
        <w:pageBreakBefore w:val="0"/>
        <w:kinsoku/>
        <w:topLinePunct w:val="0"/>
        <w:bidi w:val="0"/>
        <w:spacing w:before="60" w:after="60"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lang w:eastAsia="zh-CN"/>
        </w:rPr>
        <w:t>.</w:t>
      </w:r>
      <w:r>
        <w:rPr>
          <w:rFonts w:hint="eastAsia" w:ascii="黑体" w:hAnsi="黑体" w:eastAsia="黑体" w:cs="宋体"/>
          <w:b/>
          <w:bCs/>
          <w:color w:val="auto"/>
          <w:sz w:val="24"/>
          <w:highlight w:val="none"/>
        </w:rPr>
        <w:t>首次响应文件的开启和解密</w:t>
      </w:r>
    </w:p>
    <w:p w14:paraId="3E501640">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间通过电子交易平台组织响应文件开启，供应商的法定代表人或其委托代理人须携带加密时所用的CA锁，按平台提示和磋商文件的规定登录到“广西政府采购云平台”电子开标大厅签到，</w:t>
      </w:r>
      <w:r>
        <w:rPr>
          <w:rFonts w:hint="eastAsia"/>
          <w:color w:val="auto"/>
          <w:highlight w:val="none"/>
        </w:rPr>
        <w:t>采购代理机构依托“广西政府采购云平台”向各供应商发出电子加密响应文件【开始解密】通知，由供应商按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的响应文件作无效处理</w:t>
      </w:r>
      <w:r>
        <w:rPr>
          <w:b/>
          <w:color w:val="auto"/>
          <w:highlight w:val="none"/>
        </w:rPr>
        <w:t>。</w:t>
      </w:r>
    </w:p>
    <w:p w14:paraId="45037C3C">
      <w:pPr>
        <w:pageBreakBefore w:val="0"/>
        <w:kinsoku/>
        <w:topLinePunct w:val="0"/>
        <w:bidi w:val="0"/>
        <w:spacing w:before="60" w:after="60"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lang w:eastAsia="zh-CN"/>
        </w:rPr>
        <w:t>.</w:t>
      </w:r>
      <w:r>
        <w:rPr>
          <w:rFonts w:hint="eastAsia" w:ascii="黑体" w:hAnsi="黑体" w:eastAsia="黑体" w:cs="宋体"/>
          <w:b/>
          <w:bCs/>
          <w:color w:val="auto"/>
          <w:sz w:val="24"/>
          <w:highlight w:val="none"/>
        </w:rPr>
        <w:t>评审程序、评审方法和评审标准</w:t>
      </w:r>
    </w:p>
    <w:p w14:paraId="69E0236D">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1本项目的评审方法为综合评分法。</w:t>
      </w:r>
    </w:p>
    <w:p w14:paraId="6F3EC3EB">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lang w:eastAsia="zh-CN"/>
        </w:rPr>
        <w:t>.</w:t>
      </w:r>
      <w:r>
        <w:rPr>
          <w:rFonts w:ascii="宋体" w:hAnsi="宋体" w:cs="宋体"/>
          <w:color w:val="auto"/>
          <w:szCs w:val="21"/>
          <w:highlight w:val="none"/>
        </w:rPr>
        <w:t>2</w:t>
      </w:r>
      <w:r>
        <w:rPr>
          <w:rFonts w:hint="eastAsia" w:ascii="宋体" w:hAnsi="宋体" w:cs="宋体"/>
          <w:color w:val="auto"/>
          <w:szCs w:val="21"/>
          <w:highlight w:val="none"/>
        </w:rPr>
        <w:t>磋商小组</w:t>
      </w:r>
      <w:r>
        <w:rPr>
          <w:rFonts w:ascii="宋体" w:hAnsi="宋体" w:cs="宋体"/>
          <w:color w:val="auto"/>
          <w:szCs w:val="21"/>
          <w:highlight w:val="none"/>
        </w:rPr>
        <w:t>按照</w:t>
      </w:r>
      <w:r>
        <w:rPr>
          <w:rFonts w:hint="eastAsia" w:ascii="宋体" w:hAnsi="宋体" w:cs="宋体"/>
          <w:color w:val="auto"/>
          <w:szCs w:val="21"/>
          <w:highlight w:val="none"/>
        </w:rPr>
        <w:t>“第四章 评审程序、评审方法和评审标准”</w:t>
      </w:r>
      <w:r>
        <w:rPr>
          <w:rFonts w:ascii="宋体" w:hAnsi="宋体" w:cs="宋体"/>
          <w:color w:val="auto"/>
          <w:szCs w:val="21"/>
          <w:highlight w:val="none"/>
        </w:rPr>
        <w:t>规定的方法、评审因素、标准和程序对</w:t>
      </w:r>
      <w:r>
        <w:rPr>
          <w:rFonts w:hint="eastAsia" w:ascii="宋体" w:hAnsi="宋体" w:cs="宋体"/>
          <w:color w:val="auto"/>
          <w:szCs w:val="21"/>
          <w:highlight w:val="none"/>
        </w:rPr>
        <w:t>响应</w:t>
      </w:r>
      <w:r>
        <w:rPr>
          <w:rFonts w:ascii="宋体" w:hAnsi="宋体" w:cs="宋体"/>
          <w:color w:val="auto"/>
          <w:szCs w:val="21"/>
          <w:highlight w:val="none"/>
        </w:rPr>
        <w:t>文件进行评审。</w:t>
      </w:r>
    </w:p>
    <w:p w14:paraId="6E6C34F8">
      <w:pPr>
        <w:pageBreakBefore w:val="0"/>
        <w:kinsoku/>
        <w:topLinePunct w:val="0"/>
        <w:bidi w:val="0"/>
        <w:spacing w:before="60" w:after="60"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6</w:t>
      </w:r>
      <w:r>
        <w:rPr>
          <w:rFonts w:hint="eastAsia" w:ascii="宋体" w:hAnsi="宋体"/>
          <w:color w:val="auto"/>
          <w:szCs w:val="21"/>
          <w:highlight w:val="none"/>
          <w:lang w:eastAsia="zh-CN"/>
        </w:rPr>
        <w:t>.</w:t>
      </w:r>
      <w:r>
        <w:rPr>
          <w:rFonts w:ascii="宋体" w:hAnsi="宋体"/>
          <w:color w:val="auto"/>
          <w:szCs w:val="21"/>
          <w:highlight w:val="none"/>
        </w:rPr>
        <w:t xml:space="preserve">3 </w:t>
      </w:r>
      <w:r>
        <w:rPr>
          <w:rFonts w:hint="eastAsia" w:ascii="宋体" w:hAnsi="宋体"/>
          <w:color w:val="auto"/>
          <w:szCs w:val="21"/>
          <w:highlight w:val="none"/>
        </w:rPr>
        <w:t>商务/技术要求允许负偏离的条款数详见“供应商须知前附表”。</w:t>
      </w:r>
    </w:p>
    <w:p w14:paraId="67CA9E8D">
      <w:pPr>
        <w:pageBreakBefore w:val="0"/>
        <w:kinsoku/>
        <w:topLinePunct w:val="0"/>
        <w:bidi w:val="0"/>
        <w:spacing w:before="60" w:after="60" w:line="360" w:lineRule="auto"/>
        <w:ind w:firstLine="420" w:firstLineChars="200"/>
        <w:rPr>
          <w:rFonts w:ascii="宋体" w:hAnsi="宋体"/>
          <w:color w:val="auto"/>
          <w:szCs w:val="21"/>
          <w:highlight w:val="none"/>
        </w:rPr>
      </w:pPr>
      <w:r>
        <w:rPr>
          <w:rFonts w:hint="eastAsia" w:ascii="宋体" w:hAnsi="宋体" w:cs="宋体"/>
          <w:color w:val="auto"/>
          <w:highlight w:val="none"/>
        </w:rPr>
        <w:t>26</w:t>
      </w:r>
      <w:r>
        <w:rPr>
          <w:rFonts w:hint="eastAsia" w:ascii="宋体" w:hAnsi="宋体" w:cs="宋体"/>
          <w:color w:val="auto"/>
          <w:highlight w:val="none"/>
          <w:lang w:eastAsia="zh-CN"/>
        </w:rPr>
        <w:t>.</w:t>
      </w:r>
      <w:r>
        <w:rPr>
          <w:rFonts w:ascii="宋体" w:hAnsi="宋体" w:cs="宋体"/>
          <w:color w:val="auto"/>
          <w:highlight w:val="none"/>
        </w:rPr>
        <w:t>4</w:t>
      </w:r>
      <w:r>
        <w:rPr>
          <w:rFonts w:hint="eastAsia" w:ascii="宋体" w:hAnsi="宋体" w:cs="宋体"/>
          <w:color w:val="auto"/>
          <w:highlight w:val="none"/>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75880A9C">
      <w:pPr>
        <w:pageBreakBefore w:val="0"/>
        <w:kinsoku/>
        <w:topLinePunct w:val="0"/>
        <w:bidi w:val="0"/>
        <w:spacing w:before="60" w:after="60" w:line="360" w:lineRule="auto"/>
        <w:ind w:firstLine="420" w:firstLineChars="200"/>
        <w:rPr>
          <w:rFonts w:hAnsi="宋体"/>
          <w:color w:val="auto"/>
          <w:highlight w:val="none"/>
        </w:rPr>
      </w:pPr>
      <w:r>
        <w:rPr>
          <w:rFonts w:hint="eastAsia" w:ascii="宋体" w:hAnsi="宋体" w:cs="宋体"/>
          <w:color w:val="auto"/>
          <w:highlight w:val="none"/>
        </w:rPr>
        <w:t>2</w:t>
      </w:r>
      <w:r>
        <w:rPr>
          <w:rFonts w:ascii="宋体" w:hAnsi="宋体" w:cs="宋体"/>
          <w:color w:val="auto"/>
          <w:highlight w:val="none"/>
        </w:rPr>
        <w:t>6</w:t>
      </w:r>
      <w:r>
        <w:rPr>
          <w:rFonts w:hint="eastAsia" w:ascii="宋体" w:hAnsi="宋体" w:cs="宋体"/>
          <w:color w:val="auto"/>
          <w:highlight w:val="none"/>
          <w:lang w:eastAsia="zh-CN"/>
        </w:rPr>
        <w:t>.</w:t>
      </w:r>
      <w:r>
        <w:rPr>
          <w:rFonts w:ascii="宋体" w:hAnsi="宋体" w:cs="宋体"/>
          <w:color w:val="auto"/>
          <w:highlight w:val="none"/>
        </w:rPr>
        <w:t>5</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1B785556">
      <w:pPr>
        <w:pageBreakBefore w:val="0"/>
        <w:kinsoku/>
        <w:topLinePunct w:val="0"/>
        <w:bidi w:val="0"/>
        <w:spacing w:before="60" w:after="60" w:line="360" w:lineRule="auto"/>
        <w:ind w:firstLine="420" w:firstLineChars="200"/>
        <w:rPr>
          <w:rFonts w:hAnsi="宋体"/>
          <w:color w:val="auto"/>
          <w:highlight w:val="none"/>
        </w:rPr>
      </w:pPr>
      <w:r>
        <w:rPr>
          <w:rFonts w:hint="eastAsia" w:hAnsi="宋体"/>
          <w:color w:val="auto"/>
          <w:highlight w:val="none"/>
        </w:rPr>
        <w:t xml:space="preserve">（1）电子交易平台发生故障而无法登录访问的； </w:t>
      </w:r>
    </w:p>
    <w:p w14:paraId="3178A2AC">
      <w:pPr>
        <w:pageBreakBefore w:val="0"/>
        <w:kinsoku/>
        <w:topLinePunct w:val="0"/>
        <w:bidi w:val="0"/>
        <w:spacing w:before="60" w:after="60" w:line="360" w:lineRule="auto"/>
        <w:ind w:firstLine="420" w:firstLineChars="200"/>
        <w:rPr>
          <w:rFonts w:hAnsi="宋体"/>
          <w:color w:val="auto"/>
          <w:highlight w:val="none"/>
        </w:rPr>
      </w:pPr>
      <w:r>
        <w:rPr>
          <w:rFonts w:hint="eastAsia" w:hAnsi="宋体"/>
          <w:color w:val="auto"/>
          <w:highlight w:val="none"/>
        </w:rPr>
        <w:t>（2）电子交易平台应用或数据库出现错误，不能进行正常操作的；</w:t>
      </w:r>
    </w:p>
    <w:p w14:paraId="1B0E6F5E">
      <w:pPr>
        <w:pageBreakBefore w:val="0"/>
        <w:kinsoku/>
        <w:topLinePunct w:val="0"/>
        <w:bidi w:val="0"/>
        <w:spacing w:before="60" w:after="60" w:line="360" w:lineRule="auto"/>
        <w:ind w:firstLine="420" w:firstLineChars="200"/>
        <w:rPr>
          <w:rFonts w:hAnsi="宋体"/>
          <w:color w:val="auto"/>
          <w:highlight w:val="none"/>
        </w:rPr>
      </w:pPr>
      <w:r>
        <w:rPr>
          <w:rFonts w:hint="eastAsia" w:hAnsi="宋体"/>
          <w:color w:val="auto"/>
          <w:highlight w:val="none"/>
        </w:rPr>
        <w:t>（3）电子交易平台发现严重安全漏洞，有潜在泄密危险的；</w:t>
      </w:r>
    </w:p>
    <w:p w14:paraId="4CFD053C">
      <w:pPr>
        <w:pageBreakBefore w:val="0"/>
        <w:kinsoku/>
        <w:topLinePunct w:val="0"/>
        <w:bidi w:val="0"/>
        <w:spacing w:before="60" w:after="60" w:line="360" w:lineRule="auto"/>
        <w:ind w:firstLine="420" w:firstLineChars="200"/>
        <w:rPr>
          <w:rFonts w:hAnsi="宋体"/>
          <w:color w:val="auto"/>
          <w:highlight w:val="none"/>
        </w:rPr>
      </w:pPr>
      <w:r>
        <w:rPr>
          <w:rFonts w:hint="eastAsia" w:hAnsi="宋体"/>
          <w:color w:val="auto"/>
          <w:highlight w:val="none"/>
        </w:rPr>
        <w:t xml:space="preserve">（4）病毒发作导致不能进行正常操作的； </w:t>
      </w:r>
    </w:p>
    <w:p w14:paraId="0E0EE7DB">
      <w:pPr>
        <w:pageBreakBefore w:val="0"/>
        <w:kinsoku/>
        <w:topLinePunct w:val="0"/>
        <w:bidi w:val="0"/>
        <w:spacing w:before="60" w:after="60" w:line="360" w:lineRule="auto"/>
        <w:ind w:firstLine="420" w:firstLineChars="200"/>
        <w:rPr>
          <w:rFonts w:hAnsi="宋体"/>
          <w:color w:val="auto"/>
          <w:highlight w:val="none"/>
        </w:rPr>
      </w:pPr>
      <w:r>
        <w:rPr>
          <w:rFonts w:hint="eastAsia" w:hAnsi="宋体"/>
          <w:color w:val="auto"/>
          <w:highlight w:val="none"/>
        </w:rPr>
        <w:t>（5）其他无法保证电子交易的公平、公正和安全的情况。</w:t>
      </w:r>
    </w:p>
    <w:p w14:paraId="013D7AE6">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olor w:val="auto"/>
          <w:highlight w:val="none"/>
        </w:rPr>
        <w:t>26</w:t>
      </w:r>
      <w:r>
        <w:rPr>
          <w:rFonts w:hint="eastAsia" w:ascii="宋体" w:hAnsi="宋体"/>
          <w:color w:val="auto"/>
          <w:highlight w:val="none"/>
          <w:lang w:eastAsia="zh-CN"/>
        </w:rPr>
        <w:t>.</w:t>
      </w:r>
      <w:r>
        <w:rPr>
          <w:rFonts w:ascii="宋体" w:hAnsi="宋体"/>
          <w:color w:val="auto"/>
          <w:highlight w:val="none"/>
        </w:rPr>
        <w:t>6</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72C5D681">
      <w:pPr>
        <w:pageBreakBefore w:val="0"/>
        <w:kinsoku/>
        <w:topLinePunct w:val="0"/>
        <w:bidi w:val="0"/>
        <w:spacing w:before="60" w:after="60"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lang w:eastAsia="zh-CN"/>
        </w:rPr>
        <w:t>.</w:t>
      </w:r>
      <w:r>
        <w:rPr>
          <w:rFonts w:hint="eastAsia" w:ascii="黑体" w:hAnsi="黑体" w:eastAsia="黑体" w:cs="宋体"/>
          <w:b/>
          <w:bCs/>
          <w:color w:val="auto"/>
          <w:sz w:val="24"/>
          <w:highlight w:val="none"/>
        </w:rPr>
        <w:t>确定成交供应商及结果公告</w:t>
      </w:r>
    </w:p>
    <w:p w14:paraId="5EE46212">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lang w:eastAsia="zh-CN"/>
        </w:rPr>
        <w:t>.</w:t>
      </w:r>
      <w:r>
        <w:rPr>
          <w:rFonts w:hint="eastAsia" w:ascii="宋体" w:hAnsi="宋体" w:cs="宋体"/>
          <w:color w:val="auto"/>
          <w:szCs w:val="21"/>
          <w:highlight w:val="none"/>
        </w:rPr>
        <w:t>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9F601A8">
      <w:pPr>
        <w:pageBreakBefore w:val="0"/>
        <w:kinsoku/>
        <w:topLinePunct w:val="0"/>
        <w:bidi w:val="0"/>
        <w:spacing w:before="60" w:after="60" w:line="360" w:lineRule="auto"/>
        <w:ind w:firstLine="420" w:firstLineChars="200"/>
        <w:rPr>
          <w:rFonts w:ascii="宋体" w:hAnsi="宋体" w:cs="Courier New"/>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lang w:eastAsia="zh-CN"/>
        </w:rPr>
        <w:t>.</w:t>
      </w:r>
      <w:r>
        <w:rPr>
          <w:rFonts w:hint="eastAsia" w:ascii="宋体" w:hAnsi="宋体" w:cs="宋体"/>
          <w:color w:val="auto"/>
          <w:szCs w:val="21"/>
          <w:highlight w:val="none"/>
        </w:rPr>
        <w:t>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4" w:name="_Hlk66782294"/>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bookmarkEnd w:id="74"/>
    </w:p>
    <w:p w14:paraId="41A0819B">
      <w:pPr>
        <w:pageBreakBefore w:val="0"/>
        <w:kinsoku/>
        <w:topLinePunct w:val="0"/>
        <w:bidi w:val="0"/>
        <w:spacing w:before="60" w:after="60"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27</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3出现下列情形之一的，采购人或者采购代理机构应当终止竞争性磋商采购活动，发布项目终止公告并说明原因，重新开展采购活动：</w:t>
      </w:r>
    </w:p>
    <w:p w14:paraId="6BFF3320">
      <w:pPr>
        <w:pageBreakBefore w:val="0"/>
        <w:kinsoku/>
        <w:topLinePunct w:val="0"/>
        <w:bidi w:val="0"/>
        <w:spacing w:before="60" w:after="60"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（1）因情况变化，不再符合规定的竞争性磋商采购方式适用情形的；</w:t>
      </w:r>
    </w:p>
    <w:p w14:paraId="36B086A8">
      <w:pPr>
        <w:pageBreakBefore w:val="0"/>
        <w:kinsoku/>
        <w:topLinePunct w:val="0"/>
        <w:bidi w:val="0"/>
        <w:spacing w:before="60" w:after="60"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（2）出现影响采购公正的违法、违规行为的；</w:t>
      </w:r>
    </w:p>
    <w:p w14:paraId="2B88A411">
      <w:pPr>
        <w:pageBreakBefore w:val="0"/>
        <w:kinsoku/>
        <w:topLinePunct w:val="0"/>
        <w:bidi w:val="0"/>
        <w:spacing w:before="60" w:after="60"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（3）除“第四章 评审程序、评审方法和评审标准”第4</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3条规定的情形外，在采购过程中符合要求的供应商或者报价未超过采购预算的供应商不足3家的。</w:t>
      </w:r>
    </w:p>
    <w:p w14:paraId="409E2B21">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Courier New"/>
          <w:color w:val="auto"/>
          <w:szCs w:val="21"/>
          <w:highlight w:val="none"/>
        </w:rPr>
        <w:t>27</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4 在采购活动中因重大变故，采购任务取消的，采购人或者采购代理机构应当终止采购活动，通知所有参加采购活动的供应商，并将项目实施情况和采购任务取消原因报送本级财政部门。</w:t>
      </w:r>
    </w:p>
    <w:p w14:paraId="7ECCABB0">
      <w:pPr>
        <w:pageBreakBefore w:val="0"/>
        <w:kinsoku/>
        <w:topLinePunct w:val="0"/>
        <w:bidi w:val="0"/>
        <w:spacing w:before="60" w:after="60"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lang w:eastAsia="zh-CN"/>
        </w:rPr>
        <w:t>.</w:t>
      </w:r>
      <w:r>
        <w:rPr>
          <w:rFonts w:hint="eastAsia" w:ascii="黑体" w:hAnsi="黑体" w:eastAsia="黑体" w:cs="宋体"/>
          <w:b/>
          <w:bCs/>
          <w:color w:val="auto"/>
          <w:sz w:val="24"/>
          <w:highlight w:val="none"/>
        </w:rPr>
        <w:t>履约保证金</w:t>
      </w:r>
    </w:p>
    <w:p w14:paraId="1CD9662E">
      <w:pPr>
        <w:pageBreakBefore w:val="0"/>
        <w:kinsoku/>
        <w:topLinePunct w:val="0"/>
        <w:bidi w:val="0"/>
        <w:spacing w:before="60" w:after="60" w:line="360" w:lineRule="auto"/>
        <w:ind w:firstLine="424" w:firstLineChars="202"/>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lang w:eastAsia="zh-CN"/>
        </w:rPr>
        <w:t>.</w:t>
      </w:r>
      <w:r>
        <w:rPr>
          <w:rFonts w:hint="eastAsia" w:ascii="宋体" w:hAnsi="宋体" w:cs="宋体"/>
          <w:color w:val="auto"/>
          <w:szCs w:val="21"/>
          <w:highlight w:val="none"/>
        </w:rPr>
        <w:t>1履约保证金的金额、提交方式、退付的时间和条件详见 “供应商须知前附表”。成交供应商未按规定提交履约保证金的，视为拒绝</w:t>
      </w:r>
      <w:r>
        <w:rPr>
          <w:rFonts w:ascii="宋体" w:hAnsi="宋体"/>
          <w:color w:val="auto"/>
          <w:highlight w:val="none"/>
        </w:rPr>
        <w:t>与采购人</w:t>
      </w:r>
      <w:r>
        <w:rPr>
          <w:rFonts w:hint="eastAsia" w:ascii="宋体" w:hAnsi="宋体" w:cs="宋体"/>
          <w:color w:val="auto"/>
          <w:szCs w:val="21"/>
          <w:highlight w:val="none"/>
        </w:rPr>
        <w:t>签订合同。</w:t>
      </w:r>
    </w:p>
    <w:p w14:paraId="50291966">
      <w:pPr>
        <w:pageBreakBefore w:val="0"/>
        <w:kinsoku/>
        <w:topLinePunct w:val="0"/>
        <w:bidi w:val="0"/>
        <w:spacing w:before="60" w:after="60" w:line="360" w:lineRule="auto"/>
        <w:ind w:firstLine="424" w:firstLineChars="202"/>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lang w:eastAsia="zh-CN"/>
        </w:rPr>
        <w:t>.</w:t>
      </w:r>
      <w:r>
        <w:rPr>
          <w:rFonts w:hint="eastAsia" w:ascii="宋体" w:hAnsi="宋体" w:cs="宋体"/>
          <w:color w:val="auto"/>
          <w:szCs w:val="21"/>
          <w:highlight w:val="none"/>
        </w:rPr>
        <w:t>2在履约保证金退还日期前，若成交供应商的开户名称、开户银行、帐号有变动的，请以书面形式通知履约保证金收取单位，否则由此产生的后果由成交供应商自行承担。</w:t>
      </w:r>
    </w:p>
    <w:p w14:paraId="1F03A6D4">
      <w:pPr>
        <w:pageBreakBefore w:val="0"/>
        <w:kinsoku/>
        <w:topLinePunct w:val="0"/>
        <w:bidi w:val="0"/>
        <w:spacing w:before="60" w:after="60"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lang w:eastAsia="zh-CN"/>
        </w:rPr>
        <w:t>.</w:t>
      </w:r>
      <w:r>
        <w:rPr>
          <w:rFonts w:hint="eastAsia" w:ascii="黑体" w:hAnsi="黑体" w:eastAsia="黑体" w:cs="宋体"/>
          <w:b/>
          <w:bCs/>
          <w:color w:val="auto"/>
          <w:sz w:val="24"/>
          <w:highlight w:val="none"/>
        </w:rPr>
        <w:t>签订合同</w:t>
      </w:r>
    </w:p>
    <w:p w14:paraId="6AB89EC2">
      <w:pPr>
        <w:pageBreakBefore w:val="0"/>
        <w:kinsoku/>
        <w:topLinePunct w:val="0"/>
        <w:bidi w:val="0"/>
        <w:spacing w:before="60" w:after="60"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w:t>
      </w:r>
      <w:r>
        <w:rPr>
          <w:rFonts w:hint="eastAsia" w:ascii="宋体" w:hAnsi="宋体" w:cs="宋体"/>
          <w:color w:val="auto"/>
          <w:szCs w:val="21"/>
          <w:highlight w:val="none"/>
          <w:lang w:eastAsia="zh-CN"/>
        </w:rPr>
        <w:t>.</w:t>
      </w:r>
      <w:r>
        <w:rPr>
          <w:rFonts w:hint="eastAsia" w:ascii="宋体" w:hAnsi="宋体" w:cs="宋体"/>
          <w:color w:val="auto"/>
          <w:szCs w:val="21"/>
          <w:highlight w:val="none"/>
        </w:rPr>
        <w:t>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25B5FEEF">
      <w:pPr>
        <w:pageBreakBefore w:val="0"/>
        <w:kinsoku/>
        <w:topLinePunct w:val="0"/>
        <w:bidi w:val="0"/>
        <w:spacing w:before="60" w:after="60"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70074C4B">
      <w:pPr>
        <w:pageBreakBefore w:val="0"/>
        <w:kinsoku/>
        <w:topLinePunct w:val="0"/>
        <w:bidi w:val="0"/>
        <w:spacing w:before="60" w:after="60"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w:t>
      </w:r>
      <w:r>
        <w:rPr>
          <w:rFonts w:hint="eastAsia" w:ascii="宋体" w:hAnsi="宋体" w:cs="宋体"/>
          <w:color w:val="auto"/>
          <w:szCs w:val="21"/>
          <w:highlight w:val="none"/>
          <w:lang w:eastAsia="zh-CN"/>
        </w:rPr>
        <w:t>.</w:t>
      </w:r>
      <w:r>
        <w:rPr>
          <w:rFonts w:hint="eastAsia" w:ascii="宋体" w:hAnsi="宋体" w:cs="宋体"/>
          <w:color w:val="auto"/>
          <w:szCs w:val="21"/>
          <w:highlight w:val="none"/>
        </w:rPr>
        <w:t>2签订合同时间：按成交通知书规定的时间与采购人签订合同。</w:t>
      </w:r>
    </w:p>
    <w:p w14:paraId="5E1CAF69">
      <w:pPr>
        <w:pageBreakBefore w:val="0"/>
        <w:kinsoku/>
        <w:topLinePunct w:val="0"/>
        <w:bidi w:val="0"/>
        <w:spacing w:before="60" w:after="60"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w:t>
      </w:r>
      <w:r>
        <w:rPr>
          <w:rFonts w:hint="eastAsia" w:ascii="宋体" w:hAnsi="宋体" w:cs="宋体"/>
          <w:color w:val="auto"/>
          <w:szCs w:val="21"/>
          <w:highlight w:val="none"/>
          <w:lang w:eastAsia="zh-CN"/>
        </w:rPr>
        <w:t>.</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6B16D941">
      <w:pPr>
        <w:pageBreakBefore w:val="0"/>
        <w:kinsoku/>
        <w:topLinePunct w:val="0"/>
        <w:bidi w:val="0"/>
        <w:spacing w:before="60" w:after="60"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w:t>
      </w:r>
      <w:r>
        <w:rPr>
          <w:rFonts w:hint="eastAsia" w:ascii="宋体" w:hAnsi="宋体" w:cs="宋体"/>
          <w:color w:val="auto"/>
          <w:szCs w:val="21"/>
          <w:highlight w:val="none"/>
          <w:lang w:eastAsia="zh-CN"/>
        </w:rPr>
        <w:t>.</w:t>
      </w:r>
      <w:r>
        <w:rPr>
          <w:rFonts w:hint="eastAsia" w:ascii="宋体" w:hAnsi="宋体" w:cs="宋体"/>
          <w:color w:val="auto"/>
          <w:szCs w:val="21"/>
          <w:highlight w:val="none"/>
        </w:rPr>
        <w:t>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21D8FC0">
      <w:pPr>
        <w:pageBreakBefore w:val="0"/>
        <w:kinsoku/>
        <w:topLinePunct w:val="0"/>
        <w:bidi w:val="0"/>
        <w:spacing w:before="60" w:after="60"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w:t>
      </w:r>
      <w:r>
        <w:rPr>
          <w:rFonts w:hint="eastAsia" w:ascii="宋体" w:hAnsi="宋体" w:cs="宋体"/>
          <w:color w:val="auto"/>
          <w:szCs w:val="21"/>
          <w:highlight w:val="none"/>
          <w:lang w:eastAsia="zh-CN"/>
        </w:rPr>
        <w:t>.</w:t>
      </w:r>
      <w:r>
        <w:rPr>
          <w:rFonts w:hint="eastAsia" w:ascii="宋体" w:hAnsi="宋体" w:cs="宋体"/>
          <w:color w:val="auto"/>
          <w:szCs w:val="21"/>
          <w:highlight w:val="none"/>
        </w:rPr>
        <w:t>5采购人或成交供应商不得单方面向合同另一方提出任何磋商文件没有约定的条件或不合理的要求，作为签订合同的条件；也不得协商另行订立背离磋商文件和合同实质性内容的协议。</w:t>
      </w:r>
    </w:p>
    <w:p w14:paraId="39CDF5EB">
      <w:pPr>
        <w:pageBreakBefore w:val="0"/>
        <w:kinsoku/>
        <w:topLinePunct w:val="0"/>
        <w:bidi w:val="0"/>
        <w:spacing w:before="60" w:after="60"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w:t>
      </w:r>
      <w:r>
        <w:rPr>
          <w:rFonts w:hint="eastAsia" w:ascii="宋体" w:hAnsi="宋体" w:cs="宋体"/>
          <w:color w:val="auto"/>
          <w:szCs w:val="21"/>
          <w:highlight w:val="none"/>
          <w:lang w:eastAsia="zh-CN"/>
        </w:rPr>
        <w:t>.</w:t>
      </w:r>
      <w:r>
        <w:rPr>
          <w:rFonts w:hint="eastAsia" w:ascii="宋体" w:hAnsi="宋体" w:cs="宋体"/>
          <w:color w:val="auto"/>
          <w:szCs w:val="21"/>
          <w:highlight w:val="none"/>
        </w:rPr>
        <w:t>6如签订合同并生效后，供应商无故拒绝或延期，除按照合同条款处理外，将承担相应的法律责任。</w:t>
      </w:r>
    </w:p>
    <w:p w14:paraId="6E638516">
      <w:pPr>
        <w:pageBreakBefore w:val="0"/>
        <w:kinsoku/>
        <w:topLinePunct w:val="0"/>
        <w:bidi w:val="0"/>
        <w:spacing w:before="60" w:after="60"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w:t>
      </w:r>
      <w:r>
        <w:rPr>
          <w:rFonts w:hint="eastAsia" w:ascii="宋体" w:hAnsi="宋体" w:cs="宋体"/>
          <w:color w:val="auto"/>
          <w:szCs w:val="21"/>
          <w:highlight w:val="none"/>
          <w:lang w:eastAsia="zh-CN"/>
        </w:rPr>
        <w:t>.</w:t>
      </w:r>
      <w:r>
        <w:rPr>
          <w:rFonts w:hint="eastAsia" w:ascii="宋体" w:hAnsi="宋体" w:cs="宋体"/>
          <w:color w:val="auto"/>
          <w:szCs w:val="21"/>
          <w:highlight w:val="none"/>
        </w:rPr>
        <w:t>7政府采购合同履行中，采购人需追加与合同标的相同的货物、工程或者服务的，在不改变合同其他条款的前提下，可以与供应商协商签订补充合同，但所有补充合同的采购金额不得超过原合同采购金额的10%。</w:t>
      </w:r>
    </w:p>
    <w:p w14:paraId="74E0757D">
      <w:pPr>
        <w:pageBreakBefore w:val="0"/>
        <w:kinsoku/>
        <w:topLinePunct w:val="0"/>
        <w:bidi w:val="0"/>
        <w:spacing w:before="60" w:after="60"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lang w:eastAsia="zh-CN"/>
        </w:rPr>
        <w:t>.</w:t>
      </w:r>
      <w:r>
        <w:rPr>
          <w:rFonts w:hint="eastAsia" w:ascii="黑体" w:hAnsi="黑体" w:eastAsia="黑体" w:cs="宋体"/>
          <w:b/>
          <w:bCs/>
          <w:color w:val="auto"/>
          <w:sz w:val="24"/>
          <w:highlight w:val="none"/>
        </w:rPr>
        <w:t>政府采购合同公告</w:t>
      </w:r>
    </w:p>
    <w:p w14:paraId="4CDEF186">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5D52C31D">
      <w:pPr>
        <w:pageBreakBefore w:val="0"/>
        <w:kinsoku/>
        <w:topLinePunct w:val="0"/>
        <w:bidi w:val="0"/>
        <w:spacing w:before="60" w:after="60"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lang w:eastAsia="zh-CN"/>
        </w:rPr>
        <w:t>.</w:t>
      </w:r>
      <w:r>
        <w:rPr>
          <w:rFonts w:hint="eastAsia" w:ascii="黑体" w:hAnsi="黑体" w:eastAsia="黑体" w:cs="宋体"/>
          <w:b/>
          <w:bCs/>
          <w:color w:val="auto"/>
          <w:sz w:val="24"/>
          <w:highlight w:val="none"/>
        </w:rPr>
        <w:t xml:space="preserve"> 询问、质疑和投诉</w:t>
      </w:r>
    </w:p>
    <w:p w14:paraId="5059C1E7">
      <w:pPr>
        <w:pStyle w:val="6"/>
        <w:pageBreakBefore w:val="0"/>
        <w:kinsoku/>
        <w:topLinePunct w:val="0"/>
        <w:bidi w:val="0"/>
        <w:spacing w:before="60" w:after="60" w:line="360" w:lineRule="auto"/>
        <w:rPr>
          <w:rFonts w:ascii="宋体" w:hAnsi="宋体"/>
          <w:color w:val="auto"/>
          <w:szCs w:val="21"/>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lang w:eastAsia="zh-CN"/>
        </w:rPr>
        <w:t>.</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r>
        <w:rPr>
          <w:rFonts w:hint="eastAsia" w:ascii="宋体" w:hAnsi="宋体" w:cs="宋体"/>
          <w:color w:val="auto"/>
          <w:highlight w:val="none"/>
        </w:rPr>
        <w:t>。</w:t>
      </w:r>
    </w:p>
    <w:p w14:paraId="4DEF0621">
      <w:pPr>
        <w:pageBreakBefore w:val="0"/>
        <w:kinsoku/>
        <w:topLinePunct w:val="0"/>
        <w:bidi w:val="0"/>
        <w:spacing w:before="60" w:after="60"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lang w:eastAsia="zh-CN"/>
        </w:rPr>
        <w:t>.</w:t>
      </w:r>
      <w:r>
        <w:rPr>
          <w:rFonts w:hint="eastAsia" w:ascii="宋体" w:hAnsi="宋体" w:cs="宋体"/>
          <w:color w:val="auto"/>
          <w:highlight w:val="none"/>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highlight w:val="none"/>
          <w:shd w:val="clear" w:color="auto" w:fill="FFFFFF"/>
        </w:rPr>
        <w:t>接收质疑函的方式、联系部门、联系电话和通讯地址等信息</w:t>
      </w:r>
      <w:r>
        <w:rPr>
          <w:rFonts w:hint="eastAsia" w:ascii="宋体" w:hAnsi="宋体" w:cs="Arial"/>
          <w:color w:val="auto"/>
          <w:highlight w:val="none"/>
          <w:shd w:val="clear" w:color="auto" w:fill="FFFFFF"/>
        </w:rPr>
        <w:t>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0084E1A6">
      <w:pPr>
        <w:pageBreakBefore w:val="0"/>
        <w:kinsoku/>
        <w:topLinePunct w:val="0"/>
        <w:bidi w:val="0"/>
        <w:spacing w:before="60" w:after="60" w:line="360" w:lineRule="auto"/>
        <w:ind w:firstLine="420" w:firstLineChars="200"/>
        <w:rPr>
          <w:rFonts w:ascii="宋体" w:hAnsi="宋体" w:cs="宋体"/>
          <w:color w:val="auto"/>
          <w:highlight w:val="none"/>
        </w:rPr>
      </w:pPr>
      <w:r>
        <w:rPr>
          <w:rFonts w:hint="eastAsia" w:ascii="宋体" w:hAnsi="宋体" w:cs="宋体"/>
          <w:color w:val="auto"/>
          <w:highlight w:val="none"/>
        </w:rPr>
        <w:t>（1）对可以质疑的磋商文件提出质疑的，为收到磋商文件之日或者</w:t>
      </w:r>
      <w:r>
        <w:rPr>
          <w:rFonts w:hint="eastAsia" w:ascii="宋体" w:hAnsi="宋体"/>
          <w:color w:val="auto"/>
          <w:highlight w:val="none"/>
        </w:rPr>
        <w:t>竞争性磋商公告期限届满之日</w:t>
      </w:r>
      <w:r>
        <w:rPr>
          <w:rFonts w:hint="eastAsia" w:ascii="宋体" w:hAnsi="宋体" w:cs="宋体"/>
          <w:color w:val="auto"/>
          <w:highlight w:val="none"/>
        </w:rPr>
        <w:t>；</w:t>
      </w:r>
    </w:p>
    <w:p w14:paraId="2E99ADE6">
      <w:pPr>
        <w:pageBreakBefore w:val="0"/>
        <w:kinsoku/>
        <w:topLinePunct w:val="0"/>
        <w:bidi w:val="0"/>
        <w:spacing w:before="60" w:after="60"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66813B25">
      <w:pPr>
        <w:pageBreakBefore w:val="0"/>
        <w:kinsoku/>
        <w:topLinePunct w:val="0"/>
        <w:bidi w:val="0"/>
        <w:spacing w:before="60" w:after="60" w:line="360" w:lineRule="auto"/>
        <w:ind w:firstLine="420" w:firstLineChars="200"/>
        <w:rPr>
          <w:rFonts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5C82D50A">
      <w:pPr>
        <w:pageBreakBefore w:val="0"/>
        <w:kinsoku/>
        <w:topLinePunct w:val="0"/>
        <w:bidi w:val="0"/>
        <w:spacing w:before="60" w:after="60"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lang w:eastAsia="zh-CN"/>
        </w:rPr>
        <w:t>.</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53AE2DE7">
      <w:pPr>
        <w:pageBreakBefore w:val="0"/>
        <w:kinsoku/>
        <w:topLinePunct w:val="0"/>
        <w:bidi w:val="0"/>
        <w:spacing w:before="60" w:after="60"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lang w:eastAsia="zh-CN"/>
        </w:rPr>
        <w:t>.</w:t>
      </w:r>
      <w:r>
        <w:rPr>
          <w:rFonts w:hint="eastAsia" w:ascii="宋体" w:hAnsi="宋体" w:cs="宋体"/>
          <w:color w:val="auto"/>
          <w:highlight w:val="none"/>
        </w:rPr>
        <w:t>4 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14AB89F7">
      <w:pPr>
        <w:pageBreakBefore w:val="0"/>
        <w:kinsoku/>
        <w:topLinePunct w:val="0"/>
        <w:bidi w:val="0"/>
        <w:spacing w:before="60" w:after="60"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49EF20E5">
      <w:pPr>
        <w:pageBreakBefore w:val="0"/>
        <w:kinsoku/>
        <w:topLinePunct w:val="0"/>
        <w:bidi w:val="0"/>
        <w:spacing w:before="60" w:after="60"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22A70038">
      <w:pPr>
        <w:pageBreakBefore w:val="0"/>
        <w:kinsoku/>
        <w:topLinePunct w:val="0"/>
        <w:bidi w:val="0"/>
        <w:spacing w:before="60" w:after="60"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22D4284E">
      <w:pPr>
        <w:pageBreakBefore w:val="0"/>
        <w:kinsoku/>
        <w:topLinePunct w:val="0"/>
        <w:bidi w:val="0"/>
        <w:spacing w:before="60" w:after="60"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7CD5D7B7">
      <w:pPr>
        <w:pageBreakBefore w:val="0"/>
        <w:kinsoku/>
        <w:topLinePunct w:val="0"/>
        <w:bidi w:val="0"/>
        <w:spacing w:before="60" w:after="60"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10F92C84">
      <w:pPr>
        <w:pageBreakBefore w:val="0"/>
        <w:kinsoku/>
        <w:topLinePunct w:val="0"/>
        <w:bidi w:val="0"/>
        <w:spacing w:before="60" w:after="60"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2694A69A">
      <w:pPr>
        <w:pageBreakBefore w:val="0"/>
        <w:kinsoku/>
        <w:topLinePunct w:val="0"/>
        <w:bidi w:val="0"/>
        <w:spacing w:before="60" w:after="60"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428A371B">
      <w:pPr>
        <w:pageBreakBefore w:val="0"/>
        <w:kinsoku/>
        <w:topLinePunct w:val="0"/>
        <w:bidi w:val="0"/>
        <w:spacing w:before="60" w:after="60"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lang w:eastAsia="zh-CN"/>
        </w:rPr>
        <w:t>.</w:t>
      </w:r>
      <w:r>
        <w:rPr>
          <w:rFonts w:ascii="宋体" w:hAnsi="宋体" w:cs="宋体"/>
          <w:color w:val="auto"/>
          <w:highlight w:val="none"/>
        </w:rPr>
        <w:t>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73FD0ABA">
      <w:pPr>
        <w:pageBreakBefore w:val="0"/>
        <w:kinsoku/>
        <w:topLinePunct w:val="0"/>
        <w:bidi w:val="0"/>
        <w:spacing w:before="60" w:after="60"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4ADEC67F">
      <w:pPr>
        <w:pageBreakBefore w:val="0"/>
        <w:kinsoku/>
        <w:topLinePunct w:val="0"/>
        <w:bidi w:val="0"/>
        <w:spacing w:before="60" w:after="60"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326426A">
      <w:pPr>
        <w:pageBreakBefore w:val="0"/>
        <w:kinsoku/>
        <w:topLinePunct w:val="0"/>
        <w:bidi w:val="0"/>
        <w:spacing w:before="60" w:after="60"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242F3928">
      <w:pPr>
        <w:pageBreakBefore w:val="0"/>
        <w:kinsoku/>
        <w:topLinePunct w:val="0"/>
        <w:bidi w:val="0"/>
        <w:spacing w:before="60" w:after="60" w:line="360" w:lineRule="auto"/>
        <w:ind w:firstLine="420" w:firstLineChars="200"/>
        <w:rPr>
          <w:rFonts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lang w:eastAsia="zh-CN"/>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2D811BFB">
      <w:pPr>
        <w:pageBreakBefore w:val="0"/>
        <w:kinsoku/>
        <w:topLinePunct w:val="0"/>
        <w:bidi w:val="0"/>
        <w:spacing w:before="60" w:after="60" w:line="360" w:lineRule="auto"/>
        <w:ind w:firstLine="420" w:firstLineChars="200"/>
        <w:rPr>
          <w:rFonts w:ascii="宋体" w:hAnsi="宋体" w:cs="宋体"/>
          <w:color w:val="auto"/>
          <w:highlight w:val="none"/>
        </w:rPr>
      </w:pPr>
      <w:r>
        <w:rPr>
          <w:rFonts w:hint="eastAsia" w:ascii="宋体" w:hAnsi="宋体" w:cs="宋体"/>
          <w:color w:val="auto"/>
          <w:highlight w:val="none"/>
        </w:rPr>
        <w:t>31</w:t>
      </w:r>
      <w:r>
        <w:rPr>
          <w:rFonts w:hint="eastAsia" w:ascii="宋体" w:hAnsi="宋体" w:cs="宋体"/>
          <w:color w:val="auto"/>
          <w:highlight w:val="none"/>
          <w:lang w:eastAsia="zh-CN"/>
        </w:rPr>
        <w:t>.</w:t>
      </w:r>
      <w:r>
        <w:rPr>
          <w:rFonts w:hint="eastAsia" w:ascii="宋体" w:hAnsi="宋体" w:cs="宋体"/>
          <w:color w:val="auto"/>
          <w:highlight w:val="none"/>
        </w:rPr>
        <w:t>7 监督管理部门：</w:t>
      </w:r>
      <w:r>
        <w:rPr>
          <w:rFonts w:hint="eastAsia" w:ascii="宋体" w:hAnsi="宋体" w:cs="宋体"/>
          <w:color w:val="auto"/>
          <w:highlight w:val="none"/>
          <w:lang w:eastAsia="zh-CN"/>
        </w:rPr>
        <w:t>浦北县政府采购监督管理办公室</w:t>
      </w:r>
      <w:r>
        <w:rPr>
          <w:rFonts w:hint="eastAsia" w:ascii="宋体" w:hAnsi="宋体" w:cs="宋体"/>
          <w:color w:val="auto"/>
          <w:highlight w:val="none"/>
        </w:rPr>
        <w:t>，</w:t>
      </w:r>
      <w:r>
        <w:rPr>
          <w:rFonts w:hint="eastAsia" w:ascii="宋体" w:hAnsi="宋体" w:cs="宋体"/>
          <w:color w:val="auto"/>
          <w:highlight w:val="none"/>
          <w:lang w:eastAsia="zh-CN"/>
        </w:rPr>
        <w:t>0777-8314622</w:t>
      </w:r>
      <w:r>
        <w:rPr>
          <w:rFonts w:hint="eastAsia" w:ascii="宋体" w:hAnsi="宋体" w:cs="宋体"/>
          <w:color w:val="auto"/>
          <w:highlight w:val="none"/>
        </w:rPr>
        <w:t>。</w:t>
      </w:r>
    </w:p>
    <w:p w14:paraId="0DB73D3D">
      <w:pPr>
        <w:pageBreakBefore w:val="0"/>
        <w:kinsoku/>
        <w:topLinePunct w:val="0"/>
        <w:bidi w:val="0"/>
        <w:spacing w:before="60" w:after="60"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32</w:t>
      </w:r>
      <w:r>
        <w:rPr>
          <w:rFonts w:hint="eastAsia" w:ascii="黑体" w:hAnsi="黑体" w:eastAsia="黑体" w:cs="宋体"/>
          <w:b/>
          <w:bCs/>
          <w:color w:val="auto"/>
          <w:sz w:val="24"/>
          <w:highlight w:val="none"/>
          <w:lang w:eastAsia="zh-CN"/>
        </w:rPr>
        <w:t>.</w:t>
      </w:r>
      <w:r>
        <w:rPr>
          <w:rFonts w:hint="eastAsia" w:ascii="黑体" w:hAnsi="黑体" w:eastAsia="黑体" w:cs="宋体"/>
          <w:b/>
          <w:bCs/>
          <w:color w:val="auto"/>
          <w:sz w:val="24"/>
          <w:highlight w:val="none"/>
        </w:rPr>
        <w:t>其他内容</w:t>
      </w:r>
    </w:p>
    <w:p w14:paraId="6375A706">
      <w:pPr>
        <w:pageBreakBefore w:val="0"/>
        <w:tabs>
          <w:tab w:val="left" w:pos="2835"/>
        </w:tabs>
        <w:kinsoku/>
        <w:topLinePunct w:val="0"/>
        <w:bidi w:val="0"/>
        <w:spacing w:before="60" w:after="60"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lang w:eastAsia="zh-CN"/>
        </w:rPr>
        <w:t>.</w:t>
      </w:r>
      <w:r>
        <w:rPr>
          <w:rFonts w:hint="eastAsia" w:ascii="宋体" w:hAnsi="宋体" w:cs="宋体"/>
          <w:color w:val="auto"/>
          <w:szCs w:val="21"/>
          <w:highlight w:val="none"/>
        </w:rPr>
        <w:t>1代理服务收取标准及缴费账户详见“供应商须知前附表”，供应商为联合体的，可以由联合体中的一方或者多方共同交纳代理服务费。</w:t>
      </w:r>
    </w:p>
    <w:p w14:paraId="6E661D01">
      <w:pPr>
        <w:pageBreakBefore w:val="0"/>
        <w:tabs>
          <w:tab w:val="left" w:pos="2835"/>
        </w:tabs>
        <w:kinsoku/>
        <w:topLinePunct w:val="0"/>
        <w:bidi w:val="0"/>
        <w:spacing w:before="60" w:after="60"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lang w:eastAsia="zh-CN"/>
        </w:rPr>
        <w:t>.</w:t>
      </w:r>
      <w:r>
        <w:rPr>
          <w:rFonts w:ascii="宋体" w:hAnsi="宋体" w:cs="宋体"/>
          <w:color w:val="auto"/>
          <w:szCs w:val="21"/>
          <w:highlight w:val="none"/>
        </w:rPr>
        <w:t>2</w:t>
      </w:r>
      <w:r>
        <w:rPr>
          <w:rFonts w:hint="eastAsia" w:ascii="宋体" w:hAnsi="宋体" w:cs="宋体"/>
          <w:color w:val="auto"/>
          <w:szCs w:val="21"/>
          <w:highlight w:val="none"/>
        </w:rPr>
        <w:t>代理服务费收费计算标准：</w:t>
      </w:r>
    </w:p>
    <w:tbl>
      <w:tblPr>
        <w:tblStyle w:val="30"/>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8"/>
        <w:gridCol w:w="1837"/>
        <w:gridCol w:w="1697"/>
        <w:gridCol w:w="1713"/>
      </w:tblGrid>
      <w:tr w14:paraId="03BEE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8" w:type="dxa"/>
            <w:tcBorders>
              <w:tl2br w:val="single" w:color="auto" w:sz="4" w:space="0"/>
            </w:tcBorders>
          </w:tcPr>
          <w:p w14:paraId="3B30D842">
            <w:pPr>
              <w:keepNext w:val="0"/>
              <w:keepLines w:val="0"/>
              <w:pageBreakBefore w:val="0"/>
              <w:suppressLineNumbers w:val="0"/>
              <w:kinsoku/>
              <w:topLinePunct w:val="0"/>
              <w:bidi w:val="0"/>
              <w:spacing w:before="60" w:beforeAutospacing="0" w:after="6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 xml:space="preserve">                          费率</w:t>
            </w:r>
          </w:p>
          <w:p w14:paraId="53DEF0E7">
            <w:pPr>
              <w:keepNext w:val="0"/>
              <w:keepLines w:val="0"/>
              <w:pageBreakBefore w:val="0"/>
              <w:suppressLineNumbers w:val="0"/>
              <w:kinsoku/>
              <w:topLinePunct w:val="0"/>
              <w:bidi w:val="0"/>
              <w:spacing w:before="60" w:beforeAutospacing="0" w:after="6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金额</w:t>
            </w:r>
          </w:p>
        </w:tc>
        <w:tc>
          <w:tcPr>
            <w:tcW w:w="1837" w:type="dxa"/>
            <w:vAlign w:val="center"/>
          </w:tcPr>
          <w:p w14:paraId="2F263B53">
            <w:pPr>
              <w:keepNext w:val="0"/>
              <w:keepLines w:val="0"/>
              <w:pageBreakBefore w:val="0"/>
              <w:suppressLineNumbers w:val="0"/>
              <w:kinsoku/>
              <w:topLinePunct w:val="0"/>
              <w:bidi w:val="0"/>
              <w:spacing w:before="60" w:beforeAutospacing="0" w:after="60" w:afterAutospacing="0" w:line="360" w:lineRule="auto"/>
              <w:ind w:left="0" w:right="0" w:firstLine="105" w:firstLineChars="50"/>
              <w:jc w:val="center"/>
              <w:rPr>
                <w:rFonts w:hint="default" w:ascii="宋体" w:hAnsi="宋体" w:cs="宋体"/>
                <w:color w:val="auto"/>
                <w:szCs w:val="21"/>
                <w:highlight w:val="none"/>
              </w:rPr>
            </w:pPr>
            <w:r>
              <w:rPr>
                <w:rFonts w:hint="eastAsia" w:ascii="宋体" w:hAnsi="宋体" w:cs="宋体"/>
                <w:color w:val="auto"/>
                <w:szCs w:val="21"/>
                <w:highlight w:val="none"/>
              </w:rPr>
              <w:t>货物类</w:t>
            </w:r>
          </w:p>
        </w:tc>
        <w:tc>
          <w:tcPr>
            <w:tcW w:w="1697" w:type="dxa"/>
            <w:vAlign w:val="center"/>
          </w:tcPr>
          <w:p w14:paraId="49EA48D2">
            <w:pPr>
              <w:keepNext w:val="0"/>
              <w:keepLines w:val="0"/>
              <w:pageBreakBefore w:val="0"/>
              <w:suppressLineNumbers w:val="0"/>
              <w:kinsoku/>
              <w:topLinePunct w:val="0"/>
              <w:bidi w:val="0"/>
              <w:spacing w:before="60" w:beforeAutospacing="0" w:after="6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服务类</w:t>
            </w:r>
          </w:p>
        </w:tc>
        <w:tc>
          <w:tcPr>
            <w:tcW w:w="1713" w:type="dxa"/>
            <w:vAlign w:val="center"/>
          </w:tcPr>
          <w:p w14:paraId="2C3B1C9B">
            <w:pPr>
              <w:keepNext w:val="0"/>
              <w:keepLines w:val="0"/>
              <w:pageBreakBefore w:val="0"/>
              <w:suppressLineNumbers w:val="0"/>
              <w:kinsoku/>
              <w:topLinePunct w:val="0"/>
              <w:bidi w:val="0"/>
              <w:spacing w:before="60" w:beforeAutospacing="0" w:after="6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工程类</w:t>
            </w:r>
          </w:p>
        </w:tc>
      </w:tr>
      <w:tr w14:paraId="11DE4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8" w:type="dxa"/>
          </w:tcPr>
          <w:p w14:paraId="1F5FC49F">
            <w:pPr>
              <w:keepNext w:val="0"/>
              <w:keepLines w:val="0"/>
              <w:pageBreakBefore w:val="0"/>
              <w:suppressLineNumbers w:val="0"/>
              <w:kinsoku/>
              <w:topLinePunct w:val="0"/>
              <w:bidi w:val="0"/>
              <w:spacing w:before="60" w:beforeAutospacing="0" w:after="6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100万元以下</w:t>
            </w:r>
          </w:p>
        </w:tc>
        <w:tc>
          <w:tcPr>
            <w:tcW w:w="1837" w:type="dxa"/>
          </w:tcPr>
          <w:p w14:paraId="71DA30F6">
            <w:pPr>
              <w:keepNext w:val="0"/>
              <w:keepLines w:val="0"/>
              <w:pageBreakBefore w:val="0"/>
              <w:suppressLineNumbers w:val="0"/>
              <w:kinsoku/>
              <w:topLinePunct w:val="0"/>
              <w:bidi w:val="0"/>
              <w:spacing w:before="60" w:beforeAutospacing="0" w:after="6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5%</w:t>
            </w:r>
          </w:p>
        </w:tc>
        <w:tc>
          <w:tcPr>
            <w:tcW w:w="1697" w:type="dxa"/>
          </w:tcPr>
          <w:p w14:paraId="168A94DD">
            <w:pPr>
              <w:keepNext w:val="0"/>
              <w:keepLines w:val="0"/>
              <w:pageBreakBefore w:val="0"/>
              <w:suppressLineNumbers w:val="0"/>
              <w:kinsoku/>
              <w:topLinePunct w:val="0"/>
              <w:bidi w:val="0"/>
              <w:spacing w:before="60" w:beforeAutospacing="0" w:after="6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5%</w:t>
            </w:r>
          </w:p>
        </w:tc>
        <w:tc>
          <w:tcPr>
            <w:tcW w:w="1713" w:type="dxa"/>
          </w:tcPr>
          <w:p w14:paraId="18C2AE3B">
            <w:pPr>
              <w:keepNext w:val="0"/>
              <w:keepLines w:val="0"/>
              <w:pageBreakBefore w:val="0"/>
              <w:suppressLineNumbers w:val="0"/>
              <w:kinsoku/>
              <w:topLinePunct w:val="0"/>
              <w:bidi w:val="0"/>
              <w:spacing w:before="60" w:beforeAutospacing="0" w:after="6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0%</w:t>
            </w:r>
          </w:p>
        </w:tc>
      </w:tr>
      <w:tr w14:paraId="20C77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8" w:type="dxa"/>
          </w:tcPr>
          <w:p w14:paraId="1560D85C">
            <w:pPr>
              <w:keepNext w:val="0"/>
              <w:keepLines w:val="0"/>
              <w:pageBreakBefore w:val="0"/>
              <w:suppressLineNumbers w:val="0"/>
              <w:kinsoku/>
              <w:topLinePunct w:val="0"/>
              <w:bidi w:val="0"/>
              <w:spacing w:before="60" w:beforeAutospacing="0" w:after="6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100～500万元</w:t>
            </w:r>
          </w:p>
        </w:tc>
        <w:tc>
          <w:tcPr>
            <w:tcW w:w="1837" w:type="dxa"/>
          </w:tcPr>
          <w:p w14:paraId="3A1F0655">
            <w:pPr>
              <w:keepNext w:val="0"/>
              <w:keepLines w:val="0"/>
              <w:pageBreakBefore w:val="0"/>
              <w:suppressLineNumbers w:val="0"/>
              <w:kinsoku/>
              <w:topLinePunct w:val="0"/>
              <w:bidi w:val="0"/>
              <w:spacing w:before="60" w:beforeAutospacing="0" w:after="6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1%</w:t>
            </w:r>
          </w:p>
        </w:tc>
        <w:tc>
          <w:tcPr>
            <w:tcW w:w="1697" w:type="dxa"/>
          </w:tcPr>
          <w:p w14:paraId="02BC91B4">
            <w:pPr>
              <w:keepNext w:val="0"/>
              <w:keepLines w:val="0"/>
              <w:pageBreakBefore w:val="0"/>
              <w:suppressLineNumbers w:val="0"/>
              <w:kinsoku/>
              <w:topLinePunct w:val="0"/>
              <w:bidi w:val="0"/>
              <w:spacing w:before="60" w:beforeAutospacing="0" w:after="6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kern w:val="0"/>
                <w:szCs w:val="21"/>
                <w:highlight w:val="none"/>
              </w:rPr>
              <w:t>0</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8%</w:t>
            </w:r>
          </w:p>
        </w:tc>
        <w:tc>
          <w:tcPr>
            <w:tcW w:w="1713" w:type="dxa"/>
          </w:tcPr>
          <w:p w14:paraId="1555A926">
            <w:pPr>
              <w:keepNext w:val="0"/>
              <w:keepLines w:val="0"/>
              <w:pageBreakBefore w:val="0"/>
              <w:suppressLineNumbers w:val="0"/>
              <w:kinsoku/>
              <w:topLinePunct w:val="0"/>
              <w:bidi w:val="0"/>
              <w:spacing w:before="60" w:beforeAutospacing="0" w:after="6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kern w:val="0"/>
                <w:szCs w:val="21"/>
                <w:highlight w:val="none"/>
              </w:rPr>
              <w:t>0</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7%</w:t>
            </w:r>
          </w:p>
        </w:tc>
      </w:tr>
      <w:tr w14:paraId="0AF5F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8" w:type="dxa"/>
          </w:tcPr>
          <w:p w14:paraId="59F33A25">
            <w:pPr>
              <w:keepNext w:val="0"/>
              <w:keepLines w:val="0"/>
              <w:pageBreakBefore w:val="0"/>
              <w:suppressLineNumbers w:val="0"/>
              <w:kinsoku/>
              <w:topLinePunct w:val="0"/>
              <w:bidi w:val="0"/>
              <w:spacing w:before="60" w:beforeAutospacing="0" w:after="6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500～1000万元</w:t>
            </w:r>
          </w:p>
        </w:tc>
        <w:tc>
          <w:tcPr>
            <w:tcW w:w="1837" w:type="dxa"/>
          </w:tcPr>
          <w:p w14:paraId="0FA8A9C8">
            <w:pPr>
              <w:keepNext w:val="0"/>
              <w:keepLines w:val="0"/>
              <w:pageBreakBefore w:val="0"/>
              <w:suppressLineNumbers w:val="0"/>
              <w:kinsoku/>
              <w:topLinePunct w:val="0"/>
              <w:bidi w:val="0"/>
              <w:spacing w:before="60" w:beforeAutospacing="0" w:after="6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kern w:val="0"/>
                <w:szCs w:val="21"/>
                <w:highlight w:val="none"/>
              </w:rPr>
              <w:t>0</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8%</w:t>
            </w:r>
          </w:p>
        </w:tc>
        <w:tc>
          <w:tcPr>
            <w:tcW w:w="1697" w:type="dxa"/>
          </w:tcPr>
          <w:p w14:paraId="409965A2">
            <w:pPr>
              <w:keepNext w:val="0"/>
              <w:keepLines w:val="0"/>
              <w:pageBreakBefore w:val="0"/>
              <w:suppressLineNumbers w:val="0"/>
              <w:kinsoku/>
              <w:topLinePunct w:val="0"/>
              <w:bidi w:val="0"/>
              <w:spacing w:before="60" w:beforeAutospacing="0" w:after="6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kern w:val="0"/>
                <w:szCs w:val="21"/>
                <w:highlight w:val="none"/>
              </w:rPr>
              <w:t>0</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45%</w:t>
            </w:r>
          </w:p>
        </w:tc>
        <w:tc>
          <w:tcPr>
            <w:tcW w:w="1713" w:type="dxa"/>
          </w:tcPr>
          <w:p w14:paraId="2369529E">
            <w:pPr>
              <w:keepNext w:val="0"/>
              <w:keepLines w:val="0"/>
              <w:pageBreakBefore w:val="0"/>
              <w:suppressLineNumbers w:val="0"/>
              <w:kinsoku/>
              <w:topLinePunct w:val="0"/>
              <w:bidi w:val="0"/>
              <w:spacing w:before="60" w:beforeAutospacing="0" w:after="6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kern w:val="0"/>
                <w:szCs w:val="21"/>
                <w:highlight w:val="none"/>
              </w:rPr>
              <w:t>0</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55%</w:t>
            </w:r>
          </w:p>
        </w:tc>
      </w:tr>
      <w:tr w14:paraId="07798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8" w:type="dxa"/>
          </w:tcPr>
          <w:p w14:paraId="5DD19AB2">
            <w:pPr>
              <w:keepNext w:val="0"/>
              <w:keepLines w:val="0"/>
              <w:pageBreakBefore w:val="0"/>
              <w:suppressLineNumbers w:val="0"/>
              <w:kinsoku/>
              <w:topLinePunct w:val="0"/>
              <w:bidi w:val="0"/>
              <w:spacing w:before="60" w:beforeAutospacing="0" w:after="6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1000～5000万元</w:t>
            </w:r>
          </w:p>
        </w:tc>
        <w:tc>
          <w:tcPr>
            <w:tcW w:w="1837" w:type="dxa"/>
          </w:tcPr>
          <w:p w14:paraId="2400BE96">
            <w:pPr>
              <w:keepNext w:val="0"/>
              <w:keepLines w:val="0"/>
              <w:pageBreakBefore w:val="0"/>
              <w:suppressLineNumbers w:val="0"/>
              <w:kinsoku/>
              <w:topLinePunct w:val="0"/>
              <w:bidi w:val="0"/>
              <w:spacing w:before="60" w:beforeAutospacing="0" w:after="6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kern w:val="0"/>
                <w:szCs w:val="21"/>
                <w:highlight w:val="none"/>
              </w:rPr>
              <w:t>0</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5%</w:t>
            </w:r>
          </w:p>
        </w:tc>
        <w:tc>
          <w:tcPr>
            <w:tcW w:w="1697" w:type="dxa"/>
          </w:tcPr>
          <w:p w14:paraId="1D63F499">
            <w:pPr>
              <w:keepNext w:val="0"/>
              <w:keepLines w:val="0"/>
              <w:pageBreakBefore w:val="0"/>
              <w:suppressLineNumbers w:val="0"/>
              <w:kinsoku/>
              <w:topLinePunct w:val="0"/>
              <w:bidi w:val="0"/>
              <w:spacing w:before="60" w:beforeAutospacing="0" w:after="6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kern w:val="0"/>
                <w:szCs w:val="21"/>
                <w:highlight w:val="none"/>
              </w:rPr>
              <w:t>0</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25%</w:t>
            </w:r>
          </w:p>
        </w:tc>
        <w:tc>
          <w:tcPr>
            <w:tcW w:w="1713" w:type="dxa"/>
          </w:tcPr>
          <w:p w14:paraId="3F06E406">
            <w:pPr>
              <w:keepNext w:val="0"/>
              <w:keepLines w:val="0"/>
              <w:pageBreakBefore w:val="0"/>
              <w:suppressLineNumbers w:val="0"/>
              <w:kinsoku/>
              <w:topLinePunct w:val="0"/>
              <w:bidi w:val="0"/>
              <w:spacing w:before="60" w:beforeAutospacing="0" w:after="6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kern w:val="0"/>
                <w:szCs w:val="21"/>
                <w:highlight w:val="none"/>
              </w:rPr>
              <w:t>0</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35%</w:t>
            </w:r>
          </w:p>
        </w:tc>
      </w:tr>
      <w:tr w14:paraId="12060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8" w:type="dxa"/>
          </w:tcPr>
          <w:p w14:paraId="756C223B">
            <w:pPr>
              <w:keepNext w:val="0"/>
              <w:keepLines w:val="0"/>
              <w:pageBreakBefore w:val="0"/>
              <w:suppressLineNumbers w:val="0"/>
              <w:kinsoku/>
              <w:topLinePunct w:val="0"/>
              <w:bidi w:val="0"/>
              <w:spacing w:before="60" w:beforeAutospacing="0" w:after="6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5000万元～1亿元</w:t>
            </w:r>
          </w:p>
        </w:tc>
        <w:tc>
          <w:tcPr>
            <w:tcW w:w="1837" w:type="dxa"/>
          </w:tcPr>
          <w:p w14:paraId="148B7D71">
            <w:pPr>
              <w:keepNext w:val="0"/>
              <w:keepLines w:val="0"/>
              <w:pageBreakBefore w:val="0"/>
              <w:suppressLineNumbers w:val="0"/>
              <w:kinsoku/>
              <w:topLinePunct w:val="0"/>
              <w:bidi w:val="0"/>
              <w:spacing w:before="60" w:beforeAutospacing="0" w:after="6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kern w:val="0"/>
                <w:szCs w:val="21"/>
                <w:highlight w:val="none"/>
              </w:rPr>
              <w:t>0</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25%</w:t>
            </w:r>
          </w:p>
        </w:tc>
        <w:tc>
          <w:tcPr>
            <w:tcW w:w="1697" w:type="dxa"/>
          </w:tcPr>
          <w:p w14:paraId="0DCE836F">
            <w:pPr>
              <w:keepNext w:val="0"/>
              <w:keepLines w:val="0"/>
              <w:pageBreakBefore w:val="0"/>
              <w:suppressLineNumbers w:val="0"/>
              <w:kinsoku/>
              <w:topLinePunct w:val="0"/>
              <w:bidi w:val="0"/>
              <w:spacing w:before="60" w:beforeAutospacing="0" w:after="6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kern w:val="0"/>
                <w:szCs w:val="21"/>
                <w:highlight w:val="none"/>
              </w:rPr>
              <w:t>0</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1%</w:t>
            </w:r>
          </w:p>
        </w:tc>
        <w:tc>
          <w:tcPr>
            <w:tcW w:w="1713" w:type="dxa"/>
          </w:tcPr>
          <w:p w14:paraId="3805F45D">
            <w:pPr>
              <w:keepNext w:val="0"/>
              <w:keepLines w:val="0"/>
              <w:pageBreakBefore w:val="0"/>
              <w:suppressLineNumbers w:val="0"/>
              <w:kinsoku/>
              <w:topLinePunct w:val="0"/>
              <w:bidi w:val="0"/>
              <w:spacing w:before="60" w:beforeAutospacing="0" w:after="6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kern w:val="0"/>
                <w:szCs w:val="21"/>
                <w:highlight w:val="none"/>
              </w:rPr>
              <w:t>0</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2%</w:t>
            </w:r>
          </w:p>
        </w:tc>
      </w:tr>
      <w:tr w14:paraId="40E99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8" w:type="dxa"/>
          </w:tcPr>
          <w:p w14:paraId="194F13FD">
            <w:pPr>
              <w:keepNext w:val="0"/>
              <w:keepLines w:val="0"/>
              <w:pageBreakBefore w:val="0"/>
              <w:suppressLineNumbers w:val="0"/>
              <w:kinsoku/>
              <w:topLinePunct w:val="0"/>
              <w:bidi w:val="0"/>
              <w:spacing w:before="60" w:beforeAutospacing="0" w:after="6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1～5亿元</w:t>
            </w:r>
          </w:p>
        </w:tc>
        <w:tc>
          <w:tcPr>
            <w:tcW w:w="1837" w:type="dxa"/>
          </w:tcPr>
          <w:p w14:paraId="4188ECD4">
            <w:pPr>
              <w:keepNext w:val="0"/>
              <w:keepLines w:val="0"/>
              <w:pageBreakBefore w:val="0"/>
              <w:suppressLineNumbers w:val="0"/>
              <w:kinsoku/>
              <w:topLinePunct w:val="0"/>
              <w:bidi w:val="0"/>
              <w:spacing w:before="60" w:beforeAutospacing="0" w:after="6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0</w:t>
            </w:r>
            <w:r>
              <w:rPr>
                <w:rFonts w:hint="eastAsia" w:ascii="宋体" w:hAnsi="宋体" w:cs="宋体"/>
                <w:color w:val="auto"/>
                <w:szCs w:val="21"/>
                <w:highlight w:val="none"/>
                <w:lang w:eastAsia="zh-CN"/>
              </w:rPr>
              <w:t>.</w:t>
            </w:r>
            <w:r>
              <w:rPr>
                <w:rFonts w:hint="eastAsia" w:ascii="宋体" w:hAnsi="宋体" w:cs="宋体"/>
                <w:color w:val="auto"/>
                <w:szCs w:val="21"/>
                <w:highlight w:val="none"/>
              </w:rPr>
              <w:t>05%</w:t>
            </w:r>
          </w:p>
        </w:tc>
        <w:tc>
          <w:tcPr>
            <w:tcW w:w="1697" w:type="dxa"/>
          </w:tcPr>
          <w:p w14:paraId="6ACF547E">
            <w:pPr>
              <w:keepNext w:val="0"/>
              <w:keepLines w:val="0"/>
              <w:pageBreakBefore w:val="0"/>
              <w:suppressLineNumbers w:val="0"/>
              <w:kinsoku/>
              <w:topLinePunct w:val="0"/>
              <w:bidi w:val="0"/>
              <w:spacing w:before="60" w:beforeAutospacing="0" w:after="6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0</w:t>
            </w:r>
            <w:r>
              <w:rPr>
                <w:rFonts w:hint="eastAsia" w:ascii="宋体" w:hAnsi="宋体" w:cs="宋体"/>
                <w:color w:val="auto"/>
                <w:szCs w:val="21"/>
                <w:highlight w:val="none"/>
                <w:lang w:eastAsia="zh-CN"/>
              </w:rPr>
              <w:t>.</w:t>
            </w:r>
            <w:r>
              <w:rPr>
                <w:rFonts w:hint="eastAsia" w:ascii="宋体" w:hAnsi="宋体" w:cs="宋体"/>
                <w:color w:val="auto"/>
                <w:szCs w:val="21"/>
                <w:highlight w:val="none"/>
              </w:rPr>
              <w:t>05%</w:t>
            </w:r>
          </w:p>
        </w:tc>
        <w:tc>
          <w:tcPr>
            <w:tcW w:w="1713" w:type="dxa"/>
          </w:tcPr>
          <w:p w14:paraId="7C4A57CC">
            <w:pPr>
              <w:keepNext w:val="0"/>
              <w:keepLines w:val="0"/>
              <w:pageBreakBefore w:val="0"/>
              <w:suppressLineNumbers w:val="0"/>
              <w:kinsoku/>
              <w:topLinePunct w:val="0"/>
              <w:bidi w:val="0"/>
              <w:spacing w:before="60" w:beforeAutospacing="0" w:after="6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0</w:t>
            </w:r>
            <w:r>
              <w:rPr>
                <w:rFonts w:hint="eastAsia" w:ascii="宋体" w:hAnsi="宋体" w:cs="宋体"/>
                <w:color w:val="auto"/>
                <w:szCs w:val="21"/>
                <w:highlight w:val="none"/>
                <w:lang w:eastAsia="zh-CN"/>
              </w:rPr>
              <w:t>.</w:t>
            </w:r>
            <w:r>
              <w:rPr>
                <w:rFonts w:hint="eastAsia" w:ascii="宋体" w:hAnsi="宋体" w:cs="宋体"/>
                <w:color w:val="auto"/>
                <w:szCs w:val="21"/>
                <w:highlight w:val="none"/>
              </w:rPr>
              <w:t>05%</w:t>
            </w:r>
          </w:p>
        </w:tc>
      </w:tr>
      <w:tr w14:paraId="440AB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8" w:type="dxa"/>
          </w:tcPr>
          <w:p w14:paraId="2A63BDD1">
            <w:pPr>
              <w:keepNext w:val="0"/>
              <w:keepLines w:val="0"/>
              <w:pageBreakBefore w:val="0"/>
              <w:suppressLineNumbers w:val="0"/>
              <w:kinsoku/>
              <w:topLinePunct w:val="0"/>
              <w:bidi w:val="0"/>
              <w:spacing w:before="60" w:beforeAutospacing="0" w:after="6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5～10亿元</w:t>
            </w:r>
          </w:p>
        </w:tc>
        <w:tc>
          <w:tcPr>
            <w:tcW w:w="1837" w:type="dxa"/>
          </w:tcPr>
          <w:p w14:paraId="7FA9FB93">
            <w:pPr>
              <w:keepNext w:val="0"/>
              <w:keepLines w:val="0"/>
              <w:pageBreakBefore w:val="0"/>
              <w:suppressLineNumbers w:val="0"/>
              <w:kinsoku/>
              <w:topLinePunct w:val="0"/>
              <w:bidi w:val="0"/>
              <w:spacing w:before="60" w:beforeAutospacing="0" w:after="6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0</w:t>
            </w:r>
            <w:r>
              <w:rPr>
                <w:rFonts w:hint="eastAsia" w:ascii="宋体" w:hAnsi="宋体" w:cs="宋体"/>
                <w:color w:val="auto"/>
                <w:szCs w:val="21"/>
                <w:highlight w:val="none"/>
                <w:lang w:eastAsia="zh-CN"/>
              </w:rPr>
              <w:t>.</w:t>
            </w:r>
            <w:r>
              <w:rPr>
                <w:rFonts w:hint="eastAsia" w:ascii="宋体" w:hAnsi="宋体" w:cs="宋体"/>
                <w:color w:val="auto"/>
                <w:szCs w:val="21"/>
                <w:highlight w:val="none"/>
              </w:rPr>
              <w:t>035%</w:t>
            </w:r>
          </w:p>
        </w:tc>
        <w:tc>
          <w:tcPr>
            <w:tcW w:w="1697" w:type="dxa"/>
          </w:tcPr>
          <w:p w14:paraId="4DDFC749">
            <w:pPr>
              <w:keepNext w:val="0"/>
              <w:keepLines w:val="0"/>
              <w:pageBreakBefore w:val="0"/>
              <w:suppressLineNumbers w:val="0"/>
              <w:kinsoku/>
              <w:topLinePunct w:val="0"/>
              <w:bidi w:val="0"/>
              <w:spacing w:before="60" w:beforeAutospacing="0" w:after="6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0</w:t>
            </w:r>
            <w:r>
              <w:rPr>
                <w:rFonts w:hint="eastAsia" w:ascii="宋体" w:hAnsi="宋体" w:cs="宋体"/>
                <w:color w:val="auto"/>
                <w:szCs w:val="21"/>
                <w:highlight w:val="none"/>
                <w:lang w:eastAsia="zh-CN"/>
              </w:rPr>
              <w:t>.</w:t>
            </w:r>
            <w:r>
              <w:rPr>
                <w:rFonts w:hint="eastAsia" w:ascii="宋体" w:hAnsi="宋体" w:cs="宋体"/>
                <w:color w:val="auto"/>
                <w:szCs w:val="21"/>
                <w:highlight w:val="none"/>
              </w:rPr>
              <w:t>035%</w:t>
            </w:r>
          </w:p>
        </w:tc>
        <w:tc>
          <w:tcPr>
            <w:tcW w:w="1713" w:type="dxa"/>
          </w:tcPr>
          <w:p w14:paraId="3D744A8F">
            <w:pPr>
              <w:keepNext w:val="0"/>
              <w:keepLines w:val="0"/>
              <w:pageBreakBefore w:val="0"/>
              <w:suppressLineNumbers w:val="0"/>
              <w:kinsoku/>
              <w:topLinePunct w:val="0"/>
              <w:bidi w:val="0"/>
              <w:spacing w:before="60" w:beforeAutospacing="0" w:after="6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0</w:t>
            </w:r>
            <w:r>
              <w:rPr>
                <w:rFonts w:hint="eastAsia" w:ascii="宋体" w:hAnsi="宋体" w:cs="宋体"/>
                <w:color w:val="auto"/>
                <w:szCs w:val="21"/>
                <w:highlight w:val="none"/>
                <w:lang w:eastAsia="zh-CN"/>
              </w:rPr>
              <w:t>.</w:t>
            </w:r>
            <w:r>
              <w:rPr>
                <w:rFonts w:hint="eastAsia" w:ascii="宋体" w:hAnsi="宋体" w:cs="宋体"/>
                <w:color w:val="auto"/>
                <w:szCs w:val="21"/>
                <w:highlight w:val="none"/>
              </w:rPr>
              <w:t>035%</w:t>
            </w:r>
          </w:p>
        </w:tc>
      </w:tr>
      <w:tr w14:paraId="5768B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8" w:type="dxa"/>
          </w:tcPr>
          <w:p w14:paraId="5A689131">
            <w:pPr>
              <w:keepNext w:val="0"/>
              <w:keepLines w:val="0"/>
              <w:pageBreakBefore w:val="0"/>
              <w:suppressLineNumbers w:val="0"/>
              <w:kinsoku/>
              <w:topLinePunct w:val="0"/>
              <w:bidi w:val="0"/>
              <w:spacing w:before="60" w:beforeAutospacing="0" w:after="6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10～50亿元</w:t>
            </w:r>
          </w:p>
        </w:tc>
        <w:tc>
          <w:tcPr>
            <w:tcW w:w="1837" w:type="dxa"/>
          </w:tcPr>
          <w:p w14:paraId="7B1372A3">
            <w:pPr>
              <w:keepNext w:val="0"/>
              <w:keepLines w:val="0"/>
              <w:pageBreakBefore w:val="0"/>
              <w:suppressLineNumbers w:val="0"/>
              <w:kinsoku/>
              <w:topLinePunct w:val="0"/>
              <w:bidi w:val="0"/>
              <w:spacing w:before="60" w:beforeAutospacing="0" w:after="6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0</w:t>
            </w:r>
            <w:r>
              <w:rPr>
                <w:rFonts w:hint="eastAsia" w:ascii="宋体" w:hAnsi="宋体" w:cs="宋体"/>
                <w:color w:val="auto"/>
                <w:szCs w:val="21"/>
                <w:highlight w:val="none"/>
                <w:lang w:eastAsia="zh-CN"/>
              </w:rPr>
              <w:t>.</w:t>
            </w:r>
            <w:r>
              <w:rPr>
                <w:rFonts w:hint="eastAsia" w:ascii="宋体" w:hAnsi="宋体" w:cs="宋体"/>
                <w:color w:val="auto"/>
                <w:szCs w:val="21"/>
                <w:highlight w:val="none"/>
              </w:rPr>
              <w:t>008%</w:t>
            </w:r>
          </w:p>
        </w:tc>
        <w:tc>
          <w:tcPr>
            <w:tcW w:w="1697" w:type="dxa"/>
          </w:tcPr>
          <w:p w14:paraId="7F19AB87">
            <w:pPr>
              <w:keepNext w:val="0"/>
              <w:keepLines w:val="0"/>
              <w:pageBreakBefore w:val="0"/>
              <w:suppressLineNumbers w:val="0"/>
              <w:kinsoku/>
              <w:topLinePunct w:val="0"/>
              <w:bidi w:val="0"/>
              <w:spacing w:before="60" w:beforeAutospacing="0" w:after="6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0</w:t>
            </w:r>
            <w:r>
              <w:rPr>
                <w:rFonts w:hint="eastAsia" w:ascii="宋体" w:hAnsi="宋体" w:cs="宋体"/>
                <w:color w:val="auto"/>
                <w:szCs w:val="21"/>
                <w:highlight w:val="none"/>
                <w:lang w:eastAsia="zh-CN"/>
              </w:rPr>
              <w:t>.</w:t>
            </w:r>
            <w:r>
              <w:rPr>
                <w:rFonts w:hint="eastAsia" w:ascii="宋体" w:hAnsi="宋体" w:cs="宋体"/>
                <w:color w:val="auto"/>
                <w:szCs w:val="21"/>
                <w:highlight w:val="none"/>
              </w:rPr>
              <w:t>008%</w:t>
            </w:r>
          </w:p>
        </w:tc>
        <w:tc>
          <w:tcPr>
            <w:tcW w:w="1713" w:type="dxa"/>
          </w:tcPr>
          <w:p w14:paraId="4520E617">
            <w:pPr>
              <w:keepNext w:val="0"/>
              <w:keepLines w:val="0"/>
              <w:pageBreakBefore w:val="0"/>
              <w:suppressLineNumbers w:val="0"/>
              <w:kinsoku/>
              <w:topLinePunct w:val="0"/>
              <w:bidi w:val="0"/>
              <w:spacing w:before="60" w:beforeAutospacing="0" w:after="6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0</w:t>
            </w:r>
            <w:r>
              <w:rPr>
                <w:rFonts w:hint="eastAsia" w:ascii="宋体" w:hAnsi="宋体" w:cs="宋体"/>
                <w:color w:val="auto"/>
                <w:szCs w:val="21"/>
                <w:highlight w:val="none"/>
                <w:lang w:eastAsia="zh-CN"/>
              </w:rPr>
              <w:t>.</w:t>
            </w:r>
            <w:r>
              <w:rPr>
                <w:rFonts w:hint="eastAsia" w:ascii="宋体" w:hAnsi="宋体" w:cs="宋体"/>
                <w:color w:val="auto"/>
                <w:szCs w:val="21"/>
                <w:highlight w:val="none"/>
              </w:rPr>
              <w:t>008%</w:t>
            </w:r>
          </w:p>
        </w:tc>
      </w:tr>
      <w:tr w14:paraId="3C939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8" w:type="dxa"/>
          </w:tcPr>
          <w:p w14:paraId="628F4CF6">
            <w:pPr>
              <w:keepNext w:val="0"/>
              <w:keepLines w:val="0"/>
              <w:pageBreakBefore w:val="0"/>
              <w:suppressLineNumbers w:val="0"/>
              <w:kinsoku/>
              <w:topLinePunct w:val="0"/>
              <w:bidi w:val="0"/>
              <w:spacing w:before="60" w:beforeAutospacing="0" w:after="6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50～100亿元</w:t>
            </w:r>
          </w:p>
        </w:tc>
        <w:tc>
          <w:tcPr>
            <w:tcW w:w="1837" w:type="dxa"/>
          </w:tcPr>
          <w:p w14:paraId="316539B2">
            <w:pPr>
              <w:keepNext w:val="0"/>
              <w:keepLines w:val="0"/>
              <w:pageBreakBefore w:val="0"/>
              <w:suppressLineNumbers w:val="0"/>
              <w:kinsoku/>
              <w:topLinePunct w:val="0"/>
              <w:bidi w:val="0"/>
              <w:spacing w:before="60" w:beforeAutospacing="0" w:after="6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0</w:t>
            </w:r>
            <w:r>
              <w:rPr>
                <w:rFonts w:hint="eastAsia" w:ascii="宋体" w:hAnsi="宋体" w:cs="宋体"/>
                <w:color w:val="auto"/>
                <w:szCs w:val="21"/>
                <w:highlight w:val="none"/>
                <w:lang w:eastAsia="zh-CN"/>
              </w:rPr>
              <w:t>.</w:t>
            </w:r>
            <w:r>
              <w:rPr>
                <w:rFonts w:hint="eastAsia" w:ascii="宋体" w:hAnsi="宋体" w:cs="宋体"/>
                <w:color w:val="auto"/>
                <w:szCs w:val="21"/>
                <w:highlight w:val="none"/>
              </w:rPr>
              <w:t>006%</w:t>
            </w:r>
          </w:p>
        </w:tc>
        <w:tc>
          <w:tcPr>
            <w:tcW w:w="1697" w:type="dxa"/>
          </w:tcPr>
          <w:p w14:paraId="732508DC">
            <w:pPr>
              <w:keepNext w:val="0"/>
              <w:keepLines w:val="0"/>
              <w:pageBreakBefore w:val="0"/>
              <w:suppressLineNumbers w:val="0"/>
              <w:kinsoku/>
              <w:topLinePunct w:val="0"/>
              <w:bidi w:val="0"/>
              <w:spacing w:before="60" w:beforeAutospacing="0" w:after="6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0</w:t>
            </w:r>
            <w:r>
              <w:rPr>
                <w:rFonts w:hint="eastAsia" w:ascii="宋体" w:hAnsi="宋体" w:cs="宋体"/>
                <w:color w:val="auto"/>
                <w:szCs w:val="21"/>
                <w:highlight w:val="none"/>
                <w:lang w:eastAsia="zh-CN"/>
              </w:rPr>
              <w:t>.</w:t>
            </w:r>
            <w:r>
              <w:rPr>
                <w:rFonts w:hint="eastAsia" w:ascii="宋体" w:hAnsi="宋体" w:cs="宋体"/>
                <w:color w:val="auto"/>
                <w:szCs w:val="21"/>
                <w:highlight w:val="none"/>
              </w:rPr>
              <w:t>006%</w:t>
            </w:r>
          </w:p>
        </w:tc>
        <w:tc>
          <w:tcPr>
            <w:tcW w:w="1713" w:type="dxa"/>
          </w:tcPr>
          <w:p w14:paraId="4BB07423">
            <w:pPr>
              <w:keepNext w:val="0"/>
              <w:keepLines w:val="0"/>
              <w:pageBreakBefore w:val="0"/>
              <w:suppressLineNumbers w:val="0"/>
              <w:kinsoku/>
              <w:topLinePunct w:val="0"/>
              <w:bidi w:val="0"/>
              <w:spacing w:before="60" w:beforeAutospacing="0" w:after="6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0</w:t>
            </w:r>
            <w:r>
              <w:rPr>
                <w:rFonts w:hint="eastAsia" w:ascii="宋体" w:hAnsi="宋体" w:cs="宋体"/>
                <w:color w:val="auto"/>
                <w:szCs w:val="21"/>
                <w:highlight w:val="none"/>
                <w:lang w:eastAsia="zh-CN"/>
              </w:rPr>
              <w:t>.</w:t>
            </w:r>
            <w:r>
              <w:rPr>
                <w:rFonts w:hint="eastAsia" w:ascii="宋体" w:hAnsi="宋体" w:cs="宋体"/>
                <w:color w:val="auto"/>
                <w:szCs w:val="21"/>
                <w:highlight w:val="none"/>
              </w:rPr>
              <w:t>006%</w:t>
            </w:r>
          </w:p>
        </w:tc>
      </w:tr>
      <w:tr w14:paraId="107D3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8" w:type="dxa"/>
          </w:tcPr>
          <w:p w14:paraId="03C601F0">
            <w:pPr>
              <w:keepNext w:val="0"/>
              <w:keepLines w:val="0"/>
              <w:pageBreakBefore w:val="0"/>
              <w:suppressLineNumbers w:val="0"/>
              <w:kinsoku/>
              <w:topLinePunct w:val="0"/>
              <w:bidi w:val="0"/>
              <w:spacing w:before="60" w:beforeAutospacing="0" w:after="60" w:afterAutospacing="0" w:line="360" w:lineRule="auto"/>
              <w:ind w:left="0" w:right="0"/>
              <w:rPr>
                <w:rFonts w:hint="default" w:ascii="宋体" w:hAnsi="宋体" w:cs="宋体"/>
                <w:color w:val="auto"/>
                <w:szCs w:val="21"/>
                <w:highlight w:val="none"/>
              </w:rPr>
            </w:pPr>
            <w:r>
              <w:rPr>
                <w:rFonts w:hint="eastAsia" w:ascii="宋体" w:hAnsi="宋体" w:cs="宋体"/>
                <w:color w:val="auto"/>
                <w:szCs w:val="21"/>
                <w:highlight w:val="none"/>
              </w:rPr>
              <w:t>100亿以上</w:t>
            </w:r>
          </w:p>
        </w:tc>
        <w:tc>
          <w:tcPr>
            <w:tcW w:w="1837" w:type="dxa"/>
          </w:tcPr>
          <w:p w14:paraId="3D87B091">
            <w:pPr>
              <w:keepNext w:val="0"/>
              <w:keepLines w:val="0"/>
              <w:pageBreakBefore w:val="0"/>
              <w:suppressLineNumbers w:val="0"/>
              <w:kinsoku/>
              <w:topLinePunct w:val="0"/>
              <w:bidi w:val="0"/>
              <w:spacing w:before="60" w:beforeAutospacing="0" w:after="6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0</w:t>
            </w:r>
            <w:r>
              <w:rPr>
                <w:rFonts w:hint="eastAsia" w:ascii="宋体" w:hAnsi="宋体" w:cs="宋体"/>
                <w:color w:val="auto"/>
                <w:szCs w:val="21"/>
                <w:highlight w:val="none"/>
                <w:lang w:eastAsia="zh-CN"/>
              </w:rPr>
              <w:t>.</w:t>
            </w:r>
            <w:r>
              <w:rPr>
                <w:rFonts w:hint="eastAsia" w:ascii="宋体" w:hAnsi="宋体" w:cs="宋体"/>
                <w:color w:val="auto"/>
                <w:szCs w:val="21"/>
                <w:highlight w:val="none"/>
              </w:rPr>
              <w:t>004%</w:t>
            </w:r>
          </w:p>
        </w:tc>
        <w:tc>
          <w:tcPr>
            <w:tcW w:w="1697" w:type="dxa"/>
          </w:tcPr>
          <w:p w14:paraId="61873AD8">
            <w:pPr>
              <w:keepNext w:val="0"/>
              <w:keepLines w:val="0"/>
              <w:pageBreakBefore w:val="0"/>
              <w:suppressLineNumbers w:val="0"/>
              <w:kinsoku/>
              <w:topLinePunct w:val="0"/>
              <w:bidi w:val="0"/>
              <w:spacing w:before="60" w:beforeAutospacing="0" w:after="6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0</w:t>
            </w:r>
            <w:r>
              <w:rPr>
                <w:rFonts w:hint="eastAsia" w:ascii="宋体" w:hAnsi="宋体" w:cs="宋体"/>
                <w:color w:val="auto"/>
                <w:szCs w:val="21"/>
                <w:highlight w:val="none"/>
                <w:lang w:eastAsia="zh-CN"/>
              </w:rPr>
              <w:t>.</w:t>
            </w:r>
            <w:r>
              <w:rPr>
                <w:rFonts w:hint="eastAsia" w:ascii="宋体" w:hAnsi="宋体" w:cs="宋体"/>
                <w:color w:val="auto"/>
                <w:szCs w:val="21"/>
                <w:highlight w:val="none"/>
              </w:rPr>
              <w:t>004%</w:t>
            </w:r>
          </w:p>
        </w:tc>
        <w:tc>
          <w:tcPr>
            <w:tcW w:w="1713" w:type="dxa"/>
          </w:tcPr>
          <w:p w14:paraId="4F3EB63F">
            <w:pPr>
              <w:keepNext w:val="0"/>
              <w:keepLines w:val="0"/>
              <w:pageBreakBefore w:val="0"/>
              <w:suppressLineNumbers w:val="0"/>
              <w:kinsoku/>
              <w:topLinePunct w:val="0"/>
              <w:bidi w:val="0"/>
              <w:spacing w:before="60" w:beforeAutospacing="0" w:after="6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0</w:t>
            </w:r>
            <w:r>
              <w:rPr>
                <w:rFonts w:hint="eastAsia" w:ascii="宋体" w:hAnsi="宋体" w:cs="宋体"/>
                <w:color w:val="auto"/>
                <w:szCs w:val="21"/>
                <w:highlight w:val="none"/>
                <w:lang w:eastAsia="zh-CN"/>
              </w:rPr>
              <w:t>.</w:t>
            </w:r>
            <w:r>
              <w:rPr>
                <w:rFonts w:hint="eastAsia" w:ascii="宋体" w:hAnsi="宋体" w:cs="宋体"/>
                <w:color w:val="auto"/>
                <w:szCs w:val="21"/>
                <w:highlight w:val="none"/>
              </w:rPr>
              <w:t>004%</w:t>
            </w:r>
          </w:p>
        </w:tc>
      </w:tr>
    </w:tbl>
    <w:p w14:paraId="193BE83F">
      <w:pPr>
        <w:pageBreakBefore w:val="0"/>
        <w:kinsoku/>
        <w:topLinePunct w:val="0"/>
        <w:bidi w:val="0"/>
        <w:spacing w:before="60" w:after="60" w:line="360" w:lineRule="auto"/>
        <w:ind w:firstLine="420" w:firstLineChars="200"/>
        <w:rPr>
          <w:rFonts w:ascii="宋体" w:hAnsi="宋体" w:cs="宋体"/>
          <w:color w:val="auto"/>
          <w:highlight w:val="none"/>
        </w:rPr>
      </w:pPr>
      <w:r>
        <w:rPr>
          <w:rFonts w:ascii="宋体" w:hAnsi="宋体" w:cs="宋体"/>
          <w:color w:val="auto"/>
          <w:highlight w:val="none"/>
        </w:rPr>
        <w:t>注：</w:t>
      </w:r>
    </w:p>
    <w:p w14:paraId="00FBBE28">
      <w:pPr>
        <w:pageBreakBefore w:val="0"/>
        <w:kinsoku/>
        <w:topLinePunct w:val="0"/>
        <w:bidi w:val="0"/>
        <w:spacing w:before="60" w:after="60" w:line="360" w:lineRule="auto"/>
        <w:ind w:firstLine="420" w:firstLineChars="200"/>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按本表费率计算的收费为</w:t>
      </w:r>
      <w:r>
        <w:rPr>
          <w:rFonts w:hint="eastAsia" w:ascii="宋体" w:hAnsi="宋体" w:cs="宋体"/>
          <w:color w:val="auto"/>
          <w:highlight w:val="none"/>
        </w:rPr>
        <w:t>采购</w:t>
      </w:r>
      <w:r>
        <w:rPr>
          <w:rFonts w:ascii="宋体" w:hAnsi="宋体" w:cs="宋体"/>
          <w:color w:val="auto"/>
          <w:highlight w:val="none"/>
        </w:rPr>
        <w:t>代理的收费基准价格</w:t>
      </w:r>
      <w:r>
        <w:rPr>
          <w:rFonts w:hint="eastAsia" w:ascii="宋体" w:hAnsi="宋体" w:cs="宋体"/>
          <w:color w:val="auto"/>
          <w:highlight w:val="none"/>
        </w:rPr>
        <w:t>；</w:t>
      </w:r>
    </w:p>
    <w:p w14:paraId="70E1DEDE">
      <w:pPr>
        <w:pageBreakBefore w:val="0"/>
        <w:kinsoku/>
        <w:topLinePunct w:val="0"/>
        <w:bidi w:val="0"/>
        <w:spacing w:before="60" w:after="60" w:line="360" w:lineRule="auto"/>
        <w:ind w:firstLine="420" w:firstLineChars="200"/>
        <w:rPr>
          <w:rFonts w:ascii="宋体" w:hAnsi="宋体" w:cs="宋体"/>
          <w:color w:val="auto"/>
          <w:highlight w:val="none"/>
        </w:rPr>
      </w:pPr>
      <w:r>
        <w:rPr>
          <w:rFonts w:hint="eastAsia" w:ascii="宋体" w:hAnsi="宋体" w:cs="宋体"/>
          <w:color w:val="auto"/>
          <w:highlight w:val="none"/>
        </w:rPr>
        <w:t>（2）采购</w:t>
      </w:r>
      <w:r>
        <w:rPr>
          <w:rFonts w:ascii="宋体" w:hAnsi="宋体" w:cs="宋体"/>
          <w:color w:val="auto"/>
          <w:highlight w:val="none"/>
        </w:rPr>
        <w:t>代理收费按差额定率累进法计算。</w:t>
      </w:r>
    </w:p>
    <w:p w14:paraId="4A70BE52">
      <w:pPr>
        <w:pageBreakBefore w:val="0"/>
        <w:kinsoku/>
        <w:topLinePunct w:val="0"/>
        <w:bidi w:val="0"/>
        <w:spacing w:before="60" w:after="60" w:line="360" w:lineRule="auto"/>
        <w:ind w:firstLine="420" w:firstLineChars="200"/>
        <w:rPr>
          <w:rFonts w:ascii="宋体" w:hAnsi="宋体" w:cs="宋体"/>
          <w:color w:val="auto"/>
          <w:highlight w:val="none"/>
        </w:rPr>
      </w:pPr>
      <w:r>
        <w:rPr>
          <w:rFonts w:ascii="宋体" w:hAnsi="宋体" w:cs="宋体"/>
          <w:color w:val="auto"/>
          <w:highlight w:val="none"/>
        </w:rPr>
        <w:t>例如：某</w:t>
      </w:r>
      <w:r>
        <w:rPr>
          <w:rFonts w:hint="eastAsia" w:ascii="宋体" w:hAnsi="宋体" w:cs="宋体"/>
          <w:color w:val="auto"/>
          <w:highlight w:val="none"/>
        </w:rPr>
        <w:t>服务采购</w:t>
      </w:r>
      <w:r>
        <w:rPr>
          <w:rFonts w:ascii="宋体" w:hAnsi="宋体" w:cs="宋体"/>
          <w:color w:val="auto"/>
          <w:highlight w:val="none"/>
        </w:rPr>
        <w:t>代理业务</w:t>
      </w:r>
      <w:r>
        <w:rPr>
          <w:rFonts w:hint="eastAsia" w:ascii="宋体" w:hAnsi="宋体" w:cs="宋体"/>
          <w:color w:val="auto"/>
          <w:highlight w:val="none"/>
        </w:rPr>
        <w:t>成交</w:t>
      </w:r>
      <w:r>
        <w:rPr>
          <w:rFonts w:ascii="宋体" w:hAnsi="宋体" w:cs="宋体"/>
          <w:color w:val="auto"/>
          <w:highlight w:val="none"/>
        </w:rPr>
        <w:t>金额</w:t>
      </w:r>
      <w:r>
        <w:rPr>
          <w:rFonts w:hint="eastAsia" w:ascii="宋体" w:hAnsi="宋体" w:cs="宋体"/>
          <w:color w:val="auto"/>
          <w:highlight w:val="none"/>
        </w:rPr>
        <w:t>或者暂定价</w:t>
      </w:r>
      <w:r>
        <w:rPr>
          <w:rFonts w:ascii="宋体" w:hAnsi="宋体" w:cs="宋体"/>
          <w:color w:val="auto"/>
          <w:highlight w:val="none"/>
        </w:rPr>
        <w:t>为150万元，计算</w:t>
      </w:r>
      <w:r>
        <w:rPr>
          <w:rFonts w:hint="eastAsia" w:ascii="宋体" w:hAnsi="宋体" w:cs="宋体"/>
          <w:color w:val="auto"/>
          <w:highlight w:val="none"/>
        </w:rPr>
        <w:t>采购</w:t>
      </w:r>
      <w:r>
        <w:rPr>
          <w:rFonts w:ascii="宋体" w:hAnsi="宋体" w:cs="宋体"/>
          <w:color w:val="auto"/>
          <w:highlight w:val="none"/>
        </w:rPr>
        <w:t>代理收费额如下：</w:t>
      </w:r>
    </w:p>
    <w:p w14:paraId="064831E7">
      <w:pPr>
        <w:pageBreakBefore w:val="0"/>
        <w:kinsoku/>
        <w:topLinePunct w:val="0"/>
        <w:bidi w:val="0"/>
        <w:spacing w:before="60" w:after="60" w:line="360" w:lineRule="auto"/>
        <w:ind w:firstLine="420" w:firstLineChars="200"/>
        <w:rPr>
          <w:rFonts w:ascii="宋体" w:hAnsi="宋体" w:cs="宋体"/>
          <w:color w:val="auto"/>
          <w:highlight w:val="none"/>
        </w:rPr>
      </w:pPr>
      <w:r>
        <w:rPr>
          <w:rFonts w:ascii="宋体" w:hAnsi="宋体" w:cs="宋体"/>
          <w:color w:val="auto"/>
          <w:highlight w:val="none"/>
        </w:rPr>
        <w:t>100 万元 ×l</w:t>
      </w:r>
      <w:r>
        <w:rPr>
          <w:rFonts w:hint="eastAsia" w:ascii="宋体" w:hAnsi="宋体" w:cs="宋体"/>
          <w:color w:val="auto"/>
          <w:highlight w:val="none"/>
          <w:lang w:eastAsia="zh-CN"/>
        </w:rPr>
        <w:t>.</w:t>
      </w:r>
      <w:r>
        <w:rPr>
          <w:rFonts w:ascii="宋体" w:hAnsi="宋体" w:cs="宋体"/>
          <w:color w:val="auto"/>
          <w:highlight w:val="none"/>
        </w:rPr>
        <w:t>5 %＝ 1</w:t>
      </w:r>
      <w:r>
        <w:rPr>
          <w:rFonts w:hint="eastAsia" w:ascii="宋体" w:hAnsi="宋体" w:cs="宋体"/>
          <w:color w:val="auto"/>
          <w:highlight w:val="none"/>
          <w:lang w:eastAsia="zh-CN"/>
        </w:rPr>
        <w:t>.</w:t>
      </w:r>
      <w:r>
        <w:rPr>
          <w:rFonts w:ascii="宋体" w:hAnsi="宋体" w:cs="宋体"/>
          <w:color w:val="auto"/>
          <w:highlight w:val="none"/>
        </w:rPr>
        <w:t>5 万元</w:t>
      </w:r>
    </w:p>
    <w:p w14:paraId="052072DB">
      <w:pPr>
        <w:pageBreakBefore w:val="0"/>
        <w:kinsoku/>
        <w:topLinePunct w:val="0"/>
        <w:bidi w:val="0"/>
        <w:spacing w:before="60" w:after="60" w:line="360" w:lineRule="auto"/>
        <w:ind w:firstLine="420" w:firstLineChars="200"/>
        <w:rPr>
          <w:rFonts w:ascii="宋体" w:hAnsi="宋体" w:cs="宋体"/>
          <w:color w:val="auto"/>
          <w:highlight w:val="none"/>
        </w:rPr>
      </w:pPr>
      <w:r>
        <w:rPr>
          <w:rFonts w:ascii="宋体" w:hAnsi="宋体" w:cs="宋体"/>
          <w:color w:val="auto"/>
          <w:highlight w:val="none"/>
        </w:rPr>
        <w:t>（ 150 － 100 ）万元 ×0</w:t>
      </w:r>
      <w:r>
        <w:rPr>
          <w:rFonts w:hint="eastAsia" w:ascii="宋体" w:hAnsi="宋体" w:cs="宋体"/>
          <w:color w:val="auto"/>
          <w:highlight w:val="none"/>
          <w:lang w:eastAsia="zh-CN"/>
        </w:rPr>
        <w:t>.</w:t>
      </w:r>
      <w:r>
        <w:rPr>
          <w:rFonts w:ascii="宋体" w:hAnsi="宋体" w:cs="宋体"/>
          <w:color w:val="auto"/>
          <w:highlight w:val="none"/>
        </w:rPr>
        <w:t>8%＝ 0</w:t>
      </w:r>
      <w:r>
        <w:rPr>
          <w:rFonts w:hint="eastAsia" w:ascii="宋体" w:hAnsi="宋体" w:cs="宋体"/>
          <w:color w:val="auto"/>
          <w:highlight w:val="none"/>
          <w:lang w:eastAsia="zh-CN"/>
        </w:rPr>
        <w:t>.</w:t>
      </w:r>
      <w:r>
        <w:rPr>
          <w:rFonts w:ascii="宋体" w:hAnsi="宋体" w:cs="宋体"/>
          <w:color w:val="auto"/>
          <w:highlight w:val="none"/>
        </w:rPr>
        <w:t>4万元</w:t>
      </w:r>
    </w:p>
    <w:p w14:paraId="2F15108E">
      <w:pPr>
        <w:pageBreakBefore w:val="0"/>
        <w:kinsoku/>
        <w:topLinePunct w:val="0"/>
        <w:bidi w:val="0"/>
        <w:spacing w:before="60" w:after="60" w:line="360" w:lineRule="auto"/>
        <w:ind w:firstLine="420" w:firstLineChars="200"/>
        <w:rPr>
          <w:rFonts w:ascii="宋体" w:hAnsi="宋体" w:cs="宋体"/>
          <w:color w:val="auto"/>
          <w:highlight w:val="none"/>
        </w:rPr>
      </w:pPr>
      <w:r>
        <w:rPr>
          <w:rFonts w:ascii="宋体" w:hAnsi="宋体" w:cs="宋体"/>
          <w:color w:val="auto"/>
          <w:highlight w:val="none"/>
        </w:rPr>
        <w:t>合计收费＝ 1</w:t>
      </w:r>
      <w:r>
        <w:rPr>
          <w:rFonts w:hint="eastAsia" w:ascii="宋体" w:hAnsi="宋体" w:cs="宋体"/>
          <w:color w:val="auto"/>
          <w:highlight w:val="none"/>
          <w:lang w:eastAsia="zh-CN"/>
        </w:rPr>
        <w:t>.</w:t>
      </w:r>
      <w:r>
        <w:rPr>
          <w:rFonts w:ascii="宋体" w:hAnsi="宋体" w:cs="宋体"/>
          <w:color w:val="auto"/>
          <w:highlight w:val="none"/>
        </w:rPr>
        <w:t>5 ＋ 0</w:t>
      </w:r>
      <w:r>
        <w:rPr>
          <w:rFonts w:hint="eastAsia" w:ascii="宋体" w:hAnsi="宋体" w:cs="宋体"/>
          <w:color w:val="auto"/>
          <w:highlight w:val="none"/>
          <w:lang w:eastAsia="zh-CN"/>
        </w:rPr>
        <w:t>.</w:t>
      </w:r>
      <w:r>
        <w:rPr>
          <w:rFonts w:ascii="宋体" w:hAnsi="宋体" w:cs="宋体"/>
          <w:color w:val="auto"/>
          <w:highlight w:val="none"/>
        </w:rPr>
        <w:t>4＝ 1</w:t>
      </w:r>
      <w:r>
        <w:rPr>
          <w:rFonts w:hint="eastAsia" w:ascii="宋体" w:hAnsi="宋体" w:cs="宋体"/>
          <w:color w:val="auto"/>
          <w:highlight w:val="none"/>
          <w:lang w:eastAsia="zh-CN"/>
        </w:rPr>
        <w:t>.</w:t>
      </w:r>
      <w:r>
        <w:rPr>
          <w:rFonts w:ascii="宋体" w:hAnsi="宋体" w:cs="宋体"/>
          <w:color w:val="auto"/>
          <w:highlight w:val="none"/>
        </w:rPr>
        <w:t>9 万元</w:t>
      </w:r>
    </w:p>
    <w:p w14:paraId="71299CFB">
      <w:pPr>
        <w:pageBreakBefore w:val="0"/>
        <w:kinsoku/>
        <w:topLinePunct w:val="0"/>
        <w:bidi w:val="0"/>
        <w:spacing w:before="60" w:after="60"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3</w:t>
      </w:r>
      <w:r>
        <w:rPr>
          <w:rFonts w:hint="eastAsia" w:ascii="黑体" w:hAnsi="黑体" w:eastAsia="黑体" w:cs="宋体"/>
          <w:b/>
          <w:bCs/>
          <w:color w:val="auto"/>
          <w:sz w:val="24"/>
          <w:highlight w:val="none"/>
          <w:lang w:eastAsia="zh-CN"/>
        </w:rPr>
        <w:t>.</w:t>
      </w:r>
      <w:r>
        <w:rPr>
          <w:rFonts w:ascii="黑体" w:hAnsi="黑体" w:eastAsia="黑体" w:cs="宋体"/>
          <w:b/>
          <w:bCs/>
          <w:color w:val="auto"/>
          <w:sz w:val="24"/>
          <w:highlight w:val="none"/>
        </w:rPr>
        <w:t>需要补充的其他内容</w:t>
      </w:r>
    </w:p>
    <w:p w14:paraId="1BF852C6">
      <w:pPr>
        <w:pStyle w:val="15"/>
        <w:pageBreakBefore w:val="0"/>
        <w:kinsoku/>
        <w:topLinePunct w:val="0"/>
        <w:bidi w:val="0"/>
        <w:spacing w:before="60" w:after="60"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w:t>
      </w:r>
      <w:r>
        <w:rPr>
          <w:rFonts w:hint="eastAsia" w:hAnsi="宋体" w:cs="宋体"/>
          <w:color w:val="auto"/>
          <w:kern w:val="2"/>
          <w:sz w:val="21"/>
          <w:highlight w:val="none"/>
          <w:lang w:eastAsia="zh-CN"/>
        </w:rPr>
        <w:t>.</w:t>
      </w:r>
      <w:r>
        <w:rPr>
          <w:rFonts w:hAnsi="宋体" w:cs="宋体"/>
          <w:color w:val="auto"/>
          <w:kern w:val="2"/>
          <w:sz w:val="21"/>
          <w:highlight w:val="none"/>
        </w:rPr>
        <w:t>1</w:t>
      </w:r>
      <w:r>
        <w:rPr>
          <w:rFonts w:hint="eastAsia" w:hAnsi="宋体" w:cs="宋体"/>
          <w:color w:val="auto"/>
          <w:kern w:val="2"/>
          <w:sz w:val="21"/>
          <w:highlight w:val="none"/>
        </w:rPr>
        <w:t>本磋商文件解释规则详见“供应商须知前附表”。</w:t>
      </w:r>
    </w:p>
    <w:p w14:paraId="2DA8BD86">
      <w:pPr>
        <w:pStyle w:val="15"/>
        <w:pageBreakBefore w:val="0"/>
        <w:kinsoku/>
        <w:topLinePunct w:val="0"/>
        <w:bidi w:val="0"/>
        <w:spacing w:before="60" w:after="60" w:line="360" w:lineRule="auto"/>
        <w:ind w:firstLine="420" w:firstLineChars="200"/>
        <w:textAlignment w:val="center"/>
        <w:rPr>
          <w:rFonts w:hAnsi="宋体" w:cs="宋体"/>
          <w:color w:val="auto"/>
          <w:kern w:val="2"/>
          <w:sz w:val="21"/>
          <w:highlight w:val="none"/>
        </w:rPr>
      </w:pPr>
      <w:r>
        <w:rPr>
          <w:rFonts w:hAnsi="宋体" w:cs="宋体"/>
          <w:color w:val="auto"/>
          <w:kern w:val="2"/>
          <w:sz w:val="21"/>
          <w:highlight w:val="none"/>
        </w:rPr>
        <w:t>33</w:t>
      </w:r>
      <w:r>
        <w:rPr>
          <w:rFonts w:hint="eastAsia" w:hAnsi="宋体" w:cs="宋体"/>
          <w:color w:val="auto"/>
          <w:kern w:val="2"/>
          <w:sz w:val="21"/>
          <w:highlight w:val="none"/>
          <w:lang w:eastAsia="zh-CN"/>
        </w:rPr>
        <w:t>.</w:t>
      </w:r>
      <w:r>
        <w:rPr>
          <w:rFonts w:hAnsi="宋体" w:cs="宋体"/>
          <w:color w:val="auto"/>
          <w:kern w:val="2"/>
          <w:sz w:val="21"/>
          <w:highlight w:val="none"/>
        </w:rPr>
        <w:t>2</w:t>
      </w:r>
      <w:r>
        <w:rPr>
          <w:rFonts w:hint="eastAsia" w:hAnsi="宋体" w:cs="宋体"/>
          <w:color w:val="auto"/>
          <w:kern w:val="2"/>
          <w:sz w:val="21"/>
          <w:highlight w:val="none"/>
        </w:rPr>
        <w:t xml:space="preserve"> 其他事项详见“供应商须知前附表”。</w:t>
      </w:r>
    </w:p>
    <w:p w14:paraId="642C0443">
      <w:pPr>
        <w:pStyle w:val="15"/>
        <w:pageBreakBefore w:val="0"/>
        <w:kinsoku/>
        <w:topLinePunct w:val="0"/>
        <w:bidi w:val="0"/>
        <w:spacing w:before="60" w:after="60"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w:t>
      </w:r>
      <w:r>
        <w:rPr>
          <w:rFonts w:hint="eastAsia" w:hAnsi="宋体" w:cs="宋体"/>
          <w:color w:val="auto"/>
          <w:kern w:val="2"/>
          <w:sz w:val="21"/>
          <w:highlight w:val="none"/>
          <w:lang w:eastAsia="zh-CN"/>
        </w:rPr>
        <w:t>.</w:t>
      </w:r>
      <w:r>
        <w:rPr>
          <w:rFonts w:hAnsi="宋体" w:cs="宋体"/>
          <w:color w:val="auto"/>
          <w:kern w:val="2"/>
          <w:sz w:val="21"/>
          <w:highlight w:val="none"/>
        </w:rPr>
        <w:t>3</w:t>
      </w:r>
      <w:r>
        <w:rPr>
          <w:rFonts w:hint="eastAsia" w:hAnsi="宋体" w:cs="宋体"/>
          <w:color w:val="auto"/>
          <w:kern w:val="2"/>
          <w:sz w:val="21"/>
          <w:highlight w:val="none"/>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4A6BF2E8">
      <w:pPr>
        <w:pStyle w:val="15"/>
        <w:pageBreakBefore w:val="0"/>
        <w:kinsoku/>
        <w:topLinePunct w:val="0"/>
        <w:bidi w:val="0"/>
        <w:spacing w:before="60" w:after="60" w:line="360" w:lineRule="auto"/>
        <w:ind w:firstLine="420" w:firstLineChars="200"/>
        <w:contextualSpacing/>
        <w:rPr>
          <w:rFonts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60DCE002">
      <w:pPr>
        <w:pStyle w:val="15"/>
        <w:pageBreakBefore w:val="0"/>
        <w:kinsoku/>
        <w:topLinePunct w:val="0"/>
        <w:bidi w:val="0"/>
        <w:spacing w:before="60" w:after="60" w:line="360" w:lineRule="auto"/>
        <w:ind w:firstLine="420" w:firstLineChars="200"/>
        <w:contextualSpacing/>
        <w:rPr>
          <w:rFonts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391908CB">
      <w:pPr>
        <w:pStyle w:val="15"/>
        <w:pageBreakBefore w:val="0"/>
        <w:kinsoku/>
        <w:topLinePunct w:val="0"/>
        <w:bidi w:val="0"/>
        <w:spacing w:before="60" w:after="60" w:line="360" w:lineRule="auto"/>
        <w:ind w:firstLine="420" w:firstLineChars="200"/>
        <w:contextualSpacing/>
        <w:rPr>
          <w:rFonts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58E7314E">
      <w:pPr>
        <w:pStyle w:val="15"/>
        <w:pageBreakBefore w:val="0"/>
        <w:kinsoku/>
        <w:topLinePunct w:val="0"/>
        <w:bidi w:val="0"/>
        <w:spacing w:before="60" w:after="60"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7522DABA">
      <w:pPr>
        <w:pStyle w:val="15"/>
        <w:pageBreakBefore w:val="0"/>
        <w:kinsoku/>
        <w:topLinePunct w:val="0"/>
        <w:bidi w:val="0"/>
        <w:spacing w:before="60" w:after="60"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依据本磋商文件规定享受扶持政策获得政府采购合同的，小微企业不得将合同分包给大中型企业，中型企业不得将合同分包给大型企业。</w:t>
      </w:r>
    </w:p>
    <w:p w14:paraId="560CB2D0">
      <w:pPr>
        <w:pageBreakBefore w:val="0"/>
        <w:kinsoku/>
        <w:topLinePunct w:val="0"/>
        <w:bidi w:val="0"/>
        <w:spacing w:before="60" w:after="60" w:line="360" w:lineRule="auto"/>
        <w:ind w:firstLine="422" w:firstLineChars="200"/>
        <w:rPr>
          <w:rFonts w:ascii="宋体" w:hAnsi="宋体" w:cs="宋体"/>
          <w:b/>
          <w:color w:val="auto"/>
          <w:szCs w:val="21"/>
          <w:highlight w:val="none"/>
        </w:rPr>
      </w:pPr>
      <w:r>
        <w:rPr>
          <w:rFonts w:hint="eastAsia" w:ascii="宋体" w:hAnsi="宋体" w:eastAsia="宋体" w:cs="宋体"/>
          <w:b/>
          <w:bCs w:val="0"/>
          <w:color w:val="auto"/>
          <w:szCs w:val="21"/>
          <w:highlight w:val="none"/>
        </w:rPr>
        <w:t>33</w:t>
      </w:r>
      <w:r>
        <w:rPr>
          <w:rFonts w:hint="eastAsia" w:ascii="宋体" w:hAnsi="宋体" w:cs="宋体"/>
          <w:b/>
          <w:bCs w:val="0"/>
          <w:color w:val="auto"/>
          <w:szCs w:val="21"/>
          <w:highlight w:val="none"/>
          <w:lang w:eastAsia="zh-CN"/>
        </w:rPr>
        <w:t>.</w:t>
      </w:r>
      <w:r>
        <w:rPr>
          <w:rFonts w:hint="eastAsia" w:ascii="宋体" w:hAnsi="宋体" w:eastAsia="宋体" w:cs="宋体"/>
          <w:b/>
          <w:bCs w:val="0"/>
          <w:color w:val="auto"/>
          <w:szCs w:val="21"/>
          <w:highlight w:val="none"/>
        </w:rPr>
        <w:t>4</w:t>
      </w:r>
      <w:r>
        <w:rPr>
          <w:rFonts w:hint="eastAsia" w:ascii="宋体" w:hAnsi="宋体" w:cs="宋体"/>
          <w:b/>
          <w:color w:val="auto"/>
          <w:szCs w:val="21"/>
          <w:highlight w:val="none"/>
        </w:rPr>
        <w:t xml:space="preserve">纸质投标文件：中标（成交）人在中标（成交）通知书发出后5天内须提交 2套纸质版投标（响应）文件（含报价文件、资格证明文件、商务文件、技术文件。按要求加盖公章）给招标代理机构，一正一副。 </w:t>
      </w:r>
    </w:p>
    <w:p w14:paraId="016A95EE">
      <w:pPr>
        <w:ind w:firstLine="422"/>
        <w:rPr>
          <w:rFonts w:hAnsi="宋体"/>
          <w:b/>
          <w:color w:val="auto"/>
          <w:sz w:val="32"/>
          <w:szCs w:val="32"/>
          <w:highlight w:val="none"/>
        </w:rPr>
      </w:pPr>
      <w:r>
        <w:rPr>
          <w:rFonts w:hint="eastAsia" w:ascii="宋体" w:hAnsi="宋体" w:cs="宋体"/>
          <w:b/>
          <w:color w:val="auto"/>
          <w:szCs w:val="21"/>
          <w:highlight w:val="none"/>
        </w:rPr>
        <w:t>提交的纸质版投标（响应）文件文本必须与其上传到桂采云系统的电子投标（响应）文件内容一致，不允许有篡改。如项目验收时因所提供的纸质投标（响应）文件与评标的投标（响应）文件不一致造成纠纷时，所有责任由中标（成交）人承担。</w:t>
      </w:r>
      <w:r>
        <w:rPr>
          <w:rFonts w:hAnsi="宋体"/>
          <w:b/>
          <w:color w:val="auto"/>
          <w:highlight w:val="none"/>
        </w:rPr>
        <w:br w:type="page"/>
      </w:r>
    </w:p>
    <w:p w14:paraId="53F4B3A1">
      <w:pPr>
        <w:pStyle w:val="3"/>
        <w:pageBreakBefore w:val="0"/>
        <w:kinsoku/>
        <w:topLinePunct w:val="0"/>
        <w:bidi w:val="0"/>
        <w:spacing w:before="60" w:after="60" w:line="360" w:lineRule="auto"/>
        <w:jc w:val="center"/>
        <w:rPr>
          <w:color w:val="auto"/>
          <w:highlight w:val="none"/>
        </w:rPr>
      </w:pPr>
      <w:bookmarkStart w:id="75" w:name="_Toc15007"/>
      <w:r>
        <w:rPr>
          <w:rFonts w:hint="eastAsia"/>
          <w:color w:val="auto"/>
          <w:highlight w:val="none"/>
        </w:rPr>
        <w:t>第三章 采购需求</w:t>
      </w:r>
      <w:bookmarkEnd w:id="75"/>
    </w:p>
    <w:p w14:paraId="0197CAB0">
      <w:pPr>
        <w:pageBreakBefore w:val="0"/>
        <w:kinsoku/>
        <w:topLinePunct w:val="0"/>
        <w:bidi w:val="0"/>
        <w:spacing w:before="60" w:after="60" w:line="360" w:lineRule="auto"/>
        <w:jc w:val="left"/>
        <w:rPr>
          <w:rFonts w:ascii="宋体" w:hAnsi="宋体" w:cs="宋体"/>
          <w:color w:val="auto"/>
          <w:szCs w:val="21"/>
          <w:highlight w:val="none"/>
        </w:rPr>
      </w:pPr>
      <w:r>
        <w:rPr>
          <w:rFonts w:hint="eastAsia" w:ascii="宋体" w:hAnsi="宋体" w:cs="宋体"/>
          <w:color w:val="auto"/>
          <w:szCs w:val="21"/>
          <w:highlight w:val="none"/>
        </w:rPr>
        <w:t>说明：</w:t>
      </w:r>
    </w:p>
    <w:p w14:paraId="0C1CC526">
      <w:pPr>
        <w:pageBreakBefore w:val="0"/>
        <w:kinsoku/>
        <w:topLinePunct w:val="0"/>
        <w:bidi w:val="0"/>
        <w:spacing w:before="60" w:after="60"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olor w:val="auto"/>
          <w:highlight w:val="none"/>
        </w:rPr>
        <w:t>1</w:t>
      </w:r>
      <w:r>
        <w:rPr>
          <w:rFonts w:hint="eastAsia"/>
          <w:color w:val="auto"/>
          <w:highlight w:val="none"/>
          <w:lang w:eastAsia="zh-CN"/>
        </w:rPr>
        <w:t>.</w:t>
      </w:r>
      <w:r>
        <w:rPr>
          <w:rFonts w:hint="eastAsia"/>
          <w:color w:val="auto"/>
          <w:highlight w:val="none"/>
        </w:rPr>
        <w:t xml:space="preserve"> 为落实政府采购政策需满足的要求</w:t>
      </w:r>
      <w:r>
        <w:rPr>
          <w:rFonts w:hint="eastAsia"/>
          <w:color w:val="auto"/>
          <w:highlight w:val="none"/>
          <w:lang w:eastAsia="zh-CN"/>
        </w:rPr>
        <w:t>：</w:t>
      </w:r>
    </w:p>
    <w:p w14:paraId="1D50CF5D">
      <w:pPr>
        <w:pageBreakBefore w:val="0"/>
        <w:kinsoku/>
        <w:topLinePunct w:val="0"/>
        <w:bidi w:val="0"/>
        <w:spacing w:before="60" w:after="6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本竞争性磋商采购文件所称中小企业必须符合《政府采购促进中小企业发展管理办法》（财库〔2020〕46号）的规定。</w:t>
      </w:r>
    </w:p>
    <w:p w14:paraId="6B86A167">
      <w:pPr>
        <w:pageBreakBefore w:val="0"/>
        <w:kinsoku/>
        <w:topLinePunct w:val="0"/>
        <w:bidi w:val="0"/>
        <w:spacing w:before="60" w:after="60"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r>
        <w:rPr>
          <w:rFonts w:hint="eastAsia" w:ascii="宋体" w:hAnsi="宋体" w:cs="宋体"/>
          <w:b/>
          <w:bCs/>
          <w:color w:val="auto"/>
          <w:szCs w:val="21"/>
          <w:highlight w:val="none"/>
          <w:lang w:val="en-US" w:eastAsia="zh-CN"/>
        </w:rPr>
        <w:t>本项目</w:t>
      </w:r>
      <w:r>
        <w:rPr>
          <w:rFonts w:hint="eastAsia" w:ascii="宋体" w:hAnsi="宋体" w:cs="宋体"/>
          <w:b/>
          <w:bCs/>
          <w:color w:val="auto"/>
          <w:szCs w:val="21"/>
          <w:highlight w:val="none"/>
        </w:rPr>
        <w:t>采购需求中</w:t>
      </w:r>
      <w:r>
        <w:rPr>
          <w:rFonts w:hint="eastAsia" w:ascii="宋体" w:hAnsi="宋体" w:cs="宋体"/>
          <w:b/>
          <w:bCs/>
          <w:color w:val="auto"/>
          <w:szCs w:val="21"/>
          <w:highlight w:val="none"/>
          <w:lang w:val="en-US" w:eastAsia="zh-CN"/>
        </w:rPr>
        <w:t>所有技术及商务</w:t>
      </w:r>
      <w:r>
        <w:rPr>
          <w:rFonts w:hint="eastAsia" w:ascii="宋体" w:hAnsi="宋体" w:cs="宋体"/>
          <w:b/>
          <w:bCs/>
          <w:color w:val="auto"/>
          <w:szCs w:val="21"/>
          <w:highlight w:val="none"/>
        </w:rPr>
        <w:t>条款</w:t>
      </w:r>
      <w:r>
        <w:rPr>
          <w:rFonts w:hint="eastAsia" w:ascii="宋体" w:hAnsi="宋体" w:cs="宋体"/>
          <w:b/>
          <w:bCs/>
          <w:color w:val="auto"/>
          <w:szCs w:val="21"/>
          <w:highlight w:val="none"/>
          <w:lang w:val="en-US" w:eastAsia="zh-CN"/>
        </w:rPr>
        <w:t>均</w:t>
      </w:r>
      <w:r>
        <w:rPr>
          <w:rFonts w:hint="eastAsia" w:ascii="宋体" w:hAnsi="宋体" w:cs="宋体"/>
          <w:b/>
          <w:bCs/>
          <w:color w:val="auto"/>
          <w:szCs w:val="21"/>
          <w:highlight w:val="none"/>
        </w:rPr>
        <w:t>不能负偏离</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否则</w:t>
      </w:r>
      <w:r>
        <w:rPr>
          <w:rFonts w:hint="eastAsia" w:ascii="宋体" w:hAnsi="宋体" w:cs="宋体"/>
          <w:b/>
          <w:bCs/>
          <w:color w:val="auto"/>
          <w:szCs w:val="21"/>
          <w:highlight w:val="none"/>
        </w:rPr>
        <w:t>响应文件按无效处理</w:t>
      </w:r>
      <w:r>
        <w:rPr>
          <w:rFonts w:hint="eastAsia" w:ascii="宋体" w:hAnsi="宋体" w:cs="宋体"/>
          <w:color w:val="auto"/>
          <w:szCs w:val="21"/>
          <w:highlight w:val="none"/>
        </w:rPr>
        <w:t>。</w:t>
      </w:r>
    </w:p>
    <w:p w14:paraId="250DC0D1">
      <w:pPr>
        <w:pageBreakBefore w:val="0"/>
        <w:kinsoku/>
        <w:topLinePunct w:val="0"/>
        <w:bidi w:val="0"/>
        <w:spacing w:before="60" w:after="60" w:line="360" w:lineRule="auto"/>
        <w:ind w:firstLine="424" w:firstLineChars="202"/>
        <w:jc w:val="left"/>
        <w:rPr>
          <w:color w:val="auto"/>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供应商应根据自身实际情况如实响应磋商文件</w:t>
      </w:r>
      <w:r>
        <w:rPr>
          <w:rFonts w:hint="eastAsia" w:ascii="宋体" w:hAnsi="宋体"/>
          <w:color w:val="auto"/>
          <w:szCs w:val="21"/>
          <w:highlight w:val="none"/>
        </w:rPr>
        <w:t>，不得仅将</w:t>
      </w:r>
      <w:r>
        <w:rPr>
          <w:rFonts w:hint="eastAsia" w:ascii="宋体" w:hAnsi="宋体" w:cs="宋体"/>
          <w:color w:val="auto"/>
          <w:szCs w:val="21"/>
          <w:highlight w:val="none"/>
        </w:rPr>
        <w:t>磋商文件</w:t>
      </w:r>
      <w:r>
        <w:rPr>
          <w:rFonts w:hint="eastAsia" w:ascii="宋体" w:hAnsi="宋体"/>
          <w:color w:val="auto"/>
          <w:szCs w:val="21"/>
          <w:highlight w:val="none"/>
        </w:rPr>
        <w:t>内容简单复制粘贴作为竞标响应，还应当提供相关证明材料，否则将按无效响应处理（定制采购不适用本条款）。</w:t>
      </w:r>
      <w:r>
        <w:rPr>
          <w:rFonts w:hint="eastAsia"/>
          <w:color w:val="auto"/>
          <w:highlight w:val="none"/>
        </w:rPr>
        <w:t>对于重要技术条款或技术参数应当在响应文件中提供技术支持资料，技术支持资料以磋商文件中规定的形式为准，否则将视为无效技术支持资料。</w:t>
      </w:r>
    </w:p>
    <w:p w14:paraId="5A90CB20">
      <w:pPr>
        <w:pageBreakBefore w:val="0"/>
        <w:kinsoku/>
        <w:topLinePunct w:val="0"/>
        <w:bidi w:val="0"/>
        <w:spacing w:before="60" w:after="60"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供应商必须自行为其竞标产品侵犯他人的知识产权或者专利成果的行为承担相应法律责任。</w:t>
      </w:r>
    </w:p>
    <w:p w14:paraId="1287A727">
      <w:pPr>
        <w:pageBreakBefore w:val="0"/>
        <w:kinsoku/>
        <w:topLinePunct w:val="0"/>
        <w:bidi w:val="0"/>
        <w:spacing w:before="60" w:after="60" w:line="360" w:lineRule="auto"/>
        <w:ind w:firstLine="424" w:firstLineChars="202"/>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5.采购标的对应的中小企业划分标准所属行业名称： 其他未列明行业</w:t>
      </w:r>
    </w:p>
    <w:p w14:paraId="6FB6375A">
      <w:pPr>
        <w:pageBreakBefore w:val="0"/>
        <w:kinsoku/>
        <w:topLinePunct w:val="0"/>
        <w:bidi w:val="0"/>
        <w:spacing w:before="60" w:after="60" w:line="360" w:lineRule="auto"/>
        <w:ind w:firstLine="420" w:firstLineChars="200"/>
        <w:rPr>
          <w:rFonts w:hint="default" w:ascii="宋体" w:hAnsi="宋体" w:eastAsia="宋体"/>
          <w:color w:val="auto"/>
          <w:szCs w:val="21"/>
          <w:highlight w:val="none"/>
          <w:lang w:val="en-US" w:eastAsia="zh-CN"/>
        </w:rPr>
      </w:pPr>
      <w:r>
        <w:rPr>
          <w:rFonts w:hint="eastAsia" w:ascii="宋体" w:hAnsi="宋体" w:cs="宋体"/>
          <w:color w:val="auto"/>
          <w:szCs w:val="21"/>
          <w:highlight w:val="none"/>
          <w:lang w:val="en-US" w:eastAsia="zh-CN"/>
        </w:rPr>
        <w:t>6.</w:t>
      </w:r>
      <w:r>
        <w:rPr>
          <w:rFonts w:hint="eastAsia" w:ascii="宋体" w:hAnsi="宋体" w:cs="宋体"/>
          <w:b/>
          <w:bCs/>
          <w:color w:val="auto"/>
          <w:szCs w:val="21"/>
          <w:highlight w:val="none"/>
          <w:lang w:val="en-US" w:eastAsia="zh-CN"/>
        </w:rPr>
        <w:t>标项一：</w:t>
      </w:r>
      <w:r>
        <w:rPr>
          <w:rFonts w:hint="eastAsia" w:ascii="宋体" w:hAnsi="宋体" w:cs="宋体"/>
          <w:color w:val="auto"/>
          <w:szCs w:val="21"/>
          <w:highlight w:val="none"/>
          <w:lang w:val="en-US" w:eastAsia="zh-CN"/>
        </w:rPr>
        <w:t>3年</w:t>
      </w:r>
      <w:r>
        <w:rPr>
          <w:rFonts w:hint="eastAsia" w:ascii="宋体" w:hAnsi="宋体" w:cs="宋体"/>
          <w:color w:val="auto"/>
          <w:szCs w:val="21"/>
          <w:highlight w:val="none"/>
          <w:lang w:val="en-US" w:eastAsia="zh-CN"/>
        </w:rPr>
        <w:t>预算金额为</w:t>
      </w:r>
      <w:r>
        <w:rPr>
          <w:rFonts w:hint="eastAsia" w:ascii="宋体" w:hAnsi="宋体"/>
          <w:color w:val="auto"/>
          <w:szCs w:val="21"/>
          <w:highlight w:val="none"/>
          <w:lang w:val="en-US" w:eastAsia="zh-CN"/>
        </w:rPr>
        <w:t>1727100元，第一年575700元，第二、第三年按照当年实际进行调整优化，不超过预算；</w:t>
      </w:r>
      <w:r>
        <w:rPr>
          <w:rFonts w:hint="eastAsia" w:ascii="宋体" w:hAnsi="宋体"/>
          <w:b/>
          <w:bCs/>
          <w:color w:val="auto"/>
          <w:szCs w:val="21"/>
          <w:highlight w:val="none"/>
          <w:lang w:val="en-US" w:eastAsia="zh-CN"/>
        </w:rPr>
        <w:t>标项二：</w:t>
      </w:r>
      <w:r>
        <w:rPr>
          <w:rFonts w:hint="eastAsia" w:ascii="宋体" w:hAnsi="宋体"/>
          <w:color w:val="auto"/>
          <w:szCs w:val="21"/>
          <w:highlight w:val="none"/>
          <w:lang w:val="en-US" w:eastAsia="zh-CN"/>
        </w:rPr>
        <w:t>3年预算金额为1188180元，第一年396060元，第二、第三年按照当年实际进行调整优化，不超过预算。</w:t>
      </w:r>
    </w:p>
    <w:tbl>
      <w:tblPr>
        <w:tblStyle w:val="30"/>
        <w:tblW w:w="87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293"/>
        <w:gridCol w:w="850"/>
        <w:gridCol w:w="5954"/>
      </w:tblGrid>
      <w:tr w14:paraId="019A7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8752" w:type="dxa"/>
            <w:gridSpan w:val="4"/>
            <w:vAlign w:val="center"/>
          </w:tcPr>
          <w:p w14:paraId="37814D2D">
            <w:pPr>
              <w:keepNext w:val="0"/>
              <w:keepLines w:val="0"/>
              <w:pageBreakBefore w:val="0"/>
              <w:suppressLineNumbers w:val="0"/>
              <w:tabs>
                <w:tab w:val="left" w:pos="180"/>
                <w:tab w:val="left" w:pos="1620"/>
              </w:tabs>
              <w:kinsoku/>
              <w:wordWrap/>
              <w:overflowPunct/>
              <w:topLinePunct w:val="0"/>
              <w:autoSpaceDN/>
              <w:bidi w:val="0"/>
              <w:adjustRightInd/>
              <w:snapToGrid/>
              <w:spacing w:before="60" w:beforeAutospacing="0" w:after="6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标项一</w:t>
            </w:r>
          </w:p>
        </w:tc>
      </w:tr>
      <w:tr w14:paraId="7FE69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8752" w:type="dxa"/>
            <w:gridSpan w:val="4"/>
            <w:vAlign w:val="center"/>
          </w:tcPr>
          <w:p w14:paraId="47B0001C">
            <w:pPr>
              <w:keepNext w:val="0"/>
              <w:keepLines w:val="0"/>
              <w:pageBreakBefore w:val="0"/>
              <w:suppressLineNumbers w:val="0"/>
              <w:tabs>
                <w:tab w:val="left" w:pos="180"/>
                <w:tab w:val="left" w:pos="1620"/>
              </w:tabs>
              <w:kinsoku/>
              <w:wordWrap/>
              <w:overflowPunct/>
              <w:topLinePunct w:val="0"/>
              <w:autoSpaceDN/>
              <w:bidi w:val="0"/>
              <w:adjustRightInd/>
              <w:snapToGrid/>
              <w:spacing w:before="60" w:beforeAutospacing="0" w:after="60" w:afterAutospacing="0" w:line="360" w:lineRule="auto"/>
              <w:ind w:left="0" w:right="0"/>
              <w:jc w:val="cente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服务需求一览表</w:t>
            </w:r>
          </w:p>
        </w:tc>
      </w:tr>
      <w:tr w14:paraId="4E338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55" w:type="dxa"/>
            <w:vAlign w:val="center"/>
          </w:tcPr>
          <w:p w14:paraId="28CF5034">
            <w:pPr>
              <w:keepNext w:val="0"/>
              <w:keepLines w:val="0"/>
              <w:pageBreakBefore w:val="0"/>
              <w:suppressLineNumbers w:val="0"/>
              <w:tabs>
                <w:tab w:val="left" w:pos="180"/>
                <w:tab w:val="left" w:pos="1620"/>
              </w:tabs>
              <w:kinsoku/>
              <w:wordWrap/>
              <w:overflowPunct/>
              <w:topLinePunct w:val="0"/>
              <w:autoSpaceDN/>
              <w:bidi w:val="0"/>
              <w:adjustRightInd/>
              <w:snapToGrid/>
              <w:spacing w:before="60" w:beforeAutospacing="0" w:after="60" w:afterAutospacing="0" w:line="360"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93" w:type="dxa"/>
            <w:vAlign w:val="center"/>
          </w:tcPr>
          <w:p w14:paraId="62E16A4A">
            <w:pPr>
              <w:keepNext w:val="0"/>
              <w:keepLines w:val="0"/>
              <w:pageBreakBefore w:val="0"/>
              <w:suppressLineNumbers w:val="0"/>
              <w:tabs>
                <w:tab w:val="left" w:pos="180"/>
                <w:tab w:val="left" w:pos="1620"/>
              </w:tabs>
              <w:kinsoku/>
              <w:wordWrap/>
              <w:overflowPunct/>
              <w:topLinePunct w:val="0"/>
              <w:autoSpaceDN/>
              <w:bidi w:val="0"/>
              <w:adjustRightInd/>
              <w:snapToGrid/>
              <w:spacing w:before="60" w:beforeAutospacing="0" w:after="60" w:afterAutospacing="0" w:line="360"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标的名称</w:t>
            </w:r>
          </w:p>
        </w:tc>
        <w:tc>
          <w:tcPr>
            <w:tcW w:w="850" w:type="dxa"/>
            <w:vAlign w:val="center"/>
          </w:tcPr>
          <w:p w14:paraId="626A4595">
            <w:pPr>
              <w:keepNext w:val="0"/>
              <w:keepLines w:val="0"/>
              <w:pageBreakBefore w:val="0"/>
              <w:suppressLineNumbers w:val="0"/>
              <w:tabs>
                <w:tab w:val="left" w:pos="180"/>
                <w:tab w:val="left" w:pos="1620"/>
              </w:tabs>
              <w:kinsoku/>
              <w:wordWrap/>
              <w:overflowPunct/>
              <w:topLinePunct w:val="0"/>
              <w:autoSpaceDN/>
              <w:bidi w:val="0"/>
              <w:adjustRightInd/>
              <w:snapToGrid/>
              <w:spacing w:before="60" w:beforeAutospacing="0" w:after="60" w:afterAutospacing="0" w:line="360"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数量及单位</w:t>
            </w:r>
          </w:p>
        </w:tc>
        <w:tc>
          <w:tcPr>
            <w:tcW w:w="5954" w:type="dxa"/>
            <w:vAlign w:val="center"/>
          </w:tcPr>
          <w:p w14:paraId="271723B7">
            <w:pPr>
              <w:keepNext w:val="0"/>
              <w:keepLines w:val="0"/>
              <w:pageBreakBefore w:val="0"/>
              <w:suppressLineNumbers w:val="0"/>
              <w:tabs>
                <w:tab w:val="left" w:pos="180"/>
                <w:tab w:val="left" w:pos="1620"/>
              </w:tabs>
              <w:kinsoku/>
              <w:wordWrap/>
              <w:overflowPunct/>
              <w:topLinePunct w:val="0"/>
              <w:autoSpaceDN/>
              <w:bidi w:val="0"/>
              <w:adjustRightInd/>
              <w:snapToGrid/>
              <w:spacing w:before="60" w:beforeAutospacing="0" w:after="60" w:afterAutospacing="0" w:line="360"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技术和服务要求</w:t>
            </w:r>
          </w:p>
        </w:tc>
      </w:tr>
      <w:tr w14:paraId="659F4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jc w:val="center"/>
        </w:trPr>
        <w:tc>
          <w:tcPr>
            <w:tcW w:w="655" w:type="dxa"/>
            <w:vAlign w:val="center"/>
          </w:tcPr>
          <w:p w14:paraId="4C50BF45">
            <w:pPr>
              <w:keepNext w:val="0"/>
              <w:keepLines w:val="0"/>
              <w:pageBreakBefore w:val="0"/>
              <w:suppressLineNumbers w:val="0"/>
              <w:tabs>
                <w:tab w:val="left" w:pos="180"/>
                <w:tab w:val="left" w:pos="1620"/>
              </w:tabs>
              <w:kinsoku/>
              <w:wordWrap/>
              <w:overflowPunct/>
              <w:topLinePunct w:val="0"/>
              <w:autoSpaceDN/>
              <w:bidi w:val="0"/>
              <w:adjustRightInd/>
              <w:snapToGrid/>
              <w:spacing w:before="60" w:beforeAutospacing="0" w:after="6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293" w:type="dxa"/>
            <w:vAlign w:val="center"/>
          </w:tcPr>
          <w:p w14:paraId="1CF3A02B">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县城工业园区就业服务工作站</w:t>
            </w:r>
          </w:p>
        </w:tc>
        <w:tc>
          <w:tcPr>
            <w:tcW w:w="850" w:type="dxa"/>
            <w:vAlign w:val="center"/>
          </w:tcPr>
          <w:p w14:paraId="0CABBA77">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1项</w:t>
            </w:r>
          </w:p>
        </w:tc>
        <w:tc>
          <w:tcPr>
            <w:tcW w:w="5954" w:type="dxa"/>
            <w:shd w:val="clear" w:color="auto" w:fill="auto"/>
            <w:vAlign w:val="center"/>
          </w:tcPr>
          <w:p w14:paraId="20AA4465">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为更好地开展就业公共服务工作，更高效地服务我县工业园区企业和重点企业招工（含就业帮扶车间）、“园区+车间+庭院”模式加工点（公司）等就业服务指导，结合《广西壮族自治区人力资源和社会保障厅等5部门关于印发广西高质量就业公共服务体系建设三年行动方案（2025—2027年）的通知》（桂人社发〔2025〕25号）文件要求，进一步推进稳就业保就业工作，拟在全县开展就业公共服务专题活动。为确保该项工作顺利开展，特制定本工作方案。 </w:t>
            </w:r>
          </w:p>
          <w:p w14:paraId="62B89A6F">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 xml:space="preserve">一、工作目标 </w:t>
            </w:r>
          </w:p>
          <w:p w14:paraId="6565B7C0">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紧紧围绕全县工业发展目标任务，创建“职在这里 就等你来”就业服务品牌，落实人员专职开展就业服务工作，发挥桥梁纽带作用，宣传就业创业政策，重点服务企业招工，解决我县长期存在的企业招用工难问题，激发企业发展活力，推动全县工业高质量发展，推动实现公共就业服务网格化、精细化、信息化，促进全县高质量充分就业。 </w:t>
            </w:r>
          </w:p>
          <w:p w14:paraId="4E548D57">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二、</w:t>
            </w:r>
            <w:r>
              <w:rPr>
                <w:rFonts w:hint="eastAsia" w:ascii="宋体" w:hAnsi="宋体" w:cs="宋体"/>
                <w:b/>
                <w:bCs/>
                <w:color w:val="auto"/>
                <w:kern w:val="0"/>
                <w:sz w:val="21"/>
                <w:szCs w:val="21"/>
                <w:highlight w:val="none"/>
                <w:lang w:val="en-US" w:eastAsia="zh-CN" w:bidi="ar-SA"/>
              </w:rPr>
              <w:t>服务</w:t>
            </w:r>
            <w:r>
              <w:rPr>
                <w:rFonts w:hint="eastAsia" w:ascii="宋体" w:hAnsi="宋体" w:eastAsia="宋体" w:cs="宋体"/>
                <w:b/>
                <w:bCs/>
                <w:color w:val="auto"/>
                <w:kern w:val="0"/>
                <w:sz w:val="21"/>
                <w:szCs w:val="21"/>
                <w:highlight w:val="none"/>
                <w:lang w:val="en-US" w:eastAsia="zh-CN" w:bidi="ar-SA"/>
              </w:rPr>
              <w:t>动内容</w:t>
            </w:r>
          </w:p>
          <w:p w14:paraId="45D0F217">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以全县工业园区企业、园区外重点企业（含就业帮扶车间）、“园区+车间+庭院”模式加工点（公司）、零工市场、村（社区）为服务主体，通过第三方运营管理，在县人社局的指导下开展基本信息调查、招工、政策宣传等相关就业服务工作。 </w:t>
            </w:r>
          </w:p>
          <w:p w14:paraId="74515CEA">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（一）上门实地服务</w:t>
            </w:r>
          </w:p>
          <w:p w14:paraId="5F8FE036">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每月到相关企业（含就业帮扶车间）根据服务清单内容开展服务1次，填写服务企业清单一览表，并将每月企业需招聘的岗位信息录入广西“数智人社”系统。及时向企业宣传有关法律法规、惠企政策，并确保企业知晓了解，动员、指导就业帮扶车间申请带动就业补贴、了解吸纳脱贫人口就业情况等。</w:t>
            </w:r>
          </w:p>
          <w:p w14:paraId="5E15AC1F">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2.每月收集“园区+车间+庭院”模式加工点（公司）用工需求1次，对有招工需求的不定期上门服务，并将收集到的加工点（公司）需招聘的岗位信息在线上平台发布。</w:t>
            </w:r>
          </w:p>
          <w:p w14:paraId="0DAB08DB">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3.每月到村（社区）开展招工宣传、职业技能培训宣传、人社政策宣传各1次。依托宣传车流动宣传、巡回播报、移动宣传点等灵活的模式深入村社区开展招工岗位推介、人社惠民政策宣传等。</w:t>
            </w:r>
          </w:p>
          <w:p w14:paraId="469D6E84">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（二）发布招聘信息</w:t>
            </w:r>
          </w:p>
          <w:p w14:paraId="771C4AF5">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1.线上招聘信息发布。一是在网站平台发布：每站每月要在浦北就业、就在浦北</w:t>
            </w:r>
            <w:r>
              <w:rPr>
                <w:rFonts w:hint="eastAsia" w:ascii="宋体" w:hAnsi="宋体" w:cs="宋体"/>
                <w:color w:val="auto"/>
                <w:kern w:val="0"/>
                <w:sz w:val="21"/>
                <w:szCs w:val="21"/>
                <w:highlight w:val="none"/>
                <w:lang w:val="en-US" w:eastAsia="zh-CN" w:bidi="ar-SA"/>
              </w:rPr>
              <w:t>、浦北招聘网</w:t>
            </w:r>
            <w:r>
              <w:rPr>
                <w:rFonts w:hint="eastAsia" w:ascii="宋体" w:hAnsi="宋体" w:eastAsia="宋体" w:cs="宋体"/>
                <w:color w:val="auto"/>
                <w:kern w:val="0"/>
                <w:sz w:val="21"/>
                <w:szCs w:val="21"/>
                <w:highlight w:val="none"/>
                <w:lang w:val="en-US" w:eastAsia="zh-CN" w:bidi="ar-SA"/>
              </w:rPr>
              <w:t>等相关网站发布2次招聘信息，县就业服务中心再协调其他网络平台机构发布。二是在微信群发布：每站要建立服务企业招工工作微信群，要覆盖所在镇（街道）各村（社区）网格群，每月至少推送2次招工信息。</w:t>
            </w:r>
          </w:p>
          <w:p w14:paraId="476D18F0">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2.线下招聘信息发布。每站要在片区镇（街道）、村委（社区）、人流量大的超市、车站宣传栏张贴企业招聘信息，每月更新一次。每月要到片区所有村委（社区）实地现场宣传1次。</w:t>
            </w:r>
          </w:p>
          <w:p w14:paraId="69C82767">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（三）开拓零工市场</w:t>
            </w:r>
          </w:p>
          <w:p w14:paraId="39335288">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1.收集相关零工信息（如提供空调、洗衣机、油烟机清洗、搬运工、家政等短工服务项目人员的信息），录入广西“数智人社”系统，并在浦北就业平台、网站、自然村网格群发布，海报张贴宣传。</w:t>
            </w:r>
          </w:p>
          <w:p w14:paraId="21483C67">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2.做好就业需求人员来访求职登记，进行就业岗位匹配推荐等工作。</w:t>
            </w:r>
          </w:p>
          <w:p w14:paraId="3F2C7B28">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（四）举办招聘会</w:t>
            </w:r>
          </w:p>
          <w:p w14:paraId="701CEF73">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1.线上招聘会。每站每月要通过网络平台举办线上招聘会1场，由县人社局协调其他网络平台机构举办，就业服务工作站负责企业协调工作以及企业宣传短视视频拍摄工作。</w:t>
            </w:r>
          </w:p>
          <w:p w14:paraId="69A67778">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2.线下招聘会。按县人社局要求组织举办招聘会，每个镇（街道）每季度举办1场招聘会。</w:t>
            </w:r>
          </w:p>
          <w:p w14:paraId="0309E7CA">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线上、线下的招聘会安排信息要录入广西“数智人社”系统（根据上级工作的安排调整）。</w:t>
            </w:r>
          </w:p>
          <w:p w14:paraId="281B8398">
            <w:pPr>
              <w:keepNext w:val="0"/>
              <w:keepLines w:val="0"/>
              <w:pageBreakBefore w:val="0"/>
              <w:widowControl/>
              <w:numPr>
                <w:ilvl w:val="0"/>
                <w:numId w:val="0"/>
              </w:numPr>
              <w:suppressLineNumbers w:val="0"/>
              <w:kinsoku/>
              <w:wordWrap/>
              <w:overflowPunct/>
              <w:topLinePunct w:val="0"/>
              <w:autoSpaceDN/>
              <w:bidi w:val="0"/>
              <w:adjustRightInd/>
              <w:snapToGrid/>
              <w:spacing w:before="60" w:beforeAutospacing="0" w:after="60" w:afterAutospacing="0" w:line="360" w:lineRule="auto"/>
              <w:ind w:left="0" w:leftChars="0" w:right="0" w:rightChars="0"/>
              <w:jc w:val="left"/>
              <w:textAlignment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（五）就业服务指导清单。</w:t>
            </w:r>
          </w:p>
          <w:tbl>
            <w:tblPr>
              <w:tblStyle w:val="31"/>
              <w:tblW w:w="5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1623"/>
              <w:gridCol w:w="3617"/>
            </w:tblGrid>
            <w:tr w14:paraId="6DF7A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vAlign w:val="top"/>
                </w:tcPr>
                <w:p w14:paraId="036BC905">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center"/>
                    <w:textAlignment w:val="center"/>
                    <w:rPr>
                      <w:rFonts w:hint="eastAsia" w:ascii="宋体" w:hAnsi="宋体" w:eastAsia="宋体" w:cs="宋体"/>
                      <w:b/>
                      <w:bCs/>
                      <w:color w:val="auto"/>
                      <w:kern w:val="0"/>
                      <w:sz w:val="21"/>
                      <w:szCs w:val="21"/>
                      <w:highlight w:val="none"/>
                      <w:lang w:val="en-US" w:eastAsia="zh-CN" w:bidi="ar-SA"/>
                    </w:rPr>
                  </w:pPr>
                  <w:r>
                    <w:rPr>
                      <w:rFonts w:hint="default" w:ascii="宋体" w:hAnsi="宋体" w:eastAsia="宋体" w:cs="宋体"/>
                      <w:b/>
                      <w:bCs/>
                      <w:color w:val="auto"/>
                      <w:kern w:val="0"/>
                      <w:sz w:val="21"/>
                      <w:szCs w:val="21"/>
                      <w:highlight w:val="none"/>
                      <w:lang w:val="en-US" w:eastAsia="zh-CN" w:bidi="ar-SA"/>
                    </w:rPr>
                    <w:t>序号</w:t>
                  </w:r>
                </w:p>
              </w:tc>
              <w:tc>
                <w:tcPr>
                  <w:tcW w:w="1623" w:type="dxa"/>
                  <w:vAlign w:val="top"/>
                </w:tcPr>
                <w:p w14:paraId="6E2D63F3">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center"/>
                    <w:textAlignment w:val="center"/>
                    <w:rPr>
                      <w:rFonts w:hint="eastAsia" w:ascii="宋体" w:hAnsi="宋体" w:eastAsia="宋体" w:cs="宋体"/>
                      <w:b/>
                      <w:bCs/>
                      <w:color w:val="auto"/>
                      <w:kern w:val="0"/>
                      <w:sz w:val="21"/>
                      <w:szCs w:val="21"/>
                      <w:highlight w:val="none"/>
                      <w:lang w:val="en-US" w:eastAsia="zh-CN" w:bidi="ar-SA"/>
                    </w:rPr>
                  </w:pPr>
                  <w:r>
                    <w:rPr>
                      <w:rFonts w:hint="default" w:ascii="宋体" w:hAnsi="宋体" w:eastAsia="宋体" w:cs="宋体"/>
                      <w:b/>
                      <w:bCs/>
                      <w:color w:val="auto"/>
                      <w:kern w:val="0"/>
                      <w:sz w:val="21"/>
                      <w:szCs w:val="21"/>
                      <w:highlight w:val="none"/>
                      <w:lang w:val="en-US" w:eastAsia="zh-CN" w:bidi="ar-SA"/>
                    </w:rPr>
                    <w:t>服务事项</w:t>
                  </w:r>
                </w:p>
              </w:tc>
              <w:tc>
                <w:tcPr>
                  <w:tcW w:w="3617" w:type="dxa"/>
                  <w:vAlign w:val="top"/>
                </w:tcPr>
                <w:p w14:paraId="27CC6457">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center"/>
                    <w:textAlignment w:val="center"/>
                    <w:rPr>
                      <w:rFonts w:hint="eastAsia" w:ascii="宋体" w:hAnsi="宋体" w:eastAsia="宋体" w:cs="宋体"/>
                      <w:b/>
                      <w:bCs/>
                      <w:color w:val="auto"/>
                      <w:kern w:val="0"/>
                      <w:sz w:val="21"/>
                      <w:szCs w:val="21"/>
                      <w:highlight w:val="none"/>
                      <w:lang w:val="en-US" w:eastAsia="zh-CN" w:bidi="ar-SA"/>
                    </w:rPr>
                  </w:pPr>
                  <w:r>
                    <w:rPr>
                      <w:rFonts w:hint="default" w:ascii="宋体" w:hAnsi="宋体" w:eastAsia="宋体" w:cs="宋体"/>
                      <w:b/>
                      <w:bCs/>
                      <w:color w:val="auto"/>
                      <w:kern w:val="0"/>
                      <w:sz w:val="21"/>
                      <w:szCs w:val="21"/>
                      <w:highlight w:val="none"/>
                      <w:lang w:val="en-US" w:eastAsia="zh-CN" w:bidi="ar-SA"/>
                    </w:rPr>
                    <w:t>具体服务内容</w:t>
                  </w:r>
                </w:p>
              </w:tc>
            </w:tr>
            <w:tr w14:paraId="29E37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vAlign w:val="top"/>
                </w:tcPr>
                <w:p w14:paraId="0A68821A">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p>
              </w:tc>
              <w:tc>
                <w:tcPr>
                  <w:tcW w:w="1623" w:type="dxa"/>
                  <w:vAlign w:val="top"/>
                </w:tcPr>
                <w:p w14:paraId="7D8ED19F">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咨询服务</w:t>
                  </w:r>
                </w:p>
              </w:tc>
              <w:tc>
                <w:tcPr>
                  <w:tcW w:w="3617" w:type="dxa"/>
                  <w:vAlign w:val="top"/>
                </w:tcPr>
                <w:p w14:paraId="62A5E5A6">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提供</w:t>
                  </w:r>
                  <w:r>
                    <w:rPr>
                      <w:rFonts w:hint="default" w:ascii="宋体" w:hAnsi="宋体" w:eastAsia="宋体" w:cs="宋体"/>
                      <w:color w:val="auto"/>
                      <w:kern w:val="0"/>
                      <w:sz w:val="21"/>
                      <w:szCs w:val="21"/>
                      <w:highlight w:val="none"/>
                      <w:lang w:val="en-US" w:eastAsia="zh-CN" w:bidi="ar-SA"/>
                    </w:rPr>
                    <w:t>人社相关政策或对接人社部门相关股室（单位），为各类重点求职人群提供招聘、求职、培训、就业援助、政策咨询、创业指导、劳动者权益保障等就业“一条龙”服务。</w:t>
                  </w:r>
                </w:p>
                <w:p w14:paraId="672D23FE">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p>
              </w:tc>
            </w:tr>
            <w:tr w14:paraId="4B253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vAlign w:val="top"/>
                </w:tcPr>
                <w:p w14:paraId="585614BA">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w:t>
                  </w:r>
                </w:p>
              </w:tc>
              <w:tc>
                <w:tcPr>
                  <w:tcW w:w="1623" w:type="dxa"/>
                  <w:vAlign w:val="top"/>
                </w:tcPr>
                <w:p w14:paraId="3A745E18">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center"/>
                    <w:textAlignment w:val="center"/>
                    <w:rPr>
                      <w:rFonts w:hint="eastAsia"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1"/>
                      <w:szCs w:val="21"/>
                      <w:highlight w:val="none"/>
                      <w:lang w:val="en-US" w:eastAsia="zh-CN" w:bidi="ar-SA"/>
                    </w:rPr>
                    <w:t>就业和失业管理服务</w:t>
                  </w:r>
                </w:p>
              </w:tc>
              <w:tc>
                <w:tcPr>
                  <w:tcW w:w="3617" w:type="dxa"/>
                  <w:vAlign w:val="top"/>
                </w:tcPr>
                <w:p w14:paraId="6EC0ACE4">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做好</w:t>
                  </w:r>
                  <w:r>
                    <w:rPr>
                      <w:rFonts w:hint="default" w:ascii="宋体" w:hAnsi="宋体" w:eastAsia="宋体" w:cs="宋体"/>
                      <w:color w:val="auto"/>
                      <w:kern w:val="0"/>
                      <w:sz w:val="21"/>
                      <w:szCs w:val="21"/>
                      <w:highlight w:val="none"/>
                      <w:lang w:val="en-US" w:eastAsia="zh-CN" w:bidi="ar-SA"/>
                    </w:rPr>
                    <w:t>辖区劳动年龄范围内有劳动能力且登记失业的残疾人员、城镇大龄失业人员、低保家庭人员、城镇零就业家庭人员、长期失业人员、失地人员办理就业困难人员认定指导</w:t>
                  </w:r>
                  <w:r>
                    <w:rPr>
                      <w:rFonts w:hint="eastAsia" w:ascii="宋体" w:hAnsi="宋体" w:eastAsia="宋体" w:cs="宋体"/>
                      <w:color w:val="auto"/>
                      <w:kern w:val="0"/>
                      <w:sz w:val="21"/>
                      <w:szCs w:val="21"/>
                      <w:highlight w:val="none"/>
                      <w:lang w:val="en-US" w:eastAsia="zh-CN" w:bidi="ar-SA"/>
                    </w:rPr>
                    <w:t>及辖区登记失业人员</w:t>
                  </w:r>
                  <w:r>
                    <w:rPr>
                      <w:rFonts w:hint="default" w:ascii="宋体" w:hAnsi="宋体" w:eastAsia="宋体" w:cs="宋体"/>
                      <w:color w:val="auto"/>
                      <w:kern w:val="0"/>
                      <w:sz w:val="21"/>
                      <w:szCs w:val="21"/>
                      <w:highlight w:val="none"/>
                      <w:lang w:val="en-US" w:eastAsia="zh-CN" w:bidi="ar-SA"/>
                    </w:rPr>
                    <w:t>就业跟踪帮扶</w:t>
                  </w:r>
                  <w:r>
                    <w:rPr>
                      <w:rFonts w:hint="eastAsia" w:ascii="宋体" w:hAnsi="宋体" w:eastAsia="宋体" w:cs="宋体"/>
                      <w:color w:val="auto"/>
                      <w:kern w:val="0"/>
                      <w:sz w:val="21"/>
                      <w:szCs w:val="21"/>
                      <w:highlight w:val="none"/>
                      <w:lang w:val="en-US" w:eastAsia="zh-CN" w:bidi="ar-SA"/>
                    </w:rPr>
                    <w:t>。</w:t>
                  </w:r>
                </w:p>
              </w:tc>
            </w:tr>
            <w:tr w14:paraId="4BAA7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vAlign w:val="top"/>
                </w:tcPr>
                <w:p w14:paraId="3629C9E0">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w:t>
                  </w:r>
                </w:p>
              </w:tc>
              <w:tc>
                <w:tcPr>
                  <w:tcW w:w="1623" w:type="dxa"/>
                  <w:vAlign w:val="top"/>
                </w:tcPr>
                <w:p w14:paraId="7E29C31F">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center"/>
                    <w:textAlignment w:val="center"/>
                    <w:rPr>
                      <w:rFonts w:hint="eastAsia"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1"/>
                      <w:szCs w:val="21"/>
                      <w:highlight w:val="none"/>
                      <w:lang w:val="en-US" w:eastAsia="zh-CN" w:bidi="ar-SA"/>
                    </w:rPr>
                    <w:t>职业指导和职业介绍</w:t>
                  </w:r>
                </w:p>
              </w:tc>
              <w:tc>
                <w:tcPr>
                  <w:tcW w:w="3617" w:type="dxa"/>
                  <w:vAlign w:val="top"/>
                </w:tcPr>
                <w:p w14:paraId="5A69BC68">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1"/>
                      <w:szCs w:val="21"/>
                      <w:highlight w:val="none"/>
                      <w:lang w:val="en-US" w:eastAsia="zh-CN" w:bidi="ar-SA"/>
                    </w:rPr>
                    <w:t>登记、引导、指导有求职需求的群众到服务站侯工、求职，积极对接辖区内各企业</w:t>
                  </w:r>
                  <w:r>
                    <w:rPr>
                      <w:rFonts w:hint="eastAsia" w:ascii="宋体" w:hAnsi="宋体" w:eastAsia="宋体" w:cs="宋体"/>
                      <w:color w:val="auto"/>
                      <w:kern w:val="0"/>
                      <w:sz w:val="21"/>
                      <w:szCs w:val="21"/>
                      <w:highlight w:val="none"/>
                      <w:lang w:val="en-US" w:eastAsia="zh-CN" w:bidi="ar-SA"/>
                    </w:rPr>
                    <w:t>、</w:t>
                  </w:r>
                  <w:r>
                    <w:rPr>
                      <w:rFonts w:hint="default" w:ascii="宋体" w:hAnsi="宋体" w:eastAsia="宋体" w:cs="宋体"/>
                      <w:color w:val="auto"/>
                      <w:kern w:val="0"/>
                      <w:sz w:val="21"/>
                      <w:szCs w:val="21"/>
                      <w:highlight w:val="none"/>
                      <w:lang w:val="en-US" w:eastAsia="zh-CN" w:bidi="ar-SA"/>
                    </w:rPr>
                    <w:t>收集用工需求、用工条件、福利待遇等用工信息，每季度收集发布招工岗位信息并录入“</w:t>
                  </w:r>
                  <w:r>
                    <w:rPr>
                      <w:rFonts w:hint="eastAsia" w:ascii="宋体" w:hAnsi="宋体" w:eastAsia="宋体" w:cs="宋体"/>
                      <w:color w:val="auto"/>
                      <w:kern w:val="0"/>
                      <w:sz w:val="21"/>
                      <w:szCs w:val="21"/>
                      <w:highlight w:val="none"/>
                      <w:lang w:val="en-US" w:eastAsia="zh-CN" w:bidi="ar-SA"/>
                    </w:rPr>
                    <w:t>数智人社</w:t>
                  </w:r>
                  <w:r>
                    <w:rPr>
                      <w:rFonts w:hint="default" w:ascii="宋体" w:hAnsi="宋体" w:eastAsia="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广西就业</w:t>
                  </w:r>
                  <w:r>
                    <w:rPr>
                      <w:rFonts w:hint="default" w:ascii="宋体" w:hAnsi="宋体" w:eastAsia="宋体" w:cs="宋体"/>
                      <w:color w:val="auto"/>
                      <w:kern w:val="0"/>
                      <w:sz w:val="21"/>
                      <w:szCs w:val="21"/>
                      <w:highlight w:val="none"/>
                      <w:lang w:val="en-US" w:eastAsia="zh-CN" w:bidi="ar-SA"/>
                    </w:rPr>
                    <w:t>平台不少于</w:t>
                  </w:r>
                  <w:r>
                    <w:rPr>
                      <w:rFonts w:hint="eastAsia" w:ascii="宋体" w:hAnsi="宋体" w:eastAsia="宋体" w:cs="宋体"/>
                      <w:color w:val="auto"/>
                      <w:kern w:val="0"/>
                      <w:sz w:val="21"/>
                      <w:szCs w:val="21"/>
                      <w:highlight w:val="none"/>
                      <w:lang w:val="en-US" w:eastAsia="zh-CN" w:bidi="ar-SA"/>
                    </w:rPr>
                    <w:t>1000</w:t>
                  </w:r>
                  <w:r>
                    <w:rPr>
                      <w:rFonts w:hint="default" w:ascii="宋体" w:hAnsi="宋体" w:eastAsia="宋体" w:cs="宋体"/>
                      <w:color w:val="auto"/>
                      <w:kern w:val="0"/>
                      <w:sz w:val="21"/>
                      <w:szCs w:val="21"/>
                      <w:highlight w:val="none"/>
                      <w:lang w:val="en-US" w:eastAsia="zh-CN" w:bidi="ar-SA"/>
                    </w:rPr>
                    <w:t>个，促进求职成功</w:t>
                  </w:r>
                  <w:r>
                    <w:rPr>
                      <w:rFonts w:hint="eastAsia" w:ascii="宋体" w:hAnsi="宋体" w:eastAsia="宋体" w:cs="宋体"/>
                      <w:color w:val="auto"/>
                      <w:kern w:val="0"/>
                      <w:sz w:val="21"/>
                      <w:szCs w:val="21"/>
                      <w:highlight w:val="none"/>
                      <w:lang w:val="en-US" w:eastAsia="zh-CN" w:bidi="ar-SA"/>
                    </w:rPr>
                    <w:t>率达到60%</w:t>
                  </w:r>
                  <w:r>
                    <w:rPr>
                      <w:rFonts w:hint="default" w:ascii="宋体" w:hAnsi="宋体" w:eastAsia="宋体" w:cs="宋体"/>
                      <w:color w:val="auto"/>
                      <w:kern w:val="0"/>
                      <w:sz w:val="21"/>
                      <w:szCs w:val="21"/>
                      <w:highlight w:val="none"/>
                      <w:lang w:val="en-US" w:eastAsia="zh-CN" w:bidi="ar-SA"/>
                    </w:rPr>
                    <w:t xml:space="preserve">。 </w:t>
                  </w:r>
                </w:p>
              </w:tc>
            </w:tr>
            <w:tr w14:paraId="389FA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vAlign w:val="top"/>
                </w:tcPr>
                <w:p w14:paraId="0F4F19CF">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w:t>
                  </w:r>
                </w:p>
              </w:tc>
              <w:tc>
                <w:tcPr>
                  <w:tcW w:w="1623" w:type="dxa"/>
                  <w:vAlign w:val="top"/>
                </w:tcPr>
                <w:p w14:paraId="44301818">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center"/>
                    <w:textAlignment w:val="center"/>
                    <w:rPr>
                      <w:rFonts w:hint="eastAsia"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1"/>
                      <w:szCs w:val="21"/>
                      <w:highlight w:val="none"/>
                      <w:lang w:val="en-US" w:eastAsia="zh-CN" w:bidi="ar-SA"/>
                    </w:rPr>
                    <w:t>职业技能培训</w:t>
                  </w:r>
                </w:p>
              </w:tc>
              <w:tc>
                <w:tcPr>
                  <w:tcW w:w="3617" w:type="dxa"/>
                  <w:vAlign w:val="top"/>
                </w:tcPr>
                <w:p w14:paraId="47B6EE61">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1"/>
                      <w:szCs w:val="21"/>
                      <w:highlight w:val="none"/>
                      <w:lang w:val="en-US" w:eastAsia="zh-CN" w:bidi="ar-SA"/>
                    </w:rPr>
                    <w:t>采集、发布县级就业培训信息，推荐培训项目。</w:t>
                  </w:r>
                </w:p>
              </w:tc>
            </w:tr>
            <w:tr w14:paraId="29E21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vAlign w:val="top"/>
                </w:tcPr>
                <w:p w14:paraId="14A650E6">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w:t>
                  </w:r>
                </w:p>
              </w:tc>
              <w:tc>
                <w:tcPr>
                  <w:tcW w:w="1623" w:type="dxa"/>
                  <w:vAlign w:val="top"/>
                </w:tcPr>
                <w:p w14:paraId="396F3806">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center"/>
                    <w:textAlignment w:val="center"/>
                    <w:rPr>
                      <w:rFonts w:hint="eastAsia"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1"/>
                      <w:szCs w:val="21"/>
                      <w:highlight w:val="none"/>
                      <w:lang w:val="en-US" w:eastAsia="zh-CN" w:bidi="ar-SA"/>
                    </w:rPr>
                    <w:t>创业服务</w:t>
                  </w:r>
                </w:p>
              </w:tc>
              <w:tc>
                <w:tcPr>
                  <w:tcW w:w="3617" w:type="dxa"/>
                  <w:vAlign w:val="top"/>
                </w:tcPr>
                <w:p w14:paraId="46EF9E2A">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1"/>
                      <w:szCs w:val="21"/>
                      <w:highlight w:val="none"/>
                      <w:lang w:val="en-US" w:eastAsia="zh-CN" w:bidi="ar-SA"/>
                    </w:rPr>
                    <w:t>提供创业咨询服务，采集、发布创业培训信息，宣传创业担保贷款政策</w:t>
                  </w:r>
                  <w:r>
                    <w:rPr>
                      <w:rFonts w:hint="eastAsia" w:ascii="宋体" w:hAnsi="宋体" w:eastAsia="宋体" w:cs="宋体"/>
                      <w:color w:val="auto"/>
                      <w:kern w:val="0"/>
                      <w:sz w:val="21"/>
                      <w:szCs w:val="21"/>
                      <w:highlight w:val="none"/>
                      <w:lang w:val="en-US" w:eastAsia="zh-CN" w:bidi="ar-SA"/>
                    </w:rPr>
                    <w:t>。</w:t>
                  </w:r>
                </w:p>
              </w:tc>
            </w:tr>
            <w:tr w14:paraId="5CC86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vAlign w:val="top"/>
                </w:tcPr>
                <w:p w14:paraId="6B3AED9C">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w:t>
                  </w:r>
                </w:p>
              </w:tc>
              <w:tc>
                <w:tcPr>
                  <w:tcW w:w="1623" w:type="dxa"/>
                  <w:vAlign w:val="top"/>
                </w:tcPr>
                <w:p w14:paraId="2763462F">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离校未就业高校毕业生就业服务</w:t>
                  </w:r>
                </w:p>
              </w:tc>
              <w:tc>
                <w:tcPr>
                  <w:tcW w:w="3617" w:type="dxa"/>
                  <w:vAlign w:val="top"/>
                </w:tcPr>
                <w:p w14:paraId="15695D94">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收集辖区内离校未就业高校毕业生信息，并进行就业回访、开展就业帮扶。</w:t>
                  </w:r>
                </w:p>
              </w:tc>
            </w:tr>
            <w:tr w14:paraId="0CCA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vAlign w:val="top"/>
                </w:tcPr>
                <w:p w14:paraId="5339DA2D">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w:t>
                  </w:r>
                </w:p>
              </w:tc>
              <w:tc>
                <w:tcPr>
                  <w:tcW w:w="1623" w:type="dxa"/>
                  <w:vAlign w:val="top"/>
                </w:tcPr>
                <w:p w14:paraId="00AF1EE9">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就业补贴服务指导</w:t>
                  </w:r>
                </w:p>
              </w:tc>
              <w:tc>
                <w:tcPr>
                  <w:tcW w:w="3617" w:type="dxa"/>
                  <w:vAlign w:val="top"/>
                </w:tcPr>
                <w:p w14:paraId="457AE215">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根据稳就业政策的各项补贴一次性告知单，在辖区内开展稳就业政策落实、宣传，为辖区企业、群众提供申请各项就业补贴的指导</w:t>
                  </w:r>
                </w:p>
              </w:tc>
            </w:tr>
            <w:tr w14:paraId="73B87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vAlign w:val="top"/>
                </w:tcPr>
                <w:p w14:paraId="19042778">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w:t>
                  </w:r>
                </w:p>
              </w:tc>
              <w:tc>
                <w:tcPr>
                  <w:tcW w:w="1623" w:type="dxa"/>
                  <w:vAlign w:val="top"/>
                </w:tcPr>
                <w:p w14:paraId="078FA906">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center"/>
                    <w:textAlignment w:val="center"/>
                    <w:rPr>
                      <w:rFonts w:hint="eastAsia"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1"/>
                      <w:szCs w:val="21"/>
                      <w:highlight w:val="none"/>
                      <w:lang w:val="en-US" w:eastAsia="zh-CN" w:bidi="ar-SA"/>
                    </w:rPr>
                    <w:t>劳动维权服务</w:t>
                  </w:r>
                </w:p>
              </w:tc>
              <w:tc>
                <w:tcPr>
                  <w:tcW w:w="3617" w:type="dxa"/>
                  <w:vAlign w:val="top"/>
                </w:tcPr>
                <w:p w14:paraId="4CB8EE0D">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1"/>
                      <w:szCs w:val="21"/>
                      <w:highlight w:val="none"/>
                      <w:lang w:val="en-US" w:eastAsia="zh-CN" w:bidi="ar-SA"/>
                    </w:rPr>
                    <w:t xml:space="preserve">劳动者工资、社保等维权指导，企业用工指导 </w:t>
                  </w:r>
                </w:p>
              </w:tc>
            </w:tr>
          </w:tbl>
          <w:p w14:paraId="4676A09D">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三、服务要求</w:t>
            </w:r>
          </w:p>
          <w:p w14:paraId="2D81D25D">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（一）要在县城工业园区设立就业服务工作站，拟配置6人</w:t>
            </w:r>
          </w:p>
          <w:p w14:paraId="2A264132">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1.负责龙门、县城、福旺、乐民工业园区企业，园区外重点企业招工（含就业帮扶车间），“园区+车间+庭院”模式加工点（公司）招工服务等工作；</w:t>
            </w:r>
          </w:p>
          <w:p w14:paraId="70C4B9D5">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负责龙门、三合、江城街道、小江街道、福旺、官垌、乐民、平睦、六硍等9个镇（街道）的企业（含就业帮扶车间）、村（社区）就业服务指导等服务工作；收集的企业需招聘的岗位信息录入广西“数智人社”系统。</w:t>
            </w:r>
          </w:p>
          <w:p w14:paraId="7EF6F2E5">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3.负责辖区内零工市场相关业务工作，零工岗位信息要录入广西“数智人社”系统。</w:t>
            </w:r>
          </w:p>
          <w:p w14:paraId="1854D7FB">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（二 ）要严格按“五个一”管理</w:t>
            </w:r>
          </w:p>
          <w:p w14:paraId="4148C102">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就业服务工作站必须在县就业服务中心的管理和指导下开展服务工作，按照“五个一”（统一标识、统一制度、统一标准、统一流程、统一队伍）的模式进行管理，确保各项工作正常开展，按时按质完成各项工作任务。</w:t>
            </w:r>
          </w:p>
          <w:p w14:paraId="300297B7">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（三）要落实“五个有”</w:t>
            </w:r>
          </w:p>
          <w:p w14:paraId="25F9809F">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1.有固定办公场所（原则上分设服务大厅、洽谈室、会议室）；</w:t>
            </w:r>
          </w:p>
          <w:p w14:paraId="71505A35">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2.有办公设备（服务大厅配备办公桌椅、电脑、打印机、空调、饮水机、档案柜、复印机、群众座椅、窗口座椅，会议室配备会议台、椅，洽谈室配备沙发、茶几，拉通网络及安装摄象头，开通固定电话等）；</w:t>
            </w:r>
          </w:p>
          <w:p w14:paraId="50932092">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3.有专职工作人员（工作人员统一工作服，佩带工作牌上岗）；</w:t>
            </w:r>
          </w:p>
          <w:p w14:paraId="5C2D143F">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4.有宣传阵地（安装显示屏，设立宣传牌，印制宣传资料等）；</w:t>
            </w:r>
          </w:p>
          <w:p w14:paraId="621BBA5F">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5.有工作要求（做到工作有制度、服务有标准、操作有流程）。</w:t>
            </w:r>
          </w:p>
          <w:p w14:paraId="33AB0C88">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（四）要按要求印制宣传资料</w:t>
            </w:r>
          </w:p>
          <w:p w14:paraId="79AAE4B9">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按县就业服务中心要求制作相关资料，包括开展各个项目服务所需资料，以及招聘会会场布置所需材料、企业宣传简介、横幅、海报、宣传栏等。</w:t>
            </w:r>
          </w:p>
          <w:p w14:paraId="1BEFC5A3">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（五）要规范建立工作台账</w:t>
            </w:r>
          </w:p>
          <w:p w14:paraId="0FDD64E6">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所开展的每一个服务项目活动或工作，必须分类归档建立工作台账资料，做到一项一档。</w:t>
            </w:r>
          </w:p>
          <w:p w14:paraId="3C440C6D">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（六）要及时收集材料报送</w:t>
            </w:r>
          </w:p>
          <w:p w14:paraId="08C38DD8">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1.报表报送。务必按县就业服务中心的要求报送相关信息材料，如各类报表、实名制名册、总结等材料。</w:t>
            </w:r>
          </w:p>
          <w:p w14:paraId="680DA9C6">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2.服务项目进展情况报送。主要包括企业招聘协调情况、开展招聘进展、招聘工作亮点、活动组织、工作动态、工作存在的问题等，研判形势，总结经验。</w:t>
            </w:r>
          </w:p>
          <w:p w14:paraId="6A09BE7E">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3.活动资料报送。活动方案、图片、经验总结等材料每月以书面、电子版形式报送。</w:t>
            </w:r>
          </w:p>
          <w:p w14:paraId="1E428C3D">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四、考核要求</w:t>
            </w:r>
          </w:p>
          <w:p w14:paraId="704AB7F4">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指标要求。收集岗位信息并录入广西“数智人社”信息系统广西就业平台大于或等于4000条，每个季度大于或等于1000条。线上、线下各项服务项目必须达100%；上门服务企业率100%，企业知晓率100%，企业满意率95%；就业、用工推荐匹配率达100%，成功率达60%；材料报送按时、完整率100%；村委（社区）干部知晓率100%，群众知晓率80%，服务群众满意率90%。</w:t>
            </w:r>
          </w:p>
          <w:p w14:paraId="66E2923D">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二）考核方式。实行一季度一考核，年终大考核，村委（社区）干部知晓率、群众知晓率、服务群众满意率年终考核一次，其余指标每季度考核一次。根据第三方提供佐证材料，由县人社局通过调查问卷、电话抽查和现场核查等方式进行考核。</w:t>
            </w:r>
          </w:p>
          <w:p w14:paraId="12C507F0">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五、考核结果运用</w:t>
            </w:r>
          </w:p>
          <w:p w14:paraId="5E5933C1">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（一）指标不达标的，每少1个百分点，扣减经费0.1万元。</w:t>
            </w:r>
          </w:p>
          <w:p w14:paraId="6370D75C">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（二）不按时间要求报送报表、名册等相关材料的，每次扣减经费0.2万元；不报送报表、名册等相关材料的，每次扣减经费0.5万元；发现虚报、瞒报、编造假数据、假材料的，每次扣减经费2万元。</w:t>
            </w:r>
          </w:p>
          <w:p w14:paraId="33BF12E4">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（三）不开展约定服务项目的，每少1个，扣减经费3万元；开展服务项目次数达不到约定次数的，每少1次扣减经费1万元。（客观原因造成或者服务项目有冲突的除外）。</w:t>
            </w:r>
          </w:p>
          <w:p w14:paraId="6F228DA5">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（四）收集岗位信息并录入广西“数智人社”信息系统广西就业平台每季度小于1000条的，每少1个百分点，扣减经费0.1万元。</w:t>
            </w:r>
          </w:p>
          <w:p w14:paraId="2FEEE844">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（五）在开展服务工作中，第三方运营机构不得利用县人社局名义谋取相关利益；不得以县人社局名义、就业平台名义向企业、群众收取服务费；一经查实，每项每次扣减经费3万元。</w:t>
            </w:r>
          </w:p>
          <w:p w14:paraId="66E66C31">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（六）在开展服务工作中，有不良行为被群众投诉的，一经查实，每次扣减经费0.1万元。</w:t>
            </w:r>
          </w:p>
          <w:p w14:paraId="79F394E9">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（七）各项指标均按时按质完成的，且成效明显的，同等条件下，可优先推荐为下一轮该项目服务机构。</w:t>
            </w:r>
          </w:p>
        </w:tc>
      </w:tr>
      <w:tr w14:paraId="130C9E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752" w:type="dxa"/>
            <w:gridSpan w:val="4"/>
            <w:tcBorders>
              <w:top w:val="single" w:color="auto" w:sz="4" w:space="0"/>
              <w:left w:val="single" w:color="auto" w:sz="4" w:space="0"/>
              <w:bottom w:val="single" w:color="auto" w:sz="4" w:space="0"/>
              <w:right w:val="single" w:color="auto" w:sz="4" w:space="0"/>
            </w:tcBorders>
          </w:tcPr>
          <w:p w14:paraId="7186DCF9">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一、商务要求</w:t>
            </w:r>
          </w:p>
        </w:tc>
      </w:tr>
      <w:tr w14:paraId="328DAD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94" w:hRule="atLeast"/>
          <w:jc w:val="center"/>
        </w:trPr>
        <w:tc>
          <w:tcPr>
            <w:tcW w:w="8752" w:type="dxa"/>
            <w:gridSpan w:val="4"/>
            <w:tcBorders>
              <w:top w:val="single" w:color="auto" w:sz="4" w:space="0"/>
              <w:left w:val="single" w:color="auto" w:sz="4" w:space="0"/>
              <w:bottom w:val="single" w:color="auto" w:sz="4" w:space="0"/>
              <w:right w:val="single" w:color="auto" w:sz="4" w:space="0"/>
            </w:tcBorders>
            <w:vAlign w:val="center"/>
          </w:tcPr>
          <w:p w14:paraId="7ECACEFC">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1、签订合同时间：自成交通知书发出之日起</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5日历日内。</w:t>
            </w:r>
          </w:p>
          <w:p w14:paraId="4DA4AF18">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Cs w:val="21"/>
                <w:highlight w:val="none"/>
              </w:rPr>
              <w:t>服务响应要求</w:t>
            </w:r>
            <w:r>
              <w:rPr>
                <w:rFonts w:hint="eastAsia" w:ascii="宋体" w:hAnsi="宋体" w:cs="宋体"/>
                <w:color w:val="auto"/>
                <w:szCs w:val="21"/>
                <w:highlight w:val="none"/>
                <w:lang w:eastAsia="zh-CN"/>
              </w:rPr>
              <w:t>：</w:t>
            </w:r>
            <w:r>
              <w:rPr>
                <w:rFonts w:hint="eastAsia" w:ascii="宋体" w:hAnsi="宋体" w:cs="宋体"/>
                <w:color w:val="auto"/>
                <w:szCs w:val="21"/>
                <w:highlight w:val="none"/>
              </w:rPr>
              <w:t>活动期间提供 7×24 小时现场服务，供应商接到采购人的通知后立即响应，并承担一切相关费用。</w:t>
            </w:r>
          </w:p>
          <w:p w14:paraId="667CB50E">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eastAsia="zh-CN"/>
              </w:rPr>
              <w:t>报价要求</w:t>
            </w:r>
            <w:r>
              <w:rPr>
                <w:rFonts w:hint="eastAsia" w:ascii="宋体" w:hAnsi="宋体" w:eastAsia="宋体" w:cs="宋体"/>
                <w:color w:val="auto"/>
                <w:sz w:val="21"/>
                <w:szCs w:val="21"/>
                <w:highlight w:val="none"/>
              </w:rPr>
              <w:t>：</w:t>
            </w:r>
          </w:p>
          <w:p w14:paraId="5DA1022C">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本项目磋商报价为总额报价，即一次性报出本项目服务所需的所有费用。</w:t>
            </w:r>
          </w:p>
          <w:p w14:paraId="10B79F31">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报价包含但不限于以下部分：</w:t>
            </w:r>
          </w:p>
          <w:p w14:paraId="52FFC080">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lang w:val="en-US" w:eastAsia="zh-CN"/>
              </w:rPr>
              <w:t>人工成本费、场地租金、</w:t>
            </w:r>
            <w:r>
              <w:rPr>
                <w:rFonts w:hint="eastAsia" w:ascii="宋体" w:hAnsi="宋体" w:eastAsia="宋体" w:cs="宋体"/>
                <w:color w:val="auto"/>
                <w:sz w:val="21"/>
                <w:szCs w:val="21"/>
                <w:highlight w:val="none"/>
              </w:rPr>
              <w:t>水电费用、邮电通讯费、网络费、保洁卫生费、服务设施</w:t>
            </w:r>
            <w:r>
              <w:rPr>
                <w:rFonts w:hint="eastAsia" w:ascii="宋体" w:hAnsi="宋体" w:eastAsia="宋体" w:cs="宋体"/>
                <w:color w:val="auto"/>
                <w:sz w:val="21"/>
                <w:szCs w:val="21"/>
                <w:highlight w:val="none"/>
                <w:lang w:val="en-US" w:eastAsia="zh-CN"/>
              </w:rPr>
              <w:t>设备</w:t>
            </w:r>
            <w:r>
              <w:rPr>
                <w:rFonts w:hint="eastAsia" w:ascii="宋体" w:hAnsi="宋体" w:eastAsia="宋体" w:cs="宋体"/>
                <w:color w:val="auto"/>
                <w:sz w:val="21"/>
                <w:szCs w:val="21"/>
                <w:highlight w:val="none"/>
              </w:rPr>
              <w:t>维护费、物业管理费、办公耗材费等</w:t>
            </w:r>
            <w:r>
              <w:rPr>
                <w:rFonts w:hint="eastAsia" w:ascii="宋体" w:hAnsi="宋体" w:eastAsia="宋体" w:cs="宋体"/>
                <w:color w:val="auto"/>
                <w:sz w:val="21"/>
                <w:szCs w:val="21"/>
                <w:highlight w:val="none"/>
                <w:lang w:val="en-US" w:eastAsia="zh-CN"/>
              </w:rPr>
              <w:t>相关费用</w:t>
            </w:r>
            <w:r>
              <w:rPr>
                <w:rFonts w:hint="eastAsia" w:ascii="宋体" w:hAnsi="宋体" w:eastAsia="宋体" w:cs="宋体"/>
                <w:color w:val="auto"/>
                <w:sz w:val="21"/>
                <w:szCs w:val="21"/>
                <w:highlight w:val="none"/>
              </w:rPr>
              <w:t>；</w:t>
            </w:r>
          </w:p>
          <w:p w14:paraId="2531D82F">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 必要的保险费用和各项税金；</w:t>
            </w:r>
          </w:p>
          <w:p w14:paraId="51A6E524">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 其他费用（包括但不限于组织、策划、宣传等费用）；</w:t>
            </w:r>
          </w:p>
          <w:p w14:paraId="5754D904">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 完成本项目采购的可预见及不可预见的所有成本及费用的总和，除合同价款及采购人认可的特殊情况外，采购人不再为本项目另付其他任何费用给成交供应商。</w:t>
            </w:r>
          </w:p>
          <w:p w14:paraId="7346B739">
            <w:pPr>
              <w:keepNext w:val="0"/>
              <w:keepLines w:val="0"/>
              <w:pageBreakBefore w:val="0"/>
              <w:suppressLineNumbers w:val="0"/>
              <w:shd w:val="clear"/>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4、付款方式：</w:t>
            </w:r>
            <w:r>
              <w:rPr>
                <w:rFonts w:hint="eastAsia" w:ascii="宋体" w:hAnsi="宋体" w:cs="宋体"/>
                <w:color w:val="auto"/>
                <w:sz w:val="21"/>
                <w:szCs w:val="21"/>
                <w:highlight w:val="none"/>
                <w:lang w:val="en-US" w:eastAsia="zh-CN"/>
              </w:rPr>
              <w:t>采购人在</w:t>
            </w:r>
            <w:r>
              <w:rPr>
                <w:rFonts w:hint="eastAsia" w:ascii="宋体" w:hAnsi="宋体" w:eastAsia="宋体" w:cs="宋体"/>
                <w:color w:val="auto"/>
                <w:sz w:val="21"/>
                <w:szCs w:val="21"/>
                <w:highlight w:val="none"/>
                <w:lang w:eastAsia="zh-CN"/>
              </w:rPr>
              <w:t>签订合同后15个工作日内</w:t>
            </w:r>
            <w:r>
              <w:rPr>
                <w:rFonts w:hint="eastAsia" w:ascii="宋体" w:hAnsi="宋体" w:eastAsia="宋体" w:cs="宋体"/>
                <w:color w:val="auto"/>
                <w:sz w:val="21"/>
                <w:szCs w:val="21"/>
                <w:highlight w:val="none"/>
                <w:lang w:val="en-US" w:eastAsia="zh-CN"/>
              </w:rPr>
              <w:t>向财政</w:t>
            </w:r>
            <w:r>
              <w:rPr>
                <w:rFonts w:hint="eastAsia" w:ascii="宋体" w:hAnsi="宋体" w:eastAsia="宋体" w:cs="宋体"/>
                <w:color w:val="auto"/>
                <w:kern w:val="0"/>
                <w:szCs w:val="21"/>
                <w:highlight w:val="none"/>
                <w:lang w:eastAsia="zh-CN"/>
              </w:rPr>
              <w:t>申请</w:t>
            </w:r>
            <w:r>
              <w:rPr>
                <w:rFonts w:hint="eastAsia" w:ascii="宋体" w:hAnsi="宋体" w:eastAsia="宋体" w:cs="宋体"/>
                <w:color w:val="auto"/>
                <w:kern w:val="0"/>
                <w:szCs w:val="21"/>
                <w:highlight w:val="none"/>
              </w:rPr>
              <w:t>拔付</w:t>
            </w:r>
            <w:r>
              <w:rPr>
                <w:rFonts w:hint="eastAsia" w:ascii="宋体" w:hAnsi="宋体" w:eastAsia="宋体" w:cs="宋体"/>
                <w:color w:val="auto"/>
                <w:kern w:val="0"/>
                <w:szCs w:val="21"/>
                <w:highlight w:val="none"/>
                <w:lang w:eastAsia="zh-CN"/>
              </w:rPr>
              <w:t>合同金额的</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0%</w:t>
            </w:r>
            <w:r>
              <w:rPr>
                <w:rFonts w:hint="eastAsia" w:ascii="宋体" w:hAnsi="宋体" w:cs="宋体"/>
                <w:color w:val="auto"/>
                <w:kern w:val="0"/>
                <w:szCs w:val="21"/>
                <w:highlight w:val="none"/>
                <w:lang w:val="en-US" w:eastAsia="zh-CN"/>
              </w:rPr>
              <w:t>给成交供应商</w:t>
            </w:r>
            <w:r>
              <w:rPr>
                <w:rFonts w:hint="eastAsia" w:ascii="宋体" w:hAnsi="宋体" w:eastAsia="宋体" w:cs="宋体"/>
                <w:color w:val="auto"/>
                <w:kern w:val="0"/>
                <w:szCs w:val="21"/>
                <w:highlight w:val="none"/>
                <w:lang w:eastAsia="zh-CN"/>
              </w:rPr>
              <w:t>作为前期运营服务款</w:t>
            </w:r>
            <w:r>
              <w:rPr>
                <w:rFonts w:hint="eastAsia" w:ascii="宋体" w:hAnsi="宋体" w:eastAsia="宋体" w:cs="宋体"/>
                <w:color w:val="auto"/>
                <w:kern w:val="0"/>
                <w:szCs w:val="21"/>
                <w:highlight w:val="none"/>
              </w:rPr>
              <w:t>，用于办公</w:t>
            </w:r>
            <w:r>
              <w:rPr>
                <w:rFonts w:hint="eastAsia" w:ascii="宋体" w:hAnsi="宋体" w:eastAsia="宋体" w:cs="宋体"/>
                <w:color w:val="auto"/>
                <w:kern w:val="0"/>
                <w:szCs w:val="21"/>
                <w:highlight w:val="none"/>
                <w:lang w:eastAsia="zh-CN"/>
              </w:rPr>
              <w:t>经费</w:t>
            </w:r>
            <w:r>
              <w:rPr>
                <w:rFonts w:hint="eastAsia" w:ascii="宋体" w:hAnsi="宋体" w:eastAsia="宋体" w:cs="宋体"/>
                <w:color w:val="auto"/>
                <w:kern w:val="0"/>
                <w:szCs w:val="21"/>
                <w:highlight w:val="none"/>
              </w:rPr>
              <w:t>、人员聘用</w:t>
            </w:r>
            <w:r>
              <w:rPr>
                <w:rFonts w:hint="eastAsia" w:ascii="宋体" w:hAnsi="宋体" w:eastAsia="宋体" w:cs="宋体"/>
                <w:color w:val="auto"/>
                <w:kern w:val="0"/>
                <w:szCs w:val="21"/>
                <w:highlight w:val="none"/>
                <w:lang w:eastAsia="zh-CN"/>
              </w:rPr>
              <w:t>、开展服务</w:t>
            </w:r>
            <w:r>
              <w:rPr>
                <w:rFonts w:hint="eastAsia" w:ascii="宋体" w:hAnsi="宋体" w:eastAsia="宋体" w:cs="宋体"/>
                <w:color w:val="auto"/>
                <w:kern w:val="0"/>
                <w:szCs w:val="21"/>
                <w:highlight w:val="none"/>
              </w:rPr>
              <w:t>等；末期</w:t>
            </w:r>
            <w:r>
              <w:rPr>
                <w:rFonts w:hint="eastAsia" w:ascii="宋体" w:hAnsi="宋体" w:cs="宋体"/>
                <w:color w:val="auto"/>
                <w:kern w:val="0"/>
                <w:szCs w:val="21"/>
                <w:highlight w:val="none"/>
                <w:lang w:val="en-US" w:eastAsia="zh-CN"/>
              </w:rPr>
              <w:t>的50%服务费</w:t>
            </w:r>
            <w:r>
              <w:rPr>
                <w:rFonts w:hint="eastAsia" w:ascii="宋体" w:hAnsi="宋体" w:eastAsia="宋体" w:cs="宋体"/>
                <w:color w:val="auto"/>
                <w:kern w:val="0"/>
                <w:szCs w:val="21"/>
                <w:highlight w:val="none"/>
              </w:rPr>
              <w:t>（即服务满一年）</w:t>
            </w:r>
            <w:r>
              <w:rPr>
                <w:rFonts w:hint="eastAsia" w:ascii="宋体" w:hAnsi="宋体" w:cs="宋体"/>
                <w:color w:val="auto"/>
                <w:kern w:val="0"/>
                <w:szCs w:val="21"/>
                <w:highlight w:val="none"/>
                <w:lang w:val="en-US" w:eastAsia="zh-CN"/>
              </w:rPr>
              <w:t>根据考核结果支付</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每次款项</w:t>
            </w:r>
            <w:r>
              <w:rPr>
                <w:rFonts w:hint="eastAsia" w:ascii="宋体" w:hAnsi="宋体" w:eastAsia="宋体" w:cs="宋体"/>
                <w:color w:val="auto"/>
                <w:kern w:val="0"/>
                <w:szCs w:val="21"/>
                <w:highlight w:val="none"/>
              </w:rPr>
              <w:t>支付前</w:t>
            </w:r>
            <w:r>
              <w:rPr>
                <w:rFonts w:hint="eastAsia" w:ascii="宋体" w:hAnsi="宋体" w:cs="宋体"/>
                <w:color w:val="auto"/>
                <w:kern w:val="0"/>
                <w:szCs w:val="21"/>
                <w:highlight w:val="none"/>
                <w:lang w:val="en-US" w:eastAsia="zh-CN"/>
              </w:rPr>
              <w:t>成交供应商</w:t>
            </w:r>
            <w:r>
              <w:rPr>
                <w:rFonts w:hint="eastAsia" w:ascii="宋体" w:hAnsi="宋体" w:eastAsia="宋体" w:cs="宋体"/>
                <w:color w:val="auto"/>
                <w:kern w:val="0"/>
                <w:szCs w:val="21"/>
                <w:highlight w:val="none"/>
              </w:rPr>
              <w:t>应先开具等额</w:t>
            </w:r>
            <w:r>
              <w:rPr>
                <w:rFonts w:hint="eastAsia" w:ascii="宋体" w:hAnsi="宋体" w:cs="宋体"/>
                <w:color w:val="auto"/>
                <w:kern w:val="0"/>
                <w:szCs w:val="21"/>
                <w:highlight w:val="none"/>
                <w:lang w:val="en-US" w:eastAsia="zh-CN"/>
              </w:rPr>
              <w:t>税务</w:t>
            </w:r>
            <w:r>
              <w:rPr>
                <w:rFonts w:hint="eastAsia" w:ascii="宋体" w:hAnsi="宋体" w:eastAsia="宋体" w:cs="宋体"/>
                <w:color w:val="auto"/>
                <w:kern w:val="0"/>
                <w:szCs w:val="21"/>
                <w:highlight w:val="none"/>
              </w:rPr>
              <w:t>发票给</w:t>
            </w:r>
            <w:r>
              <w:rPr>
                <w:rFonts w:hint="eastAsia" w:ascii="宋体" w:hAnsi="宋体" w:cs="宋体"/>
                <w:color w:val="auto"/>
                <w:kern w:val="0"/>
                <w:szCs w:val="21"/>
                <w:highlight w:val="none"/>
                <w:lang w:val="en-US" w:eastAsia="zh-CN"/>
              </w:rPr>
              <w:t>采购人</w:t>
            </w:r>
            <w:r>
              <w:rPr>
                <w:rFonts w:hint="eastAsia" w:ascii="宋体" w:hAnsi="宋体" w:eastAsia="宋体" w:cs="宋体"/>
                <w:color w:val="auto"/>
                <w:kern w:val="0"/>
                <w:szCs w:val="21"/>
                <w:highlight w:val="none"/>
              </w:rPr>
              <w:t>后，</w:t>
            </w:r>
            <w:r>
              <w:rPr>
                <w:rFonts w:hint="eastAsia" w:ascii="宋体" w:hAnsi="宋体" w:cs="宋体"/>
                <w:color w:val="auto"/>
                <w:kern w:val="0"/>
                <w:szCs w:val="21"/>
                <w:highlight w:val="none"/>
                <w:lang w:val="en-US" w:eastAsia="zh-CN"/>
              </w:rPr>
              <w:t>采购人</w:t>
            </w:r>
            <w:r>
              <w:rPr>
                <w:rFonts w:hint="eastAsia" w:ascii="宋体" w:hAnsi="宋体" w:eastAsia="宋体" w:cs="宋体"/>
                <w:color w:val="auto"/>
                <w:kern w:val="0"/>
                <w:szCs w:val="21"/>
                <w:highlight w:val="none"/>
              </w:rPr>
              <w:t>再进行支付</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否则采购人有权拒付并不因此构成违约</w:t>
            </w:r>
            <w:r>
              <w:rPr>
                <w:rFonts w:hint="eastAsia" w:ascii="宋体" w:hAnsi="宋体" w:eastAsia="宋体" w:cs="宋体"/>
                <w:color w:val="auto"/>
                <w:sz w:val="21"/>
                <w:szCs w:val="21"/>
                <w:highlight w:val="none"/>
              </w:rPr>
              <w:t>。</w:t>
            </w:r>
          </w:p>
          <w:p w14:paraId="73A4A9A1">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5、服务地点：采购人指定地点。</w:t>
            </w:r>
          </w:p>
          <w:p w14:paraId="006825BA">
            <w:pPr>
              <w:keepNext w:val="0"/>
              <w:keepLines w:val="0"/>
              <w:pageBreakBefore w:val="0"/>
              <w:suppressLineNumbers w:val="0"/>
              <w:kinsoku/>
              <w:topLinePunct w:val="0"/>
              <w:bidi w:val="0"/>
              <w:spacing w:before="60" w:beforeAutospacing="0" w:after="60" w:afterAutospacing="0" w:line="360" w:lineRule="auto"/>
              <w:ind w:left="0" w:right="0" w:firstLine="420" w:firstLineChars="200"/>
              <w:rPr>
                <w:rFonts w:hint="eastAsia" w:ascii="宋体" w:hAnsi="宋体" w:eastAsia="宋体"/>
                <w:color w:val="auto"/>
                <w:szCs w:val="21"/>
                <w:highlight w:val="none"/>
                <w:lang w:eastAsia="zh-CN"/>
              </w:rPr>
            </w:pPr>
            <w:r>
              <w:rPr>
                <w:rFonts w:hint="eastAsia" w:ascii="宋体" w:hAnsi="宋体" w:eastAsia="宋体" w:cs="宋体"/>
                <w:color w:val="auto"/>
                <w:sz w:val="21"/>
                <w:szCs w:val="21"/>
                <w:highlight w:val="none"/>
              </w:rPr>
              <w:t>6、</w:t>
            </w:r>
            <w:r>
              <w:rPr>
                <w:rFonts w:hint="eastAsia" w:ascii="宋体" w:hAnsi="宋体" w:cs="宋体"/>
                <w:color w:val="auto"/>
                <w:sz w:val="21"/>
                <w:szCs w:val="21"/>
                <w:highlight w:val="none"/>
                <w:lang w:eastAsia="zh-CN"/>
              </w:rPr>
              <w:t>服务期限</w:t>
            </w:r>
            <w:r>
              <w:rPr>
                <w:rFonts w:hint="eastAsia" w:ascii="宋体" w:hAnsi="宋体" w:eastAsia="宋体" w:cs="宋体"/>
                <w:color w:val="auto"/>
                <w:sz w:val="21"/>
                <w:szCs w:val="21"/>
                <w:highlight w:val="none"/>
              </w:rPr>
              <w:t>：通过采取政府购买服务方式实施，活动期3年，实行合同一年一签，第一年运营费用县城工业园区就业服务工作站预算为伍拾柒万伍仟柒佰元整（¥575,700元）；</w:t>
            </w:r>
            <w:r>
              <w:rPr>
                <w:rFonts w:hint="eastAsia" w:ascii="宋体" w:hAnsi="宋体" w:eastAsia="宋体" w:cs="宋体"/>
                <w:color w:val="auto"/>
                <w:sz w:val="21"/>
                <w:szCs w:val="21"/>
                <w:highlight w:val="none"/>
                <w:lang w:val="en-US" w:eastAsia="zh-CN"/>
              </w:rPr>
              <w:t>第二、第三年运营经费、服务内容结合实际进行调整优化，</w:t>
            </w:r>
            <w:r>
              <w:rPr>
                <w:rFonts w:hint="eastAsia" w:ascii="宋体" w:hAnsi="宋体" w:cs="宋体"/>
                <w:color w:val="auto"/>
                <w:sz w:val="21"/>
                <w:szCs w:val="21"/>
                <w:highlight w:val="none"/>
                <w:lang w:val="en-US" w:eastAsia="zh-CN"/>
              </w:rPr>
              <w:t>报县人民政府审批后，</w:t>
            </w:r>
            <w:r>
              <w:rPr>
                <w:rFonts w:hint="eastAsia" w:ascii="宋体" w:hAnsi="宋体" w:eastAsia="宋体" w:cs="宋体"/>
                <w:color w:val="auto"/>
                <w:sz w:val="21"/>
                <w:szCs w:val="21"/>
                <w:highlight w:val="none"/>
                <w:lang w:val="en-US" w:eastAsia="zh-CN"/>
              </w:rPr>
              <w:t>双方再续签合同，如遇上级政策调整，以上级政策为准，可终止实施。如果当年</w:t>
            </w:r>
            <w:r>
              <w:rPr>
                <w:rFonts w:hint="eastAsia" w:ascii="宋体" w:hAnsi="宋体" w:cs="宋体"/>
                <w:color w:val="auto"/>
                <w:sz w:val="21"/>
                <w:szCs w:val="21"/>
                <w:highlight w:val="none"/>
                <w:lang w:val="en-US" w:eastAsia="zh-CN"/>
              </w:rPr>
              <w:t>有2项（含2项）以上</w:t>
            </w:r>
            <w:r>
              <w:rPr>
                <w:rFonts w:hint="eastAsia" w:ascii="宋体" w:hAnsi="宋体" w:eastAsia="宋体" w:cs="宋体"/>
                <w:color w:val="auto"/>
                <w:sz w:val="21"/>
                <w:szCs w:val="21"/>
                <w:highlight w:val="none"/>
                <w:lang w:val="en-US" w:eastAsia="zh-CN"/>
              </w:rPr>
              <w:t>考核指标</w:t>
            </w:r>
            <w:r>
              <w:rPr>
                <w:rFonts w:hint="eastAsia" w:ascii="宋体" w:hAnsi="宋体" w:cs="宋体"/>
                <w:color w:val="auto"/>
                <w:sz w:val="21"/>
                <w:szCs w:val="21"/>
                <w:highlight w:val="none"/>
                <w:lang w:val="en-US" w:eastAsia="zh-CN"/>
              </w:rPr>
              <w:t>低于80%的</w:t>
            </w:r>
            <w:r>
              <w:rPr>
                <w:rFonts w:hint="eastAsia" w:ascii="宋体" w:hAnsi="宋体" w:eastAsia="宋体" w:cs="宋体"/>
                <w:color w:val="auto"/>
                <w:sz w:val="21"/>
                <w:szCs w:val="21"/>
                <w:highlight w:val="none"/>
                <w:lang w:val="en-US" w:eastAsia="zh-CN"/>
              </w:rPr>
              <w:t>，次年可终止实施。</w:t>
            </w:r>
          </w:p>
          <w:p w14:paraId="0169E205">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7、验收</w:t>
            </w:r>
          </w:p>
          <w:p w14:paraId="4293EF22">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采购人或委托的第三方根据</w:t>
            </w:r>
            <w:r>
              <w:rPr>
                <w:rFonts w:hint="eastAsia" w:ascii="宋体" w:hAnsi="宋体" w:cs="宋体"/>
                <w:color w:val="auto"/>
                <w:sz w:val="21"/>
                <w:szCs w:val="21"/>
                <w:highlight w:val="none"/>
                <w:lang w:eastAsia="zh-CN"/>
              </w:rPr>
              <w:t>签订</w:t>
            </w:r>
            <w:r>
              <w:rPr>
                <w:rFonts w:hint="eastAsia" w:ascii="宋体" w:hAnsi="宋体" w:eastAsia="宋体" w:cs="宋体"/>
                <w:color w:val="auto"/>
                <w:sz w:val="21"/>
                <w:szCs w:val="21"/>
                <w:highlight w:val="none"/>
              </w:rPr>
              <w:t>的合同和国家或所属地区有关政策标准对成交供应商提供的服务进行验收。</w:t>
            </w:r>
          </w:p>
          <w:p w14:paraId="090E0422">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成交供应商在验收前应对所提供的服务</w:t>
            </w:r>
            <w:r>
              <w:rPr>
                <w:rFonts w:hint="eastAsia" w:ascii="宋体" w:hAnsi="宋体" w:cs="宋体"/>
                <w:color w:val="auto"/>
                <w:sz w:val="21"/>
                <w:szCs w:val="21"/>
                <w:highlight w:val="none"/>
                <w:lang w:eastAsia="zh-CN"/>
              </w:rPr>
              <w:t>做出</w:t>
            </w:r>
            <w:r>
              <w:rPr>
                <w:rFonts w:hint="eastAsia" w:ascii="宋体" w:hAnsi="宋体" w:eastAsia="宋体" w:cs="宋体"/>
                <w:color w:val="auto"/>
                <w:sz w:val="21"/>
                <w:szCs w:val="21"/>
                <w:highlight w:val="none"/>
              </w:rPr>
              <w:t>全面检查和对验收文件进行整理，并列出 清单，作为采购人验收的依据之一。成交供应商不能按规定交付相关材料，导致采购人 无法确认成交供应商服务结果的，必须负责补齐，否则视为未按合同约定交付服务。</w:t>
            </w:r>
          </w:p>
          <w:p w14:paraId="2F7A97B9">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以符合现行国家相关标准、行业标准、地方标准或者其他标准、规范及验收标准之一， 未尽事宜严格按照《关于印发广西壮族自治区政府采购项目履约验收管理办法的通知》 [桂财采〔2015〕22 号]以及《财政部关于进一步加强政府采购需求和履约验收管理的指 导意见》 [财库〔2016〕205 号]规定执行。</w:t>
            </w:r>
          </w:p>
          <w:p w14:paraId="4A3278D8">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8、知识产权</w:t>
            </w:r>
          </w:p>
          <w:p w14:paraId="78B41BAF">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须保障采购人在使用该货物及服务或其任何一部分时不受到第三方关于侵犯专利权、商标权或工业设计权等知识产权的指控。如果任何第三方提出侵权指控与采购人无关，供应商须与第三方交涉并承担可能发生的责任与一切费用。如采购人因此而</w:t>
            </w:r>
            <w:r>
              <w:rPr>
                <w:rFonts w:hint="eastAsia" w:ascii="宋体" w:hAnsi="宋体" w:cs="宋体"/>
                <w:color w:val="auto"/>
                <w:sz w:val="21"/>
                <w:szCs w:val="21"/>
                <w:highlight w:val="none"/>
                <w:lang w:eastAsia="zh-CN"/>
              </w:rPr>
              <w:t>遭受</w:t>
            </w:r>
            <w:r>
              <w:rPr>
                <w:rFonts w:hint="eastAsia" w:ascii="宋体" w:hAnsi="宋体" w:eastAsia="宋体" w:cs="宋体"/>
                <w:color w:val="auto"/>
                <w:sz w:val="21"/>
                <w:szCs w:val="21"/>
                <w:highlight w:val="none"/>
              </w:rPr>
              <w:t>损失的，供应商应赔偿该损失。</w:t>
            </w:r>
          </w:p>
          <w:p w14:paraId="365F0D3B">
            <w:pPr>
              <w:keepNext w:val="0"/>
              <w:keepLines w:val="0"/>
              <w:pageBreakBefore w:val="0"/>
              <w:numPr>
                <w:ilvl w:val="0"/>
                <w:numId w:val="0"/>
              </w:numPr>
              <w:suppressLineNumbers w:val="0"/>
              <w:kinsoku/>
              <w:wordWrap/>
              <w:overflowPunct/>
              <w:topLinePunct w:val="0"/>
              <w:autoSpaceDN/>
              <w:bidi w:val="0"/>
              <w:adjustRightInd/>
              <w:snapToGrid/>
              <w:spacing w:before="60" w:beforeAutospacing="0" w:after="60" w:afterAutospacing="0" w:line="360" w:lineRule="auto"/>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9、</w:t>
            </w:r>
            <w:r>
              <w:rPr>
                <w:rFonts w:hint="eastAsia" w:ascii="宋体" w:hAnsi="宋体" w:eastAsia="宋体" w:cs="宋体"/>
                <w:color w:val="auto"/>
                <w:sz w:val="21"/>
                <w:szCs w:val="21"/>
                <w:highlight w:val="none"/>
              </w:rPr>
              <w:t>标准、规范</w:t>
            </w:r>
          </w:p>
          <w:p w14:paraId="68B51508">
            <w:pPr>
              <w:keepNext w:val="0"/>
              <w:keepLines w:val="0"/>
              <w:pageBreakBefore w:val="0"/>
              <w:numPr>
                <w:ilvl w:val="0"/>
                <w:numId w:val="0"/>
              </w:numPr>
              <w:suppressLineNumbers w:val="0"/>
              <w:kinsoku/>
              <w:wordWrap/>
              <w:overflowPunct/>
              <w:topLinePunct w:val="0"/>
              <w:autoSpaceDN/>
              <w:bidi w:val="0"/>
              <w:adjustRightInd/>
              <w:snapToGrid/>
              <w:spacing w:before="60" w:beforeAutospacing="0" w:after="60" w:afterAutospacing="0" w:line="360" w:lineRule="auto"/>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如有国家相关标准、行业标准、地方标准或者其他标准、规范的，应执行相应的标准、规范。如具体采购需求与标准、规范不一致的，高于标准、规范的按具体采购需求执行，低于标准、规范的按标准、规范执行。</w:t>
            </w:r>
          </w:p>
        </w:tc>
      </w:tr>
    </w:tbl>
    <w:p w14:paraId="77F5C07C">
      <w:pPr>
        <w:pageBreakBefore w:val="0"/>
        <w:kinsoku/>
        <w:topLinePunct w:val="0"/>
        <w:bidi w:val="0"/>
        <w:spacing w:before="60" w:after="60" w:line="360" w:lineRule="auto"/>
        <w:rPr>
          <w:rFonts w:hint="eastAsia" w:ascii="宋体" w:hAnsi="宋体" w:cs="Arial Unicode MS"/>
          <w:b/>
          <w:bCs/>
          <w:color w:val="auto"/>
          <w:sz w:val="28"/>
          <w:szCs w:val="28"/>
          <w:highlight w:val="none"/>
        </w:rPr>
      </w:pPr>
      <w:r>
        <w:rPr>
          <w:rFonts w:hint="eastAsia" w:ascii="宋体" w:hAnsi="宋体" w:cs="Arial Unicode MS"/>
          <w:b/>
          <w:bCs/>
          <w:color w:val="auto"/>
          <w:sz w:val="28"/>
          <w:szCs w:val="28"/>
          <w:highlight w:val="none"/>
        </w:rPr>
        <w:br w:type="page"/>
      </w:r>
    </w:p>
    <w:tbl>
      <w:tblPr>
        <w:tblStyle w:val="30"/>
        <w:tblW w:w="87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293"/>
        <w:gridCol w:w="850"/>
        <w:gridCol w:w="5954"/>
      </w:tblGrid>
      <w:tr w14:paraId="054B9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8752" w:type="dxa"/>
            <w:gridSpan w:val="4"/>
            <w:vAlign w:val="center"/>
          </w:tcPr>
          <w:p w14:paraId="231CEF25">
            <w:pPr>
              <w:keepNext w:val="0"/>
              <w:keepLines w:val="0"/>
              <w:pageBreakBefore w:val="0"/>
              <w:suppressLineNumbers w:val="0"/>
              <w:tabs>
                <w:tab w:val="left" w:pos="180"/>
                <w:tab w:val="left" w:pos="1620"/>
              </w:tabs>
              <w:kinsoku/>
              <w:wordWrap/>
              <w:overflowPunct/>
              <w:topLinePunct w:val="0"/>
              <w:autoSpaceDN/>
              <w:bidi w:val="0"/>
              <w:adjustRightInd/>
              <w:snapToGrid/>
              <w:spacing w:before="60" w:beforeAutospacing="0" w:after="6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标项二</w:t>
            </w:r>
          </w:p>
        </w:tc>
      </w:tr>
      <w:tr w14:paraId="65322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8752" w:type="dxa"/>
            <w:gridSpan w:val="4"/>
            <w:vAlign w:val="center"/>
          </w:tcPr>
          <w:p w14:paraId="466F1941">
            <w:pPr>
              <w:keepNext w:val="0"/>
              <w:keepLines w:val="0"/>
              <w:pageBreakBefore w:val="0"/>
              <w:suppressLineNumbers w:val="0"/>
              <w:tabs>
                <w:tab w:val="left" w:pos="180"/>
                <w:tab w:val="left" w:pos="1620"/>
              </w:tabs>
              <w:kinsoku/>
              <w:wordWrap/>
              <w:overflowPunct/>
              <w:topLinePunct w:val="0"/>
              <w:autoSpaceDN/>
              <w:bidi w:val="0"/>
              <w:adjustRightInd/>
              <w:snapToGrid/>
              <w:spacing w:before="60" w:beforeAutospacing="0" w:after="60" w:afterAutospacing="0" w:line="360" w:lineRule="auto"/>
              <w:ind w:left="0" w:right="0"/>
              <w:jc w:val="cente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服务需求一览表</w:t>
            </w:r>
          </w:p>
        </w:tc>
      </w:tr>
      <w:tr w14:paraId="4E9FD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55" w:type="dxa"/>
            <w:vAlign w:val="center"/>
          </w:tcPr>
          <w:p w14:paraId="741AAA2A">
            <w:pPr>
              <w:keepNext w:val="0"/>
              <w:keepLines w:val="0"/>
              <w:pageBreakBefore w:val="0"/>
              <w:suppressLineNumbers w:val="0"/>
              <w:tabs>
                <w:tab w:val="left" w:pos="180"/>
                <w:tab w:val="left" w:pos="1620"/>
              </w:tabs>
              <w:kinsoku/>
              <w:wordWrap/>
              <w:overflowPunct/>
              <w:topLinePunct w:val="0"/>
              <w:autoSpaceDN/>
              <w:bidi w:val="0"/>
              <w:adjustRightInd/>
              <w:snapToGrid/>
              <w:spacing w:before="60" w:beforeAutospacing="0" w:after="60" w:afterAutospacing="0" w:line="360"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93" w:type="dxa"/>
            <w:vAlign w:val="center"/>
          </w:tcPr>
          <w:p w14:paraId="6B4B724A">
            <w:pPr>
              <w:keepNext w:val="0"/>
              <w:keepLines w:val="0"/>
              <w:pageBreakBefore w:val="0"/>
              <w:suppressLineNumbers w:val="0"/>
              <w:tabs>
                <w:tab w:val="left" w:pos="180"/>
                <w:tab w:val="left" w:pos="1620"/>
              </w:tabs>
              <w:kinsoku/>
              <w:wordWrap/>
              <w:overflowPunct/>
              <w:topLinePunct w:val="0"/>
              <w:autoSpaceDN/>
              <w:bidi w:val="0"/>
              <w:adjustRightInd/>
              <w:snapToGrid/>
              <w:spacing w:before="60" w:beforeAutospacing="0" w:after="60" w:afterAutospacing="0" w:line="360"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标的名称</w:t>
            </w:r>
          </w:p>
        </w:tc>
        <w:tc>
          <w:tcPr>
            <w:tcW w:w="850" w:type="dxa"/>
            <w:vAlign w:val="center"/>
          </w:tcPr>
          <w:p w14:paraId="4B690669">
            <w:pPr>
              <w:keepNext w:val="0"/>
              <w:keepLines w:val="0"/>
              <w:pageBreakBefore w:val="0"/>
              <w:suppressLineNumbers w:val="0"/>
              <w:tabs>
                <w:tab w:val="left" w:pos="180"/>
                <w:tab w:val="left" w:pos="1620"/>
              </w:tabs>
              <w:kinsoku/>
              <w:wordWrap/>
              <w:overflowPunct/>
              <w:topLinePunct w:val="0"/>
              <w:autoSpaceDN/>
              <w:bidi w:val="0"/>
              <w:adjustRightInd/>
              <w:snapToGrid/>
              <w:spacing w:before="60" w:beforeAutospacing="0" w:after="60" w:afterAutospacing="0" w:line="360"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数量及单位</w:t>
            </w:r>
          </w:p>
        </w:tc>
        <w:tc>
          <w:tcPr>
            <w:tcW w:w="5954" w:type="dxa"/>
            <w:vAlign w:val="center"/>
          </w:tcPr>
          <w:p w14:paraId="533EBA78">
            <w:pPr>
              <w:keepNext w:val="0"/>
              <w:keepLines w:val="0"/>
              <w:pageBreakBefore w:val="0"/>
              <w:suppressLineNumbers w:val="0"/>
              <w:tabs>
                <w:tab w:val="left" w:pos="180"/>
                <w:tab w:val="left" w:pos="1620"/>
              </w:tabs>
              <w:kinsoku/>
              <w:wordWrap/>
              <w:overflowPunct/>
              <w:topLinePunct w:val="0"/>
              <w:autoSpaceDN/>
              <w:bidi w:val="0"/>
              <w:adjustRightInd/>
              <w:snapToGrid/>
              <w:spacing w:before="60" w:beforeAutospacing="0" w:after="60" w:afterAutospacing="0" w:line="360"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技术和服务要求</w:t>
            </w:r>
          </w:p>
        </w:tc>
      </w:tr>
      <w:tr w14:paraId="0E4D5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655" w:type="dxa"/>
            <w:vAlign w:val="center"/>
          </w:tcPr>
          <w:p w14:paraId="6111F2F6">
            <w:pPr>
              <w:keepNext w:val="0"/>
              <w:keepLines w:val="0"/>
              <w:pageBreakBefore w:val="0"/>
              <w:suppressLineNumbers w:val="0"/>
              <w:tabs>
                <w:tab w:val="left" w:pos="180"/>
                <w:tab w:val="left" w:pos="1620"/>
              </w:tabs>
              <w:kinsoku/>
              <w:wordWrap/>
              <w:overflowPunct/>
              <w:topLinePunct w:val="0"/>
              <w:autoSpaceDN/>
              <w:bidi w:val="0"/>
              <w:adjustRightInd/>
              <w:snapToGrid/>
              <w:spacing w:before="60" w:beforeAutospacing="0" w:after="6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293" w:type="dxa"/>
            <w:vAlign w:val="center"/>
          </w:tcPr>
          <w:p w14:paraId="461F950C">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泉水工业园区就业服务工作站</w:t>
            </w:r>
          </w:p>
        </w:tc>
        <w:tc>
          <w:tcPr>
            <w:tcW w:w="850" w:type="dxa"/>
            <w:vAlign w:val="center"/>
          </w:tcPr>
          <w:p w14:paraId="0869EDE9">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1项</w:t>
            </w:r>
          </w:p>
        </w:tc>
        <w:tc>
          <w:tcPr>
            <w:tcW w:w="5954" w:type="dxa"/>
            <w:shd w:val="clear" w:color="auto" w:fill="auto"/>
            <w:vAlign w:val="center"/>
          </w:tcPr>
          <w:p w14:paraId="02C40F1F">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为更好地开展就业公共服务工作，更高效地服务我县工业园区企业和重点企业招工（含就业帮扶车间）、“园区+车间+庭院”模式加工点（公司）等就业服务指导，结合《广西壮族自治区人力资源和社会保障厅等5部门关于印发广西高质量就业公共服务体系建设三年行动方案（2025—2027年）的通知》（桂人社发〔2025〕25号）文件要求，进一步推进稳就业保就业工作，拟在全县开展就业公共服务专题活动。为确保该项工作顺利开展，特制定本工作方案。 </w:t>
            </w:r>
          </w:p>
          <w:p w14:paraId="64BB2FE4">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 xml:space="preserve">一、工作目标 </w:t>
            </w:r>
          </w:p>
          <w:p w14:paraId="3B4A0209">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紧紧围绕全县工业发展目标任务，创建“职在这里 就等你来”就业服务品牌，落实人员专职开展就业服务工作，发挥桥梁纽带作用，宣传就业创业政策，重点服务企业招工，解决我县长期存在的企业招用工难问题，激发企业发展活力，推动全县工业高质量发展，推动实现公共就业服务网格化、精细化、信息化，促进全县高质量充分就业。 </w:t>
            </w:r>
          </w:p>
          <w:p w14:paraId="0FC32E3F">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二、服务内容</w:t>
            </w:r>
          </w:p>
          <w:p w14:paraId="1E287198">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以全县工业园区企业、园区外重点企业（含就业帮扶车间）、“园区+车间+庭院”模式加工点（公司）、零工市场、村（社区）为服务主体，通过第三方运营管理，在县人社局的指导下开展基本信息调查、招工、政策宣传等相关就业服务工作。 </w:t>
            </w:r>
          </w:p>
          <w:p w14:paraId="12A6CAFF">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（一）上门实地服务</w:t>
            </w:r>
          </w:p>
          <w:p w14:paraId="3953FE37">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每月到相关企业（含就业帮扶车间）根据服务清单内容开展服务1次，填写服务企业清单一览表，并将每月企业需招聘的岗位信息录入广西“数智人社”系统。及时向企业宣传有关法律法规、惠企政策，并确保企业知晓了解，动员、指导就业帮扶车间申请带动就业补贴、了解吸纳脱贫人口就业情况等。</w:t>
            </w:r>
          </w:p>
          <w:p w14:paraId="096FCFC3">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2.每月收集“园区+车间+庭院”模式加工点（公司）用工需求1次，对有招工需求的不定期上门服务，并将收集到的加工点（公司）需招聘的岗位信息在线上平台发布。</w:t>
            </w:r>
          </w:p>
          <w:p w14:paraId="22FCA357">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3.每月到村（社区）开展招工宣传、职业技能培训宣传、人社政策宣传各1次。依托宣传车流动宣传、巡回播报、移动宣传点等灵活的模式深入村社区开展招工岗位推介、人社惠民政策宣传等。</w:t>
            </w:r>
          </w:p>
          <w:p w14:paraId="632B264F">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（二）发布招聘信息</w:t>
            </w:r>
          </w:p>
          <w:p w14:paraId="7A48B5B5">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1.线上招聘信息发布。一是在网站平台发布：每站每月要在浦北就业、就在浦北</w:t>
            </w:r>
            <w:r>
              <w:rPr>
                <w:rFonts w:hint="eastAsia" w:ascii="宋体" w:hAnsi="宋体" w:cs="宋体"/>
                <w:color w:val="auto"/>
                <w:kern w:val="0"/>
                <w:sz w:val="21"/>
                <w:szCs w:val="21"/>
                <w:highlight w:val="none"/>
                <w:lang w:val="en-US" w:eastAsia="zh-CN" w:bidi="ar-SA"/>
              </w:rPr>
              <w:t>、浦北招聘网</w:t>
            </w:r>
            <w:r>
              <w:rPr>
                <w:rFonts w:hint="eastAsia" w:ascii="宋体" w:hAnsi="宋体" w:eastAsia="宋体" w:cs="宋体"/>
                <w:color w:val="auto"/>
                <w:kern w:val="0"/>
                <w:sz w:val="21"/>
                <w:szCs w:val="21"/>
                <w:highlight w:val="none"/>
                <w:lang w:val="en-US" w:eastAsia="zh-CN" w:bidi="ar-SA"/>
              </w:rPr>
              <w:t>等相关网站发布2次招聘信息，县就业服务中心再协调其他网络平台机构发布。二是在微信群发布：每站要建立服务企业招工工作微信群，要覆盖所在镇（街道）各村（社区）网格群，每月至少推送2次招工信息。</w:t>
            </w:r>
          </w:p>
          <w:p w14:paraId="01BF3001">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2.线下招聘信息发布。每站要在片区镇（街道）、村委（社区）、人流量大的超市、车站宣传栏张贴企业招聘信息，每月更新一次。每月要到片区所有村委（社区）实地现场宣传1次。</w:t>
            </w:r>
          </w:p>
          <w:p w14:paraId="19054D4F">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（三）开拓零工市场</w:t>
            </w:r>
          </w:p>
          <w:p w14:paraId="124090B9">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1.收集相关零工信息（如提供空调、洗衣机、油烟机清洗、搬运工、家政等短工服务项目人员的信息），录入广西“数智人社”系统，并在浦北就业平台、网站、自然村网格群发布，海报张贴宣传。</w:t>
            </w:r>
          </w:p>
          <w:p w14:paraId="693D534C">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2.做好就业需求人员来访求职登记，进行就业岗位匹配推荐等工作。</w:t>
            </w:r>
          </w:p>
          <w:p w14:paraId="48CD8C1D">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（四）举办招聘会</w:t>
            </w:r>
          </w:p>
          <w:p w14:paraId="55AA7ACB">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1.线上招聘会。每站每月要通过网络平台举办线上招聘会1场，由县人社局协调其他网络平台机构举办，就业服务工作站负责企业协调工作以及企业宣传短视视频拍摄工作。</w:t>
            </w:r>
          </w:p>
          <w:p w14:paraId="064A3864">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2.线下招聘会。按县人社局要求组织举办招聘会，每个镇（街道）每季度举办1场招聘会。</w:t>
            </w:r>
          </w:p>
          <w:p w14:paraId="5B2EFECD">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线上、线下的招聘会安排信息要录入广西“数智人社”系统（根据上级工作的安排调整）。</w:t>
            </w:r>
          </w:p>
          <w:p w14:paraId="464AF8B7">
            <w:pPr>
              <w:keepNext w:val="0"/>
              <w:keepLines w:val="0"/>
              <w:pageBreakBefore w:val="0"/>
              <w:widowControl/>
              <w:numPr>
                <w:ilvl w:val="0"/>
                <w:numId w:val="0"/>
              </w:numPr>
              <w:suppressLineNumbers w:val="0"/>
              <w:kinsoku/>
              <w:wordWrap/>
              <w:overflowPunct/>
              <w:topLinePunct w:val="0"/>
              <w:autoSpaceDN/>
              <w:bidi w:val="0"/>
              <w:adjustRightInd/>
              <w:snapToGrid/>
              <w:spacing w:before="60" w:beforeAutospacing="0" w:after="60" w:afterAutospacing="0" w:line="360" w:lineRule="auto"/>
              <w:ind w:left="0" w:leftChars="0" w:right="0" w:rightChars="0"/>
              <w:jc w:val="left"/>
              <w:textAlignment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（五）就业服务指导清单。</w:t>
            </w:r>
          </w:p>
          <w:tbl>
            <w:tblPr>
              <w:tblStyle w:val="31"/>
              <w:tblW w:w="5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1623"/>
              <w:gridCol w:w="3617"/>
            </w:tblGrid>
            <w:tr w14:paraId="189C8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vAlign w:val="top"/>
                </w:tcPr>
                <w:p w14:paraId="5BD2D431">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center"/>
                    <w:textAlignment w:val="center"/>
                    <w:rPr>
                      <w:rFonts w:hint="eastAsia" w:ascii="宋体" w:hAnsi="宋体" w:eastAsia="宋体" w:cs="宋体"/>
                      <w:b/>
                      <w:bCs/>
                      <w:color w:val="auto"/>
                      <w:kern w:val="0"/>
                      <w:sz w:val="21"/>
                      <w:szCs w:val="21"/>
                      <w:highlight w:val="none"/>
                      <w:lang w:val="en-US" w:eastAsia="zh-CN" w:bidi="ar-SA"/>
                    </w:rPr>
                  </w:pPr>
                  <w:r>
                    <w:rPr>
                      <w:rFonts w:hint="default" w:ascii="宋体" w:hAnsi="宋体" w:eastAsia="宋体" w:cs="宋体"/>
                      <w:b/>
                      <w:bCs/>
                      <w:color w:val="auto"/>
                      <w:kern w:val="0"/>
                      <w:sz w:val="21"/>
                      <w:szCs w:val="21"/>
                      <w:highlight w:val="none"/>
                      <w:lang w:val="en-US" w:eastAsia="zh-CN" w:bidi="ar-SA"/>
                    </w:rPr>
                    <w:t>序号</w:t>
                  </w:r>
                </w:p>
              </w:tc>
              <w:tc>
                <w:tcPr>
                  <w:tcW w:w="1623" w:type="dxa"/>
                  <w:vAlign w:val="top"/>
                </w:tcPr>
                <w:p w14:paraId="62330D46">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center"/>
                    <w:textAlignment w:val="center"/>
                    <w:rPr>
                      <w:rFonts w:hint="eastAsia" w:ascii="宋体" w:hAnsi="宋体" w:eastAsia="宋体" w:cs="宋体"/>
                      <w:b/>
                      <w:bCs/>
                      <w:color w:val="auto"/>
                      <w:kern w:val="0"/>
                      <w:sz w:val="21"/>
                      <w:szCs w:val="21"/>
                      <w:highlight w:val="none"/>
                      <w:lang w:val="en-US" w:eastAsia="zh-CN" w:bidi="ar-SA"/>
                    </w:rPr>
                  </w:pPr>
                  <w:r>
                    <w:rPr>
                      <w:rFonts w:hint="default" w:ascii="宋体" w:hAnsi="宋体" w:eastAsia="宋体" w:cs="宋体"/>
                      <w:b/>
                      <w:bCs/>
                      <w:color w:val="auto"/>
                      <w:kern w:val="0"/>
                      <w:sz w:val="21"/>
                      <w:szCs w:val="21"/>
                      <w:highlight w:val="none"/>
                      <w:lang w:val="en-US" w:eastAsia="zh-CN" w:bidi="ar-SA"/>
                    </w:rPr>
                    <w:t>服务事项</w:t>
                  </w:r>
                </w:p>
              </w:tc>
              <w:tc>
                <w:tcPr>
                  <w:tcW w:w="3617" w:type="dxa"/>
                  <w:vAlign w:val="top"/>
                </w:tcPr>
                <w:p w14:paraId="49D6A4AF">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center"/>
                    <w:textAlignment w:val="center"/>
                    <w:rPr>
                      <w:rFonts w:hint="eastAsia" w:ascii="宋体" w:hAnsi="宋体" w:eastAsia="宋体" w:cs="宋体"/>
                      <w:b/>
                      <w:bCs/>
                      <w:color w:val="auto"/>
                      <w:kern w:val="0"/>
                      <w:sz w:val="21"/>
                      <w:szCs w:val="21"/>
                      <w:highlight w:val="none"/>
                      <w:lang w:val="en-US" w:eastAsia="zh-CN" w:bidi="ar-SA"/>
                    </w:rPr>
                  </w:pPr>
                  <w:r>
                    <w:rPr>
                      <w:rFonts w:hint="default" w:ascii="宋体" w:hAnsi="宋体" w:eastAsia="宋体" w:cs="宋体"/>
                      <w:b/>
                      <w:bCs/>
                      <w:color w:val="auto"/>
                      <w:kern w:val="0"/>
                      <w:sz w:val="21"/>
                      <w:szCs w:val="21"/>
                      <w:highlight w:val="none"/>
                      <w:lang w:val="en-US" w:eastAsia="zh-CN" w:bidi="ar-SA"/>
                    </w:rPr>
                    <w:t>具体服务内容</w:t>
                  </w:r>
                </w:p>
              </w:tc>
            </w:tr>
            <w:tr w14:paraId="5774E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vAlign w:val="top"/>
                </w:tcPr>
                <w:p w14:paraId="5EB55B1B">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p>
              </w:tc>
              <w:tc>
                <w:tcPr>
                  <w:tcW w:w="1623" w:type="dxa"/>
                  <w:vAlign w:val="top"/>
                </w:tcPr>
                <w:p w14:paraId="3ECB07B4">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咨询服务</w:t>
                  </w:r>
                </w:p>
              </w:tc>
              <w:tc>
                <w:tcPr>
                  <w:tcW w:w="3617" w:type="dxa"/>
                  <w:vAlign w:val="top"/>
                </w:tcPr>
                <w:p w14:paraId="2D406CC4">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提供</w:t>
                  </w:r>
                  <w:r>
                    <w:rPr>
                      <w:rFonts w:hint="default" w:ascii="宋体" w:hAnsi="宋体" w:eastAsia="宋体" w:cs="宋体"/>
                      <w:color w:val="auto"/>
                      <w:kern w:val="0"/>
                      <w:sz w:val="21"/>
                      <w:szCs w:val="21"/>
                      <w:highlight w:val="none"/>
                      <w:lang w:val="en-US" w:eastAsia="zh-CN" w:bidi="ar-SA"/>
                    </w:rPr>
                    <w:t>人社相关政策或对接人社部门相关股室（单位），为各类重点求职人群提供招聘、求职、培训、就业援助、政策咨询、创业指导、劳动者权益保障等就业“一条龙”服务。</w:t>
                  </w:r>
                </w:p>
                <w:p w14:paraId="3C785412">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p>
              </w:tc>
            </w:tr>
            <w:tr w14:paraId="0FC2B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vAlign w:val="top"/>
                </w:tcPr>
                <w:p w14:paraId="3CC702A9">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w:t>
                  </w:r>
                </w:p>
              </w:tc>
              <w:tc>
                <w:tcPr>
                  <w:tcW w:w="1623" w:type="dxa"/>
                  <w:vAlign w:val="top"/>
                </w:tcPr>
                <w:p w14:paraId="47C26ACB">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center"/>
                    <w:textAlignment w:val="center"/>
                    <w:rPr>
                      <w:rFonts w:hint="eastAsia"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1"/>
                      <w:szCs w:val="21"/>
                      <w:highlight w:val="none"/>
                      <w:lang w:val="en-US" w:eastAsia="zh-CN" w:bidi="ar-SA"/>
                    </w:rPr>
                    <w:t>就业和失业管理服务</w:t>
                  </w:r>
                </w:p>
              </w:tc>
              <w:tc>
                <w:tcPr>
                  <w:tcW w:w="3617" w:type="dxa"/>
                  <w:vAlign w:val="top"/>
                </w:tcPr>
                <w:p w14:paraId="21E32B49">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做好</w:t>
                  </w:r>
                  <w:r>
                    <w:rPr>
                      <w:rFonts w:hint="default" w:ascii="宋体" w:hAnsi="宋体" w:eastAsia="宋体" w:cs="宋体"/>
                      <w:color w:val="auto"/>
                      <w:kern w:val="0"/>
                      <w:sz w:val="21"/>
                      <w:szCs w:val="21"/>
                      <w:highlight w:val="none"/>
                      <w:lang w:val="en-US" w:eastAsia="zh-CN" w:bidi="ar-SA"/>
                    </w:rPr>
                    <w:t>辖区劳动年龄范围内有劳动能力且登记失业的残疾人员、城镇大龄失业人员、低保家庭人员、城镇零就业家庭人员、长期失业人员、失地人员办理就业困难人员认定指导</w:t>
                  </w:r>
                  <w:r>
                    <w:rPr>
                      <w:rFonts w:hint="eastAsia" w:ascii="宋体" w:hAnsi="宋体" w:eastAsia="宋体" w:cs="宋体"/>
                      <w:color w:val="auto"/>
                      <w:kern w:val="0"/>
                      <w:sz w:val="21"/>
                      <w:szCs w:val="21"/>
                      <w:highlight w:val="none"/>
                      <w:lang w:val="en-US" w:eastAsia="zh-CN" w:bidi="ar-SA"/>
                    </w:rPr>
                    <w:t>及辖区登记失业人员</w:t>
                  </w:r>
                  <w:r>
                    <w:rPr>
                      <w:rFonts w:hint="default" w:ascii="宋体" w:hAnsi="宋体" w:eastAsia="宋体" w:cs="宋体"/>
                      <w:color w:val="auto"/>
                      <w:kern w:val="0"/>
                      <w:sz w:val="21"/>
                      <w:szCs w:val="21"/>
                      <w:highlight w:val="none"/>
                      <w:lang w:val="en-US" w:eastAsia="zh-CN" w:bidi="ar-SA"/>
                    </w:rPr>
                    <w:t>就业跟踪帮扶</w:t>
                  </w:r>
                  <w:r>
                    <w:rPr>
                      <w:rFonts w:hint="eastAsia" w:ascii="宋体" w:hAnsi="宋体" w:eastAsia="宋体" w:cs="宋体"/>
                      <w:color w:val="auto"/>
                      <w:kern w:val="0"/>
                      <w:sz w:val="21"/>
                      <w:szCs w:val="21"/>
                      <w:highlight w:val="none"/>
                      <w:lang w:val="en-US" w:eastAsia="zh-CN" w:bidi="ar-SA"/>
                    </w:rPr>
                    <w:t>。</w:t>
                  </w:r>
                </w:p>
              </w:tc>
            </w:tr>
            <w:tr w14:paraId="7C3BE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vAlign w:val="top"/>
                </w:tcPr>
                <w:p w14:paraId="0E22D918">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w:t>
                  </w:r>
                </w:p>
              </w:tc>
              <w:tc>
                <w:tcPr>
                  <w:tcW w:w="1623" w:type="dxa"/>
                  <w:vAlign w:val="top"/>
                </w:tcPr>
                <w:p w14:paraId="4463F595">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center"/>
                    <w:textAlignment w:val="center"/>
                    <w:rPr>
                      <w:rFonts w:hint="eastAsia"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1"/>
                      <w:szCs w:val="21"/>
                      <w:highlight w:val="none"/>
                      <w:lang w:val="en-US" w:eastAsia="zh-CN" w:bidi="ar-SA"/>
                    </w:rPr>
                    <w:t>职业指导和职业介绍</w:t>
                  </w:r>
                </w:p>
              </w:tc>
              <w:tc>
                <w:tcPr>
                  <w:tcW w:w="3617" w:type="dxa"/>
                  <w:vAlign w:val="top"/>
                </w:tcPr>
                <w:p w14:paraId="2E25CD9C">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1"/>
                      <w:szCs w:val="21"/>
                      <w:highlight w:val="none"/>
                      <w:lang w:val="en-US" w:eastAsia="zh-CN" w:bidi="ar-SA"/>
                    </w:rPr>
                    <w:t>登记、引导、指导有求职需求的群众到服务站侯工、求职，积极对接辖区内各企业</w:t>
                  </w:r>
                  <w:r>
                    <w:rPr>
                      <w:rFonts w:hint="eastAsia" w:ascii="宋体" w:hAnsi="宋体" w:eastAsia="宋体" w:cs="宋体"/>
                      <w:color w:val="auto"/>
                      <w:kern w:val="0"/>
                      <w:sz w:val="21"/>
                      <w:szCs w:val="21"/>
                      <w:highlight w:val="none"/>
                      <w:lang w:val="en-US" w:eastAsia="zh-CN" w:bidi="ar-SA"/>
                    </w:rPr>
                    <w:t>、</w:t>
                  </w:r>
                  <w:r>
                    <w:rPr>
                      <w:rFonts w:hint="default" w:ascii="宋体" w:hAnsi="宋体" w:eastAsia="宋体" w:cs="宋体"/>
                      <w:color w:val="auto"/>
                      <w:kern w:val="0"/>
                      <w:sz w:val="21"/>
                      <w:szCs w:val="21"/>
                      <w:highlight w:val="none"/>
                      <w:lang w:val="en-US" w:eastAsia="zh-CN" w:bidi="ar-SA"/>
                    </w:rPr>
                    <w:t>收集用工需求、用工条件、福利待遇等用工信息，每季度收集发布招工岗位信息并录入“</w:t>
                  </w:r>
                  <w:r>
                    <w:rPr>
                      <w:rFonts w:hint="eastAsia" w:ascii="宋体" w:hAnsi="宋体" w:eastAsia="宋体" w:cs="宋体"/>
                      <w:color w:val="auto"/>
                      <w:kern w:val="0"/>
                      <w:sz w:val="21"/>
                      <w:szCs w:val="21"/>
                      <w:highlight w:val="none"/>
                      <w:lang w:val="en-US" w:eastAsia="zh-CN" w:bidi="ar-SA"/>
                    </w:rPr>
                    <w:t>数智人社</w:t>
                  </w:r>
                  <w:r>
                    <w:rPr>
                      <w:rFonts w:hint="default" w:ascii="宋体" w:hAnsi="宋体" w:eastAsia="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广西就业</w:t>
                  </w:r>
                  <w:r>
                    <w:rPr>
                      <w:rFonts w:hint="default" w:ascii="宋体" w:hAnsi="宋体" w:eastAsia="宋体" w:cs="宋体"/>
                      <w:color w:val="auto"/>
                      <w:kern w:val="0"/>
                      <w:sz w:val="21"/>
                      <w:szCs w:val="21"/>
                      <w:highlight w:val="none"/>
                      <w:lang w:val="en-US" w:eastAsia="zh-CN" w:bidi="ar-SA"/>
                    </w:rPr>
                    <w:t>平台不少于</w:t>
                  </w:r>
                  <w:r>
                    <w:rPr>
                      <w:rFonts w:hint="eastAsia" w:ascii="宋体" w:hAnsi="宋体" w:eastAsia="宋体" w:cs="宋体"/>
                      <w:color w:val="auto"/>
                      <w:kern w:val="0"/>
                      <w:sz w:val="21"/>
                      <w:szCs w:val="21"/>
                      <w:highlight w:val="none"/>
                      <w:lang w:val="en-US" w:eastAsia="zh-CN" w:bidi="ar-SA"/>
                    </w:rPr>
                    <w:t>1000</w:t>
                  </w:r>
                  <w:r>
                    <w:rPr>
                      <w:rFonts w:hint="default" w:ascii="宋体" w:hAnsi="宋体" w:eastAsia="宋体" w:cs="宋体"/>
                      <w:color w:val="auto"/>
                      <w:kern w:val="0"/>
                      <w:sz w:val="21"/>
                      <w:szCs w:val="21"/>
                      <w:highlight w:val="none"/>
                      <w:lang w:val="en-US" w:eastAsia="zh-CN" w:bidi="ar-SA"/>
                    </w:rPr>
                    <w:t>个，促进求职成功</w:t>
                  </w:r>
                  <w:r>
                    <w:rPr>
                      <w:rFonts w:hint="eastAsia" w:ascii="宋体" w:hAnsi="宋体" w:eastAsia="宋体" w:cs="宋体"/>
                      <w:color w:val="auto"/>
                      <w:kern w:val="0"/>
                      <w:sz w:val="21"/>
                      <w:szCs w:val="21"/>
                      <w:highlight w:val="none"/>
                      <w:lang w:val="en-US" w:eastAsia="zh-CN" w:bidi="ar-SA"/>
                    </w:rPr>
                    <w:t>率达到60%</w:t>
                  </w:r>
                  <w:r>
                    <w:rPr>
                      <w:rFonts w:hint="default" w:ascii="宋体" w:hAnsi="宋体" w:eastAsia="宋体" w:cs="宋体"/>
                      <w:color w:val="auto"/>
                      <w:kern w:val="0"/>
                      <w:sz w:val="21"/>
                      <w:szCs w:val="21"/>
                      <w:highlight w:val="none"/>
                      <w:lang w:val="en-US" w:eastAsia="zh-CN" w:bidi="ar-SA"/>
                    </w:rPr>
                    <w:t xml:space="preserve">。 </w:t>
                  </w:r>
                </w:p>
              </w:tc>
            </w:tr>
            <w:tr w14:paraId="62B4C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vAlign w:val="top"/>
                </w:tcPr>
                <w:p w14:paraId="3A5DFDE9">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w:t>
                  </w:r>
                </w:p>
              </w:tc>
              <w:tc>
                <w:tcPr>
                  <w:tcW w:w="1623" w:type="dxa"/>
                  <w:vAlign w:val="top"/>
                </w:tcPr>
                <w:p w14:paraId="25F7B7AC">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center"/>
                    <w:textAlignment w:val="center"/>
                    <w:rPr>
                      <w:rFonts w:hint="eastAsia"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1"/>
                      <w:szCs w:val="21"/>
                      <w:highlight w:val="none"/>
                      <w:lang w:val="en-US" w:eastAsia="zh-CN" w:bidi="ar-SA"/>
                    </w:rPr>
                    <w:t>职业技能培训</w:t>
                  </w:r>
                </w:p>
              </w:tc>
              <w:tc>
                <w:tcPr>
                  <w:tcW w:w="3617" w:type="dxa"/>
                  <w:vAlign w:val="top"/>
                </w:tcPr>
                <w:p w14:paraId="18013EE8">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1"/>
                      <w:szCs w:val="21"/>
                      <w:highlight w:val="none"/>
                      <w:lang w:val="en-US" w:eastAsia="zh-CN" w:bidi="ar-SA"/>
                    </w:rPr>
                    <w:t>采集、发布县级就业培训信息，推荐培训项目。</w:t>
                  </w:r>
                </w:p>
              </w:tc>
            </w:tr>
            <w:tr w14:paraId="05274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vAlign w:val="top"/>
                </w:tcPr>
                <w:p w14:paraId="33B2F6C6">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w:t>
                  </w:r>
                </w:p>
              </w:tc>
              <w:tc>
                <w:tcPr>
                  <w:tcW w:w="1623" w:type="dxa"/>
                  <w:vAlign w:val="top"/>
                </w:tcPr>
                <w:p w14:paraId="529CE612">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center"/>
                    <w:textAlignment w:val="center"/>
                    <w:rPr>
                      <w:rFonts w:hint="eastAsia"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1"/>
                      <w:szCs w:val="21"/>
                      <w:highlight w:val="none"/>
                      <w:lang w:val="en-US" w:eastAsia="zh-CN" w:bidi="ar-SA"/>
                    </w:rPr>
                    <w:t>创业服务</w:t>
                  </w:r>
                </w:p>
              </w:tc>
              <w:tc>
                <w:tcPr>
                  <w:tcW w:w="3617" w:type="dxa"/>
                  <w:vAlign w:val="top"/>
                </w:tcPr>
                <w:p w14:paraId="0ECE43FD">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1"/>
                      <w:szCs w:val="21"/>
                      <w:highlight w:val="none"/>
                      <w:lang w:val="en-US" w:eastAsia="zh-CN" w:bidi="ar-SA"/>
                    </w:rPr>
                    <w:t>提供创业咨询服务，采集、发布创业培训信息，宣传创业担保贷款政策</w:t>
                  </w:r>
                  <w:r>
                    <w:rPr>
                      <w:rFonts w:hint="eastAsia" w:ascii="宋体" w:hAnsi="宋体" w:eastAsia="宋体" w:cs="宋体"/>
                      <w:color w:val="auto"/>
                      <w:kern w:val="0"/>
                      <w:sz w:val="21"/>
                      <w:szCs w:val="21"/>
                      <w:highlight w:val="none"/>
                      <w:lang w:val="en-US" w:eastAsia="zh-CN" w:bidi="ar-SA"/>
                    </w:rPr>
                    <w:t>。</w:t>
                  </w:r>
                </w:p>
              </w:tc>
            </w:tr>
            <w:tr w14:paraId="7887E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vAlign w:val="top"/>
                </w:tcPr>
                <w:p w14:paraId="70FC1516">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w:t>
                  </w:r>
                </w:p>
              </w:tc>
              <w:tc>
                <w:tcPr>
                  <w:tcW w:w="1623" w:type="dxa"/>
                  <w:vAlign w:val="top"/>
                </w:tcPr>
                <w:p w14:paraId="149D037E">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离校未就业高校毕业生就业服务</w:t>
                  </w:r>
                </w:p>
              </w:tc>
              <w:tc>
                <w:tcPr>
                  <w:tcW w:w="3617" w:type="dxa"/>
                  <w:vAlign w:val="top"/>
                </w:tcPr>
                <w:p w14:paraId="58BCB227">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收集辖区内离校未就业高校毕业生信息，并进行就业回访、开展就业帮扶。</w:t>
                  </w:r>
                </w:p>
              </w:tc>
            </w:tr>
            <w:tr w14:paraId="4DBA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vAlign w:val="top"/>
                </w:tcPr>
                <w:p w14:paraId="5E6A9EFC">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w:t>
                  </w:r>
                </w:p>
              </w:tc>
              <w:tc>
                <w:tcPr>
                  <w:tcW w:w="1623" w:type="dxa"/>
                  <w:vAlign w:val="top"/>
                </w:tcPr>
                <w:p w14:paraId="7C852FF4">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就业补贴服务指导</w:t>
                  </w:r>
                </w:p>
              </w:tc>
              <w:tc>
                <w:tcPr>
                  <w:tcW w:w="3617" w:type="dxa"/>
                  <w:vAlign w:val="top"/>
                </w:tcPr>
                <w:p w14:paraId="34CA0ED1">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根据稳就业政策的各项补贴一次性告知单，在辖区内开展稳就业政策落实、宣传，为辖区企业、群众提供申请各项就业补贴的指导</w:t>
                  </w:r>
                </w:p>
              </w:tc>
            </w:tr>
            <w:tr w14:paraId="67AB0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vAlign w:val="top"/>
                </w:tcPr>
                <w:p w14:paraId="0FE4EB16">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w:t>
                  </w:r>
                </w:p>
              </w:tc>
              <w:tc>
                <w:tcPr>
                  <w:tcW w:w="1623" w:type="dxa"/>
                  <w:vAlign w:val="top"/>
                </w:tcPr>
                <w:p w14:paraId="5211E0FC">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center"/>
                    <w:textAlignment w:val="center"/>
                    <w:rPr>
                      <w:rFonts w:hint="eastAsia"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1"/>
                      <w:szCs w:val="21"/>
                      <w:highlight w:val="none"/>
                      <w:lang w:val="en-US" w:eastAsia="zh-CN" w:bidi="ar-SA"/>
                    </w:rPr>
                    <w:t>劳动维权服务</w:t>
                  </w:r>
                </w:p>
              </w:tc>
              <w:tc>
                <w:tcPr>
                  <w:tcW w:w="3617" w:type="dxa"/>
                  <w:vAlign w:val="top"/>
                </w:tcPr>
                <w:p w14:paraId="79CA5B09">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1"/>
                      <w:szCs w:val="21"/>
                      <w:highlight w:val="none"/>
                      <w:lang w:val="en-US" w:eastAsia="zh-CN" w:bidi="ar-SA"/>
                    </w:rPr>
                    <w:t xml:space="preserve">劳动者工资、社保等维权指导，企业用工指导 </w:t>
                  </w:r>
                </w:p>
              </w:tc>
            </w:tr>
          </w:tbl>
          <w:p w14:paraId="49F9158A">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三、服务要求</w:t>
            </w:r>
          </w:p>
          <w:p w14:paraId="2EEF66AA">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（一）要在泉水工业园区设立就业服务工作站，拟配置4人</w:t>
            </w:r>
          </w:p>
          <w:p w14:paraId="554E1B04">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1.负责泉水、张黄工业园区企业，园区外重点企业招工（含就业帮扶车间），“园区+车间+庭院”模式加工点（公司）招工服务等工作；</w:t>
            </w:r>
          </w:p>
          <w:p w14:paraId="3DF82FC8">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2.负责泉水、石埇、安石、张黄、大成、白石水、北通等7个镇的企业（含就业帮扶车间）、村（社区）就业服务指导等工作；收集的企业需招聘的岗位信息录入广西“数智人社”系统。</w:t>
            </w:r>
          </w:p>
          <w:p w14:paraId="01DCC7DD">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3.负责辖区内零工市场相关业务工作，零工岗位信息要录入广西“数智人社”系统。</w:t>
            </w:r>
          </w:p>
          <w:p w14:paraId="5717DE95">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（二 ）要严格按“五个一”管理</w:t>
            </w:r>
          </w:p>
          <w:p w14:paraId="79716D1C">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就业服务工作站必须在县就业服务中心的管理和指导下开展服务工作，按照“五个一”（统一标识、统一制度、统一标准、统一流程、统一队伍）的模式进行管理，确保各项工作正常开展，按时按质完成各项工作任务。</w:t>
            </w:r>
          </w:p>
          <w:p w14:paraId="7325BDBE">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（三）要落实“五个有”</w:t>
            </w:r>
          </w:p>
          <w:p w14:paraId="19C9CDDD">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1.有固定办公场所（原则上分设服务大厅、洽谈室、会议室）；</w:t>
            </w:r>
          </w:p>
          <w:p w14:paraId="75102612">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2.有办公设备（服务大厅配备办公桌椅、电脑、打印机、空调、饮水机、档案柜、复印机、群众座椅、窗口座椅，会议室配备会议台、椅，洽谈室配备沙发、茶几，拉通网络及安装摄象头，开通固定电话等）；</w:t>
            </w:r>
          </w:p>
          <w:p w14:paraId="44A628AD">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3.有专职工作人员（工作人员统一工作服，佩带工作牌上岗）；</w:t>
            </w:r>
          </w:p>
          <w:p w14:paraId="342495FF">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4.有宣传阵地（安装显示屏，设立宣传牌，印制宣传资料等）；</w:t>
            </w:r>
          </w:p>
          <w:p w14:paraId="5EB06C01">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5.有工作要求（做到工作有制度、服务有标准、操作有流程）。</w:t>
            </w:r>
          </w:p>
          <w:p w14:paraId="18D0978E">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（四）要按要求印制宣传资料</w:t>
            </w:r>
          </w:p>
          <w:p w14:paraId="4E50FD8D">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按县就业服务中心要求制作相关资料，包括开展各个项目服务所需资料，以及招聘会会场布置所需材料、企业宣传简介、横幅、海报、宣传栏等。</w:t>
            </w:r>
          </w:p>
          <w:p w14:paraId="0BDBD621">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（五）要规范建立工作台账</w:t>
            </w:r>
          </w:p>
          <w:p w14:paraId="5103BAF3">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所开展的每一个服务项目活动或工作，必须分类归档建立工作台账资料，做到一项一档。</w:t>
            </w:r>
          </w:p>
          <w:p w14:paraId="6FCB3DE1">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（六）要及时收集材料报送</w:t>
            </w:r>
          </w:p>
          <w:p w14:paraId="4CE7FD38">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1.报表报送。务必按县就业服务中心的要求报送相关信息材料，如各类报表、实名制名册、总结等材料。</w:t>
            </w:r>
          </w:p>
          <w:p w14:paraId="1DF49C0F">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2.服务项目进展情况报送。主要包括企业招聘协调情况、开展招聘进展、招聘工作亮点、活动组织、工作动态、工作存在的问题等，研判形势，总结经验。</w:t>
            </w:r>
          </w:p>
          <w:p w14:paraId="498E4CB7">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3.活动资料报送。活动方案、图片、经验总结等材料每月以书面、电子版形式报送。</w:t>
            </w:r>
          </w:p>
          <w:p w14:paraId="7A99E22C">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四、考核要求</w:t>
            </w:r>
          </w:p>
          <w:p w14:paraId="4B8778B8">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指标要求。收集岗位信息并录入广西“数智人社”信息系统广西就业平台大于或等于4000条，每个季度大于或等于1000条。线上、线下各项服务项目必须达100%；上门服务企业率100%，企业知晓率100%，企业满意率95%；就业、用工推荐匹配率达100%，成功率达60%；材料报送按时、完整率100%；村委（社区）干部知晓率100%，群众知晓率80%，服务群众满意率90%。</w:t>
            </w:r>
          </w:p>
          <w:p w14:paraId="0B55D112">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二）考核方式。实行一季度一考核，年终大考核，村委（社区）干部知晓率、群众知晓率、服务群众满意率年终考核一次，其余指标每季度考核一次。根据第三方提供佐证材料，由县人社局通过调查问卷、电话抽查和现场核查等方式进行考核。</w:t>
            </w:r>
          </w:p>
          <w:p w14:paraId="0C599171">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五、考核结果运用</w:t>
            </w:r>
          </w:p>
          <w:p w14:paraId="1D6C4ADC">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（一）指标不达标的，每少1个百分点，扣减经费0.1万元。</w:t>
            </w:r>
          </w:p>
          <w:p w14:paraId="52D6E494">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（二）不按时间要求报送报表、名册等相关材料的，每次扣减经费0.2万元；不报送报表、名册等相关材料的，每次扣减经费0.5万元；发现虚报、瞒报、编造假数据、假材料的，每次扣减经费2万元。</w:t>
            </w:r>
          </w:p>
          <w:p w14:paraId="7C8C958F">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（三）不开展约定服务项目的，每少1个，扣减经费3万元；开展服务项目次数达不到约定次数的，每少1次扣减经费1万元。（客观原因造成或者服务项目有冲突的除外）。</w:t>
            </w:r>
          </w:p>
          <w:p w14:paraId="250D872E">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（四）收集岗位信息并录入广西“数智人社”信息系统广西就业平台每季度小于1000条的，每少1个百分点，扣减经费0.1万元。</w:t>
            </w:r>
          </w:p>
          <w:p w14:paraId="721E8EF0">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（五）在开展服务工作中，第三方运营机构不得利用县人社局名义谋取相关利益；不得以县人社局名义、就业平台名义向企业、群众收取服务费；一经查实，每项每次扣减经费3万元。</w:t>
            </w:r>
          </w:p>
          <w:p w14:paraId="4044B6E9">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（六）在开展服务工作中，有不良行为被群众投诉的，一经查实，每次扣减经费0.1万元。</w:t>
            </w:r>
          </w:p>
          <w:p w14:paraId="682FF830">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right="0"/>
              <w:jc w:val="left"/>
              <w:textAlignment w:val="center"/>
              <w:rPr>
                <w:rFonts w:hint="eastAsia"/>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（七）各项指标均按时按质完成的，且成效明显的，同等条件下，可优先推荐为下一轮该项目服务机构。</w:t>
            </w:r>
          </w:p>
        </w:tc>
      </w:tr>
      <w:tr w14:paraId="6D7461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752" w:type="dxa"/>
            <w:gridSpan w:val="4"/>
            <w:tcBorders>
              <w:top w:val="single" w:color="auto" w:sz="4" w:space="0"/>
              <w:left w:val="single" w:color="auto" w:sz="4" w:space="0"/>
              <w:bottom w:val="single" w:color="auto" w:sz="4" w:space="0"/>
              <w:right w:val="single" w:color="auto" w:sz="4" w:space="0"/>
            </w:tcBorders>
          </w:tcPr>
          <w:p w14:paraId="7653C427">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一、商务要求</w:t>
            </w:r>
          </w:p>
        </w:tc>
      </w:tr>
      <w:tr w14:paraId="67DCED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94" w:hRule="atLeast"/>
          <w:jc w:val="center"/>
        </w:trPr>
        <w:tc>
          <w:tcPr>
            <w:tcW w:w="8752" w:type="dxa"/>
            <w:gridSpan w:val="4"/>
            <w:tcBorders>
              <w:top w:val="single" w:color="auto" w:sz="4" w:space="0"/>
              <w:left w:val="single" w:color="auto" w:sz="4" w:space="0"/>
              <w:bottom w:val="single" w:color="auto" w:sz="4" w:space="0"/>
              <w:right w:val="single" w:color="auto" w:sz="4" w:space="0"/>
            </w:tcBorders>
            <w:vAlign w:val="center"/>
          </w:tcPr>
          <w:p w14:paraId="6AE72F92">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1、签订合同时间：自成交通知书发出之日起</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5日历日内。</w:t>
            </w:r>
          </w:p>
          <w:p w14:paraId="76DA7535">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Cs w:val="21"/>
                <w:highlight w:val="none"/>
              </w:rPr>
              <w:t>服务响应要求</w:t>
            </w:r>
            <w:r>
              <w:rPr>
                <w:rFonts w:hint="eastAsia" w:ascii="宋体" w:hAnsi="宋体" w:cs="宋体"/>
                <w:color w:val="auto"/>
                <w:szCs w:val="21"/>
                <w:highlight w:val="none"/>
                <w:lang w:eastAsia="zh-CN"/>
              </w:rPr>
              <w:t>：</w:t>
            </w:r>
            <w:r>
              <w:rPr>
                <w:rFonts w:hint="eastAsia" w:ascii="宋体" w:hAnsi="宋体" w:cs="宋体"/>
                <w:color w:val="auto"/>
                <w:szCs w:val="21"/>
                <w:highlight w:val="none"/>
              </w:rPr>
              <w:t>活动期间提供 7×24 小时现场服务，供应商接到采购人的通知后立即响应，并承担一切相关费用。</w:t>
            </w:r>
          </w:p>
          <w:p w14:paraId="5E0DF007">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eastAsia="zh-CN"/>
              </w:rPr>
              <w:t>报价要求</w:t>
            </w:r>
            <w:r>
              <w:rPr>
                <w:rFonts w:hint="eastAsia" w:ascii="宋体" w:hAnsi="宋体" w:eastAsia="宋体" w:cs="宋体"/>
                <w:color w:val="auto"/>
                <w:sz w:val="21"/>
                <w:szCs w:val="21"/>
                <w:highlight w:val="none"/>
              </w:rPr>
              <w:t>：</w:t>
            </w:r>
          </w:p>
          <w:p w14:paraId="2ED2834E">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本项目磋商报价为总额报价，即一次性报出本项目服务所需的所有费用。</w:t>
            </w:r>
          </w:p>
          <w:p w14:paraId="303C086C">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报价包含但不限于以下部分：</w:t>
            </w:r>
          </w:p>
          <w:p w14:paraId="3012EE09">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lang w:val="en-US" w:eastAsia="zh-CN"/>
              </w:rPr>
              <w:t>人工成本费、场地租金、</w:t>
            </w:r>
            <w:r>
              <w:rPr>
                <w:rFonts w:hint="eastAsia" w:ascii="宋体" w:hAnsi="宋体" w:eastAsia="宋体" w:cs="宋体"/>
                <w:color w:val="auto"/>
                <w:sz w:val="21"/>
                <w:szCs w:val="21"/>
                <w:highlight w:val="none"/>
              </w:rPr>
              <w:t>水电费用、邮电通讯费、网络费、保洁卫生费、服务设施</w:t>
            </w:r>
            <w:r>
              <w:rPr>
                <w:rFonts w:hint="eastAsia" w:ascii="宋体" w:hAnsi="宋体" w:eastAsia="宋体" w:cs="宋体"/>
                <w:color w:val="auto"/>
                <w:sz w:val="21"/>
                <w:szCs w:val="21"/>
                <w:highlight w:val="none"/>
                <w:lang w:val="en-US" w:eastAsia="zh-CN"/>
              </w:rPr>
              <w:t>设备</w:t>
            </w:r>
            <w:r>
              <w:rPr>
                <w:rFonts w:hint="eastAsia" w:ascii="宋体" w:hAnsi="宋体" w:eastAsia="宋体" w:cs="宋体"/>
                <w:color w:val="auto"/>
                <w:sz w:val="21"/>
                <w:szCs w:val="21"/>
                <w:highlight w:val="none"/>
              </w:rPr>
              <w:t>维护费、物业管理费、办公耗材费等</w:t>
            </w:r>
            <w:r>
              <w:rPr>
                <w:rFonts w:hint="eastAsia" w:ascii="宋体" w:hAnsi="宋体" w:eastAsia="宋体" w:cs="宋体"/>
                <w:color w:val="auto"/>
                <w:sz w:val="21"/>
                <w:szCs w:val="21"/>
                <w:highlight w:val="none"/>
                <w:lang w:val="en-US" w:eastAsia="zh-CN"/>
              </w:rPr>
              <w:t>相关费用</w:t>
            </w:r>
            <w:r>
              <w:rPr>
                <w:rFonts w:hint="eastAsia" w:ascii="宋体" w:hAnsi="宋体" w:eastAsia="宋体" w:cs="宋体"/>
                <w:color w:val="auto"/>
                <w:sz w:val="21"/>
                <w:szCs w:val="21"/>
                <w:highlight w:val="none"/>
              </w:rPr>
              <w:t>；</w:t>
            </w:r>
          </w:p>
          <w:p w14:paraId="2E6683AC">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 必要的保险费用和各项税金；</w:t>
            </w:r>
          </w:p>
          <w:p w14:paraId="2FF439B4">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 其他费用（包括但不限于组织、策划、宣传等费用）；</w:t>
            </w:r>
          </w:p>
          <w:p w14:paraId="57E94441">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 完成本项目采购的可预见及不可预见的所有成本及费用的总和，除合同价款及采购人认可的特殊情况外，采购人不再为本项目另付其他任何费用给成交供应商。</w:t>
            </w:r>
          </w:p>
          <w:p w14:paraId="0AF0AF12">
            <w:pPr>
              <w:keepNext w:val="0"/>
              <w:keepLines w:val="0"/>
              <w:pageBreakBefore w:val="0"/>
              <w:suppressLineNumbers w:val="0"/>
              <w:shd w:val="clear"/>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4、付款方式：</w:t>
            </w:r>
            <w:r>
              <w:rPr>
                <w:rFonts w:hint="eastAsia" w:ascii="宋体" w:hAnsi="宋体" w:cs="宋体"/>
                <w:color w:val="auto"/>
                <w:sz w:val="21"/>
                <w:szCs w:val="21"/>
                <w:highlight w:val="none"/>
                <w:lang w:val="en-US" w:eastAsia="zh-CN"/>
              </w:rPr>
              <w:t>采购人在</w:t>
            </w:r>
            <w:r>
              <w:rPr>
                <w:rFonts w:hint="eastAsia" w:ascii="宋体" w:hAnsi="宋体" w:eastAsia="宋体" w:cs="宋体"/>
                <w:color w:val="auto"/>
                <w:sz w:val="21"/>
                <w:szCs w:val="21"/>
                <w:highlight w:val="none"/>
                <w:lang w:eastAsia="zh-CN"/>
              </w:rPr>
              <w:t>签订合同后15个工作日内</w:t>
            </w:r>
            <w:r>
              <w:rPr>
                <w:rFonts w:hint="eastAsia" w:ascii="宋体" w:hAnsi="宋体" w:eastAsia="宋体" w:cs="宋体"/>
                <w:color w:val="auto"/>
                <w:sz w:val="21"/>
                <w:szCs w:val="21"/>
                <w:highlight w:val="none"/>
                <w:lang w:val="en-US" w:eastAsia="zh-CN"/>
              </w:rPr>
              <w:t>向财政</w:t>
            </w:r>
            <w:r>
              <w:rPr>
                <w:rFonts w:hint="eastAsia" w:ascii="宋体" w:hAnsi="宋体" w:eastAsia="宋体" w:cs="宋体"/>
                <w:color w:val="auto"/>
                <w:kern w:val="0"/>
                <w:szCs w:val="21"/>
                <w:highlight w:val="none"/>
                <w:lang w:eastAsia="zh-CN"/>
              </w:rPr>
              <w:t>申请</w:t>
            </w:r>
            <w:r>
              <w:rPr>
                <w:rFonts w:hint="eastAsia" w:ascii="宋体" w:hAnsi="宋体" w:eastAsia="宋体" w:cs="宋体"/>
                <w:color w:val="auto"/>
                <w:kern w:val="0"/>
                <w:szCs w:val="21"/>
                <w:highlight w:val="none"/>
              </w:rPr>
              <w:t>拔付</w:t>
            </w:r>
            <w:r>
              <w:rPr>
                <w:rFonts w:hint="eastAsia" w:ascii="宋体" w:hAnsi="宋体" w:eastAsia="宋体" w:cs="宋体"/>
                <w:color w:val="auto"/>
                <w:kern w:val="0"/>
                <w:szCs w:val="21"/>
                <w:highlight w:val="none"/>
                <w:lang w:eastAsia="zh-CN"/>
              </w:rPr>
              <w:t>合同金额的</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0%</w:t>
            </w:r>
            <w:r>
              <w:rPr>
                <w:rFonts w:hint="eastAsia" w:ascii="宋体" w:hAnsi="宋体" w:cs="宋体"/>
                <w:color w:val="auto"/>
                <w:kern w:val="0"/>
                <w:szCs w:val="21"/>
                <w:highlight w:val="none"/>
                <w:lang w:val="en-US" w:eastAsia="zh-CN"/>
              </w:rPr>
              <w:t>给成交供应商</w:t>
            </w:r>
            <w:r>
              <w:rPr>
                <w:rFonts w:hint="eastAsia" w:ascii="宋体" w:hAnsi="宋体" w:eastAsia="宋体" w:cs="宋体"/>
                <w:color w:val="auto"/>
                <w:kern w:val="0"/>
                <w:szCs w:val="21"/>
                <w:highlight w:val="none"/>
                <w:lang w:eastAsia="zh-CN"/>
              </w:rPr>
              <w:t>作为前期运营服务款</w:t>
            </w:r>
            <w:r>
              <w:rPr>
                <w:rFonts w:hint="eastAsia" w:ascii="宋体" w:hAnsi="宋体" w:eastAsia="宋体" w:cs="宋体"/>
                <w:color w:val="auto"/>
                <w:kern w:val="0"/>
                <w:szCs w:val="21"/>
                <w:highlight w:val="none"/>
              </w:rPr>
              <w:t>，用于办公</w:t>
            </w:r>
            <w:r>
              <w:rPr>
                <w:rFonts w:hint="eastAsia" w:ascii="宋体" w:hAnsi="宋体" w:eastAsia="宋体" w:cs="宋体"/>
                <w:color w:val="auto"/>
                <w:kern w:val="0"/>
                <w:szCs w:val="21"/>
                <w:highlight w:val="none"/>
                <w:lang w:eastAsia="zh-CN"/>
              </w:rPr>
              <w:t>经费</w:t>
            </w:r>
            <w:r>
              <w:rPr>
                <w:rFonts w:hint="eastAsia" w:ascii="宋体" w:hAnsi="宋体" w:eastAsia="宋体" w:cs="宋体"/>
                <w:color w:val="auto"/>
                <w:kern w:val="0"/>
                <w:szCs w:val="21"/>
                <w:highlight w:val="none"/>
              </w:rPr>
              <w:t>、人员聘用</w:t>
            </w:r>
            <w:r>
              <w:rPr>
                <w:rFonts w:hint="eastAsia" w:ascii="宋体" w:hAnsi="宋体" w:eastAsia="宋体" w:cs="宋体"/>
                <w:color w:val="auto"/>
                <w:kern w:val="0"/>
                <w:szCs w:val="21"/>
                <w:highlight w:val="none"/>
                <w:lang w:eastAsia="zh-CN"/>
              </w:rPr>
              <w:t>、开展服务</w:t>
            </w:r>
            <w:r>
              <w:rPr>
                <w:rFonts w:hint="eastAsia" w:ascii="宋体" w:hAnsi="宋体" w:eastAsia="宋体" w:cs="宋体"/>
                <w:color w:val="auto"/>
                <w:kern w:val="0"/>
                <w:szCs w:val="21"/>
                <w:highlight w:val="none"/>
              </w:rPr>
              <w:t>等；末期</w:t>
            </w:r>
            <w:r>
              <w:rPr>
                <w:rFonts w:hint="eastAsia" w:ascii="宋体" w:hAnsi="宋体" w:cs="宋体"/>
                <w:color w:val="auto"/>
                <w:kern w:val="0"/>
                <w:szCs w:val="21"/>
                <w:highlight w:val="none"/>
                <w:lang w:val="en-US" w:eastAsia="zh-CN"/>
              </w:rPr>
              <w:t>的50%服务费</w:t>
            </w:r>
            <w:r>
              <w:rPr>
                <w:rFonts w:hint="eastAsia" w:ascii="宋体" w:hAnsi="宋体" w:eastAsia="宋体" w:cs="宋体"/>
                <w:color w:val="auto"/>
                <w:kern w:val="0"/>
                <w:szCs w:val="21"/>
                <w:highlight w:val="none"/>
              </w:rPr>
              <w:t>（即服务满一年）</w:t>
            </w:r>
            <w:r>
              <w:rPr>
                <w:rFonts w:hint="eastAsia" w:ascii="宋体" w:hAnsi="宋体" w:cs="宋体"/>
                <w:color w:val="auto"/>
                <w:kern w:val="0"/>
                <w:szCs w:val="21"/>
                <w:highlight w:val="none"/>
                <w:lang w:val="en-US" w:eastAsia="zh-CN"/>
              </w:rPr>
              <w:t>根据考核结果支付</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每次款项</w:t>
            </w:r>
            <w:r>
              <w:rPr>
                <w:rFonts w:hint="eastAsia" w:ascii="宋体" w:hAnsi="宋体" w:eastAsia="宋体" w:cs="宋体"/>
                <w:color w:val="auto"/>
                <w:kern w:val="0"/>
                <w:szCs w:val="21"/>
                <w:highlight w:val="none"/>
              </w:rPr>
              <w:t>支付前</w:t>
            </w:r>
            <w:r>
              <w:rPr>
                <w:rFonts w:hint="eastAsia" w:ascii="宋体" w:hAnsi="宋体" w:cs="宋体"/>
                <w:color w:val="auto"/>
                <w:kern w:val="0"/>
                <w:szCs w:val="21"/>
                <w:highlight w:val="none"/>
                <w:lang w:val="en-US" w:eastAsia="zh-CN"/>
              </w:rPr>
              <w:t>成交供应商</w:t>
            </w:r>
            <w:r>
              <w:rPr>
                <w:rFonts w:hint="eastAsia" w:ascii="宋体" w:hAnsi="宋体" w:eastAsia="宋体" w:cs="宋体"/>
                <w:color w:val="auto"/>
                <w:kern w:val="0"/>
                <w:szCs w:val="21"/>
                <w:highlight w:val="none"/>
              </w:rPr>
              <w:t>应先开具等额</w:t>
            </w:r>
            <w:r>
              <w:rPr>
                <w:rFonts w:hint="eastAsia" w:ascii="宋体" w:hAnsi="宋体" w:cs="宋体"/>
                <w:color w:val="auto"/>
                <w:kern w:val="0"/>
                <w:szCs w:val="21"/>
                <w:highlight w:val="none"/>
                <w:lang w:val="en-US" w:eastAsia="zh-CN"/>
              </w:rPr>
              <w:t>税务</w:t>
            </w:r>
            <w:r>
              <w:rPr>
                <w:rFonts w:hint="eastAsia" w:ascii="宋体" w:hAnsi="宋体" w:eastAsia="宋体" w:cs="宋体"/>
                <w:color w:val="auto"/>
                <w:kern w:val="0"/>
                <w:szCs w:val="21"/>
                <w:highlight w:val="none"/>
              </w:rPr>
              <w:t>发票给</w:t>
            </w:r>
            <w:r>
              <w:rPr>
                <w:rFonts w:hint="eastAsia" w:ascii="宋体" w:hAnsi="宋体" w:cs="宋体"/>
                <w:color w:val="auto"/>
                <w:kern w:val="0"/>
                <w:szCs w:val="21"/>
                <w:highlight w:val="none"/>
                <w:lang w:val="en-US" w:eastAsia="zh-CN"/>
              </w:rPr>
              <w:t>采购人</w:t>
            </w:r>
            <w:r>
              <w:rPr>
                <w:rFonts w:hint="eastAsia" w:ascii="宋体" w:hAnsi="宋体" w:eastAsia="宋体" w:cs="宋体"/>
                <w:color w:val="auto"/>
                <w:kern w:val="0"/>
                <w:szCs w:val="21"/>
                <w:highlight w:val="none"/>
              </w:rPr>
              <w:t>后，</w:t>
            </w:r>
            <w:r>
              <w:rPr>
                <w:rFonts w:hint="eastAsia" w:ascii="宋体" w:hAnsi="宋体" w:cs="宋体"/>
                <w:color w:val="auto"/>
                <w:kern w:val="0"/>
                <w:szCs w:val="21"/>
                <w:highlight w:val="none"/>
                <w:lang w:val="en-US" w:eastAsia="zh-CN"/>
              </w:rPr>
              <w:t>采购人</w:t>
            </w:r>
            <w:r>
              <w:rPr>
                <w:rFonts w:hint="eastAsia" w:ascii="宋体" w:hAnsi="宋体" w:eastAsia="宋体" w:cs="宋体"/>
                <w:color w:val="auto"/>
                <w:kern w:val="0"/>
                <w:szCs w:val="21"/>
                <w:highlight w:val="none"/>
              </w:rPr>
              <w:t>再进行支付</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否则采购人有权拒付并不因此构成违约</w:t>
            </w:r>
            <w:r>
              <w:rPr>
                <w:rFonts w:hint="eastAsia" w:ascii="宋体" w:hAnsi="宋体" w:eastAsia="宋体" w:cs="宋体"/>
                <w:color w:val="auto"/>
                <w:sz w:val="21"/>
                <w:szCs w:val="21"/>
                <w:highlight w:val="none"/>
              </w:rPr>
              <w:t>。</w:t>
            </w:r>
          </w:p>
          <w:p w14:paraId="57287F01">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5、服务地点：采购人指定地点。</w:t>
            </w:r>
          </w:p>
          <w:p w14:paraId="233477F6">
            <w:pPr>
              <w:keepNext w:val="0"/>
              <w:keepLines w:val="0"/>
              <w:pageBreakBefore w:val="0"/>
              <w:suppressLineNumbers w:val="0"/>
              <w:kinsoku/>
              <w:topLinePunct w:val="0"/>
              <w:bidi w:val="0"/>
              <w:spacing w:before="60" w:beforeAutospacing="0" w:after="60" w:afterAutospacing="0" w:line="360" w:lineRule="auto"/>
              <w:ind w:right="0"/>
              <w:rPr>
                <w:rFonts w:hint="eastAsia" w:ascii="宋体" w:hAnsi="宋体" w:eastAsia="宋体"/>
                <w:color w:val="auto"/>
                <w:szCs w:val="21"/>
                <w:highlight w:val="none"/>
                <w:lang w:eastAsia="zh-CN"/>
              </w:rPr>
            </w:pPr>
            <w:r>
              <w:rPr>
                <w:rFonts w:hint="eastAsia" w:ascii="宋体" w:hAnsi="宋体" w:eastAsia="宋体" w:cs="宋体"/>
                <w:color w:val="auto"/>
                <w:sz w:val="21"/>
                <w:szCs w:val="21"/>
                <w:highlight w:val="none"/>
              </w:rPr>
              <w:t>6、</w:t>
            </w:r>
            <w:r>
              <w:rPr>
                <w:rFonts w:hint="eastAsia" w:ascii="宋体" w:hAnsi="宋体" w:cs="宋体"/>
                <w:color w:val="auto"/>
                <w:sz w:val="21"/>
                <w:szCs w:val="21"/>
                <w:highlight w:val="none"/>
                <w:lang w:eastAsia="zh-CN"/>
              </w:rPr>
              <w:t>服务期限</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通过采取政府购买服务方式实施，活动期3年，实行合同一年一签，第一年运营费用泉水工业园区就业服务工作站预算为叁拾玖万陆仟零陆拾元整（¥396,060元）；第二、第三年运营经费、服务内容结合实际进行调整优化，</w:t>
            </w:r>
            <w:r>
              <w:rPr>
                <w:rFonts w:hint="eastAsia" w:ascii="宋体" w:hAnsi="宋体" w:cs="宋体"/>
                <w:color w:val="auto"/>
                <w:sz w:val="21"/>
                <w:szCs w:val="21"/>
                <w:highlight w:val="none"/>
                <w:lang w:val="en-US" w:eastAsia="zh-CN"/>
              </w:rPr>
              <w:t>报县人民政府审批后，</w:t>
            </w:r>
            <w:r>
              <w:rPr>
                <w:rFonts w:hint="eastAsia" w:ascii="宋体" w:hAnsi="宋体" w:eastAsia="宋体" w:cs="宋体"/>
                <w:color w:val="auto"/>
                <w:sz w:val="21"/>
                <w:szCs w:val="21"/>
                <w:highlight w:val="none"/>
                <w:lang w:val="en-US" w:eastAsia="zh-CN"/>
              </w:rPr>
              <w:t>双方再续签合同，如遇上级政策调整，以上级政策为准，可终止实施。如果当年</w:t>
            </w:r>
            <w:r>
              <w:rPr>
                <w:rFonts w:hint="eastAsia" w:ascii="宋体" w:hAnsi="宋体" w:cs="宋体"/>
                <w:color w:val="auto"/>
                <w:sz w:val="21"/>
                <w:szCs w:val="21"/>
                <w:highlight w:val="none"/>
                <w:lang w:val="en-US" w:eastAsia="zh-CN"/>
              </w:rPr>
              <w:t>有2项（含2项）以上</w:t>
            </w:r>
            <w:r>
              <w:rPr>
                <w:rFonts w:hint="eastAsia" w:ascii="宋体" w:hAnsi="宋体" w:eastAsia="宋体" w:cs="宋体"/>
                <w:color w:val="auto"/>
                <w:sz w:val="21"/>
                <w:szCs w:val="21"/>
                <w:highlight w:val="none"/>
                <w:lang w:val="en-US" w:eastAsia="zh-CN"/>
              </w:rPr>
              <w:t>考核指标</w:t>
            </w:r>
            <w:r>
              <w:rPr>
                <w:rFonts w:hint="eastAsia" w:ascii="宋体" w:hAnsi="宋体" w:cs="宋体"/>
                <w:color w:val="auto"/>
                <w:sz w:val="21"/>
                <w:szCs w:val="21"/>
                <w:highlight w:val="none"/>
                <w:lang w:val="en-US" w:eastAsia="zh-CN"/>
              </w:rPr>
              <w:t>低于80%的</w:t>
            </w:r>
            <w:r>
              <w:rPr>
                <w:rFonts w:hint="eastAsia" w:ascii="宋体" w:hAnsi="宋体" w:eastAsia="宋体" w:cs="宋体"/>
                <w:color w:val="auto"/>
                <w:sz w:val="21"/>
                <w:szCs w:val="21"/>
                <w:highlight w:val="none"/>
                <w:lang w:val="en-US" w:eastAsia="zh-CN"/>
              </w:rPr>
              <w:t>，次年可终止实施。</w:t>
            </w:r>
          </w:p>
          <w:p w14:paraId="7F089418">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7、验收</w:t>
            </w:r>
          </w:p>
          <w:p w14:paraId="436C75E8">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采购人或委托的第三方根据</w:t>
            </w:r>
            <w:r>
              <w:rPr>
                <w:rFonts w:hint="eastAsia" w:ascii="宋体" w:hAnsi="宋体" w:cs="宋体"/>
                <w:color w:val="auto"/>
                <w:sz w:val="21"/>
                <w:szCs w:val="21"/>
                <w:highlight w:val="none"/>
                <w:lang w:eastAsia="zh-CN"/>
              </w:rPr>
              <w:t>签订</w:t>
            </w:r>
            <w:r>
              <w:rPr>
                <w:rFonts w:hint="eastAsia" w:ascii="宋体" w:hAnsi="宋体" w:eastAsia="宋体" w:cs="宋体"/>
                <w:color w:val="auto"/>
                <w:sz w:val="21"/>
                <w:szCs w:val="21"/>
                <w:highlight w:val="none"/>
              </w:rPr>
              <w:t>的合同和国家或所属地区有关政策标准对成交供应商提供的服务进行验收。</w:t>
            </w:r>
          </w:p>
          <w:p w14:paraId="6227943E">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成交供应商在验收前应对所提供的服务</w:t>
            </w:r>
            <w:r>
              <w:rPr>
                <w:rFonts w:hint="eastAsia" w:ascii="宋体" w:hAnsi="宋体" w:cs="宋体"/>
                <w:color w:val="auto"/>
                <w:sz w:val="21"/>
                <w:szCs w:val="21"/>
                <w:highlight w:val="none"/>
                <w:lang w:eastAsia="zh-CN"/>
              </w:rPr>
              <w:t>做出</w:t>
            </w:r>
            <w:r>
              <w:rPr>
                <w:rFonts w:hint="eastAsia" w:ascii="宋体" w:hAnsi="宋体" w:eastAsia="宋体" w:cs="宋体"/>
                <w:color w:val="auto"/>
                <w:sz w:val="21"/>
                <w:szCs w:val="21"/>
                <w:highlight w:val="none"/>
              </w:rPr>
              <w:t>全面检查和对验收文件进行整理，并列出 清单，作为采购人验收的依据之一。成交供应商不能按规定交付相关材料，导致采购人 无法确认成交供应商服务结果的，必须负责补齐，否则视为未按合同约定交付服务。</w:t>
            </w:r>
          </w:p>
          <w:p w14:paraId="097E0B1D">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以符合现行国家相关标准、行业标准、地方标准或者其他标准、规范及验收标准之一， 未尽事宜严格按照《关于印发广西壮族自治区政府采购项目履约验收管理办法的通知》 [桂财采〔2015〕22 号]以及《财政部关于进一步加强政府采购需求和履约验收管理的指 导意见》 [财库〔2016〕205 号]规定执行。</w:t>
            </w:r>
          </w:p>
          <w:p w14:paraId="49548BB4">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8、知识产权</w:t>
            </w:r>
          </w:p>
          <w:p w14:paraId="4AAC4CB9">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须保障采购人在使用该货物及服务或其任何一部分时不受到第三方关于侵犯专利权、商标权或工业设计权等知识产权的指控。如果任何第三方提出侵权指控与采购人无关，供应商须与第三方交涉并承担可能发生的责任与一切费用。如采购人因此而</w:t>
            </w:r>
            <w:r>
              <w:rPr>
                <w:rFonts w:hint="eastAsia" w:ascii="宋体" w:hAnsi="宋体" w:cs="宋体"/>
                <w:color w:val="auto"/>
                <w:sz w:val="21"/>
                <w:szCs w:val="21"/>
                <w:highlight w:val="none"/>
                <w:lang w:eastAsia="zh-CN"/>
              </w:rPr>
              <w:t>遭受</w:t>
            </w:r>
            <w:r>
              <w:rPr>
                <w:rFonts w:hint="eastAsia" w:ascii="宋体" w:hAnsi="宋体" w:eastAsia="宋体" w:cs="宋体"/>
                <w:color w:val="auto"/>
                <w:sz w:val="21"/>
                <w:szCs w:val="21"/>
                <w:highlight w:val="none"/>
              </w:rPr>
              <w:t>损失的，供应商应赔偿该损失。</w:t>
            </w:r>
          </w:p>
          <w:p w14:paraId="25FA125D">
            <w:pPr>
              <w:keepNext w:val="0"/>
              <w:keepLines w:val="0"/>
              <w:pageBreakBefore w:val="0"/>
              <w:numPr>
                <w:ilvl w:val="0"/>
                <w:numId w:val="0"/>
              </w:numPr>
              <w:suppressLineNumbers w:val="0"/>
              <w:kinsoku/>
              <w:wordWrap/>
              <w:overflowPunct/>
              <w:topLinePunct w:val="0"/>
              <w:autoSpaceDN/>
              <w:bidi w:val="0"/>
              <w:adjustRightInd/>
              <w:snapToGrid/>
              <w:spacing w:before="60" w:beforeAutospacing="0" w:after="60" w:afterAutospacing="0" w:line="360" w:lineRule="auto"/>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9、</w:t>
            </w:r>
            <w:r>
              <w:rPr>
                <w:rFonts w:hint="eastAsia" w:ascii="宋体" w:hAnsi="宋体" w:eastAsia="宋体" w:cs="宋体"/>
                <w:color w:val="auto"/>
                <w:sz w:val="21"/>
                <w:szCs w:val="21"/>
                <w:highlight w:val="none"/>
              </w:rPr>
              <w:t>标准、规范</w:t>
            </w:r>
          </w:p>
          <w:p w14:paraId="6F080332">
            <w:pPr>
              <w:keepNext w:val="0"/>
              <w:keepLines w:val="0"/>
              <w:pageBreakBefore w:val="0"/>
              <w:numPr>
                <w:ilvl w:val="0"/>
                <w:numId w:val="0"/>
              </w:numPr>
              <w:suppressLineNumbers w:val="0"/>
              <w:kinsoku/>
              <w:wordWrap/>
              <w:overflowPunct/>
              <w:topLinePunct w:val="0"/>
              <w:autoSpaceDN/>
              <w:bidi w:val="0"/>
              <w:adjustRightInd/>
              <w:snapToGrid/>
              <w:spacing w:before="60" w:beforeAutospacing="0" w:after="60" w:afterAutospacing="0" w:line="360" w:lineRule="auto"/>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如有国家相关标准、行业标准、地方标准或者其他标准、规范的，应执行相应的标准、规范。如具体采购需求与标准、规范不一致的，高于标准、规范的按具体采购需求执行，低于标准、规范的按标准、规范执行。</w:t>
            </w:r>
          </w:p>
        </w:tc>
      </w:tr>
    </w:tbl>
    <w:p w14:paraId="17851960">
      <w:pPr>
        <w:pageBreakBefore w:val="0"/>
        <w:kinsoku/>
        <w:topLinePunct w:val="0"/>
        <w:bidi w:val="0"/>
        <w:spacing w:before="60" w:after="60" w:line="360" w:lineRule="auto"/>
        <w:jc w:val="center"/>
        <w:rPr>
          <w:rFonts w:hint="eastAsia" w:ascii="宋体" w:hAnsi="宋体" w:cs="Arial Unicode MS"/>
          <w:b/>
          <w:bCs/>
          <w:color w:val="auto"/>
          <w:sz w:val="28"/>
          <w:szCs w:val="28"/>
          <w:highlight w:val="none"/>
        </w:rPr>
      </w:pPr>
    </w:p>
    <w:p w14:paraId="45223B10">
      <w:pPr>
        <w:pStyle w:val="2"/>
        <w:rPr>
          <w:rFonts w:hint="eastAsia" w:ascii="宋体" w:hAnsi="宋体" w:cs="Arial Unicode MS"/>
          <w:b/>
          <w:bCs/>
          <w:color w:val="auto"/>
          <w:sz w:val="28"/>
          <w:szCs w:val="28"/>
          <w:highlight w:val="none"/>
        </w:rPr>
      </w:pPr>
    </w:p>
    <w:p w14:paraId="48B9380C">
      <w:pPr>
        <w:rPr>
          <w:rFonts w:hint="eastAsia" w:ascii="宋体" w:hAnsi="宋体" w:cs="Arial Unicode MS"/>
          <w:b/>
          <w:bCs/>
          <w:color w:val="auto"/>
          <w:sz w:val="28"/>
          <w:szCs w:val="28"/>
          <w:highlight w:val="none"/>
        </w:rPr>
      </w:pPr>
    </w:p>
    <w:p w14:paraId="1C609BBA">
      <w:pPr>
        <w:pStyle w:val="2"/>
        <w:rPr>
          <w:rFonts w:hint="eastAsia" w:ascii="宋体" w:hAnsi="宋体" w:cs="Arial Unicode MS"/>
          <w:b/>
          <w:bCs/>
          <w:color w:val="auto"/>
          <w:sz w:val="28"/>
          <w:szCs w:val="28"/>
          <w:highlight w:val="none"/>
        </w:rPr>
      </w:pPr>
    </w:p>
    <w:p w14:paraId="18C2A2D5">
      <w:pPr>
        <w:rPr>
          <w:rFonts w:hint="eastAsia" w:ascii="宋体" w:hAnsi="宋体" w:cs="Arial Unicode MS"/>
          <w:b/>
          <w:bCs/>
          <w:color w:val="auto"/>
          <w:sz w:val="28"/>
          <w:szCs w:val="28"/>
          <w:highlight w:val="none"/>
        </w:rPr>
      </w:pPr>
    </w:p>
    <w:p w14:paraId="07261630">
      <w:pPr>
        <w:pageBreakBefore w:val="0"/>
        <w:kinsoku/>
        <w:topLinePunct w:val="0"/>
        <w:bidi w:val="0"/>
        <w:spacing w:before="60" w:after="60" w:line="360" w:lineRule="auto"/>
        <w:jc w:val="center"/>
        <w:rPr>
          <w:rFonts w:hint="eastAsia" w:ascii="宋体" w:hAnsi="宋体" w:cs="Arial Unicode MS"/>
          <w:b/>
          <w:bCs/>
          <w:color w:val="auto"/>
          <w:sz w:val="28"/>
          <w:szCs w:val="28"/>
          <w:highlight w:val="none"/>
        </w:rPr>
      </w:pPr>
    </w:p>
    <w:p w14:paraId="605F939C">
      <w:pPr>
        <w:pageBreakBefore w:val="0"/>
        <w:kinsoku/>
        <w:topLinePunct w:val="0"/>
        <w:bidi w:val="0"/>
        <w:spacing w:before="60" w:after="60" w:line="360" w:lineRule="auto"/>
        <w:jc w:val="center"/>
        <w:rPr>
          <w:rFonts w:hint="eastAsia" w:ascii="宋体" w:hAnsi="宋体" w:cs="Arial Unicode MS"/>
          <w:b/>
          <w:bCs/>
          <w:color w:val="auto"/>
          <w:sz w:val="28"/>
          <w:szCs w:val="28"/>
          <w:highlight w:val="none"/>
        </w:rPr>
      </w:pPr>
    </w:p>
    <w:p w14:paraId="4E4B390B">
      <w:pPr>
        <w:pageBreakBefore w:val="0"/>
        <w:kinsoku/>
        <w:topLinePunct w:val="0"/>
        <w:bidi w:val="0"/>
        <w:spacing w:before="60" w:after="60" w:line="360" w:lineRule="auto"/>
        <w:jc w:val="center"/>
        <w:rPr>
          <w:rFonts w:ascii="宋体" w:hAnsi="宋体" w:cs="Arial Unicode MS"/>
          <w:b/>
          <w:bCs/>
          <w:color w:val="auto"/>
          <w:sz w:val="28"/>
          <w:szCs w:val="28"/>
          <w:highlight w:val="none"/>
        </w:rPr>
      </w:pPr>
      <w:r>
        <w:rPr>
          <w:rFonts w:hint="eastAsia" w:ascii="宋体" w:hAnsi="宋体" w:cs="Arial Unicode MS"/>
          <w:b/>
          <w:bCs/>
          <w:color w:val="auto"/>
          <w:sz w:val="28"/>
          <w:szCs w:val="28"/>
          <w:highlight w:val="none"/>
        </w:rPr>
        <w:t>中小微企业划型标准</w:t>
      </w:r>
    </w:p>
    <w:p w14:paraId="63A973C5">
      <w:pPr>
        <w:pStyle w:val="29"/>
        <w:pageBreakBefore w:val="0"/>
        <w:kinsoku/>
        <w:topLinePunct w:val="0"/>
        <w:bidi w:val="0"/>
        <w:spacing w:before="60" w:after="60" w:line="360" w:lineRule="auto"/>
        <w:ind w:firstLine="400"/>
        <w:rPr>
          <w:color w:val="auto"/>
          <w:highlight w:val="none"/>
        </w:rPr>
      </w:pPr>
    </w:p>
    <w:tbl>
      <w:tblPr>
        <w:tblStyle w:val="30"/>
        <w:tblW w:w="0" w:type="auto"/>
        <w:jc w:val="center"/>
        <w:tblLayout w:type="fixed"/>
        <w:tblCellMar>
          <w:top w:w="0" w:type="dxa"/>
          <w:left w:w="108" w:type="dxa"/>
          <w:bottom w:w="0" w:type="dxa"/>
          <w:right w:w="108" w:type="dxa"/>
        </w:tblCellMar>
      </w:tblPr>
      <w:tblGrid>
        <w:gridCol w:w="2209"/>
        <w:gridCol w:w="1384"/>
        <w:gridCol w:w="913"/>
        <w:gridCol w:w="1620"/>
        <w:gridCol w:w="1440"/>
        <w:gridCol w:w="1315"/>
      </w:tblGrid>
      <w:tr w14:paraId="40818403">
        <w:tblPrEx>
          <w:tblCellMar>
            <w:top w:w="0" w:type="dxa"/>
            <w:left w:w="108" w:type="dxa"/>
            <w:bottom w:w="0" w:type="dxa"/>
            <w:right w:w="108" w:type="dxa"/>
          </w:tblCellMar>
        </w:tblPrEx>
        <w:trPr>
          <w:trHeight w:val="283" w:hRule="atLeast"/>
          <w:jc w:val="center"/>
        </w:trPr>
        <w:tc>
          <w:tcPr>
            <w:tcW w:w="2209" w:type="dxa"/>
            <w:tcBorders>
              <w:top w:val="single" w:color="auto" w:sz="4" w:space="0"/>
              <w:left w:val="single" w:color="auto" w:sz="4" w:space="0"/>
              <w:bottom w:val="single" w:color="auto" w:sz="4" w:space="0"/>
              <w:right w:val="single" w:color="auto" w:sz="4" w:space="0"/>
            </w:tcBorders>
            <w:vAlign w:val="center"/>
          </w:tcPr>
          <w:p w14:paraId="029ADD41">
            <w:pPr>
              <w:keepNext w:val="0"/>
              <w:keepLines w:val="0"/>
              <w:pageBreakBefore w:val="0"/>
              <w:widowControl/>
              <w:suppressLineNumbers w:val="0"/>
              <w:kinsoku/>
              <w:topLinePunct w:val="0"/>
              <w:bidi w:val="0"/>
              <w:spacing w:before="60" w:beforeAutospacing="0" w:after="60" w:afterAutospacing="0" w:line="360" w:lineRule="auto"/>
              <w:ind w:left="0" w:right="0"/>
              <w:jc w:val="center"/>
              <w:rPr>
                <w:rFonts w:hint="default"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384" w:type="dxa"/>
            <w:tcBorders>
              <w:top w:val="single" w:color="auto" w:sz="4" w:space="0"/>
              <w:left w:val="nil"/>
              <w:bottom w:val="single" w:color="auto" w:sz="4" w:space="0"/>
              <w:right w:val="single" w:color="auto" w:sz="4" w:space="0"/>
            </w:tcBorders>
            <w:vAlign w:val="center"/>
          </w:tcPr>
          <w:p w14:paraId="4CA7DA5F">
            <w:pPr>
              <w:keepNext w:val="0"/>
              <w:keepLines w:val="0"/>
              <w:pageBreakBefore w:val="0"/>
              <w:widowControl/>
              <w:suppressLineNumbers w:val="0"/>
              <w:kinsoku/>
              <w:topLinePunct w:val="0"/>
              <w:bidi w:val="0"/>
              <w:spacing w:before="60" w:beforeAutospacing="0" w:after="60" w:afterAutospacing="0" w:line="360" w:lineRule="auto"/>
              <w:ind w:left="0" w:right="0"/>
              <w:jc w:val="center"/>
              <w:rPr>
                <w:rFonts w:hint="default"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vAlign w:val="center"/>
          </w:tcPr>
          <w:p w14:paraId="690C49FF">
            <w:pPr>
              <w:keepNext w:val="0"/>
              <w:keepLines w:val="0"/>
              <w:pageBreakBefore w:val="0"/>
              <w:widowControl/>
              <w:suppressLineNumbers w:val="0"/>
              <w:kinsoku/>
              <w:topLinePunct w:val="0"/>
              <w:bidi w:val="0"/>
              <w:spacing w:before="60" w:beforeAutospacing="0" w:after="60" w:afterAutospacing="0" w:line="360" w:lineRule="auto"/>
              <w:ind w:left="0" w:right="0"/>
              <w:jc w:val="center"/>
              <w:rPr>
                <w:rFonts w:hint="default"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620" w:type="dxa"/>
            <w:tcBorders>
              <w:top w:val="single" w:color="auto" w:sz="4" w:space="0"/>
              <w:left w:val="nil"/>
              <w:bottom w:val="single" w:color="auto" w:sz="4" w:space="0"/>
              <w:right w:val="single" w:color="auto" w:sz="4" w:space="0"/>
            </w:tcBorders>
            <w:vAlign w:val="center"/>
          </w:tcPr>
          <w:p w14:paraId="38A23BFB">
            <w:pPr>
              <w:keepNext w:val="0"/>
              <w:keepLines w:val="0"/>
              <w:pageBreakBefore w:val="0"/>
              <w:widowControl/>
              <w:suppressLineNumbers w:val="0"/>
              <w:kinsoku/>
              <w:topLinePunct w:val="0"/>
              <w:bidi w:val="0"/>
              <w:spacing w:before="60" w:beforeAutospacing="0" w:after="60" w:afterAutospacing="0" w:line="360" w:lineRule="auto"/>
              <w:ind w:left="0" w:right="0"/>
              <w:jc w:val="center"/>
              <w:rPr>
                <w:rFonts w:hint="default"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440" w:type="dxa"/>
            <w:tcBorders>
              <w:top w:val="single" w:color="auto" w:sz="4" w:space="0"/>
              <w:left w:val="nil"/>
              <w:bottom w:val="single" w:color="auto" w:sz="4" w:space="0"/>
              <w:right w:val="single" w:color="auto" w:sz="4" w:space="0"/>
            </w:tcBorders>
            <w:vAlign w:val="center"/>
          </w:tcPr>
          <w:p w14:paraId="46B6DE1C">
            <w:pPr>
              <w:keepNext w:val="0"/>
              <w:keepLines w:val="0"/>
              <w:pageBreakBefore w:val="0"/>
              <w:widowControl/>
              <w:suppressLineNumbers w:val="0"/>
              <w:kinsoku/>
              <w:topLinePunct w:val="0"/>
              <w:bidi w:val="0"/>
              <w:spacing w:before="60" w:beforeAutospacing="0" w:after="60" w:afterAutospacing="0" w:line="360" w:lineRule="auto"/>
              <w:ind w:left="0" w:right="0"/>
              <w:jc w:val="center"/>
              <w:rPr>
                <w:rFonts w:hint="default"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315" w:type="dxa"/>
            <w:tcBorders>
              <w:top w:val="single" w:color="auto" w:sz="4" w:space="0"/>
              <w:left w:val="nil"/>
              <w:bottom w:val="single" w:color="auto" w:sz="4" w:space="0"/>
              <w:right w:val="single" w:color="auto" w:sz="4" w:space="0"/>
            </w:tcBorders>
            <w:vAlign w:val="center"/>
          </w:tcPr>
          <w:p w14:paraId="66F80911">
            <w:pPr>
              <w:keepNext w:val="0"/>
              <w:keepLines w:val="0"/>
              <w:pageBreakBefore w:val="0"/>
              <w:widowControl/>
              <w:suppressLineNumbers w:val="0"/>
              <w:kinsoku/>
              <w:topLinePunct w:val="0"/>
              <w:bidi w:val="0"/>
              <w:spacing w:before="60" w:beforeAutospacing="0" w:after="60" w:afterAutospacing="0" w:line="360" w:lineRule="auto"/>
              <w:ind w:left="0" w:right="0"/>
              <w:jc w:val="center"/>
              <w:rPr>
                <w:rFonts w:hint="default"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0D7399F8">
        <w:tblPrEx>
          <w:tblCellMar>
            <w:top w:w="0" w:type="dxa"/>
            <w:left w:w="108" w:type="dxa"/>
            <w:bottom w:w="0" w:type="dxa"/>
            <w:right w:w="108" w:type="dxa"/>
          </w:tblCellMar>
        </w:tblPrEx>
        <w:trPr>
          <w:trHeight w:val="225" w:hRule="atLeast"/>
          <w:jc w:val="center"/>
        </w:trPr>
        <w:tc>
          <w:tcPr>
            <w:tcW w:w="2209" w:type="dxa"/>
            <w:tcBorders>
              <w:top w:val="nil"/>
              <w:left w:val="single" w:color="auto" w:sz="4" w:space="0"/>
              <w:bottom w:val="single" w:color="auto" w:sz="4" w:space="0"/>
              <w:right w:val="single" w:color="auto" w:sz="4" w:space="0"/>
            </w:tcBorders>
            <w:vAlign w:val="bottom"/>
          </w:tcPr>
          <w:p w14:paraId="1B28E0C4">
            <w:pPr>
              <w:keepNext w:val="0"/>
              <w:keepLines w:val="0"/>
              <w:pageBreakBefore w:val="0"/>
              <w:widowControl/>
              <w:suppressLineNumbers w:val="0"/>
              <w:kinsoku/>
              <w:topLinePunct w:val="0"/>
              <w:bidi w:val="0"/>
              <w:spacing w:before="60" w:beforeAutospacing="0" w:after="60" w:afterAutospacing="0" w:line="360" w:lineRule="auto"/>
              <w:ind w:left="0" w:right="0"/>
              <w:jc w:val="center"/>
              <w:rPr>
                <w:rFonts w:hint="default"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384" w:type="dxa"/>
            <w:tcBorders>
              <w:top w:val="nil"/>
              <w:left w:val="nil"/>
              <w:bottom w:val="single" w:color="auto" w:sz="4" w:space="0"/>
              <w:right w:val="single" w:color="auto" w:sz="4" w:space="0"/>
            </w:tcBorders>
            <w:vAlign w:val="center"/>
          </w:tcPr>
          <w:p w14:paraId="00D78C75">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490B067">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3A19473">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6D7AB213">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315" w:type="dxa"/>
            <w:tcBorders>
              <w:top w:val="nil"/>
              <w:left w:val="nil"/>
              <w:bottom w:val="single" w:color="auto" w:sz="4" w:space="0"/>
              <w:right w:val="single" w:color="auto" w:sz="4" w:space="0"/>
            </w:tcBorders>
            <w:vAlign w:val="center"/>
          </w:tcPr>
          <w:p w14:paraId="16704826">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0D19DFAE">
        <w:tblPrEx>
          <w:tblCellMar>
            <w:top w:w="0" w:type="dxa"/>
            <w:left w:w="108" w:type="dxa"/>
            <w:bottom w:w="0" w:type="dxa"/>
            <w:right w:w="108" w:type="dxa"/>
          </w:tblCellMar>
        </w:tblPrEx>
        <w:trPr>
          <w:trHeight w:val="225" w:hRule="atLeast"/>
          <w:jc w:val="center"/>
        </w:trPr>
        <w:tc>
          <w:tcPr>
            <w:tcW w:w="2209" w:type="dxa"/>
            <w:vMerge w:val="restart"/>
            <w:tcBorders>
              <w:top w:val="nil"/>
              <w:left w:val="single" w:color="auto" w:sz="4" w:space="0"/>
              <w:bottom w:val="single" w:color="auto" w:sz="4" w:space="0"/>
              <w:right w:val="single" w:color="auto" w:sz="4" w:space="0"/>
            </w:tcBorders>
            <w:vAlign w:val="center"/>
          </w:tcPr>
          <w:p w14:paraId="73497739">
            <w:pPr>
              <w:keepNext w:val="0"/>
              <w:keepLines w:val="0"/>
              <w:pageBreakBefore w:val="0"/>
              <w:widowControl/>
              <w:suppressLineNumbers w:val="0"/>
              <w:kinsoku/>
              <w:topLinePunct w:val="0"/>
              <w:bidi w:val="0"/>
              <w:spacing w:before="60" w:beforeAutospacing="0" w:after="60" w:afterAutospacing="0" w:line="360" w:lineRule="auto"/>
              <w:ind w:left="0" w:right="0"/>
              <w:jc w:val="center"/>
              <w:rPr>
                <w:rFonts w:hint="default"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384" w:type="dxa"/>
            <w:tcBorders>
              <w:top w:val="nil"/>
              <w:left w:val="nil"/>
              <w:bottom w:val="single" w:color="auto" w:sz="4" w:space="0"/>
              <w:right w:val="single" w:color="auto" w:sz="4" w:space="0"/>
            </w:tcBorders>
            <w:vAlign w:val="center"/>
          </w:tcPr>
          <w:p w14:paraId="32643977">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5CCD7C9">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1BB95ED">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680C68DD">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315" w:type="dxa"/>
            <w:tcBorders>
              <w:top w:val="nil"/>
              <w:left w:val="nil"/>
              <w:bottom w:val="single" w:color="auto" w:sz="4" w:space="0"/>
              <w:right w:val="single" w:color="auto" w:sz="4" w:space="0"/>
            </w:tcBorders>
            <w:vAlign w:val="center"/>
          </w:tcPr>
          <w:p w14:paraId="7BBF7E29">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554D247">
        <w:tblPrEx>
          <w:tblCellMar>
            <w:top w:w="0" w:type="dxa"/>
            <w:left w:w="108" w:type="dxa"/>
            <w:bottom w:w="0" w:type="dxa"/>
            <w:right w:w="108" w:type="dxa"/>
          </w:tblCellMar>
        </w:tblPrEx>
        <w:trPr>
          <w:trHeight w:val="225" w:hRule="atLeast"/>
          <w:jc w:val="center"/>
        </w:trPr>
        <w:tc>
          <w:tcPr>
            <w:tcW w:w="2209" w:type="dxa"/>
            <w:vMerge w:val="continue"/>
            <w:tcBorders>
              <w:top w:val="nil"/>
              <w:left w:val="single" w:color="auto" w:sz="4" w:space="0"/>
              <w:bottom w:val="single" w:color="auto" w:sz="4" w:space="0"/>
              <w:right w:val="single" w:color="auto" w:sz="4" w:space="0"/>
            </w:tcBorders>
            <w:vAlign w:val="center"/>
          </w:tcPr>
          <w:p w14:paraId="67E9F4DA">
            <w:pPr>
              <w:keepNext w:val="0"/>
              <w:keepLines w:val="0"/>
              <w:pageBreakBefore w:val="0"/>
              <w:widowControl/>
              <w:suppressLineNumbers w:val="0"/>
              <w:kinsoku/>
              <w:topLinePunct w:val="0"/>
              <w:bidi w:val="0"/>
              <w:spacing w:before="60" w:beforeAutospacing="0" w:after="60" w:afterAutospacing="0" w:line="360" w:lineRule="auto"/>
              <w:ind w:left="0" w:right="0"/>
              <w:jc w:val="center"/>
              <w:rPr>
                <w:rFonts w:hint="default"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18D422CD">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DEED74C">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BEE72A1">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40" w:type="dxa"/>
            <w:tcBorders>
              <w:top w:val="nil"/>
              <w:left w:val="nil"/>
              <w:bottom w:val="single" w:color="auto" w:sz="4" w:space="0"/>
              <w:right w:val="single" w:color="auto" w:sz="4" w:space="0"/>
            </w:tcBorders>
            <w:vAlign w:val="center"/>
          </w:tcPr>
          <w:p w14:paraId="32A7B1A3">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315" w:type="dxa"/>
            <w:tcBorders>
              <w:top w:val="nil"/>
              <w:left w:val="nil"/>
              <w:bottom w:val="single" w:color="auto" w:sz="4" w:space="0"/>
              <w:right w:val="single" w:color="auto" w:sz="4" w:space="0"/>
            </w:tcBorders>
            <w:vAlign w:val="center"/>
          </w:tcPr>
          <w:p w14:paraId="2A9DD7AF">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560D8BFD">
        <w:tblPrEx>
          <w:tblCellMar>
            <w:top w:w="0" w:type="dxa"/>
            <w:left w:w="108" w:type="dxa"/>
            <w:bottom w:w="0" w:type="dxa"/>
            <w:right w:w="108" w:type="dxa"/>
          </w:tblCellMar>
        </w:tblPrEx>
        <w:trPr>
          <w:trHeight w:val="225" w:hRule="atLeast"/>
          <w:jc w:val="center"/>
        </w:trPr>
        <w:tc>
          <w:tcPr>
            <w:tcW w:w="2209" w:type="dxa"/>
            <w:vMerge w:val="restart"/>
            <w:tcBorders>
              <w:top w:val="nil"/>
              <w:left w:val="single" w:color="auto" w:sz="4" w:space="0"/>
              <w:bottom w:val="single" w:color="auto" w:sz="4" w:space="0"/>
              <w:right w:val="single" w:color="auto" w:sz="4" w:space="0"/>
            </w:tcBorders>
            <w:vAlign w:val="center"/>
          </w:tcPr>
          <w:p w14:paraId="3F030967">
            <w:pPr>
              <w:keepNext w:val="0"/>
              <w:keepLines w:val="0"/>
              <w:pageBreakBefore w:val="0"/>
              <w:widowControl/>
              <w:suppressLineNumbers w:val="0"/>
              <w:kinsoku/>
              <w:topLinePunct w:val="0"/>
              <w:bidi w:val="0"/>
              <w:spacing w:before="60" w:beforeAutospacing="0" w:after="60" w:afterAutospacing="0" w:line="360" w:lineRule="auto"/>
              <w:ind w:left="0" w:right="0"/>
              <w:jc w:val="center"/>
              <w:rPr>
                <w:rFonts w:hint="default"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384" w:type="dxa"/>
            <w:tcBorders>
              <w:top w:val="nil"/>
              <w:left w:val="nil"/>
              <w:bottom w:val="single" w:color="auto" w:sz="4" w:space="0"/>
              <w:right w:val="single" w:color="auto" w:sz="4" w:space="0"/>
            </w:tcBorders>
            <w:vAlign w:val="center"/>
          </w:tcPr>
          <w:p w14:paraId="5EF82E2C">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7CE3F17">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40111E2">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40" w:type="dxa"/>
            <w:tcBorders>
              <w:top w:val="nil"/>
              <w:left w:val="nil"/>
              <w:bottom w:val="single" w:color="auto" w:sz="4" w:space="0"/>
              <w:right w:val="single" w:color="auto" w:sz="4" w:space="0"/>
            </w:tcBorders>
            <w:vAlign w:val="center"/>
          </w:tcPr>
          <w:p w14:paraId="2F003418">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315" w:type="dxa"/>
            <w:tcBorders>
              <w:top w:val="nil"/>
              <w:left w:val="nil"/>
              <w:bottom w:val="single" w:color="auto" w:sz="4" w:space="0"/>
              <w:right w:val="single" w:color="auto" w:sz="4" w:space="0"/>
            </w:tcBorders>
            <w:vAlign w:val="center"/>
          </w:tcPr>
          <w:p w14:paraId="296DD82C">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54289EBB">
        <w:tblPrEx>
          <w:tblCellMar>
            <w:top w:w="0" w:type="dxa"/>
            <w:left w:w="108" w:type="dxa"/>
            <w:bottom w:w="0" w:type="dxa"/>
            <w:right w:w="108" w:type="dxa"/>
          </w:tblCellMar>
        </w:tblPrEx>
        <w:trPr>
          <w:trHeight w:val="225" w:hRule="atLeast"/>
          <w:jc w:val="center"/>
        </w:trPr>
        <w:tc>
          <w:tcPr>
            <w:tcW w:w="2209" w:type="dxa"/>
            <w:vMerge w:val="continue"/>
            <w:tcBorders>
              <w:top w:val="nil"/>
              <w:left w:val="single" w:color="auto" w:sz="4" w:space="0"/>
              <w:bottom w:val="single" w:color="auto" w:sz="4" w:space="0"/>
              <w:right w:val="single" w:color="auto" w:sz="4" w:space="0"/>
            </w:tcBorders>
            <w:vAlign w:val="center"/>
          </w:tcPr>
          <w:p w14:paraId="4393BD4F">
            <w:pPr>
              <w:keepNext w:val="0"/>
              <w:keepLines w:val="0"/>
              <w:pageBreakBefore w:val="0"/>
              <w:widowControl/>
              <w:suppressLineNumbers w:val="0"/>
              <w:kinsoku/>
              <w:topLinePunct w:val="0"/>
              <w:bidi w:val="0"/>
              <w:spacing w:before="60" w:beforeAutospacing="0" w:after="60" w:afterAutospacing="0" w:line="360" w:lineRule="auto"/>
              <w:ind w:left="0" w:right="0"/>
              <w:jc w:val="center"/>
              <w:rPr>
                <w:rFonts w:hint="default"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29B7D4D">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4FA6A45C">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FA53422">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40" w:type="dxa"/>
            <w:tcBorders>
              <w:top w:val="nil"/>
              <w:left w:val="nil"/>
              <w:bottom w:val="single" w:color="auto" w:sz="4" w:space="0"/>
              <w:right w:val="single" w:color="auto" w:sz="4" w:space="0"/>
            </w:tcBorders>
            <w:vAlign w:val="center"/>
          </w:tcPr>
          <w:p w14:paraId="6613B0D0">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315" w:type="dxa"/>
            <w:tcBorders>
              <w:top w:val="nil"/>
              <w:left w:val="nil"/>
              <w:bottom w:val="single" w:color="auto" w:sz="4" w:space="0"/>
              <w:right w:val="single" w:color="auto" w:sz="4" w:space="0"/>
            </w:tcBorders>
            <w:vAlign w:val="center"/>
          </w:tcPr>
          <w:p w14:paraId="2E824C34">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7B870B0D">
        <w:tblPrEx>
          <w:tblCellMar>
            <w:top w:w="0" w:type="dxa"/>
            <w:left w:w="108" w:type="dxa"/>
            <w:bottom w:w="0" w:type="dxa"/>
            <w:right w:w="108" w:type="dxa"/>
          </w:tblCellMar>
        </w:tblPrEx>
        <w:trPr>
          <w:trHeight w:val="225" w:hRule="atLeast"/>
          <w:jc w:val="center"/>
        </w:trPr>
        <w:tc>
          <w:tcPr>
            <w:tcW w:w="2209" w:type="dxa"/>
            <w:vMerge w:val="restart"/>
            <w:tcBorders>
              <w:top w:val="nil"/>
              <w:left w:val="single" w:color="auto" w:sz="4" w:space="0"/>
              <w:bottom w:val="single" w:color="auto" w:sz="4" w:space="0"/>
              <w:right w:val="single" w:color="auto" w:sz="4" w:space="0"/>
            </w:tcBorders>
            <w:vAlign w:val="center"/>
          </w:tcPr>
          <w:p w14:paraId="007DAF61">
            <w:pPr>
              <w:keepNext w:val="0"/>
              <w:keepLines w:val="0"/>
              <w:pageBreakBefore w:val="0"/>
              <w:widowControl/>
              <w:suppressLineNumbers w:val="0"/>
              <w:kinsoku/>
              <w:topLinePunct w:val="0"/>
              <w:bidi w:val="0"/>
              <w:spacing w:before="60" w:beforeAutospacing="0" w:after="60" w:afterAutospacing="0" w:line="360" w:lineRule="auto"/>
              <w:ind w:left="0" w:right="0"/>
              <w:jc w:val="center"/>
              <w:rPr>
                <w:rFonts w:hint="default"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384" w:type="dxa"/>
            <w:tcBorders>
              <w:top w:val="nil"/>
              <w:left w:val="nil"/>
              <w:bottom w:val="single" w:color="auto" w:sz="4" w:space="0"/>
              <w:right w:val="single" w:color="auto" w:sz="4" w:space="0"/>
            </w:tcBorders>
            <w:vAlign w:val="center"/>
          </w:tcPr>
          <w:p w14:paraId="3990C1B6">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D646B96">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2DBFDFB8">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40" w:type="dxa"/>
            <w:tcBorders>
              <w:top w:val="nil"/>
              <w:left w:val="nil"/>
              <w:bottom w:val="single" w:color="auto" w:sz="4" w:space="0"/>
              <w:right w:val="single" w:color="auto" w:sz="4" w:space="0"/>
            </w:tcBorders>
            <w:vAlign w:val="center"/>
          </w:tcPr>
          <w:p w14:paraId="3D9AED91">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315" w:type="dxa"/>
            <w:tcBorders>
              <w:top w:val="nil"/>
              <w:left w:val="nil"/>
              <w:bottom w:val="single" w:color="auto" w:sz="4" w:space="0"/>
              <w:right w:val="single" w:color="auto" w:sz="4" w:space="0"/>
            </w:tcBorders>
            <w:vAlign w:val="center"/>
          </w:tcPr>
          <w:p w14:paraId="426EB3D7">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7674B115">
        <w:tblPrEx>
          <w:tblCellMar>
            <w:top w:w="0" w:type="dxa"/>
            <w:left w:w="108" w:type="dxa"/>
            <w:bottom w:w="0" w:type="dxa"/>
            <w:right w:w="108" w:type="dxa"/>
          </w:tblCellMar>
        </w:tblPrEx>
        <w:trPr>
          <w:trHeight w:val="225" w:hRule="atLeast"/>
          <w:jc w:val="center"/>
        </w:trPr>
        <w:tc>
          <w:tcPr>
            <w:tcW w:w="2209" w:type="dxa"/>
            <w:vMerge w:val="continue"/>
            <w:tcBorders>
              <w:top w:val="nil"/>
              <w:left w:val="single" w:color="auto" w:sz="4" w:space="0"/>
              <w:bottom w:val="single" w:color="auto" w:sz="4" w:space="0"/>
              <w:right w:val="single" w:color="auto" w:sz="4" w:space="0"/>
            </w:tcBorders>
            <w:vAlign w:val="center"/>
          </w:tcPr>
          <w:p w14:paraId="20F5A323">
            <w:pPr>
              <w:keepNext w:val="0"/>
              <w:keepLines w:val="0"/>
              <w:pageBreakBefore w:val="0"/>
              <w:widowControl/>
              <w:suppressLineNumbers w:val="0"/>
              <w:kinsoku/>
              <w:topLinePunct w:val="0"/>
              <w:bidi w:val="0"/>
              <w:spacing w:before="60" w:beforeAutospacing="0" w:after="60" w:afterAutospacing="0" w:line="360" w:lineRule="auto"/>
              <w:ind w:left="0" w:right="0"/>
              <w:jc w:val="center"/>
              <w:rPr>
                <w:rFonts w:hint="default"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0275D6EC">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2EBA239">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D703BE4">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40" w:type="dxa"/>
            <w:tcBorders>
              <w:top w:val="nil"/>
              <w:left w:val="nil"/>
              <w:bottom w:val="single" w:color="auto" w:sz="4" w:space="0"/>
              <w:right w:val="single" w:color="auto" w:sz="4" w:space="0"/>
            </w:tcBorders>
            <w:vAlign w:val="center"/>
          </w:tcPr>
          <w:p w14:paraId="3024B41B">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315" w:type="dxa"/>
            <w:tcBorders>
              <w:top w:val="nil"/>
              <w:left w:val="nil"/>
              <w:bottom w:val="single" w:color="auto" w:sz="4" w:space="0"/>
              <w:right w:val="single" w:color="auto" w:sz="4" w:space="0"/>
            </w:tcBorders>
            <w:vAlign w:val="center"/>
          </w:tcPr>
          <w:p w14:paraId="2D241854">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68A539D4">
        <w:tblPrEx>
          <w:tblCellMar>
            <w:top w:w="0" w:type="dxa"/>
            <w:left w:w="108" w:type="dxa"/>
            <w:bottom w:w="0" w:type="dxa"/>
            <w:right w:w="108" w:type="dxa"/>
          </w:tblCellMar>
        </w:tblPrEx>
        <w:trPr>
          <w:trHeight w:val="225" w:hRule="atLeast"/>
          <w:jc w:val="center"/>
        </w:trPr>
        <w:tc>
          <w:tcPr>
            <w:tcW w:w="2209" w:type="dxa"/>
            <w:vMerge w:val="restart"/>
            <w:tcBorders>
              <w:top w:val="nil"/>
              <w:left w:val="single" w:color="auto" w:sz="4" w:space="0"/>
              <w:bottom w:val="single" w:color="auto" w:sz="4" w:space="0"/>
              <w:right w:val="single" w:color="auto" w:sz="4" w:space="0"/>
            </w:tcBorders>
            <w:vAlign w:val="center"/>
          </w:tcPr>
          <w:p w14:paraId="0FE7ADD9">
            <w:pPr>
              <w:keepNext w:val="0"/>
              <w:keepLines w:val="0"/>
              <w:pageBreakBefore w:val="0"/>
              <w:widowControl/>
              <w:suppressLineNumbers w:val="0"/>
              <w:kinsoku/>
              <w:topLinePunct w:val="0"/>
              <w:bidi w:val="0"/>
              <w:spacing w:before="60" w:beforeAutospacing="0" w:after="60" w:afterAutospacing="0" w:line="360" w:lineRule="auto"/>
              <w:ind w:left="0" w:right="0"/>
              <w:jc w:val="center"/>
              <w:rPr>
                <w:rFonts w:hint="default"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384" w:type="dxa"/>
            <w:tcBorders>
              <w:top w:val="nil"/>
              <w:left w:val="nil"/>
              <w:bottom w:val="single" w:color="auto" w:sz="4" w:space="0"/>
              <w:right w:val="single" w:color="auto" w:sz="4" w:space="0"/>
            </w:tcBorders>
            <w:vAlign w:val="center"/>
          </w:tcPr>
          <w:p w14:paraId="0B4F9559">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906063F">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6B62B8EF">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40" w:type="dxa"/>
            <w:tcBorders>
              <w:top w:val="nil"/>
              <w:left w:val="nil"/>
              <w:bottom w:val="single" w:color="auto" w:sz="4" w:space="0"/>
              <w:right w:val="single" w:color="auto" w:sz="4" w:space="0"/>
            </w:tcBorders>
            <w:vAlign w:val="center"/>
          </w:tcPr>
          <w:p w14:paraId="678693E5">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315" w:type="dxa"/>
            <w:tcBorders>
              <w:top w:val="nil"/>
              <w:left w:val="nil"/>
              <w:bottom w:val="single" w:color="auto" w:sz="4" w:space="0"/>
              <w:right w:val="single" w:color="auto" w:sz="4" w:space="0"/>
            </w:tcBorders>
            <w:vAlign w:val="center"/>
          </w:tcPr>
          <w:p w14:paraId="522C6F65">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7E7FC65">
        <w:tblPrEx>
          <w:tblCellMar>
            <w:top w:w="0" w:type="dxa"/>
            <w:left w:w="108" w:type="dxa"/>
            <w:bottom w:w="0" w:type="dxa"/>
            <w:right w:w="108" w:type="dxa"/>
          </w:tblCellMar>
        </w:tblPrEx>
        <w:trPr>
          <w:trHeight w:val="225" w:hRule="atLeast"/>
          <w:jc w:val="center"/>
        </w:trPr>
        <w:tc>
          <w:tcPr>
            <w:tcW w:w="2209" w:type="dxa"/>
            <w:vMerge w:val="continue"/>
            <w:tcBorders>
              <w:top w:val="nil"/>
              <w:left w:val="single" w:color="auto" w:sz="4" w:space="0"/>
              <w:bottom w:val="single" w:color="auto" w:sz="4" w:space="0"/>
              <w:right w:val="single" w:color="auto" w:sz="4" w:space="0"/>
            </w:tcBorders>
            <w:vAlign w:val="center"/>
          </w:tcPr>
          <w:p w14:paraId="6D01C4A9">
            <w:pPr>
              <w:keepNext w:val="0"/>
              <w:keepLines w:val="0"/>
              <w:pageBreakBefore w:val="0"/>
              <w:widowControl/>
              <w:suppressLineNumbers w:val="0"/>
              <w:kinsoku/>
              <w:topLinePunct w:val="0"/>
              <w:bidi w:val="0"/>
              <w:spacing w:before="60" w:beforeAutospacing="0" w:after="60" w:afterAutospacing="0" w:line="360" w:lineRule="auto"/>
              <w:ind w:left="0" w:right="0"/>
              <w:jc w:val="center"/>
              <w:rPr>
                <w:rFonts w:hint="default"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4FE916B">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0973A1B">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4CD3B3A">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0570E443">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315" w:type="dxa"/>
            <w:tcBorders>
              <w:top w:val="nil"/>
              <w:left w:val="nil"/>
              <w:bottom w:val="single" w:color="auto" w:sz="4" w:space="0"/>
              <w:right w:val="single" w:color="auto" w:sz="4" w:space="0"/>
            </w:tcBorders>
            <w:vAlign w:val="center"/>
          </w:tcPr>
          <w:p w14:paraId="1837FE9A">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1BA6288">
        <w:tblPrEx>
          <w:tblCellMar>
            <w:top w:w="0" w:type="dxa"/>
            <w:left w:w="108" w:type="dxa"/>
            <w:bottom w:w="0" w:type="dxa"/>
            <w:right w:w="108" w:type="dxa"/>
          </w:tblCellMar>
        </w:tblPrEx>
        <w:trPr>
          <w:trHeight w:val="225" w:hRule="atLeast"/>
          <w:jc w:val="center"/>
        </w:trPr>
        <w:tc>
          <w:tcPr>
            <w:tcW w:w="2209" w:type="dxa"/>
            <w:vMerge w:val="restart"/>
            <w:tcBorders>
              <w:top w:val="nil"/>
              <w:left w:val="single" w:color="auto" w:sz="4" w:space="0"/>
              <w:bottom w:val="single" w:color="auto" w:sz="4" w:space="0"/>
              <w:right w:val="single" w:color="auto" w:sz="4" w:space="0"/>
            </w:tcBorders>
            <w:vAlign w:val="center"/>
          </w:tcPr>
          <w:p w14:paraId="6F12D852">
            <w:pPr>
              <w:keepNext w:val="0"/>
              <w:keepLines w:val="0"/>
              <w:pageBreakBefore w:val="0"/>
              <w:widowControl/>
              <w:suppressLineNumbers w:val="0"/>
              <w:kinsoku/>
              <w:topLinePunct w:val="0"/>
              <w:bidi w:val="0"/>
              <w:spacing w:before="60" w:beforeAutospacing="0" w:after="60" w:afterAutospacing="0" w:line="360" w:lineRule="auto"/>
              <w:ind w:left="0" w:right="0"/>
              <w:jc w:val="center"/>
              <w:rPr>
                <w:rFonts w:hint="default"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384" w:type="dxa"/>
            <w:tcBorders>
              <w:top w:val="nil"/>
              <w:left w:val="nil"/>
              <w:bottom w:val="single" w:color="auto" w:sz="4" w:space="0"/>
              <w:right w:val="single" w:color="auto" w:sz="4" w:space="0"/>
            </w:tcBorders>
            <w:vAlign w:val="center"/>
          </w:tcPr>
          <w:p w14:paraId="6ADE3D61">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4C2F1DA1">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1BE1817">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4E2DC7B4">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315" w:type="dxa"/>
            <w:tcBorders>
              <w:top w:val="nil"/>
              <w:left w:val="nil"/>
              <w:bottom w:val="single" w:color="auto" w:sz="4" w:space="0"/>
              <w:right w:val="single" w:color="auto" w:sz="4" w:space="0"/>
            </w:tcBorders>
            <w:vAlign w:val="center"/>
          </w:tcPr>
          <w:p w14:paraId="4001F932">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2A65D25">
        <w:tblPrEx>
          <w:tblCellMar>
            <w:top w:w="0" w:type="dxa"/>
            <w:left w:w="108" w:type="dxa"/>
            <w:bottom w:w="0" w:type="dxa"/>
            <w:right w:w="108" w:type="dxa"/>
          </w:tblCellMar>
        </w:tblPrEx>
        <w:trPr>
          <w:trHeight w:val="225" w:hRule="atLeast"/>
          <w:jc w:val="center"/>
        </w:trPr>
        <w:tc>
          <w:tcPr>
            <w:tcW w:w="2209" w:type="dxa"/>
            <w:vMerge w:val="continue"/>
            <w:tcBorders>
              <w:top w:val="nil"/>
              <w:left w:val="single" w:color="auto" w:sz="4" w:space="0"/>
              <w:bottom w:val="single" w:color="auto" w:sz="4" w:space="0"/>
              <w:right w:val="single" w:color="auto" w:sz="4" w:space="0"/>
            </w:tcBorders>
            <w:vAlign w:val="center"/>
          </w:tcPr>
          <w:p w14:paraId="4FCEFBF1">
            <w:pPr>
              <w:keepNext w:val="0"/>
              <w:keepLines w:val="0"/>
              <w:pageBreakBefore w:val="0"/>
              <w:widowControl/>
              <w:suppressLineNumbers w:val="0"/>
              <w:kinsoku/>
              <w:topLinePunct w:val="0"/>
              <w:bidi w:val="0"/>
              <w:spacing w:before="60" w:beforeAutospacing="0" w:after="60" w:afterAutospacing="0" w:line="360" w:lineRule="auto"/>
              <w:ind w:left="0" w:right="0"/>
              <w:jc w:val="center"/>
              <w:rPr>
                <w:rFonts w:hint="default"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22E8FA16">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18170B0">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DCDA2B6">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40" w:type="dxa"/>
            <w:tcBorders>
              <w:top w:val="nil"/>
              <w:left w:val="nil"/>
              <w:bottom w:val="single" w:color="auto" w:sz="4" w:space="0"/>
              <w:right w:val="single" w:color="auto" w:sz="4" w:space="0"/>
            </w:tcBorders>
            <w:vAlign w:val="center"/>
          </w:tcPr>
          <w:p w14:paraId="20EAAB93">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315" w:type="dxa"/>
            <w:tcBorders>
              <w:top w:val="nil"/>
              <w:left w:val="nil"/>
              <w:bottom w:val="single" w:color="auto" w:sz="4" w:space="0"/>
              <w:right w:val="single" w:color="auto" w:sz="4" w:space="0"/>
            </w:tcBorders>
            <w:vAlign w:val="center"/>
          </w:tcPr>
          <w:p w14:paraId="4E7D921E">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7DDC8768">
        <w:tblPrEx>
          <w:tblCellMar>
            <w:top w:w="0" w:type="dxa"/>
            <w:left w:w="108" w:type="dxa"/>
            <w:bottom w:w="0" w:type="dxa"/>
            <w:right w:w="108" w:type="dxa"/>
          </w:tblCellMar>
        </w:tblPrEx>
        <w:trPr>
          <w:trHeight w:val="225" w:hRule="atLeast"/>
          <w:jc w:val="center"/>
        </w:trPr>
        <w:tc>
          <w:tcPr>
            <w:tcW w:w="2209" w:type="dxa"/>
            <w:vMerge w:val="restart"/>
            <w:tcBorders>
              <w:top w:val="nil"/>
              <w:left w:val="single" w:color="auto" w:sz="4" w:space="0"/>
              <w:bottom w:val="single" w:color="auto" w:sz="4" w:space="0"/>
              <w:right w:val="single" w:color="auto" w:sz="4" w:space="0"/>
            </w:tcBorders>
            <w:vAlign w:val="center"/>
          </w:tcPr>
          <w:p w14:paraId="29CDC405">
            <w:pPr>
              <w:keepNext w:val="0"/>
              <w:keepLines w:val="0"/>
              <w:pageBreakBefore w:val="0"/>
              <w:widowControl/>
              <w:suppressLineNumbers w:val="0"/>
              <w:kinsoku/>
              <w:topLinePunct w:val="0"/>
              <w:bidi w:val="0"/>
              <w:spacing w:before="60" w:beforeAutospacing="0" w:after="60" w:afterAutospacing="0" w:line="360" w:lineRule="auto"/>
              <w:ind w:left="0" w:right="0"/>
              <w:jc w:val="center"/>
              <w:rPr>
                <w:rFonts w:hint="default"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384" w:type="dxa"/>
            <w:tcBorders>
              <w:top w:val="nil"/>
              <w:left w:val="nil"/>
              <w:bottom w:val="single" w:color="auto" w:sz="4" w:space="0"/>
              <w:right w:val="single" w:color="auto" w:sz="4" w:space="0"/>
            </w:tcBorders>
            <w:vAlign w:val="center"/>
          </w:tcPr>
          <w:p w14:paraId="24AD5247">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6FE1887">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6C0E88E">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40" w:type="dxa"/>
            <w:tcBorders>
              <w:top w:val="nil"/>
              <w:left w:val="nil"/>
              <w:bottom w:val="single" w:color="auto" w:sz="4" w:space="0"/>
              <w:right w:val="single" w:color="auto" w:sz="4" w:space="0"/>
            </w:tcBorders>
            <w:vAlign w:val="center"/>
          </w:tcPr>
          <w:p w14:paraId="078470CF">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315" w:type="dxa"/>
            <w:tcBorders>
              <w:top w:val="nil"/>
              <w:left w:val="nil"/>
              <w:bottom w:val="single" w:color="auto" w:sz="4" w:space="0"/>
              <w:right w:val="single" w:color="auto" w:sz="4" w:space="0"/>
            </w:tcBorders>
            <w:vAlign w:val="center"/>
          </w:tcPr>
          <w:p w14:paraId="2ACF933C">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04413C1">
        <w:tblPrEx>
          <w:tblCellMar>
            <w:top w:w="0" w:type="dxa"/>
            <w:left w:w="108" w:type="dxa"/>
            <w:bottom w:w="0" w:type="dxa"/>
            <w:right w:w="108" w:type="dxa"/>
          </w:tblCellMar>
        </w:tblPrEx>
        <w:trPr>
          <w:trHeight w:val="225" w:hRule="atLeast"/>
          <w:jc w:val="center"/>
        </w:trPr>
        <w:tc>
          <w:tcPr>
            <w:tcW w:w="2209" w:type="dxa"/>
            <w:vMerge w:val="continue"/>
            <w:tcBorders>
              <w:top w:val="nil"/>
              <w:left w:val="single" w:color="auto" w:sz="4" w:space="0"/>
              <w:bottom w:val="single" w:color="auto" w:sz="4" w:space="0"/>
              <w:right w:val="single" w:color="auto" w:sz="4" w:space="0"/>
            </w:tcBorders>
            <w:vAlign w:val="center"/>
          </w:tcPr>
          <w:p w14:paraId="50CFF247">
            <w:pPr>
              <w:keepNext w:val="0"/>
              <w:keepLines w:val="0"/>
              <w:pageBreakBefore w:val="0"/>
              <w:widowControl/>
              <w:suppressLineNumbers w:val="0"/>
              <w:kinsoku/>
              <w:topLinePunct w:val="0"/>
              <w:bidi w:val="0"/>
              <w:spacing w:before="60" w:beforeAutospacing="0" w:after="60" w:afterAutospacing="0" w:line="360" w:lineRule="auto"/>
              <w:ind w:left="0" w:right="0"/>
              <w:jc w:val="center"/>
              <w:rPr>
                <w:rFonts w:hint="default"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4EEE4A5">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9BC3662">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2EDFA69">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40" w:type="dxa"/>
            <w:tcBorders>
              <w:top w:val="nil"/>
              <w:left w:val="nil"/>
              <w:bottom w:val="single" w:color="auto" w:sz="4" w:space="0"/>
              <w:right w:val="single" w:color="auto" w:sz="4" w:space="0"/>
            </w:tcBorders>
            <w:vAlign w:val="center"/>
          </w:tcPr>
          <w:p w14:paraId="10456A6B">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315" w:type="dxa"/>
            <w:tcBorders>
              <w:top w:val="nil"/>
              <w:left w:val="nil"/>
              <w:bottom w:val="single" w:color="auto" w:sz="4" w:space="0"/>
              <w:right w:val="single" w:color="auto" w:sz="4" w:space="0"/>
            </w:tcBorders>
            <w:vAlign w:val="center"/>
          </w:tcPr>
          <w:p w14:paraId="05339980">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6D698ED">
        <w:tblPrEx>
          <w:tblCellMar>
            <w:top w:w="0" w:type="dxa"/>
            <w:left w:w="108" w:type="dxa"/>
            <w:bottom w:w="0" w:type="dxa"/>
            <w:right w:w="108" w:type="dxa"/>
          </w:tblCellMar>
        </w:tblPrEx>
        <w:trPr>
          <w:trHeight w:val="225" w:hRule="atLeast"/>
          <w:jc w:val="center"/>
        </w:trPr>
        <w:tc>
          <w:tcPr>
            <w:tcW w:w="2209" w:type="dxa"/>
            <w:vMerge w:val="restart"/>
            <w:tcBorders>
              <w:top w:val="nil"/>
              <w:left w:val="single" w:color="auto" w:sz="4" w:space="0"/>
              <w:bottom w:val="single" w:color="auto" w:sz="4" w:space="0"/>
              <w:right w:val="single" w:color="auto" w:sz="4" w:space="0"/>
            </w:tcBorders>
            <w:vAlign w:val="center"/>
          </w:tcPr>
          <w:p w14:paraId="10F18866">
            <w:pPr>
              <w:keepNext w:val="0"/>
              <w:keepLines w:val="0"/>
              <w:pageBreakBefore w:val="0"/>
              <w:widowControl/>
              <w:suppressLineNumbers w:val="0"/>
              <w:kinsoku/>
              <w:topLinePunct w:val="0"/>
              <w:bidi w:val="0"/>
              <w:spacing w:before="60" w:beforeAutospacing="0" w:after="60" w:afterAutospacing="0" w:line="360" w:lineRule="auto"/>
              <w:ind w:left="0" w:right="0"/>
              <w:jc w:val="center"/>
              <w:rPr>
                <w:rFonts w:hint="default"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384" w:type="dxa"/>
            <w:tcBorders>
              <w:top w:val="nil"/>
              <w:left w:val="nil"/>
              <w:bottom w:val="single" w:color="auto" w:sz="4" w:space="0"/>
              <w:right w:val="single" w:color="auto" w:sz="4" w:space="0"/>
            </w:tcBorders>
            <w:vAlign w:val="center"/>
          </w:tcPr>
          <w:p w14:paraId="3A07E912">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6681B6ED">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D073C62">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41BD52B5">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315" w:type="dxa"/>
            <w:tcBorders>
              <w:top w:val="nil"/>
              <w:left w:val="nil"/>
              <w:bottom w:val="single" w:color="auto" w:sz="4" w:space="0"/>
              <w:right w:val="single" w:color="auto" w:sz="4" w:space="0"/>
            </w:tcBorders>
            <w:vAlign w:val="center"/>
          </w:tcPr>
          <w:p w14:paraId="7B563320">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FE0D87F">
        <w:tblPrEx>
          <w:tblCellMar>
            <w:top w:w="0" w:type="dxa"/>
            <w:left w:w="108" w:type="dxa"/>
            <w:bottom w:w="0" w:type="dxa"/>
            <w:right w:w="108" w:type="dxa"/>
          </w:tblCellMar>
        </w:tblPrEx>
        <w:trPr>
          <w:trHeight w:val="225" w:hRule="atLeast"/>
          <w:jc w:val="center"/>
        </w:trPr>
        <w:tc>
          <w:tcPr>
            <w:tcW w:w="2209" w:type="dxa"/>
            <w:vMerge w:val="continue"/>
            <w:tcBorders>
              <w:top w:val="nil"/>
              <w:left w:val="single" w:color="auto" w:sz="4" w:space="0"/>
              <w:bottom w:val="single" w:color="auto" w:sz="4" w:space="0"/>
              <w:right w:val="single" w:color="auto" w:sz="4" w:space="0"/>
            </w:tcBorders>
            <w:vAlign w:val="center"/>
          </w:tcPr>
          <w:p w14:paraId="45B0A17C">
            <w:pPr>
              <w:keepNext w:val="0"/>
              <w:keepLines w:val="0"/>
              <w:pageBreakBefore w:val="0"/>
              <w:widowControl/>
              <w:suppressLineNumbers w:val="0"/>
              <w:kinsoku/>
              <w:topLinePunct w:val="0"/>
              <w:bidi w:val="0"/>
              <w:spacing w:before="60" w:beforeAutospacing="0" w:after="60" w:afterAutospacing="0" w:line="360" w:lineRule="auto"/>
              <w:ind w:left="0" w:right="0"/>
              <w:jc w:val="center"/>
              <w:rPr>
                <w:rFonts w:hint="default"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BCA5681">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7D24ABE">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295F544">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40" w:type="dxa"/>
            <w:tcBorders>
              <w:top w:val="nil"/>
              <w:left w:val="nil"/>
              <w:bottom w:val="single" w:color="auto" w:sz="4" w:space="0"/>
              <w:right w:val="single" w:color="auto" w:sz="4" w:space="0"/>
            </w:tcBorders>
            <w:vAlign w:val="center"/>
          </w:tcPr>
          <w:p w14:paraId="46E585F7">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315" w:type="dxa"/>
            <w:tcBorders>
              <w:top w:val="nil"/>
              <w:left w:val="nil"/>
              <w:bottom w:val="single" w:color="auto" w:sz="4" w:space="0"/>
              <w:right w:val="single" w:color="auto" w:sz="4" w:space="0"/>
            </w:tcBorders>
            <w:vAlign w:val="center"/>
          </w:tcPr>
          <w:p w14:paraId="7172C4C1">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BD978B0">
        <w:tblPrEx>
          <w:tblCellMar>
            <w:top w:w="0" w:type="dxa"/>
            <w:left w:w="108" w:type="dxa"/>
            <w:bottom w:w="0" w:type="dxa"/>
            <w:right w:w="108" w:type="dxa"/>
          </w:tblCellMar>
        </w:tblPrEx>
        <w:trPr>
          <w:trHeight w:val="225" w:hRule="atLeast"/>
          <w:jc w:val="center"/>
        </w:trPr>
        <w:tc>
          <w:tcPr>
            <w:tcW w:w="2209" w:type="dxa"/>
            <w:vMerge w:val="restart"/>
            <w:tcBorders>
              <w:top w:val="nil"/>
              <w:left w:val="single" w:color="auto" w:sz="4" w:space="0"/>
              <w:bottom w:val="single" w:color="auto" w:sz="4" w:space="0"/>
              <w:right w:val="single" w:color="auto" w:sz="4" w:space="0"/>
            </w:tcBorders>
            <w:vAlign w:val="center"/>
          </w:tcPr>
          <w:p w14:paraId="60BFA7F8">
            <w:pPr>
              <w:keepNext w:val="0"/>
              <w:keepLines w:val="0"/>
              <w:pageBreakBefore w:val="0"/>
              <w:widowControl/>
              <w:suppressLineNumbers w:val="0"/>
              <w:kinsoku/>
              <w:topLinePunct w:val="0"/>
              <w:bidi w:val="0"/>
              <w:spacing w:before="60" w:beforeAutospacing="0" w:after="60" w:afterAutospacing="0" w:line="360" w:lineRule="auto"/>
              <w:ind w:left="0" w:right="0"/>
              <w:jc w:val="center"/>
              <w:rPr>
                <w:rFonts w:hint="default"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384" w:type="dxa"/>
            <w:tcBorders>
              <w:top w:val="nil"/>
              <w:left w:val="nil"/>
              <w:bottom w:val="single" w:color="auto" w:sz="4" w:space="0"/>
              <w:right w:val="single" w:color="auto" w:sz="4" w:space="0"/>
            </w:tcBorders>
            <w:vAlign w:val="center"/>
          </w:tcPr>
          <w:p w14:paraId="7B8C78FC">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A31BD2C">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84F4A77">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507EEAB1">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315" w:type="dxa"/>
            <w:tcBorders>
              <w:top w:val="nil"/>
              <w:left w:val="nil"/>
              <w:bottom w:val="single" w:color="auto" w:sz="4" w:space="0"/>
              <w:right w:val="single" w:color="auto" w:sz="4" w:space="0"/>
            </w:tcBorders>
            <w:vAlign w:val="center"/>
          </w:tcPr>
          <w:p w14:paraId="0E6558CC">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641B537">
        <w:tblPrEx>
          <w:tblCellMar>
            <w:top w:w="0" w:type="dxa"/>
            <w:left w:w="108" w:type="dxa"/>
            <w:bottom w:w="0" w:type="dxa"/>
            <w:right w:w="108" w:type="dxa"/>
          </w:tblCellMar>
        </w:tblPrEx>
        <w:trPr>
          <w:trHeight w:val="225" w:hRule="atLeast"/>
          <w:jc w:val="center"/>
        </w:trPr>
        <w:tc>
          <w:tcPr>
            <w:tcW w:w="2209" w:type="dxa"/>
            <w:vMerge w:val="continue"/>
            <w:tcBorders>
              <w:top w:val="nil"/>
              <w:left w:val="single" w:color="auto" w:sz="4" w:space="0"/>
              <w:bottom w:val="single" w:color="auto" w:sz="4" w:space="0"/>
              <w:right w:val="single" w:color="auto" w:sz="4" w:space="0"/>
            </w:tcBorders>
            <w:vAlign w:val="center"/>
          </w:tcPr>
          <w:p w14:paraId="26E283A0">
            <w:pPr>
              <w:keepNext w:val="0"/>
              <w:keepLines w:val="0"/>
              <w:pageBreakBefore w:val="0"/>
              <w:widowControl/>
              <w:suppressLineNumbers w:val="0"/>
              <w:kinsoku/>
              <w:topLinePunct w:val="0"/>
              <w:bidi w:val="0"/>
              <w:spacing w:before="60" w:beforeAutospacing="0" w:after="60" w:afterAutospacing="0" w:line="360" w:lineRule="auto"/>
              <w:ind w:left="0" w:right="0"/>
              <w:jc w:val="center"/>
              <w:rPr>
                <w:rFonts w:hint="default"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193FBD8B">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7AC0EDD">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43273E1">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1172A753">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315" w:type="dxa"/>
            <w:tcBorders>
              <w:top w:val="nil"/>
              <w:left w:val="nil"/>
              <w:bottom w:val="single" w:color="auto" w:sz="4" w:space="0"/>
              <w:right w:val="single" w:color="auto" w:sz="4" w:space="0"/>
            </w:tcBorders>
            <w:vAlign w:val="center"/>
          </w:tcPr>
          <w:p w14:paraId="0626BAA6">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63A8ADB">
        <w:tblPrEx>
          <w:tblCellMar>
            <w:top w:w="0" w:type="dxa"/>
            <w:left w:w="108" w:type="dxa"/>
            <w:bottom w:w="0" w:type="dxa"/>
            <w:right w:w="108" w:type="dxa"/>
          </w:tblCellMar>
        </w:tblPrEx>
        <w:trPr>
          <w:trHeight w:val="225" w:hRule="atLeast"/>
          <w:jc w:val="center"/>
        </w:trPr>
        <w:tc>
          <w:tcPr>
            <w:tcW w:w="2209" w:type="dxa"/>
            <w:vMerge w:val="restart"/>
            <w:tcBorders>
              <w:top w:val="nil"/>
              <w:left w:val="single" w:color="auto" w:sz="4" w:space="0"/>
              <w:bottom w:val="single" w:color="auto" w:sz="4" w:space="0"/>
              <w:right w:val="single" w:color="auto" w:sz="4" w:space="0"/>
            </w:tcBorders>
            <w:vAlign w:val="center"/>
          </w:tcPr>
          <w:p w14:paraId="382701C1">
            <w:pPr>
              <w:keepNext w:val="0"/>
              <w:keepLines w:val="0"/>
              <w:pageBreakBefore w:val="0"/>
              <w:widowControl/>
              <w:suppressLineNumbers w:val="0"/>
              <w:kinsoku/>
              <w:topLinePunct w:val="0"/>
              <w:bidi w:val="0"/>
              <w:spacing w:before="60" w:beforeAutospacing="0" w:after="60" w:afterAutospacing="0" w:line="360" w:lineRule="auto"/>
              <w:ind w:left="0" w:right="0"/>
              <w:jc w:val="center"/>
              <w:rPr>
                <w:rFonts w:hint="default"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384" w:type="dxa"/>
            <w:tcBorders>
              <w:top w:val="nil"/>
              <w:left w:val="nil"/>
              <w:bottom w:val="single" w:color="auto" w:sz="4" w:space="0"/>
              <w:right w:val="single" w:color="auto" w:sz="4" w:space="0"/>
            </w:tcBorders>
            <w:vAlign w:val="center"/>
          </w:tcPr>
          <w:p w14:paraId="296AFD5F">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63EC7DF">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3A55B05A">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5AC90D3A">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315" w:type="dxa"/>
            <w:tcBorders>
              <w:top w:val="nil"/>
              <w:left w:val="nil"/>
              <w:bottom w:val="single" w:color="auto" w:sz="4" w:space="0"/>
              <w:right w:val="single" w:color="auto" w:sz="4" w:space="0"/>
            </w:tcBorders>
            <w:vAlign w:val="center"/>
          </w:tcPr>
          <w:p w14:paraId="3B99498D">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95C9FF6">
        <w:tblPrEx>
          <w:tblCellMar>
            <w:top w:w="0" w:type="dxa"/>
            <w:left w:w="108" w:type="dxa"/>
            <w:bottom w:w="0" w:type="dxa"/>
            <w:right w:w="108" w:type="dxa"/>
          </w:tblCellMar>
        </w:tblPrEx>
        <w:trPr>
          <w:trHeight w:val="225" w:hRule="atLeast"/>
          <w:jc w:val="center"/>
        </w:trPr>
        <w:tc>
          <w:tcPr>
            <w:tcW w:w="2209" w:type="dxa"/>
            <w:vMerge w:val="continue"/>
            <w:tcBorders>
              <w:top w:val="nil"/>
              <w:left w:val="single" w:color="auto" w:sz="4" w:space="0"/>
              <w:bottom w:val="single" w:color="auto" w:sz="4" w:space="0"/>
              <w:right w:val="single" w:color="auto" w:sz="4" w:space="0"/>
            </w:tcBorders>
            <w:vAlign w:val="center"/>
          </w:tcPr>
          <w:p w14:paraId="55FAFA26">
            <w:pPr>
              <w:keepNext w:val="0"/>
              <w:keepLines w:val="0"/>
              <w:pageBreakBefore w:val="0"/>
              <w:widowControl/>
              <w:suppressLineNumbers w:val="0"/>
              <w:kinsoku/>
              <w:topLinePunct w:val="0"/>
              <w:bidi w:val="0"/>
              <w:spacing w:before="60" w:beforeAutospacing="0" w:after="60" w:afterAutospacing="0" w:line="360" w:lineRule="auto"/>
              <w:ind w:left="0" w:right="0"/>
              <w:jc w:val="center"/>
              <w:rPr>
                <w:rFonts w:hint="default"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C9C3A7B">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46848D6">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74A32D4">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69FB3E99">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315" w:type="dxa"/>
            <w:tcBorders>
              <w:top w:val="nil"/>
              <w:left w:val="nil"/>
              <w:bottom w:val="single" w:color="auto" w:sz="4" w:space="0"/>
              <w:right w:val="single" w:color="auto" w:sz="4" w:space="0"/>
            </w:tcBorders>
            <w:vAlign w:val="center"/>
          </w:tcPr>
          <w:p w14:paraId="43C6B186">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F5A6C09">
        <w:tblPrEx>
          <w:tblCellMar>
            <w:top w:w="0" w:type="dxa"/>
            <w:left w:w="108" w:type="dxa"/>
            <w:bottom w:w="0" w:type="dxa"/>
            <w:right w:w="108" w:type="dxa"/>
          </w:tblCellMar>
        </w:tblPrEx>
        <w:trPr>
          <w:trHeight w:val="225" w:hRule="atLeast"/>
          <w:jc w:val="center"/>
        </w:trPr>
        <w:tc>
          <w:tcPr>
            <w:tcW w:w="2209" w:type="dxa"/>
            <w:vMerge w:val="restart"/>
            <w:tcBorders>
              <w:top w:val="nil"/>
              <w:left w:val="single" w:color="auto" w:sz="4" w:space="0"/>
              <w:bottom w:val="single" w:color="auto" w:sz="4" w:space="0"/>
              <w:right w:val="single" w:color="auto" w:sz="4" w:space="0"/>
            </w:tcBorders>
            <w:vAlign w:val="center"/>
          </w:tcPr>
          <w:p w14:paraId="0C72E450">
            <w:pPr>
              <w:keepNext w:val="0"/>
              <w:keepLines w:val="0"/>
              <w:pageBreakBefore w:val="0"/>
              <w:widowControl/>
              <w:suppressLineNumbers w:val="0"/>
              <w:kinsoku/>
              <w:topLinePunct w:val="0"/>
              <w:bidi w:val="0"/>
              <w:spacing w:before="60" w:beforeAutospacing="0" w:after="60" w:afterAutospacing="0" w:line="360" w:lineRule="auto"/>
              <w:ind w:left="0" w:right="0"/>
              <w:jc w:val="center"/>
              <w:rPr>
                <w:rFonts w:hint="default"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384" w:type="dxa"/>
            <w:tcBorders>
              <w:top w:val="nil"/>
              <w:left w:val="nil"/>
              <w:bottom w:val="single" w:color="auto" w:sz="4" w:space="0"/>
              <w:right w:val="single" w:color="auto" w:sz="4" w:space="0"/>
            </w:tcBorders>
            <w:vAlign w:val="center"/>
          </w:tcPr>
          <w:p w14:paraId="3CF33477">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CF36D99">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AF9807D">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40" w:type="dxa"/>
            <w:tcBorders>
              <w:top w:val="nil"/>
              <w:left w:val="nil"/>
              <w:bottom w:val="single" w:color="auto" w:sz="4" w:space="0"/>
              <w:right w:val="single" w:color="auto" w:sz="4" w:space="0"/>
            </w:tcBorders>
            <w:vAlign w:val="center"/>
          </w:tcPr>
          <w:p w14:paraId="334A9294">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315" w:type="dxa"/>
            <w:tcBorders>
              <w:top w:val="nil"/>
              <w:left w:val="nil"/>
              <w:bottom w:val="single" w:color="auto" w:sz="4" w:space="0"/>
              <w:right w:val="single" w:color="auto" w:sz="4" w:space="0"/>
            </w:tcBorders>
            <w:vAlign w:val="center"/>
          </w:tcPr>
          <w:p w14:paraId="7270F9BF">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A2555B0">
        <w:tblPrEx>
          <w:tblCellMar>
            <w:top w:w="0" w:type="dxa"/>
            <w:left w:w="108" w:type="dxa"/>
            <w:bottom w:w="0" w:type="dxa"/>
            <w:right w:w="108" w:type="dxa"/>
          </w:tblCellMar>
        </w:tblPrEx>
        <w:trPr>
          <w:trHeight w:val="225" w:hRule="atLeast"/>
          <w:jc w:val="center"/>
        </w:trPr>
        <w:tc>
          <w:tcPr>
            <w:tcW w:w="2209" w:type="dxa"/>
            <w:vMerge w:val="continue"/>
            <w:tcBorders>
              <w:top w:val="nil"/>
              <w:left w:val="single" w:color="auto" w:sz="4" w:space="0"/>
              <w:bottom w:val="single" w:color="auto" w:sz="4" w:space="0"/>
              <w:right w:val="single" w:color="auto" w:sz="4" w:space="0"/>
            </w:tcBorders>
            <w:vAlign w:val="center"/>
          </w:tcPr>
          <w:p w14:paraId="50ADCD0E">
            <w:pPr>
              <w:keepNext w:val="0"/>
              <w:keepLines w:val="0"/>
              <w:pageBreakBefore w:val="0"/>
              <w:widowControl/>
              <w:suppressLineNumbers w:val="0"/>
              <w:kinsoku/>
              <w:topLinePunct w:val="0"/>
              <w:bidi w:val="0"/>
              <w:spacing w:before="60" w:beforeAutospacing="0" w:after="60" w:afterAutospacing="0" w:line="360" w:lineRule="auto"/>
              <w:ind w:left="0" w:right="0"/>
              <w:jc w:val="center"/>
              <w:rPr>
                <w:rFonts w:hint="default"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990C887">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DE9DED5">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DC28A59">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40" w:type="dxa"/>
            <w:tcBorders>
              <w:top w:val="nil"/>
              <w:left w:val="nil"/>
              <w:bottom w:val="single" w:color="auto" w:sz="4" w:space="0"/>
              <w:right w:val="single" w:color="auto" w:sz="4" w:space="0"/>
            </w:tcBorders>
            <w:vAlign w:val="center"/>
          </w:tcPr>
          <w:p w14:paraId="2F18FFE0">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315" w:type="dxa"/>
            <w:tcBorders>
              <w:top w:val="nil"/>
              <w:left w:val="nil"/>
              <w:bottom w:val="single" w:color="auto" w:sz="4" w:space="0"/>
              <w:right w:val="single" w:color="auto" w:sz="4" w:space="0"/>
            </w:tcBorders>
            <w:vAlign w:val="center"/>
          </w:tcPr>
          <w:p w14:paraId="711A3165">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2A6F67C">
        <w:tblPrEx>
          <w:tblCellMar>
            <w:top w:w="0" w:type="dxa"/>
            <w:left w:w="108" w:type="dxa"/>
            <w:bottom w:w="0" w:type="dxa"/>
            <w:right w:w="108" w:type="dxa"/>
          </w:tblCellMar>
        </w:tblPrEx>
        <w:trPr>
          <w:trHeight w:val="225" w:hRule="atLeast"/>
          <w:jc w:val="center"/>
        </w:trPr>
        <w:tc>
          <w:tcPr>
            <w:tcW w:w="2209" w:type="dxa"/>
            <w:vMerge w:val="restart"/>
            <w:tcBorders>
              <w:top w:val="nil"/>
              <w:left w:val="single" w:color="auto" w:sz="4" w:space="0"/>
              <w:bottom w:val="single" w:color="auto" w:sz="4" w:space="0"/>
              <w:right w:val="single" w:color="auto" w:sz="4" w:space="0"/>
            </w:tcBorders>
            <w:vAlign w:val="center"/>
          </w:tcPr>
          <w:p w14:paraId="7483076E">
            <w:pPr>
              <w:keepNext w:val="0"/>
              <w:keepLines w:val="0"/>
              <w:pageBreakBefore w:val="0"/>
              <w:widowControl/>
              <w:suppressLineNumbers w:val="0"/>
              <w:kinsoku/>
              <w:topLinePunct w:val="0"/>
              <w:bidi w:val="0"/>
              <w:spacing w:before="60" w:beforeAutospacing="0" w:after="60" w:afterAutospacing="0" w:line="360" w:lineRule="auto"/>
              <w:ind w:left="0" w:right="0"/>
              <w:jc w:val="center"/>
              <w:rPr>
                <w:rFonts w:hint="default"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384" w:type="dxa"/>
            <w:tcBorders>
              <w:top w:val="nil"/>
              <w:left w:val="nil"/>
              <w:bottom w:val="single" w:color="auto" w:sz="4" w:space="0"/>
              <w:right w:val="single" w:color="auto" w:sz="4" w:space="0"/>
            </w:tcBorders>
            <w:vAlign w:val="center"/>
          </w:tcPr>
          <w:p w14:paraId="50C6D03F">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DBE3A10">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69052B34">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3097DB0B">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315" w:type="dxa"/>
            <w:tcBorders>
              <w:top w:val="nil"/>
              <w:left w:val="nil"/>
              <w:bottom w:val="single" w:color="auto" w:sz="4" w:space="0"/>
              <w:right w:val="single" w:color="auto" w:sz="4" w:space="0"/>
            </w:tcBorders>
            <w:vAlign w:val="center"/>
          </w:tcPr>
          <w:p w14:paraId="30D7A18D">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FDEF571">
        <w:tblPrEx>
          <w:tblCellMar>
            <w:top w:w="0" w:type="dxa"/>
            <w:left w:w="108" w:type="dxa"/>
            <w:bottom w:w="0" w:type="dxa"/>
            <w:right w:w="108" w:type="dxa"/>
          </w:tblCellMar>
        </w:tblPrEx>
        <w:trPr>
          <w:trHeight w:val="225" w:hRule="atLeast"/>
          <w:jc w:val="center"/>
        </w:trPr>
        <w:tc>
          <w:tcPr>
            <w:tcW w:w="2209" w:type="dxa"/>
            <w:vMerge w:val="continue"/>
            <w:tcBorders>
              <w:top w:val="nil"/>
              <w:left w:val="single" w:color="auto" w:sz="4" w:space="0"/>
              <w:bottom w:val="single" w:color="auto" w:sz="4" w:space="0"/>
              <w:right w:val="single" w:color="auto" w:sz="4" w:space="0"/>
            </w:tcBorders>
            <w:vAlign w:val="center"/>
          </w:tcPr>
          <w:p w14:paraId="075628EF">
            <w:pPr>
              <w:keepNext w:val="0"/>
              <w:keepLines w:val="0"/>
              <w:pageBreakBefore w:val="0"/>
              <w:widowControl/>
              <w:suppressLineNumbers w:val="0"/>
              <w:kinsoku/>
              <w:topLinePunct w:val="0"/>
              <w:bidi w:val="0"/>
              <w:spacing w:before="60" w:beforeAutospacing="0" w:after="60" w:afterAutospacing="0" w:line="360" w:lineRule="auto"/>
              <w:ind w:left="0" w:right="0"/>
              <w:jc w:val="center"/>
              <w:rPr>
                <w:rFonts w:hint="default"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03735DE9">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E914F86">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D1F4BBB">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40" w:type="dxa"/>
            <w:tcBorders>
              <w:top w:val="nil"/>
              <w:left w:val="nil"/>
              <w:bottom w:val="single" w:color="auto" w:sz="4" w:space="0"/>
              <w:right w:val="single" w:color="auto" w:sz="4" w:space="0"/>
            </w:tcBorders>
            <w:vAlign w:val="center"/>
          </w:tcPr>
          <w:p w14:paraId="6090F8DA">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315" w:type="dxa"/>
            <w:tcBorders>
              <w:top w:val="nil"/>
              <w:left w:val="nil"/>
              <w:bottom w:val="single" w:color="auto" w:sz="4" w:space="0"/>
              <w:right w:val="single" w:color="auto" w:sz="4" w:space="0"/>
            </w:tcBorders>
            <w:vAlign w:val="center"/>
          </w:tcPr>
          <w:p w14:paraId="5215470F">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2B223DC0">
        <w:tblPrEx>
          <w:tblCellMar>
            <w:top w:w="0" w:type="dxa"/>
            <w:left w:w="108" w:type="dxa"/>
            <w:bottom w:w="0" w:type="dxa"/>
            <w:right w:w="108" w:type="dxa"/>
          </w:tblCellMar>
        </w:tblPrEx>
        <w:trPr>
          <w:trHeight w:val="225" w:hRule="atLeast"/>
          <w:jc w:val="center"/>
        </w:trPr>
        <w:tc>
          <w:tcPr>
            <w:tcW w:w="2209" w:type="dxa"/>
            <w:vMerge w:val="restart"/>
            <w:tcBorders>
              <w:top w:val="nil"/>
              <w:left w:val="single" w:color="auto" w:sz="4" w:space="0"/>
              <w:bottom w:val="single" w:color="auto" w:sz="4" w:space="0"/>
              <w:right w:val="single" w:color="auto" w:sz="4" w:space="0"/>
            </w:tcBorders>
            <w:vAlign w:val="center"/>
          </w:tcPr>
          <w:p w14:paraId="1CADF2EE">
            <w:pPr>
              <w:keepNext w:val="0"/>
              <w:keepLines w:val="0"/>
              <w:pageBreakBefore w:val="0"/>
              <w:widowControl/>
              <w:suppressLineNumbers w:val="0"/>
              <w:kinsoku/>
              <w:topLinePunct w:val="0"/>
              <w:bidi w:val="0"/>
              <w:spacing w:before="60" w:beforeAutospacing="0" w:after="60" w:afterAutospacing="0" w:line="360" w:lineRule="auto"/>
              <w:ind w:left="0" w:right="0"/>
              <w:jc w:val="center"/>
              <w:rPr>
                <w:rFonts w:hint="default"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384" w:type="dxa"/>
            <w:tcBorders>
              <w:top w:val="nil"/>
              <w:left w:val="nil"/>
              <w:bottom w:val="single" w:color="auto" w:sz="4" w:space="0"/>
              <w:right w:val="single" w:color="auto" w:sz="4" w:space="0"/>
            </w:tcBorders>
            <w:vAlign w:val="center"/>
          </w:tcPr>
          <w:p w14:paraId="7DDF0BA0">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793F501">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D8BC4A9">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40" w:type="dxa"/>
            <w:tcBorders>
              <w:top w:val="nil"/>
              <w:left w:val="nil"/>
              <w:bottom w:val="single" w:color="auto" w:sz="4" w:space="0"/>
              <w:right w:val="single" w:color="auto" w:sz="4" w:space="0"/>
            </w:tcBorders>
            <w:vAlign w:val="center"/>
          </w:tcPr>
          <w:p w14:paraId="358111D2">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315" w:type="dxa"/>
            <w:tcBorders>
              <w:top w:val="nil"/>
              <w:left w:val="nil"/>
              <w:bottom w:val="single" w:color="auto" w:sz="4" w:space="0"/>
              <w:right w:val="single" w:color="auto" w:sz="4" w:space="0"/>
            </w:tcBorders>
            <w:vAlign w:val="center"/>
          </w:tcPr>
          <w:p w14:paraId="2A602603">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73369EFC">
        <w:tblPrEx>
          <w:tblCellMar>
            <w:top w:w="0" w:type="dxa"/>
            <w:left w:w="108" w:type="dxa"/>
            <w:bottom w:w="0" w:type="dxa"/>
            <w:right w:w="108" w:type="dxa"/>
          </w:tblCellMar>
        </w:tblPrEx>
        <w:trPr>
          <w:trHeight w:val="225" w:hRule="atLeast"/>
          <w:jc w:val="center"/>
        </w:trPr>
        <w:tc>
          <w:tcPr>
            <w:tcW w:w="2209" w:type="dxa"/>
            <w:vMerge w:val="continue"/>
            <w:tcBorders>
              <w:top w:val="nil"/>
              <w:left w:val="single" w:color="auto" w:sz="4" w:space="0"/>
              <w:bottom w:val="single" w:color="auto" w:sz="4" w:space="0"/>
              <w:right w:val="single" w:color="auto" w:sz="4" w:space="0"/>
            </w:tcBorders>
            <w:vAlign w:val="center"/>
          </w:tcPr>
          <w:p w14:paraId="58C46EFD">
            <w:pPr>
              <w:keepNext w:val="0"/>
              <w:keepLines w:val="0"/>
              <w:pageBreakBefore w:val="0"/>
              <w:widowControl/>
              <w:suppressLineNumbers w:val="0"/>
              <w:kinsoku/>
              <w:topLinePunct w:val="0"/>
              <w:bidi w:val="0"/>
              <w:spacing w:before="60" w:beforeAutospacing="0" w:after="60" w:afterAutospacing="0" w:line="360" w:lineRule="auto"/>
              <w:ind w:left="0" w:right="0"/>
              <w:jc w:val="center"/>
              <w:rPr>
                <w:rFonts w:hint="default"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16E6152">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78C3CDF3">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B6F5D69">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40" w:type="dxa"/>
            <w:tcBorders>
              <w:top w:val="nil"/>
              <w:left w:val="nil"/>
              <w:bottom w:val="single" w:color="auto" w:sz="4" w:space="0"/>
              <w:right w:val="single" w:color="auto" w:sz="4" w:space="0"/>
            </w:tcBorders>
            <w:vAlign w:val="center"/>
          </w:tcPr>
          <w:p w14:paraId="446C833B">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315" w:type="dxa"/>
            <w:tcBorders>
              <w:top w:val="nil"/>
              <w:left w:val="nil"/>
              <w:bottom w:val="single" w:color="auto" w:sz="4" w:space="0"/>
              <w:right w:val="single" w:color="auto" w:sz="4" w:space="0"/>
            </w:tcBorders>
            <w:vAlign w:val="center"/>
          </w:tcPr>
          <w:p w14:paraId="0A57EB63">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2A8402B0">
        <w:tblPrEx>
          <w:tblCellMar>
            <w:top w:w="0" w:type="dxa"/>
            <w:left w:w="108" w:type="dxa"/>
            <w:bottom w:w="0" w:type="dxa"/>
            <w:right w:w="108" w:type="dxa"/>
          </w:tblCellMar>
        </w:tblPrEx>
        <w:trPr>
          <w:trHeight w:val="225" w:hRule="atLeast"/>
          <w:jc w:val="center"/>
        </w:trPr>
        <w:tc>
          <w:tcPr>
            <w:tcW w:w="2209" w:type="dxa"/>
            <w:vMerge w:val="restart"/>
            <w:tcBorders>
              <w:top w:val="nil"/>
              <w:left w:val="single" w:color="auto" w:sz="4" w:space="0"/>
              <w:bottom w:val="single" w:color="auto" w:sz="4" w:space="0"/>
              <w:right w:val="single" w:color="auto" w:sz="4" w:space="0"/>
            </w:tcBorders>
            <w:vAlign w:val="center"/>
          </w:tcPr>
          <w:p w14:paraId="0A98528E">
            <w:pPr>
              <w:keepNext w:val="0"/>
              <w:keepLines w:val="0"/>
              <w:pageBreakBefore w:val="0"/>
              <w:widowControl/>
              <w:suppressLineNumbers w:val="0"/>
              <w:kinsoku/>
              <w:topLinePunct w:val="0"/>
              <w:bidi w:val="0"/>
              <w:spacing w:before="60" w:beforeAutospacing="0" w:after="60" w:afterAutospacing="0" w:line="360" w:lineRule="auto"/>
              <w:ind w:left="0" w:right="0"/>
              <w:jc w:val="center"/>
              <w:rPr>
                <w:rFonts w:hint="default"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384" w:type="dxa"/>
            <w:tcBorders>
              <w:top w:val="nil"/>
              <w:left w:val="nil"/>
              <w:bottom w:val="single" w:color="auto" w:sz="4" w:space="0"/>
              <w:right w:val="single" w:color="auto" w:sz="4" w:space="0"/>
            </w:tcBorders>
            <w:vAlign w:val="center"/>
          </w:tcPr>
          <w:p w14:paraId="6AC0B72F">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9858FB3">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9468D54">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3C6BD44B">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315" w:type="dxa"/>
            <w:tcBorders>
              <w:top w:val="nil"/>
              <w:left w:val="nil"/>
              <w:bottom w:val="single" w:color="auto" w:sz="4" w:space="0"/>
              <w:right w:val="single" w:color="auto" w:sz="4" w:space="0"/>
            </w:tcBorders>
            <w:vAlign w:val="center"/>
          </w:tcPr>
          <w:p w14:paraId="712A717B">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6B6A6AF9">
        <w:tblPrEx>
          <w:tblCellMar>
            <w:top w:w="0" w:type="dxa"/>
            <w:left w:w="108" w:type="dxa"/>
            <w:bottom w:w="0" w:type="dxa"/>
            <w:right w:w="108" w:type="dxa"/>
          </w:tblCellMar>
        </w:tblPrEx>
        <w:trPr>
          <w:trHeight w:val="225" w:hRule="atLeast"/>
          <w:jc w:val="center"/>
        </w:trPr>
        <w:tc>
          <w:tcPr>
            <w:tcW w:w="2209" w:type="dxa"/>
            <w:vMerge w:val="continue"/>
            <w:tcBorders>
              <w:top w:val="nil"/>
              <w:left w:val="single" w:color="auto" w:sz="4" w:space="0"/>
              <w:bottom w:val="single" w:color="auto" w:sz="4" w:space="0"/>
              <w:right w:val="single" w:color="auto" w:sz="4" w:space="0"/>
            </w:tcBorders>
            <w:vAlign w:val="center"/>
          </w:tcPr>
          <w:p w14:paraId="44ABE2CF">
            <w:pPr>
              <w:keepNext w:val="0"/>
              <w:keepLines w:val="0"/>
              <w:pageBreakBefore w:val="0"/>
              <w:widowControl/>
              <w:suppressLineNumbers w:val="0"/>
              <w:kinsoku/>
              <w:topLinePunct w:val="0"/>
              <w:bidi w:val="0"/>
              <w:spacing w:before="60" w:beforeAutospacing="0" w:after="60" w:afterAutospacing="0" w:line="360" w:lineRule="auto"/>
              <w:ind w:left="0" w:right="0"/>
              <w:jc w:val="center"/>
              <w:rPr>
                <w:rFonts w:hint="default"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DC46C34">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FE7F17C">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A6FB1B5">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40" w:type="dxa"/>
            <w:tcBorders>
              <w:top w:val="nil"/>
              <w:left w:val="nil"/>
              <w:bottom w:val="single" w:color="auto" w:sz="4" w:space="0"/>
              <w:right w:val="single" w:color="auto" w:sz="4" w:space="0"/>
            </w:tcBorders>
            <w:vAlign w:val="center"/>
          </w:tcPr>
          <w:p w14:paraId="0EC14679">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315" w:type="dxa"/>
            <w:tcBorders>
              <w:top w:val="nil"/>
              <w:left w:val="nil"/>
              <w:bottom w:val="single" w:color="auto" w:sz="4" w:space="0"/>
              <w:right w:val="single" w:color="auto" w:sz="4" w:space="0"/>
            </w:tcBorders>
            <w:vAlign w:val="center"/>
          </w:tcPr>
          <w:p w14:paraId="20E95E3B">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19F0DC2B">
        <w:tblPrEx>
          <w:tblCellMar>
            <w:top w:w="0" w:type="dxa"/>
            <w:left w:w="108" w:type="dxa"/>
            <w:bottom w:w="0" w:type="dxa"/>
            <w:right w:w="108" w:type="dxa"/>
          </w:tblCellMar>
        </w:tblPrEx>
        <w:trPr>
          <w:trHeight w:val="225" w:hRule="atLeast"/>
          <w:jc w:val="center"/>
        </w:trPr>
        <w:tc>
          <w:tcPr>
            <w:tcW w:w="2209" w:type="dxa"/>
            <w:vMerge w:val="restart"/>
            <w:tcBorders>
              <w:top w:val="nil"/>
              <w:left w:val="single" w:color="auto" w:sz="4" w:space="0"/>
              <w:bottom w:val="single" w:color="auto" w:sz="4" w:space="0"/>
              <w:right w:val="single" w:color="auto" w:sz="4" w:space="0"/>
            </w:tcBorders>
            <w:vAlign w:val="center"/>
          </w:tcPr>
          <w:p w14:paraId="510751E5">
            <w:pPr>
              <w:keepNext w:val="0"/>
              <w:keepLines w:val="0"/>
              <w:pageBreakBefore w:val="0"/>
              <w:widowControl/>
              <w:suppressLineNumbers w:val="0"/>
              <w:kinsoku/>
              <w:topLinePunct w:val="0"/>
              <w:bidi w:val="0"/>
              <w:spacing w:before="60" w:beforeAutospacing="0" w:after="60" w:afterAutospacing="0" w:line="360" w:lineRule="auto"/>
              <w:ind w:left="0" w:right="0"/>
              <w:jc w:val="center"/>
              <w:rPr>
                <w:rFonts w:hint="default"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384" w:type="dxa"/>
            <w:tcBorders>
              <w:top w:val="nil"/>
              <w:left w:val="nil"/>
              <w:bottom w:val="single" w:color="auto" w:sz="4" w:space="0"/>
              <w:right w:val="single" w:color="auto" w:sz="4" w:space="0"/>
            </w:tcBorders>
            <w:vAlign w:val="center"/>
          </w:tcPr>
          <w:p w14:paraId="74922E8B">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4747A110">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CEC1033">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7C4F5BE8">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315" w:type="dxa"/>
            <w:tcBorders>
              <w:top w:val="nil"/>
              <w:left w:val="nil"/>
              <w:bottom w:val="single" w:color="auto" w:sz="4" w:space="0"/>
              <w:right w:val="single" w:color="auto" w:sz="4" w:space="0"/>
            </w:tcBorders>
            <w:vAlign w:val="center"/>
          </w:tcPr>
          <w:p w14:paraId="0516CFA0">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4C7EBDC">
        <w:tblPrEx>
          <w:tblCellMar>
            <w:top w:w="0" w:type="dxa"/>
            <w:left w:w="108" w:type="dxa"/>
            <w:bottom w:w="0" w:type="dxa"/>
            <w:right w:w="108" w:type="dxa"/>
          </w:tblCellMar>
        </w:tblPrEx>
        <w:trPr>
          <w:trHeight w:val="225" w:hRule="atLeast"/>
          <w:jc w:val="center"/>
        </w:trPr>
        <w:tc>
          <w:tcPr>
            <w:tcW w:w="2209" w:type="dxa"/>
            <w:vMerge w:val="continue"/>
            <w:tcBorders>
              <w:top w:val="nil"/>
              <w:left w:val="single" w:color="auto" w:sz="4" w:space="0"/>
              <w:bottom w:val="single" w:color="auto" w:sz="4" w:space="0"/>
              <w:right w:val="single" w:color="auto" w:sz="4" w:space="0"/>
            </w:tcBorders>
            <w:vAlign w:val="center"/>
          </w:tcPr>
          <w:p w14:paraId="07F2F929">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7C4F52AA">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21CF12D6">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DCDD921">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40" w:type="dxa"/>
            <w:tcBorders>
              <w:top w:val="nil"/>
              <w:left w:val="nil"/>
              <w:bottom w:val="single" w:color="auto" w:sz="4" w:space="0"/>
              <w:right w:val="single" w:color="auto" w:sz="4" w:space="0"/>
            </w:tcBorders>
            <w:vAlign w:val="center"/>
          </w:tcPr>
          <w:p w14:paraId="59A4DE61">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315" w:type="dxa"/>
            <w:tcBorders>
              <w:top w:val="nil"/>
              <w:left w:val="nil"/>
              <w:bottom w:val="single" w:color="auto" w:sz="4" w:space="0"/>
              <w:right w:val="single" w:color="auto" w:sz="4" w:space="0"/>
            </w:tcBorders>
            <w:vAlign w:val="center"/>
          </w:tcPr>
          <w:p w14:paraId="1D602ED0">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F4C1495">
        <w:tblPrEx>
          <w:tblCellMar>
            <w:top w:w="0" w:type="dxa"/>
            <w:left w:w="108" w:type="dxa"/>
            <w:bottom w:w="0" w:type="dxa"/>
            <w:right w:w="108" w:type="dxa"/>
          </w:tblCellMar>
        </w:tblPrEx>
        <w:trPr>
          <w:trHeight w:val="225" w:hRule="atLeast"/>
          <w:jc w:val="center"/>
        </w:trPr>
        <w:tc>
          <w:tcPr>
            <w:tcW w:w="2209" w:type="dxa"/>
            <w:tcBorders>
              <w:top w:val="nil"/>
              <w:left w:val="single" w:color="auto" w:sz="4" w:space="0"/>
              <w:bottom w:val="single" w:color="auto" w:sz="4" w:space="0"/>
              <w:right w:val="single" w:color="auto" w:sz="4" w:space="0"/>
            </w:tcBorders>
            <w:vAlign w:val="bottom"/>
          </w:tcPr>
          <w:p w14:paraId="5E1B3D8E">
            <w:pPr>
              <w:keepNext w:val="0"/>
              <w:keepLines w:val="0"/>
              <w:pageBreakBefore w:val="0"/>
              <w:widowControl/>
              <w:suppressLineNumbers w:val="0"/>
              <w:kinsoku/>
              <w:topLinePunct w:val="0"/>
              <w:bidi w:val="0"/>
              <w:spacing w:before="60" w:beforeAutospacing="0" w:after="60" w:afterAutospacing="0" w:line="360" w:lineRule="auto"/>
              <w:ind w:left="0" w:right="0"/>
              <w:jc w:val="center"/>
              <w:rPr>
                <w:rFonts w:hint="default"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384" w:type="dxa"/>
            <w:tcBorders>
              <w:top w:val="nil"/>
              <w:left w:val="nil"/>
              <w:bottom w:val="single" w:color="auto" w:sz="4" w:space="0"/>
              <w:right w:val="single" w:color="auto" w:sz="4" w:space="0"/>
            </w:tcBorders>
            <w:vAlign w:val="center"/>
          </w:tcPr>
          <w:p w14:paraId="7CDFF258">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A46978B">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10445086">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26C83805">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315" w:type="dxa"/>
            <w:tcBorders>
              <w:top w:val="nil"/>
              <w:left w:val="nil"/>
              <w:bottom w:val="single" w:color="auto" w:sz="4" w:space="0"/>
              <w:right w:val="single" w:color="auto" w:sz="4" w:space="0"/>
            </w:tcBorders>
            <w:vAlign w:val="center"/>
          </w:tcPr>
          <w:p w14:paraId="05329D97">
            <w:pPr>
              <w:keepNext w:val="0"/>
              <w:keepLines w:val="0"/>
              <w:pageBreakBefore w:val="0"/>
              <w:widowControl/>
              <w:suppressLineNumbers w:val="0"/>
              <w:kinsoku/>
              <w:topLinePunct w:val="0"/>
              <w:bidi w:val="0"/>
              <w:spacing w:before="60" w:beforeAutospacing="0" w:after="60" w:afterAutospacing="0" w:line="360" w:lineRule="auto"/>
              <w:ind w:left="0" w:right="0"/>
              <w:jc w:val="left"/>
              <w:rPr>
                <w:rFonts w:hint="default"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2324FC83">
      <w:pPr>
        <w:pageBreakBefore w:val="0"/>
        <w:kinsoku/>
        <w:topLinePunct w:val="0"/>
        <w:bidi w:val="0"/>
        <w:spacing w:before="60" w:after="60" w:line="360" w:lineRule="auto"/>
        <w:ind w:firstLine="525" w:firstLineChars="250"/>
        <w:rPr>
          <w:rFonts w:ascii="宋体" w:hAnsi="宋体"/>
          <w:color w:val="auto"/>
          <w:szCs w:val="21"/>
          <w:highlight w:val="none"/>
        </w:rPr>
      </w:pPr>
      <w:r>
        <w:rPr>
          <w:rFonts w:hint="eastAsia" w:ascii="宋体" w:hAnsi="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23024E73">
      <w:pPr>
        <w:pStyle w:val="3"/>
        <w:pageBreakBefore w:val="0"/>
        <w:kinsoku/>
        <w:topLinePunct w:val="0"/>
        <w:bidi w:val="0"/>
        <w:spacing w:before="60" w:after="60" w:line="360" w:lineRule="auto"/>
        <w:jc w:val="center"/>
        <w:rPr>
          <w:color w:val="auto"/>
          <w:highlight w:val="none"/>
        </w:rPr>
      </w:pPr>
      <w:r>
        <w:rPr>
          <w:rFonts w:ascii="宋体" w:hAnsi="宋体" w:cs="宋体"/>
          <w:color w:val="auto"/>
          <w:sz w:val="20"/>
          <w:szCs w:val="20"/>
          <w:highlight w:val="none"/>
        </w:rPr>
        <w:br w:type="page"/>
      </w:r>
      <w:bookmarkStart w:id="76" w:name="_Toc2716"/>
      <w:r>
        <w:rPr>
          <w:rFonts w:hint="eastAsia"/>
          <w:color w:val="auto"/>
          <w:highlight w:val="none"/>
        </w:rPr>
        <w:t>第四章 评审程序、评审方法和评审标准</w:t>
      </w:r>
      <w:bookmarkEnd w:id="76"/>
    </w:p>
    <w:p w14:paraId="738B28B4">
      <w:pPr>
        <w:pageBreakBefore w:val="0"/>
        <w:kinsoku/>
        <w:topLinePunct w:val="0"/>
        <w:bidi w:val="0"/>
        <w:spacing w:before="60" w:after="60" w:line="360" w:lineRule="auto"/>
        <w:jc w:val="center"/>
        <w:rPr>
          <w:rFonts w:ascii="宋体" w:hAnsi="宋体"/>
          <w:b/>
          <w:color w:val="auto"/>
          <w:sz w:val="32"/>
          <w:szCs w:val="32"/>
          <w:highlight w:val="none"/>
        </w:rPr>
      </w:pPr>
      <w:r>
        <w:rPr>
          <w:rFonts w:hint="eastAsia" w:ascii="宋体" w:hAnsi="宋体"/>
          <w:b/>
          <w:color w:val="auto"/>
          <w:sz w:val="32"/>
          <w:szCs w:val="32"/>
          <w:highlight w:val="none"/>
        </w:rPr>
        <w:t>一、评审程序和评审方法</w:t>
      </w:r>
    </w:p>
    <w:p w14:paraId="462837CF">
      <w:pPr>
        <w:pageBreakBefore w:val="0"/>
        <w:kinsoku/>
        <w:topLinePunct w:val="0"/>
        <w:bidi w:val="0"/>
        <w:spacing w:before="60" w:after="60"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lang w:eastAsia="zh-CN"/>
        </w:rPr>
        <w:t>.</w:t>
      </w:r>
      <w:r>
        <w:rPr>
          <w:rFonts w:hint="eastAsia" w:ascii="黑体" w:hAnsi="黑体" w:eastAsia="黑体" w:cs="宋体"/>
          <w:b/>
          <w:bCs/>
          <w:color w:val="auto"/>
          <w:sz w:val="24"/>
          <w:highlight w:val="none"/>
        </w:rPr>
        <w:t>资格审查</w:t>
      </w:r>
    </w:p>
    <w:p w14:paraId="0B3CEB40">
      <w:pPr>
        <w:pageBreakBefore w:val="0"/>
        <w:kinsoku/>
        <w:topLinePunct w:val="0"/>
        <w:bidi w:val="0"/>
        <w:snapToGrid w:val="0"/>
        <w:spacing w:before="60" w:after="60" w:line="360" w:lineRule="auto"/>
        <w:ind w:firstLine="420" w:firstLineChars="200"/>
        <w:rPr>
          <w:rFonts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1</w:t>
      </w:r>
      <w:r>
        <w:rPr>
          <w:rFonts w:hint="eastAsia" w:ascii="宋体" w:hAnsi="宋体"/>
          <w:color w:val="auto"/>
          <w:szCs w:val="21"/>
          <w:highlight w:val="none"/>
        </w:rPr>
        <w:t>响应文件开启后，磋商小组依法对供应商的资格证明文件进行审查。</w:t>
      </w:r>
    </w:p>
    <w:p w14:paraId="4121BBC3">
      <w:pPr>
        <w:pageBreakBefore w:val="0"/>
        <w:kinsoku/>
        <w:topLinePunct w:val="0"/>
        <w:bidi w:val="0"/>
        <w:snapToGrid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磋商小组</w:t>
      </w:r>
      <w:r>
        <w:rPr>
          <w:rFonts w:hint="eastAsia" w:ascii="宋体" w:hAnsi="宋体" w:cs="宋体"/>
          <w:color w:val="auto"/>
          <w:szCs w:val="21"/>
          <w:highlight w:val="none"/>
        </w:rPr>
        <w:t>在资格审查结束前，对供应商进行信用查询。</w:t>
      </w:r>
    </w:p>
    <w:p w14:paraId="11336BA4">
      <w:pPr>
        <w:pageBreakBefore w:val="0"/>
        <w:kinsoku/>
        <w:topLinePunct w:val="0"/>
        <w:bidi w:val="0"/>
        <w:snapToGrid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（1）查询渠道：“信用中国”网站(www</w:t>
      </w:r>
      <w:r>
        <w:rPr>
          <w:rFonts w:hint="eastAsia" w:ascii="宋体" w:hAnsi="宋体" w:cs="宋体"/>
          <w:color w:val="auto"/>
          <w:szCs w:val="21"/>
          <w:highlight w:val="none"/>
          <w:lang w:eastAsia="zh-CN"/>
        </w:rPr>
        <w:t>.</w:t>
      </w:r>
      <w:r>
        <w:rPr>
          <w:rFonts w:hint="eastAsia" w:ascii="宋体" w:hAnsi="宋体" w:cs="宋体"/>
          <w:color w:val="auto"/>
          <w:szCs w:val="21"/>
          <w:highlight w:val="none"/>
        </w:rPr>
        <w:t>creditchina</w:t>
      </w:r>
      <w:r>
        <w:rPr>
          <w:rFonts w:hint="eastAsia" w:ascii="宋体" w:hAnsi="宋体" w:cs="宋体"/>
          <w:color w:val="auto"/>
          <w:szCs w:val="21"/>
          <w:highlight w:val="none"/>
          <w:lang w:eastAsia="zh-CN"/>
        </w:rPr>
        <w:t>.</w:t>
      </w:r>
      <w:r>
        <w:rPr>
          <w:rFonts w:hint="eastAsia" w:ascii="宋体" w:hAnsi="宋体" w:cs="宋体"/>
          <w:color w:val="auto"/>
          <w:szCs w:val="21"/>
          <w:highlight w:val="none"/>
        </w:rPr>
        <w:t>gov</w:t>
      </w:r>
      <w:r>
        <w:rPr>
          <w:rFonts w:hint="eastAsia" w:ascii="宋体" w:hAnsi="宋体" w:cs="宋体"/>
          <w:color w:val="auto"/>
          <w:szCs w:val="21"/>
          <w:highlight w:val="none"/>
          <w:lang w:eastAsia="zh-CN"/>
        </w:rPr>
        <w:t>.</w:t>
      </w:r>
      <w:r>
        <w:rPr>
          <w:rFonts w:hint="eastAsia" w:ascii="宋体" w:hAnsi="宋体" w:cs="宋体"/>
          <w:color w:val="auto"/>
          <w:szCs w:val="21"/>
          <w:highlight w:val="none"/>
        </w:rPr>
        <w:t>cn)、中国政府采购网(www</w:t>
      </w:r>
      <w:r>
        <w:rPr>
          <w:rFonts w:hint="eastAsia" w:ascii="宋体" w:hAnsi="宋体" w:cs="宋体"/>
          <w:color w:val="auto"/>
          <w:szCs w:val="21"/>
          <w:highlight w:val="none"/>
          <w:lang w:eastAsia="zh-CN"/>
        </w:rPr>
        <w:t>.</w:t>
      </w:r>
      <w:r>
        <w:rPr>
          <w:rFonts w:hint="eastAsia" w:ascii="宋体" w:hAnsi="宋体" w:cs="宋体"/>
          <w:color w:val="auto"/>
          <w:szCs w:val="21"/>
          <w:highlight w:val="none"/>
        </w:rPr>
        <w:t>ccgp</w:t>
      </w:r>
      <w:r>
        <w:rPr>
          <w:rFonts w:hint="eastAsia" w:ascii="宋体" w:hAnsi="宋体" w:cs="宋体"/>
          <w:color w:val="auto"/>
          <w:szCs w:val="21"/>
          <w:highlight w:val="none"/>
          <w:lang w:eastAsia="zh-CN"/>
        </w:rPr>
        <w:t>.</w:t>
      </w:r>
      <w:r>
        <w:rPr>
          <w:rFonts w:hint="eastAsia" w:ascii="宋体" w:hAnsi="宋体" w:cs="宋体"/>
          <w:color w:val="auto"/>
          <w:szCs w:val="21"/>
          <w:highlight w:val="none"/>
        </w:rPr>
        <w:t>gov</w:t>
      </w:r>
      <w:r>
        <w:rPr>
          <w:rFonts w:hint="eastAsia" w:ascii="宋体" w:hAnsi="宋体" w:cs="宋体"/>
          <w:color w:val="auto"/>
          <w:szCs w:val="21"/>
          <w:highlight w:val="none"/>
          <w:lang w:eastAsia="zh-CN"/>
        </w:rPr>
        <w:t>.</w:t>
      </w:r>
      <w:r>
        <w:rPr>
          <w:rFonts w:hint="eastAsia" w:ascii="宋体" w:hAnsi="宋体" w:cs="宋体"/>
          <w:color w:val="auto"/>
          <w:szCs w:val="21"/>
          <w:highlight w:val="none"/>
        </w:rPr>
        <w:t>cn)链接入口。</w:t>
      </w:r>
    </w:p>
    <w:p w14:paraId="5C532447">
      <w:pPr>
        <w:pageBreakBefore w:val="0"/>
        <w:kinsoku/>
        <w:topLinePunct w:val="0"/>
        <w:bidi w:val="0"/>
        <w:snapToGrid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21154B26">
      <w:pPr>
        <w:pageBreakBefore w:val="0"/>
        <w:kinsoku/>
        <w:topLinePunct w:val="0"/>
        <w:bidi w:val="0"/>
        <w:snapToGrid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07026656">
      <w:pPr>
        <w:pageBreakBefore w:val="0"/>
        <w:kinsoku/>
        <w:topLinePunct w:val="0"/>
        <w:bidi w:val="0"/>
        <w:snapToGrid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（4）信用信息使用规则：对在“信用中国”网站（www</w:t>
      </w:r>
      <w:r>
        <w:rPr>
          <w:rFonts w:hint="eastAsia" w:ascii="宋体" w:hAnsi="宋体" w:cs="宋体"/>
          <w:color w:val="auto"/>
          <w:szCs w:val="21"/>
          <w:highlight w:val="none"/>
          <w:lang w:eastAsia="zh-CN"/>
        </w:rPr>
        <w:t>.</w:t>
      </w:r>
      <w:r>
        <w:rPr>
          <w:rFonts w:hint="eastAsia" w:ascii="宋体" w:hAnsi="宋体" w:cs="宋体"/>
          <w:color w:val="auto"/>
          <w:szCs w:val="21"/>
          <w:highlight w:val="none"/>
        </w:rPr>
        <w:t>creditchina</w:t>
      </w:r>
      <w:r>
        <w:rPr>
          <w:rFonts w:hint="eastAsia" w:ascii="宋体" w:hAnsi="宋体" w:cs="宋体"/>
          <w:color w:val="auto"/>
          <w:szCs w:val="21"/>
          <w:highlight w:val="none"/>
          <w:lang w:eastAsia="zh-CN"/>
        </w:rPr>
        <w:t>.</w:t>
      </w:r>
      <w:r>
        <w:rPr>
          <w:rFonts w:hint="eastAsia" w:ascii="宋体" w:hAnsi="宋体" w:cs="宋体"/>
          <w:color w:val="auto"/>
          <w:szCs w:val="21"/>
          <w:highlight w:val="none"/>
        </w:rPr>
        <w:t>gov</w:t>
      </w:r>
      <w:r>
        <w:rPr>
          <w:rFonts w:hint="eastAsia" w:ascii="宋体" w:hAnsi="宋体" w:cs="宋体"/>
          <w:color w:val="auto"/>
          <w:szCs w:val="21"/>
          <w:highlight w:val="none"/>
          <w:lang w:eastAsia="zh-CN"/>
        </w:rPr>
        <w:t>.</w:t>
      </w:r>
      <w:r>
        <w:rPr>
          <w:rFonts w:hint="eastAsia" w:ascii="宋体" w:hAnsi="宋体" w:cs="宋体"/>
          <w:color w:val="auto"/>
          <w:szCs w:val="21"/>
          <w:highlight w:val="none"/>
        </w:rPr>
        <w:t>cn） 、中国政府采购网（www</w:t>
      </w:r>
      <w:r>
        <w:rPr>
          <w:rFonts w:hint="eastAsia" w:ascii="宋体" w:hAnsi="宋体" w:cs="宋体"/>
          <w:color w:val="auto"/>
          <w:szCs w:val="21"/>
          <w:highlight w:val="none"/>
          <w:lang w:eastAsia="zh-CN"/>
        </w:rPr>
        <w:t>.</w:t>
      </w:r>
      <w:r>
        <w:rPr>
          <w:rFonts w:hint="eastAsia" w:ascii="宋体" w:hAnsi="宋体" w:cs="宋体"/>
          <w:color w:val="auto"/>
          <w:szCs w:val="21"/>
          <w:highlight w:val="none"/>
        </w:rPr>
        <w:t>ccgp</w:t>
      </w:r>
      <w:r>
        <w:rPr>
          <w:rFonts w:hint="eastAsia" w:ascii="宋体" w:hAnsi="宋体" w:cs="宋体"/>
          <w:color w:val="auto"/>
          <w:szCs w:val="21"/>
          <w:highlight w:val="none"/>
          <w:lang w:eastAsia="zh-CN"/>
        </w:rPr>
        <w:t>.</w:t>
      </w:r>
      <w:r>
        <w:rPr>
          <w:rFonts w:hint="eastAsia" w:ascii="宋体" w:hAnsi="宋体" w:cs="宋体"/>
          <w:color w:val="auto"/>
          <w:szCs w:val="21"/>
          <w:highlight w:val="none"/>
        </w:rPr>
        <w:t>gov</w:t>
      </w:r>
      <w:r>
        <w:rPr>
          <w:rFonts w:hint="eastAsia" w:ascii="宋体" w:hAnsi="宋体" w:cs="宋体"/>
          <w:color w:val="auto"/>
          <w:szCs w:val="21"/>
          <w:highlight w:val="none"/>
          <w:lang w:eastAsia="zh-CN"/>
        </w:rPr>
        <w:t>.</w:t>
      </w:r>
      <w:r>
        <w:rPr>
          <w:rFonts w:hint="eastAsia" w:ascii="宋体" w:hAnsi="宋体" w:cs="宋体"/>
          <w:color w:val="auto"/>
          <w:szCs w:val="21"/>
          <w:highlight w:val="none"/>
        </w:rPr>
        <w:t>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highlight w:val="none"/>
        </w:rPr>
        <w:t>。</w:t>
      </w:r>
    </w:p>
    <w:p w14:paraId="186A3574">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2资格审查标准为本磋商文件中载明对供应商资格要求的条件。资格审查采用合格制，凡符合磋商文件规定的供应商资格要求的响应文件均通过资格审查。</w:t>
      </w:r>
    </w:p>
    <w:p w14:paraId="4844A61F">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3供应商有下列情形之一的，资格审查不通过，其响应文件按无效响应处理：</w:t>
      </w:r>
    </w:p>
    <w:p w14:paraId="7C1D1C81">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）不具备磋商文件中规定的资格要求的；</w:t>
      </w:r>
    </w:p>
    <w:p w14:paraId="19CAC403">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w:t>
      </w:r>
    </w:p>
    <w:p w14:paraId="4E38898D">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）响应文件的资格证明文件缺少任一项“供应商须知前附表”资格证明文件规定的“必须提供”的文件资料的；</w:t>
      </w:r>
    </w:p>
    <w:p w14:paraId="0001F8E7">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199E9B1B">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3B38AD5B">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4通过资格审查的合格供应商不足3家的，不得进入符合性审查环节，</w:t>
      </w:r>
      <w:r>
        <w:rPr>
          <w:rFonts w:hint="eastAsia" w:ascii="宋体" w:hAnsi="宋体"/>
          <w:color w:val="auto"/>
          <w:szCs w:val="21"/>
          <w:highlight w:val="none"/>
        </w:rPr>
        <w:t>采购人或者采购代理机构应当重新开展采购活动。</w:t>
      </w:r>
    </w:p>
    <w:p w14:paraId="2D0537D5">
      <w:pPr>
        <w:pageBreakBefore w:val="0"/>
        <w:kinsoku/>
        <w:topLinePunct w:val="0"/>
        <w:bidi w:val="0"/>
        <w:spacing w:before="60" w:after="60"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lang w:eastAsia="zh-CN"/>
        </w:rPr>
        <w:t>.</w:t>
      </w:r>
      <w:r>
        <w:rPr>
          <w:rFonts w:hint="eastAsia" w:ascii="黑体" w:hAnsi="黑体" w:eastAsia="黑体" w:cs="宋体"/>
          <w:b/>
          <w:bCs/>
          <w:color w:val="auto"/>
          <w:sz w:val="24"/>
          <w:highlight w:val="none"/>
        </w:rPr>
        <w:t>符合性审查</w:t>
      </w:r>
    </w:p>
    <w:p w14:paraId="18DFB384">
      <w:pPr>
        <w:pageBreakBefore w:val="0"/>
        <w:kinsoku/>
        <w:topLinePunct w:val="0"/>
        <w:bidi w:val="0"/>
        <w:spacing w:before="60" w:after="60" w:line="360" w:lineRule="auto"/>
        <w:ind w:firstLine="420" w:firstLineChars="200"/>
        <w:rPr>
          <w:rFonts w:ascii="宋体" w:hAnsi="宋体" w:cs="宋体"/>
          <w:color w:val="auto"/>
          <w:szCs w:val="21"/>
          <w:highlight w:val="none"/>
        </w:rPr>
      </w:pPr>
      <w:bookmarkStart w:id="77" w:name="_Hlk42528882"/>
      <w:r>
        <w:rPr>
          <w:rFonts w:ascii="宋体" w:hAnsi="宋体" w:cs="宋体"/>
          <w:color w:val="auto"/>
          <w:szCs w:val="21"/>
          <w:highlight w:val="none"/>
        </w:rPr>
        <w:t>2</w:t>
      </w:r>
      <w:r>
        <w:rPr>
          <w:rFonts w:hint="eastAsia" w:ascii="宋体" w:hAnsi="宋体" w:cs="宋体"/>
          <w:color w:val="auto"/>
          <w:szCs w:val="21"/>
          <w:highlight w:val="none"/>
          <w:lang w:eastAsia="zh-CN"/>
        </w:rPr>
        <w:t>.</w:t>
      </w:r>
      <w:r>
        <w:rPr>
          <w:rFonts w:ascii="宋体" w:hAnsi="宋体" w:cs="宋体"/>
          <w:color w:val="auto"/>
          <w:szCs w:val="21"/>
          <w:highlight w:val="none"/>
        </w:rPr>
        <w:t>1</w:t>
      </w:r>
      <w:r>
        <w:rPr>
          <w:rFonts w:hint="eastAsia" w:ascii="宋体" w:hAnsi="宋体" w:cs="宋体"/>
          <w:color w:val="auto"/>
          <w:szCs w:val="21"/>
          <w:highlight w:val="none"/>
        </w:rPr>
        <w:t>由磋商小组对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的响应文件的竞标报价、商务、技术等实质性要求进行符合性审查，以确定其是否满足磋商文件的实质性要求。</w:t>
      </w:r>
    </w:p>
    <w:bookmarkEnd w:id="77"/>
    <w:p w14:paraId="62F8312F">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lang w:eastAsia="zh-CN"/>
        </w:rPr>
        <w:t>.</w:t>
      </w:r>
      <w:r>
        <w:rPr>
          <w:rFonts w:ascii="宋体" w:hAnsi="宋体" w:cs="宋体"/>
          <w:color w:val="auto"/>
          <w:szCs w:val="21"/>
          <w:highlight w:val="none"/>
        </w:rPr>
        <w:t>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9617F92">
      <w:pPr>
        <w:pageBreakBefore w:val="0"/>
        <w:kinsoku/>
        <w:topLinePunct w:val="0"/>
        <w:bidi w:val="0"/>
        <w:spacing w:before="60" w:after="60" w:line="360" w:lineRule="auto"/>
        <w:ind w:firstLine="420" w:firstLineChars="200"/>
        <w:rPr>
          <w:rFonts w:ascii="宋体" w:hAnsi="宋体" w:cs="宋体"/>
          <w:color w:val="auto"/>
          <w:spacing w:val="-6"/>
          <w:szCs w:val="21"/>
          <w:highlight w:val="none"/>
        </w:rPr>
      </w:pPr>
      <w:r>
        <w:rPr>
          <w:rFonts w:ascii="宋体" w:hAnsi="宋体" w:cs="宋体"/>
          <w:color w:val="auto"/>
          <w:szCs w:val="21"/>
          <w:highlight w:val="none"/>
        </w:rPr>
        <w:t>2</w:t>
      </w:r>
      <w:r>
        <w:rPr>
          <w:rFonts w:hint="eastAsia" w:ascii="宋体" w:hAnsi="宋体" w:cs="宋体"/>
          <w:color w:val="auto"/>
          <w:szCs w:val="21"/>
          <w:highlight w:val="none"/>
          <w:lang w:eastAsia="zh-CN"/>
        </w:rPr>
        <w:t>.</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479F736C">
      <w:pPr>
        <w:pageBreakBefore w:val="0"/>
        <w:kinsoku/>
        <w:topLinePunct w:val="0"/>
        <w:bidi w:val="0"/>
        <w:spacing w:before="60" w:after="60" w:line="360" w:lineRule="auto"/>
        <w:ind w:firstLine="420" w:firstLineChars="200"/>
        <w:rPr>
          <w:rFonts w:ascii="宋体" w:hAnsi="宋体" w:cs="宋体"/>
          <w:color w:val="auto"/>
          <w:spacing w:val="-6"/>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33F4F061">
      <w:pPr>
        <w:pageBreakBefore w:val="0"/>
        <w:kinsoku/>
        <w:topLinePunct w:val="0"/>
        <w:bidi w:val="0"/>
        <w:spacing w:before="60" w:after="60" w:line="360" w:lineRule="auto"/>
        <w:ind w:firstLine="396" w:firstLineChars="200"/>
        <w:rPr>
          <w:rFonts w:ascii="宋体" w:hAnsi="宋体" w:cs="宋体"/>
          <w:color w:val="auto"/>
          <w:szCs w:val="21"/>
          <w:highlight w:val="none"/>
        </w:rPr>
      </w:pPr>
      <w:r>
        <w:rPr>
          <w:rFonts w:ascii="宋体" w:hAnsi="宋体" w:cs="宋体"/>
          <w:color w:val="auto"/>
          <w:spacing w:val="-6"/>
          <w:szCs w:val="21"/>
          <w:highlight w:val="none"/>
        </w:rPr>
        <w:t>2</w:t>
      </w:r>
      <w:r>
        <w:rPr>
          <w:rFonts w:hint="eastAsia" w:ascii="宋体" w:hAnsi="宋体" w:cs="宋体"/>
          <w:color w:val="auto"/>
          <w:spacing w:val="-6"/>
          <w:szCs w:val="21"/>
          <w:highlight w:val="none"/>
          <w:lang w:eastAsia="zh-CN"/>
        </w:rPr>
        <w:t>.</w:t>
      </w:r>
      <w:r>
        <w:rPr>
          <w:rFonts w:ascii="宋体" w:hAnsi="宋体" w:cs="宋体"/>
          <w:color w:val="auto"/>
          <w:spacing w:val="-6"/>
          <w:szCs w:val="21"/>
          <w:highlight w:val="none"/>
        </w:rPr>
        <w:t>4</w:t>
      </w:r>
      <w:r>
        <w:rPr>
          <w:rFonts w:hint="eastAsia" w:ascii="宋体" w:hAnsi="宋体" w:cs="宋体"/>
          <w:color w:val="auto"/>
          <w:szCs w:val="21"/>
          <w:highlight w:val="none"/>
        </w:rPr>
        <w:t xml:space="preserve">首次响应文件报价出现前后不一致的，按照下列规定修正： </w:t>
      </w:r>
    </w:p>
    <w:p w14:paraId="37B0CEE5">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7B4092E4">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0B62097D">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7B1A8B4A">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3F6E8A01">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4C839151">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lang w:eastAsia="zh-CN"/>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354E35AC">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74B0CD41">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0A9AF315">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52EEE2B5">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0B5DDB55">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3）提交的磋商保证金无效的或者未按照磋商文件的规定提交磋商保证金；</w:t>
      </w:r>
    </w:p>
    <w:p w14:paraId="5EAFEF15">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C9E497F">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5）商务要求允许负偏离的条款数超过“供应商须知前附表”规定项数的；</w:t>
      </w:r>
    </w:p>
    <w:p w14:paraId="0EB38421">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6）未对竞标有效期作出响应或者响应文件承诺的竞标有效期不满足磋商文件要求；</w:t>
      </w:r>
    </w:p>
    <w:p w14:paraId="5040D857">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7）响应文件的实质性内容未使用中文表述、使用计量单位不符合磋商文件要求；</w:t>
      </w:r>
    </w:p>
    <w:p w14:paraId="6EE5AED1">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8）响应文件中的文件资料因填写不齐全或者内容虚假或者出现其他情形而导致被磋商小组认定无效；</w:t>
      </w:r>
    </w:p>
    <w:p w14:paraId="56C71162">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9）响应文件含有采购人不能接受的附加条件；</w:t>
      </w:r>
    </w:p>
    <w:p w14:paraId="5F8A994F">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10）属于“供应商须知正文”第7</w:t>
      </w:r>
      <w:r>
        <w:rPr>
          <w:rFonts w:hint="eastAsia" w:ascii="宋体" w:hAnsi="宋体" w:cs="宋体"/>
          <w:color w:val="auto"/>
          <w:szCs w:val="21"/>
          <w:highlight w:val="none"/>
          <w:lang w:eastAsia="zh-CN"/>
        </w:rPr>
        <w:t>.</w:t>
      </w:r>
      <w:r>
        <w:rPr>
          <w:rFonts w:ascii="宋体" w:hAnsi="宋体" w:cs="宋体"/>
          <w:color w:val="auto"/>
          <w:szCs w:val="21"/>
          <w:highlight w:val="none"/>
        </w:rPr>
        <w:t>5</w:t>
      </w:r>
      <w:r>
        <w:rPr>
          <w:rFonts w:hint="eastAsia" w:ascii="宋体" w:hAnsi="宋体" w:cs="宋体"/>
          <w:color w:val="auto"/>
          <w:szCs w:val="21"/>
          <w:highlight w:val="none"/>
        </w:rPr>
        <w:t>条情形；</w:t>
      </w:r>
    </w:p>
    <w:p w14:paraId="34D61E89">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1）技术要求允许负偏离的条款数超过“供应商须知前附表”规定项数；</w:t>
      </w:r>
    </w:p>
    <w:p w14:paraId="45F32D35">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2）虚假竞标，或者出现其他情形而导致被磋商小组认定无效；</w:t>
      </w:r>
    </w:p>
    <w:p w14:paraId="19617BA1">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w:t>
      </w:r>
      <w:bookmarkStart w:id="78" w:name="_Hlk71704147"/>
      <w:r>
        <w:rPr>
          <w:rFonts w:hint="eastAsia" w:ascii="宋体" w:hAnsi="宋体" w:cs="宋体"/>
          <w:color w:val="auto"/>
          <w:szCs w:val="21"/>
          <w:highlight w:val="none"/>
        </w:rPr>
        <w:t>磋商文件未载明允许提供备选（替代）竞标方案或明确不允许提供备选（替代）竞标方案时，供应商提供了备选（替代）竞标方案的；</w:t>
      </w:r>
      <w:bookmarkEnd w:id="78"/>
    </w:p>
    <w:p w14:paraId="2B4B89FF">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4）响应文件标注的项目名称或者项目编号与磋商文件标注的项目名称或者项目编号不一致的；</w:t>
      </w:r>
    </w:p>
    <w:p w14:paraId="0CE5F45F">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b/>
          <w:color w:val="auto"/>
          <w:szCs w:val="21"/>
          <w:highlight w:val="none"/>
        </w:rPr>
        <w:t>竞争性磋商文件明确不允许分包，响应文件拟分包的；</w:t>
      </w:r>
    </w:p>
    <w:p w14:paraId="719C39AB">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6）未响应磋商文件实质性要求；</w:t>
      </w:r>
    </w:p>
    <w:p w14:paraId="2D4411E2">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17）法律、法规和磋商文件规定的其他无效情形。</w:t>
      </w:r>
    </w:p>
    <w:p w14:paraId="300DF74F">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）报价评审</w:t>
      </w:r>
    </w:p>
    <w:p w14:paraId="21E91B78">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1）响应文件未提供“供应商须知前附表” 报价文件中规定的“竞标报价表”；</w:t>
      </w:r>
    </w:p>
    <w:p w14:paraId="1E54106A">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670883B3">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500161AD">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4）竞标报价（包含首次报价、最后报价）超过所竞标分标规定的采购预算金额或者最高限价的（如本项目公布了最高限价）；</w:t>
      </w:r>
      <w:bookmarkStart w:id="79" w:name="_Hlk42596405"/>
      <w:r>
        <w:rPr>
          <w:rFonts w:hint="eastAsia" w:ascii="宋体" w:hAnsi="宋体" w:cs="宋体"/>
          <w:color w:val="auto"/>
          <w:szCs w:val="21"/>
          <w:highlight w:val="none"/>
        </w:rPr>
        <w:t>竞标报价（包含首次报价、最后报价）</w:t>
      </w:r>
      <w:bookmarkEnd w:id="79"/>
      <w:bookmarkStart w:id="80" w:name="_Hlk42596276"/>
      <w:r>
        <w:rPr>
          <w:rFonts w:hint="eastAsia" w:ascii="宋体" w:hAnsi="宋体" w:cs="宋体"/>
          <w:color w:val="auto"/>
          <w:szCs w:val="21"/>
          <w:highlight w:val="none"/>
        </w:rPr>
        <w:t>超过磋商文件分项采购预算金额或者最高限价的</w:t>
      </w:r>
      <w:bookmarkEnd w:id="80"/>
      <w:r>
        <w:rPr>
          <w:rFonts w:hint="eastAsia" w:ascii="宋体" w:hAnsi="宋体" w:cs="宋体"/>
          <w:color w:val="auto"/>
          <w:szCs w:val="21"/>
          <w:highlight w:val="none"/>
        </w:rPr>
        <w:t>（如本项目公布了最高限价）；</w:t>
      </w:r>
    </w:p>
    <w:p w14:paraId="6048EFF4">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1AD27AA4">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响应文件响应的标的数量及单位与竞争性磋商采购文件要求实质性不一致的。</w:t>
      </w:r>
    </w:p>
    <w:p w14:paraId="69872780">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lang w:eastAsia="zh-CN"/>
        </w:rPr>
        <w:t>.</w:t>
      </w:r>
      <w:r>
        <w:rPr>
          <w:rFonts w:ascii="宋体" w:hAnsi="宋体" w:cs="宋体"/>
          <w:color w:val="auto"/>
          <w:szCs w:val="21"/>
          <w:highlight w:val="none"/>
        </w:rPr>
        <w:t>6</w:t>
      </w:r>
      <w:r>
        <w:rPr>
          <w:rFonts w:hint="eastAsia" w:ascii="宋体" w:hAnsi="宋体" w:cs="宋体"/>
          <w:color w:val="auto"/>
          <w:szCs w:val="21"/>
          <w:highlight w:val="none"/>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EA28589">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lang w:eastAsia="zh-CN"/>
        </w:rPr>
        <w:t>.</w:t>
      </w:r>
      <w:r>
        <w:rPr>
          <w:rFonts w:ascii="宋体" w:hAnsi="宋体" w:cs="宋体"/>
          <w:color w:val="auto"/>
          <w:szCs w:val="21"/>
          <w:highlight w:val="none"/>
        </w:rPr>
        <w:t>7</w:t>
      </w:r>
      <w:r>
        <w:rPr>
          <w:rFonts w:hint="eastAsia" w:ascii="宋体" w:hAnsi="宋体"/>
          <w:color w:val="auto"/>
          <w:szCs w:val="21"/>
          <w:highlight w:val="none"/>
        </w:rPr>
        <w:t>通过符合性审查的合格供应商不足3家的，不得进入磋商环节，采购人或者采购代理机构应当重新开展采购活动。</w:t>
      </w:r>
    </w:p>
    <w:p w14:paraId="727EDB2A">
      <w:pPr>
        <w:pageBreakBefore w:val="0"/>
        <w:kinsoku/>
        <w:topLinePunct w:val="0"/>
        <w:bidi w:val="0"/>
        <w:spacing w:before="60" w:after="60"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lang w:eastAsia="zh-CN"/>
        </w:rPr>
        <w:t>.</w:t>
      </w:r>
      <w:r>
        <w:rPr>
          <w:rFonts w:hint="eastAsia" w:ascii="黑体" w:hAnsi="黑体" w:eastAsia="黑体" w:cs="宋体"/>
          <w:b/>
          <w:bCs/>
          <w:color w:val="auto"/>
          <w:sz w:val="24"/>
          <w:highlight w:val="none"/>
        </w:rPr>
        <w:t>磋商程序</w:t>
      </w:r>
    </w:p>
    <w:p w14:paraId="41C18DD7">
      <w:pPr>
        <w:pageBreakBefore w:val="0"/>
        <w:kinsoku/>
        <w:topLinePunct w:val="0"/>
        <w:bidi w:val="0"/>
        <w:spacing w:before="60" w:after="60"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eastAsia="zh-CN"/>
        </w:rPr>
        <w:t>.</w:t>
      </w:r>
      <w:r>
        <w:rPr>
          <w:rFonts w:ascii="宋体" w:hAnsi="宋体" w:cs="宋体"/>
          <w:color w:val="auto"/>
          <w:kern w:val="0"/>
          <w:szCs w:val="21"/>
          <w:highlight w:val="none"/>
        </w:rPr>
        <w:t>1</w:t>
      </w:r>
      <w:r>
        <w:rPr>
          <w:rFonts w:hint="eastAsia" w:ascii="宋体" w:hAnsi="宋体" w:cs="宋体"/>
          <w:color w:val="auto"/>
          <w:kern w:val="0"/>
          <w:szCs w:val="21"/>
          <w:highlight w:val="none"/>
        </w:rPr>
        <w:t>磋商小组</w:t>
      </w:r>
      <w:r>
        <w:rPr>
          <w:rFonts w:hint="eastAsia" w:ascii="宋体" w:hAnsi="宋体" w:cs="宋体"/>
          <w:color w:val="auto"/>
          <w:szCs w:val="21"/>
          <w:highlight w:val="none"/>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BCEDF22">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lang w:eastAsia="zh-CN"/>
        </w:rPr>
        <w:t>.</w:t>
      </w:r>
      <w:r>
        <w:rPr>
          <w:rFonts w:ascii="宋体" w:hAnsi="宋体" w:cs="宋体"/>
          <w:color w:val="auto"/>
          <w:szCs w:val="21"/>
          <w:highlight w:val="none"/>
        </w:rPr>
        <w:t>2</w:t>
      </w: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5D4D2B6B">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lang w:eastAsia="zh-CN"/>
        </w:rPr>
        <w:t>.</w:t>
      </w:r>
      <w:r>
        <w:rPr>
          <w:rFonts w:ascii="宋体" w:hAnsi="宋体" w:cs="宋体"/>
          <w:color w:val="auto"/>
          <w:szCs w:val="21"/>
          <w:highlight w:val="none"/>
        </w:rPr>
        <w:t>3</w:t>
      </w:r>
      <w:r>
        <w:rPr>
          <w:rFonts w:hint="eastAsia" w:ascii="宋体" w:hAnsi="宋体" w:cs="宋体"/>
          <w:color w:val="auto"/>
          <w:szCs w:val="21"/>
          <w:highlight w:val="none"/>
        </w:rPr>
        <w:t>对磋商文件作出的实质性变动是磋商文件的有效组成部分，由磋商小组及时以电子澄清函形式同时通知所有参加磋商的供应商。</w:t>
      </w:r>
    </w:p>
    <w:p w14:paraId="7B372510">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lang w:eastAsia="zh-CN"/>
        </w:rPr>
        <w:t>.</w:t>
      </w:r>
      <w:r>
        <w:rPr>
          <w:rFonts w:ascii="宋体" w:hAnsi="宋体" w:cs="宋体"/>
          <w:color w:val="auto"/>
          <w:szCs w:val="21"/>
          <w:highlight w:val="none"/>
        </w:rPr>
        <w:t>4</w:t>
      </w:r>
      <w:r>
        <w:rPr>
          <w:rFonts w:hint="eastAsia" w:ascii="宋体" w:hAnsi="宋体" w:cs="宋体"/>
          <w:color w:val="auto"/>
          <w:szCs w:val="21"/>
          <w:highlight w:val="none"/>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5A943792">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lang w:eastAsia="zh-CN"/>
        </w:rPr>
        <w:t>.</w:t>
      </w:r>
      <w:r>
        <w:rPr>
          <w:rFonts w:ascii="宋体" w:hAnsi="宋体" w:cs="宋体"/>
          <w:color w:val="auto"/>
          <w:szCs w:val="21"/>
          <w:highlight w:val="none"/>
        </w:rPr>
        <w:t>5</w:t>
      </w:r>
      <w:r>
        <w:rPr>
          <w:rFonts w:hint="eastAsia" w:ascii="宋体" w:hAnsi="宋体" w:cs="宋体"/>
          <w:color w:val="auto"/>
          <w:szCs w:val="21"/>
          <w:highlight w:val="none"/>
        </w:rPr>
        <w:t>磋商中，</w:t>
      </w:r>
      <w:r>
        <w:rPr>
          <w:rFonts w:hint="eastAsia" w:ascii="宋体" w:hAnsi="宋体" w:cs="宋体"/>
          <w:color w:val="auto"/>
          <w:spacing w:val="-6"/>
          <w:szCs w:val="21"/>
          <w:highlight w:val="none"/>
        </w:rPr>
        <w:t>磋商的任何一方不得透露与磋商有关的其他供应商的技术资料、价格和其他信息。</w:t>
      </w:r>
    </w:p>
    <w:p w14:paraId="10B1EEB5">
      <w:pPr>
        <w:pageBreakBefore w:val="0"/>
        <w:widowControl/>
        <w:tabs>
          <w:tab w:val="left" w:pos="540"/>
        </w:tabs>
        <w:kinsoku/>
        <w:topLinePunct w:val="0"/>
        <w:bidi w:val="0"/>
        <w:spacing w:before="60" w:after="60"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lang w:eastAsia="zh-CN"/>
        </w:rPr>
        <w:t>.</w:t>
      </w:r>
      <w:r>
        <w:rPr>
          <w:rFonts w:ascii="宋体" w:hAnsi="宋体" w:cs="宋体"/>
          <w:color w:val="auto"/>
          <w:szCs w:val="21"/>
          <w:highlight w:val="none"/>
        </w:rPr>
        <w:t>6</w:t>
      </w:r>
      <w:r>
        <w:rPr>
          <w:rFonts w:hint="eastAsia" w:ascii="宋体" w:hAnsi="宋体" w:cs="宋体"/>
          <w:color w:val="auto"/>
          <w:szCs w:val="21"/>
          <w:highlight w:val="none"/>
        </w:rPr>
        <w:t>采购代理机构对磋商过程和重要磋商内容进行记录。</w:t>
      </w:r>
    </w:p>
    <w:p w14:paraId="5CA7D065">
      <w:pPr>
        <w:pageBreakBefore w:val="0"/>
        <w:widowControl/>
        <w:tabs>
          <w:tab w:val="left" w:pos="540"/>
        </w:tabs>
        <w:kinsoku/>
        <w:topLinePunct w:val="0"/>
        <w:bidi w:val="0"/>
        <w:spacing w:before="60" w:after="6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w:t>
      </w:r>
      <w:r>
        <w:rPr>
          <w:rFonts w:ascii="宋体" w:hAnsi="宋体" w:cs="宋体"/>
          <w:color w:val="auto"/>
          <w:szCs w:val="21"/>
          <w:highlight w:val="none"/>
        </w:rPr>
        <w:t>7</w:t>
      </w:r>
      <w:r>
        <w:rPr>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D0CCC5B">
      <w:pPr>
        <w:pageBreakBefore w:val="0"/>
        <w:tabs>
          <w:tab w:val="left" w:pos="2835"/>
        </w:tabs>
        <w:kinsoku/>
        <w:topLinePunct w:val="0"/>
        <w:bidi w:val="0"/>
        <w:spacing w:before="60" w:after="60"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lang w:eastAsia="zh-CN"/>
        </w:rPr>
        <w:t>.</w:t>
      </w:r>
      <w:r>
        <w:rPr>
          <w:rFonts w:ascii="宋体" w:hAnsi="宋体" w:cs="宋体"/>
          <w:color w:val="auto"/>
          <w:szCs w:val="21"/>
          <w:highlight w:val="none"/>
        </w:rPr>
        <w:t>8除</w:t>
      </w:r>
      <w:r>
        <w:rPr>
          <w:color w:val="auto"/>
          <w:highlight w:val="none"/>
        </w:rPr>
        <w:t>本章第3</w:t>
      </w:r>
      <w:r>
        <w:rPr>
          <w:rFonts w:hint="eastAsia"/>
          <w:color w:val="auto"/>
          <w:highlight w:val="none"/>
          <w:lang w:eastAsia="zh-CN"/>
        </w:rPr>
        <w:t>.</w:t>
      </w:r>
      <w:r>
        <w:rPr>
          <w:color w:val="auto"/>
          <w:highlight w:val="none"/>
        </w:rPr>
        <w:t>7条情形</w:t>
      </w:r>
      <w:r>
        <w:rPr>
          <w:rFonts w:hint="eastAsia"/>
          <w:color w:val="auto"/>
          <w:highlight w:val="none"/>
        </w:rPr>
        <w:t>外，</w:t>
      </w:r>
      <w:r>
        <w:rPr>
          <w:rFonts w:hint="eastAsia" w:ascii="宋体" w:hAnsi="宋体"/>
          <w:color w:val="auto"/>
          <w:szCs w:val="21"/>
          <w:highlight w:val="none"/>
        </w:rPr>
        <w:t>对磋商过程提交的响应文件进行有效性、完整性和响应程度审查，通过审查的合格供应商不足3家的，采购人或者采购代理机构应当重新开展采购活动。</w:t>
      </w:r>
    </w:p>
    <w:p w14:paraId="595153C2">
      <w:pPr>
        <w:pageBreakBefore w:val="0"/>
        <w:kinsoku/>
        <w:topLinePunct w:val="0"/>
        <w:bidi w:val="0"/>
        <w:spacing w:before="60" w:after="60" w:line="360" w:lineRule="auto"/>
        <w:ind w:firstLine="482" w:firstLineChars="200"/>
        <w:rPr>
          <w:rFonts w:ascii="宋体" w:hAnsi="宋体" w:cs="宋体"/>
          <w:color w:val="auto"/>
          <w:szCs w:val="21"/>
          <w:highlight w:val="none"/>
        </w:rPr>
      </w:pPr>
      <w:r>
        <w:rPr>
          <w:rFonts w:ascii="黑体" w:hAnsi="黑体" w:eastAsia="黑体" w:cs="宋体"/>
          <w:b/>
          <w:bCs/>
          <w:color w:val="auto"/>
          <w:sz w:val="24"/>
          <w:highlight w:val="none"/>
        </w:rPr>
        <w:t>4</w:t>
      </w:r>
      <w:r>
        <w:rPr>
          <w:rFonts w:hint="eastAsia" w:ascii="黑体" w:hAnsi="黑体" w:eastAsia="黑体" w:cs="宋体"/>
          <w:b/>
          <w:bCs/>
          <w:color w:val="auto"/>
          <w:sz w:val="24"/>
          <w:highlight w:val="none"/>
          <w:lang w:eastAsia="zh-CN"/>
        </w:rPr>
        <w:t>.</w:t>
      </w:r>
      <w:r>
        <w:rPr>
          <w:rFonts w:hint="eastAsia" w:ascii="黑体" w:hAnsi="黑体" w:eastAsia="黑体" w:cs="宋体"/>
          <w:b/>
          <w:bCs/>
          <w:color w:val="auto"/>
          <w:sz w:val="24"/>
          <w:highlight w:val="none"/>
        </w:rPr>
        <w:t xml:space="preserve"> 最后报价</w:t>
      </w:r>
    </w:p>
    <w:p w14:paraId="4D7D9199">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磋商文件能够详细列明采购标的的技术、服务要求的，磋商结束后，磋商小组应当要求所有继续参加磋商的供应商在规定时间内在“广西政府采购云平台”开标大厅提交最后报价，除本章第</w:t>
      </w:r>
      <w:r>
        <w:rPr>
          <w:rFonts w:ascii="宋体" w:hAnsi="宋体" w:cs="宋体"/>
          <w:color w:val="auto"/>
          <w:szCs w:val="21"/>
          <w:highlight w:val="none"/>
        </w:rPr>
        <w:t>4</w:t>
      </w:r>
      <w:r>
        <w:rPr>
          <w:rFonts w:hint="eastAsia" w:ascii="宋体" w:hAnsi="宋体" w:cs="宋体"/>
          <w:color w:val="auto"/>
          <w:szCs w:val="21"/>
          <w:highlight w:val="none"/>
          <w:lang w:eastAsia="zh-CN"/>
        </w:rPr>
        <w:t>.</w:t>
      </w:r>
      <w:r>
        <w:rPr>
          <w:rFonts w:ascii="宋体" w:hAnsi="宋体" w:cs="宋体"/>
          <w:color w:val="auto"/>
          <w:szCs w:val="21"/>
          <w:highlight w:val="none"/>
        </w:rPr>
        <w:t>3</w:t>
      </w:r>
      <w:r>
        <w:rPr>
          <w:rFonts w:hint="eastAsia" w:ascii="宋体" w:hAnsi="宋体" w:cs="宋体"/>
          <w:color w:val="auto"/>
          <w:szCs w:val="21"/>
          <w:highlight w:val="none"/>
        </w:rPr>
        <w:t>条外，提交最后报价的供应商不得少于3家，否则必须重新采购。</w:t>
      </w:r>
    </w:p>
    <w:p w14:paraId="3EED5C39">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63DCDE77">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lang w:eastAsia="zh-CN"/>
        </w:rPr>
        <w:t>.</w:t>
      </w:r>
      <w:r>
        <w:rPr>
          <w:rFonts w:ascii="宋体" w:hAnsi="宋体" w:cs="宋体"/>
          <w:color w:val="auto"/>
          <w:szCs w:val="21"/>
          <w:highlight w:val="none"/>
        </w:rPr>
        <w:t>3</w:t>
      </w:r>
      <w:r>
        <w:rPr>
          <w:rFonts w:hint="eastAsia" w:ascii="宋体" w:hAnsi="宋体" w:cs="宋体"/>
          <w:color w:val="auto"/>
          <w:szCs w:val="21"/>
          <w:highlight w:val="none"/>
        </w:rPr>
        <w:t xml:space="preserve"> 最后报价是供应商响应文件的有效组成部分。符合《政府采购竞争性磋商采购方式管理暂行办法》（财库〔2014〕214号）第三条第四项“市场竞争不充分的科研项目，以及需要扶持的科技成果转化项目”和</w:t>
      </w:r>
      <w:r>
        <w:rPr>
          <w:color w:val="auto"/>
          <w:highlight w:val="none"/>
        </w:rPr>
        <w:t>本章第3</w:t>
      </w:r>
      <w:r>
        <w:rPr>
          <w:rFonts w:hint="eastAsia"/>
          <w:color w:val="auto"/>
          <w:highlight w:val="none"/>
          <w:lang w:eastAsia="zh-CN"/>
        </w:rPr>
        <w:t>.</w:t>
      </w:r>
      <w:r>
        <w:rPr>
          <w:color w:val="auto"/>
          <w:highlight w:val="none"/>
        </w:rPr>
        <w:t>7条情形的，</w:t>
      </w:r>
      <w:r>
        <w:rPr>
          <w:rFonts w:hint="eastAsia" w:ascii="宋体" w:hAnsi="宋体" w:cs="宋体"/>
          <w:color w:val="auto"/>
          <w:szCs w:val="21"/>
          <w:highlight w:val="none"/>
        </w:rPr>
        <w:t>提交最后报价的供应商可以为2家。</w:t>
      </w:r>
    </w:p>
    <w:p w14:paraId="012C559E">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lang w:eastAsia="zh-CN"/>
        </w:rPr>
        <w:t>.</w:t>
      </w:r>
      <w:r>
        <w:rPr>
          <w:rFonts w:ascii="宋体" w:hAnsi="宋体" w:cs="宋体"/>
          <w:color w:val="auto"/>
          <w:szCs w:val="21"/>
          <w:highlight w:val="none"/>
        </w:rPr>
        <w:t>4</w:t>
      </w:r>
      <w:r>
        <w:rPr>
          <w:rFonts w:hint="eastAsia" w:ascii="宋体" w:hAnsi="宋体" w:cs="宋体"/>
          <w:color w:val="auto"/>
          <w:szCs w:val="21"/>
          <w:highlight w:val="none"/>
        </w:rPr>
        <w:t>已经提交响应文件的供应商，在提交最后报价之前，可以根据磋商情况退出磋商，退出磋商的供应商的响应文件按无效响应处理。采购人、采购代理机构将退还退出磋商的供应商的保证金。</w:t>
      </w:r>
    </w:p>
    <w:p w14:paraId="134066AB">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lang w:eastAsia="zh-CN"/>
        </w:rPr>
        <w:t>.</w:t>
      </w:r>
      <w:r>
        <w:rPr>
          <w:rFonts w:ascii="宋体" w:hAnsi="宋体" w:cs="宋体"/>
          <w:color w:val="auto"/>
          <w:szCs w:val="21"/>
          <w:highlight w:val="none"/>
        </w:rPr>
        <w:t>5</w:t>
      </w:r>
      <w:r>
        <w:rPr>
          <w:rFonts w:hint="eastAsia" w:ascii="宋体" w:hAnsi="宋体" w:cs="宋体"/>
          <w:color w:val="auto"/>
          <w:szCs w:val="21"/>
          <w:highlight w:val="none"/>
        </w:rPr>
        <w:t>供应商未在规定时间内提交最后报价的，视同退出磋商，其响应文件按无效处理。</w:t>
      </w:r>
    </w:p>
    <w:p w14:paraId="15AFC84D">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lang w:eastAsia="zh-CN"/>
        </w:rPr>
        <w:t>.</w:t>
      </w:r>
      <w:r>
        <w:rPr>
          <w:rFonts w:ascii="宋体" w:hAnsi="宋体" w:cs="宋体"/>
          <w:color w:val="auto"/>
          <w:szCs w:val="21"/>
          <w:highlight w:val="none"/>
        </w:rPr>
        <w:t>6</w:t>
      </w:r>
      <w:r>
        <w:rPr>
          <w:rFonts w:hint="eastAsia" w:ascii="宋体" w:hAnsi="宋体" w:cs="宋体"/>
          <w:color w:val="auto"/>
          <w:szCs w:val="21"/>
          <w:highlight w:val="none"/>
        </w:rPr>
        <w:t>最后报价统一开启后，磋商小组对最后报价进行有效性、完整性和响应程度的审查。</w:t>
      </w:r>
    </w:p>
    <w:p w14:paraId="2A0AE140">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lang w:eastAsia="zh-CN"/>
        </w:rPr>
        <w:t>.</w:t>
      </w:r>
      <w:r>
        <w:rPr>
          <w:rFonts w:ascii="宋体" w:hAnsi="宋体" w:cs="宋体"/>
          <w:color w:val="auto"/>
          <w:szCs w:val="21"/>
          <w:highlight w:val="none"/>
        </w:rPr>
        <w:t>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2</w:t>
      </w:r>
      <w:r>
        <w:rPr>
          <w:rFonts w:hint="eastAsia" w:ascii="宋体" w:hAnsi="宋体" w:cs="宋体"/>
          <w:color w:val="auto"/>
          <w:szCs w:val="21"/>
          <w:highlight w:val="none"/>
          <w:lang w:eastAsia="zh-CN"/>
        </w:rPr>
        <w:t>.</w:t>
      </w:r>
      <w:r>
        <w:rPr>
          <w:rFonts w:ascii="宋体" w:hAnsi="宋体" w:cs="宋体"/>
          <w:color w:val="auto"/>
          <w:szCs w:val="21"/>
          <w:highlight w:val="none"/>
        </w:rPr>
        <w:t>4</w:t>
      </w:r>
      <w:r>
        <w:rPr>
          <w:rFonts w:hint="eastAsia" w:ascii="宋体" w:hAnsi="宋体" w:cs="宋体"/>
          <w:color w:val="auto"/>
          <w:szCs w:val="21"/>
          <w:highlight w:val="none"/>
        </w:rPr>
        <w:t xml:space="preserve">条的规定修正。 </w:t>
      </w:r>
    </w:p>
    <w:p w14:paraId="3CF93463">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lang w:eastAsia="zh-CN"/>
        </w:rPr>
        <w:t>.</w:t>
      </w:r>
      <w:r>
        <w:rPr>
          <w:rFonts w:ascii="宋体" w:hAnsi="宋体" w:cs="宋体"/>
          <w:color w:val="auto"/>
          <w:szCs w:val="21"/>
          <w:highlight w:val="none"/>
        </w:rPr>
        <w:t>8</w:t>
      </w:r>
      <w:r>
        <w:rPr>
          <w:rFonts w:hint="eastAsia" w:ascii="宋体" w:hAnsi="宋体" w:cs="宋体"/>
          <w:color w:val="auto"/>
          <w:szCs w:val="21"/>
          <w:highlight w:val="none"/>
        </w:rPr>
        <w:t>修正后的报价出现下列情形的，按无效响应处理：</w:t>
      </w:r>
    </w:p>
    <w:p w14:paraId="45DEEDA1">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46399484">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14:paraId="4D0CB3A8">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10E987E6">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lang w:eastAsia="zh-CN"/>
        </w:rPr>
        <w:t>.</w:t>
      </w:r>
      <w:r>
        <w:rPr>
          <w:rFonts w:ascii="宋体" w:hAnsi="宋体" w:cs="宋体"/>
          <w:color w:val="auto"/>
          <w:szCs w:val="21"/>
          <w:highlight w:val="none"/>
        </w:rPr>
        <w:t>9</w:t>
      </w:r>
      <w:r>
        <w:rPr>
          <w:rFonts w:hint="eastAsia" w:ascii="宋体" w:hAnsi="宋体" w:cs="宋体"/>
          <w:color w:val="auto"/>
          <w:szCs w:val="21"/>
          <w:highlight w:val="none"/>
        </w:rPr>
        <w:t>经供应商确认修正后的最后报价作为评审及签订合同的依据。</w:t>
      </w:r>
    </w:p>
    <w:p w14:paraId="32D90F80">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10供应商出现最后报价按无效响应处理或者响应文件按无效处理时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24C9595E">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w:t>
      </w:r>
      <w:r>
        <w:rPr>
          <w:rFonts w:ascii="宋体" w:hAnsi="宋体" w:cs="宋体"/>
          <w:color w:val="auto"/>
          <w:szCs w:val="21"/>
          <w:highlight w:val="none"/>
        </w:rPr>
        <w:t>1</w:t>
      </w:r>
      <w:r>
        <w:rPr>
          <w:rFonts w:hint="eastAsia" w:ascii="宋体" w:hAnsi="宋体" w:cs="宋体"/>
          <w:color w:val="auto"/>
          <w:szCs w:val="21"/>
          <w:highlight w:val="none"/>
        </w:rPr>
        <w:t>1最后报价结束后，磋商小组不得再与供应商进行任何形式的商谈。</w:t>
      </w:r>
    </w:p>
    <w:p w14:paraId="1F082C35">
      <w:pPr>
        <w:pageBreakBefore w:val="0"/>
        <w:kinsoku/>
        <w:topLinePunct w:val="0"/>
        <w:bidi w:val="0"/>
        <w:spacing w:before="60" w:after="60"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hint="eastAsia" w:ascii="黑体" w:hAnsi="黑体" w:eastAsia="黑体" w:cs="宋体"/>
          <w:b/>
          <w:bCs/>
          <w:color w:val="auto"/>
          <w:sz w:val="24"/>
          <w:highlight w:val="none"/>
          <w:lang w:eastAsia="zh-CN"/>
        </w:rPr>
        <w:t>.</w:t>
      </w:r>
      <w:r>
        <w:rPr>
          <w:rFonts w:hint="eastAsia" w:ascii="黑体" w:hAnsi="黑体" w:eastAsia="黑体" w:cs="宋体"/>
          <w:b/>
          <w:bCs/>
          <w:color w:val="auto"/>
          <w:sz w:val="24"/>
          <w:highlight w:val="none"/>
        </w:rPr>
        <w:t>比较与评价</w:t>
      </w:r>
    </w:p>
    <w:p w14:paraId="78E48D5F">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lang w:eastAsia="zh-CN"/>
        </w:rPr>
        <w:t>.</w:t>
      </w:r>
      <w:r>
        <w:rPr>
          <w:rFonts w:ascii="宋体" w:hAnsi="宋体" w:cs="宋体"/>
          <w:color w:val="auto"/>
          <w:szCs w:val="21"/>
          <w:highlight w:val="none"/>
        </w:rPr>
        <w:t>1</w:t>
      </w:r>
      <w:r>
        <w:rPr>
          <w:rFonts w:hint="eastAsia" w:ascii="宋体" w:hAnsi="宋体" w:cs="宋体"/>
          <w:color w:val="auto"/>
          <w:szCs w:val="21"/>
          <w:highlight w:val="none"/>
        </w:rPr>
        <w:t>评审方法：综合评分法。</w:t>
      </w:r>
    </w:p>
    <w:p w14:paraId="2701FAAB">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lang w:eastAsia="zh-CN"/>
        </w:rPr>
        <w:t>.</w:t>
      </w:r>
      <w:r>
        <w:rPr>
          <w:rFonts w:ascii="宋体" w:hAnsi="宋体" w:cs="宋体"/>
          <w:color w:val="auto"/>
          <w:szCs w:val="21"/>
          <w:highlight w:val="none"/>
        </w:rPr>
        <w:t>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2D6B9F43">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lang w:eastAsia="zh-CN"/>
        </w:rPr>
        <w:t>.</w:t>
      </w:r>
      <w:r>
        <w:rPr>
          <w:rFonts w:ascii="宋体" w:hAnsi="宋体" w:cs="宋体"/>
          <w:color w:val="auto"/>
          <w:szCs w:val="21"/>
          <w:highlight w:val="none"/>
        </w:rPr>
        <w:t>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280A5FA6">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123C0CA5">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28AED99E">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lang w:eastAsia="zh-CN"/>
        </w:rPr>
        <w:t>.</w:t>
      </w:r>
      <w:r>
        <w:rPr>
          <w:rFonts w:ascii="宋体" w:hAnsi="宋体" w:cs="宋体"/>
          <w:color w:val="auto"/>
          <w:szCs w:val="21"/>
          <w:highlight w:val="none"/>
        </w:rPr>
        <w:t>4</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27CB0A31">
      <w:pPr>
        <w:pageBreakBefore w:val="0"/>
        <w:kinsoku/>
        <w:topLinePunct w:val="0"/>
        <w:bidi w:val="0"/>
        <w:spacing w:before="60" w:after="60" w:line="360" w:lineRule="auto"/>
        <w:ind w:firstLine="420" w:firstLineChars="200"/>
        <w:rPr>
          <w:rFonts w:ascii="宋体" w:hAnsi="宋体"/>
          <w:color w:val="auto"/>
          <w:kern w:val="0"/>
          <w:szCs w:val="21"/>
          <w:highlight w:val="none"/>
        </w:rPr>
      </w:pPr>
      <w:r>
        <w:rPr>
          <w:rFonts w:ascii="宋体" w:hAnsi="宋体" w:cs="宋体"/>
          <w:color w:val="auto"/>
          <w:szCs w:val="21"/>
          <w:highlight w:val="none"/>
        </w:rPr>
        <w:t>5</w:t>
      </w:r>
      <w:r>
        <w:rPr>
          <w:rFonts w:hint="eastAsia" w:ascii="宋体" w:hAnsi="宋体" w:cs="宋体"/>
          <w:color w:val="auto"/>
          <w:szCs w:val="21"/>
          <w:highlight w:val="none"/>
          <w:lang w:eastAsia="zh-CN"/>
        </w:rPr>
        <w:t>.</w:t>
      </w:r>
      <w:r>
        <w:rPr>
          <w:rFonts w:ascii="宋体" w:hAnsi="宋体" w:cs="宋体"/>
          <w:color w:val="auto"/>
          <w:szCs w:val="21"/>
          <w:highlight w:val="none"/>
        </w:rPr>
        <w:t>5</w:t>
      </w:r>
      <w:r>
        <w:rPr>
          <w:rFonts w:hint="eastAsia" w:ascii="宋体" w:hAnsi="宋体" w:cs="宋体"/>
          <w:color w:val="auto"/>
          <w:szCs w:val="21"/>
          <w:highlight w:val="none"/>
        </w:rPr>
        <w:t>由磋商小组根据综合评分情况，按照评审得分由高到低顺序推荐3名以上成交候选供应商，并编写评</w:t>
      </w:r>
      <w:r>
        <w:rPr>
          <w:rFonts w:hint="eastAsia" w:ascii="宋体" w:hAnsi="宋体"/>
          <w:color w:val="auto"/>
          <w:kern w:val="0"/>
          <w:szCs w:val="21"/>
          <w:highlight w:val="none"/>
        </w:rPr>
        <w:t>审报告。符合本章第</w:t>
      </w:r>
      <w:r>
        <w:rPr>
          <w:rFonts w:ascii="宋体" w:hAnsi="宋体"/>
          <w:color w:val="auto"/>
          <w:kern w:val="0"/>
          <w:szCs w:val="21"/>
          <w:highlight w:val="none"/>
        </w:rPr>
        <w:t>4</w:t>
      </w:r>
      <w:r>
        <w:rPr>
          <w:rFonts w:hint="eastAsia" w:ascii="宋体" w:hAnsi="宋体"/>
          <w:color w:val="auto"/>
          <w:kern w:val="0"/>
          <w:szCs w:val="21"/>
          <w:highlight w:val="none"/>
          <w:lang w:eastAsia="zh-CN"/>
        </w:rPr>
        <w:t>.</w:t>
      </w:r>
      <w:r>
        <w:rPr>
          <w:rFonts w:ascii="宋体" w:hAnsi="宋体"/>
          <w:color w:val="auto"/>
          <w:kern w:val="0"/>
          <w:szCs w:val="21"/>
          <w:highlight w:val="none"/>
        </w:rPr>
        <w:t>3</w:t>
      </w:r>
      <w:r>
        <w:rPr>
          <w:rFonts w:hint="eastAsia" w:ascii="宋体" w:hAnsi="宋体"/>
          <w:color w:val="auto"/>
          <w:kern w:val="0"/>
          <w:szCs w:val="21"/>
          <w:highlight w:val="none"/>
        </w:rPr>
        <w:t>条情形的，可以推荐2家成交候选供应商。评审得分相同的，按照最后报价由低到高的顺序推荐。评审得分且最后报价相同的，按照技术指标优劣顺序推荐。</w:t>
      </w:r>
    </w:p>
    <w:p w14:paraId="362A11AD">
      <w:pPr>
        <w:pageBreakBefore w:val="0"/>
        <w:kinsoku/>
        <w:topLinePunct w:val="0"/>
        <w:bidi w:val="0"/>
        <w:spacing w:before="60" w:after="60" w:line="360" w:lineRule="auto"/>
        <w:ind w:firstLine="420" w:firstLineChars="200"/>
        <w:rPr>
          <w:rFonts w:ascii="宋体" w:hAnsi="宋体" w:cs="宋体"/>
          <w:color w:val="auto"/>
          <w:szCs w:val="21"/>
          <w:highlight w:val="none"/>
        </w:rPr>
      </w:pPr>
      <w:r>
        <w:rPr>
          <w:rFonts w:ascii="宋体" w:hAnsi="宋体"/>
          <w:color w:val="auto"/>
          <w:kern w:val="0"/>
          <w:szCs w:val="21"/>
          <w:highlight w:val="none"/>
        </w:rPr>
        <w:t>5</w:t>
      </w:r>
      <w:r>
        <w:rPr>
          <w:rFonts w:hint="eastAsia" w:ascii="宋体" w:hAnsi="宋体"/>
          <w:color w:val="auto"/>
          <w:kern w:val="0"/>
          <w:szCs w:val="21"/>
          <w:highlight w:val="none"/>
          <w:lang w:eastAsia="zh-CN"/>
        </w:rPr>
        <w:t>.</w:t>
      </w:r>
      <w:r>
        <w:rPr>
          <w:rFonts w:ascii="宋体" w:hAnsi="宋体"/>
          <w:color w:val="auto"/>
          <w:kern w:val="0"/>
          <w:szCs w:val="21"/>
          <w:highlight w:val="none"/>
        </w:rPr>
        <w:t>6</w:t>
      </w:r>
      <w:r>
        <w:rPr>
          <w:rFonts w:hint="eastAsia" w:ascii="宋体" w:hAnsi="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D1D48DC">
      <w:pPr>
        <w:pageBreakBefore w:val="0"/>
        <w:kinsoku/>
        <w:topLinePunct w:val="0"/>
        <w:bidi w:val="0"/>
        <w:spacing w:before="60" w:after="60" w:line="360" w:lineRule="auto"/>
        <w:jc w:val="center"/>
        <w:rPr>
          <w:rFonts w:hint="eastAsia" w:ascii="宋体" w:hAnsi="宋体"/>
          <w:b/>
          <w:color w:val="auto"/>
          <w:sz w:val="32"/>
          <w:szCs w:val="32"/>
          <w:highlight w:val="none"/>
        </w:rPr>
      </w:pPr>
    </w:p>
    <w:p w14:paraId="63434026">
      <w:pPr>
        <w:pageBreakBefore w:val="0"/>
        <w:kinsoku/>
        <w:topLinePunct w:val="0"/>
        <w:bidi w:val="0"/>
        <w:spacing w:before="60" w:after="60" w:line="360" w:lineRule="auto"/>
        <w:jc w:val="center"/>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二、评审标准</w:t>
      </w:r>
      <w:r>
        <w:rPr>
          <w:rFonts w:hint="eastAsia" w:ascii="宋体" w:hAnsi="宋体"/>
          <w:b/>
          <w:color w:val="auto"/>
          <w:sz w:val="32"/>
          <w:szCs w:val="32"/>
          <w:highlight w:val="none"/>
          <w:lang w:eastAsia="zh-CN"/>
        </w:rPr>
        <w:t>（适用于标项一、标项二）</w:t>
      </w:r>
    </w:p>
    <w:p w14:paraId="5D32D376">
      <w:pPr>
        <w:pageBreakBefore w:val="0"/>
        <w:kinsoku/>
        <w:topLinePunct w:val="0"/>
        <w:bidi w:val="0"/>
        <w:spacing w:before="60" w:after="60"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w:t>
      </w:r>
      <w:r>
        <w:rPr>
          <w:rFonts w:hint="eastAsia" w:ascii="宋体" w:hAnsi="宋体"/>
          <w:bCs/>
          <w:color w:val="auto"/>
          <w:szCs w:val="21"/>
          <w:highlight w:val="none"/>
          <w:lang w:eastAsia="zh-CN"/>
        </w:rPr>
        <w:t>.</w:t>
      </w:r>
      <w:r>
        <w:rPr>
          <w:rFonts w:hint="eastAsia" w:ascii="宋体" w:hAnsi="宋体"/>
          <w:bCs/>
          <w:color w:val="auto"/>
          <w:szCs w:val="21"/>
          <w:highlight w:val="none"/>
        </w:rPr>
        <w:t>评审依据：磋商小组将以磋商响应文件为评审依据，对供应商的报价、技术、商务等方面内容按百分制打分。（计分方法按四舍五入取至百分位）</w:t>
      </w:r>
    </w:p>
    <w:tbl>
      <w:tblPr>
        <w:tblStyle w:val="30"/>
        <w:tblW w:w="9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129"/>
        <w:gridCol w:w="805"/>
        <w:gridCol w:w="1564"/>
        <w:gridCol w:w="5524"/>
      </w:tblGrid>
      <w:tr w14:paraId="552B5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28" w:type="dxa"/>
            <w:noWrap/>
            <w:vAlign w:val="center"/>
          </w:tcPr>
          <w:p w14:paraId="37B344D2">
            <w:pPr>
              <w:keepNext w:val="0"/>
              <w:keepLines w:val="0"/>
              <w:pageBreakBefore w:val="0"/>
              <w:suppressLineNumbers w:val="0"/>
              <w:kinsoku/>
              <w:wordWrap/>
              <w:overflowPunct/>
              <w:topLinePunct w:val="0"/>
              <w:autoSpaceDE/>
              <w:autoSpaceDN/>
              <w:bidi w:val="0"/>
              <w:adjustRightInd w:val="0"/>
              <w:spacing w:before="60" w:beforeAutospacing="0" w:after="60" w:afterAutospacing="0" w:line="360" w:lineRule="auto"/>
              <w:ind w:left="0" w:right="0"/>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129" w:type="dxa"/>
            <w:noWrap/>
            <w:vAlign w:val="center"/>
          </w:tcPr>
          <w:p w14:paraId="0315ACB8">
            <w:pPr>
              <w:keepNext w:val="0"/>
              <w:keepLines w:val="0"/>
              <w:pageBreakBefore w:val="0"/>
              <w:suppressLineNumbers w:val="0"/>
              <w:kinsoku/>
              <w:wordWrap/>
              <w:overflowPunct/>
              <w:topLinePunct w:val="0"/>
              <w:autoSpaceDE/>
              <w:autoSpaceDN/>
              <w:bidi w:val="0"/>
              <w:adjustRightInd w:val="0"/>
              <w:spacing w:before="60" w:beforeAutospacing="0" w:after="60" w:afterAutospacing="0" w:line="360" w:lineRule="auto"/>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评审因素</w:t>
            </w:r>
          </w:p>
        </w:tc>
        <w:tc>
          <w:tcPr>
            <w:tcW w:w="805" w:type="dxa"/>
            <w:noWrap/>
            <w:vAlign w:val="center"/>
          </w:tcPr>
          <w:p w14:paraId="04A901D5">
            <w:pPr>
              <w:keepNext w:val="0"/>
              <w:keepLines w:val="0"/>
              <w:pageBreakBefore w:val="0"/>
              <w:suppressLineNumbers w:val="0"/>
              <w:kinsoku/>
              <w:wordWrap/>
              <w:overflowPunct/>
              <w:topLinePunct w:val="0"/>
              <w:autoSpaceDE/>
              <w:autoSpaceDN/>
              <w:bidi w:val="0"/>
              <w:adjustRightInd w:val="0"/>
              <w:spacing w:before="60" w:beforeAutospacing="0" w:after="60" w:afterAutospacing="0" w:line="360" w:lineRule="auto"/>
              <w:ind w:left="0" w:right="0"/>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7088" w:type="dxa"/>
            <w:gridSpan w:val="2"/>
            <w:noWrap/>
            <w:vAlign w:val="center"/>
          </w:tcPr>
          <w:p w14:paraId="7B162A9D">
            <w:pPr>
              <w:keepNext w:val="0"/>
              <w:keepLines w:val="0"/>
              <w:pageBreakBefore w:val="0"/>
              <w:suppressLineNumbers w:val="0"/>
              <w:kinsoku/>
              <w:wordWrap/>
              <w:overflowPunct/>
              <w:topLinePunct w:val="0"/>
              <w:autoSpaceDE/>
              <w:autoSpaceDN/>
              <w:bidi w:val="0"/>
              <w:adjustRightInd w:val="0"/>
              <w:spacing w:before="60" w:beforeAutospacing="0" w:after="60" w:afterAutospacing="0" w:line="360" w:lineRule="auto"/>
              <w:ind w:left="0" w:right="0"/>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评标标准</w:t>
            </w:r>
          </w:p>
        </w:tc>
      </w:tr>
      <w:tr w14:paraId="47FDD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28" w:type="dxa"/>
            <w:noWrap/>
            <w:vAlign w:val="center"/>
          </w:tcPr>
          <w:p w14:paraId="047335D4">
            <w:pPr>
              <w:keepNext w:val="0"/>
              <w:keepLines w:val="0"/>
              <w:pageBreakBefore w:val="0"/>
              <w:suppressLineNumbers w:val="0"/>
              <w:kinsoku/>
              <w:wordWrap/>
              <w:overflowPunct/>
              <w:topLinePunct w:val="0"/>
              <w:autoSpaceDE/>
              <w:autoSpaceDN/>
              <w:bidi w:val="0"/>
              <w:adjustRightInd w:val="0"/>
              <w:spacing w:before="60" w:beforeAutospacing="0" w:after="60" w:afterAutospacing="0" w:line="360" w:lineRule="auto"/>
              <w:ind w:left="0" w:right="0"/>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1129" w:type="dxa"/>
            <w:noWrap/>
            <w:vAlign w:val="center"/>
          </w:tcPr>
          <w:p w14:paraId="092DA1DE">
            <w:pPr>
              <w:keepNext w:val="0"/>
              <w:keepLines w:val="0"/>
              <w:pageBreakBefore w:val="0"/>
              <w:suppressLineNumbers w:val="0"/>
              <w:kinsoku/>
              <w:wordWrap/>
              <w:overflowPunct/>
              <w:topLinePunct w:val="0"/>
              <w:autoSpaceDE/>
              <w:autoSpaceDN/>
              <w:bidi w:val="0"/>
              <w:adjustRightInd w:val="0"/>
              <w:spacing w:before="60" w:beforeAutospacing="0" w:after="60" w:afterAutospacing="0" w:line="360" w:lineRule="auto"/>
              <w:ind w:left="0" w:right="0"/>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价格分</w:t>
            </w:r>
          </w:p>
        </w:tc>
        <w:tc>
          <w:tcPr>
            <w:tcW w:w="805" w:type="dxa"/>
            <w:noWrap/>
            <w:vAlign w:val="center"/>
          </w:tcPr>
          <w:p w14:paraId="7A429290">
            <w:pPr>
              <w:keepNext w:val="0"/>
              <w:keepLines w:val="0"/>
              <w:pageBreakBefore w:val="0"/>
              <w:suppressLineNumbers w:val="0"/>
              <w:kinsoku/>
              <w:wordWrap/>
              <w:overflowPunct/>
              <w:topLinePunct w:val="0"/>
              <w:autoSpaceDE/>
              <w:autoSpaceDN/>
              <w:bidi w:val="0"/>
              <w:adjustRightInd w:val="0"/>
              <w:spacing w:before="60" w:beforeAutospacing="0" w:after="60" w:afterAutospacing="0" w:line="360" w:lineRule="auto"/>
              <w:ind w:left="0" w:right="0"/>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cs="宋体"/>
                <w:b/>
                <w:color w:val="auto"/>
                <w:sz w:val="21"/>
                <w:szCs w:val="21"/>
                <w:highlight w:val="none"/>
                <w:lang w:val="en-US" w:eastAsia="zh-CN"/>
              </w:rPr>
              <w:t>5</w:t>
            </w:r>
            <w:r>
              <w:rPr>
                <w:rFonts w:hint="eastAsia" w:ascii="宋体" w:hAnsi="宋体" w:eastAsia="宋体" w:cs="宋体"/>
                <w:b/>
                <w:color w:val="auto"/>
                <w:sz w:val="21"/>
                <w:szCs w:val="21"/>
                <w:highlight w:val="none"/>
              </w:rPr>
              <w:t>分</w:t>
            </w:r>
          </w:p>
        </w:tc>
        <w:tc>
          <w:tcPr>
            <w:tcW w:w="7088" w:type="dxa"/>
            <w:gridSpan w:val="2"/>
            <w:noWrap/>
            <w:vAlign w:val="center"/>
          </w:tcPr>
          <w:p w14:paraId="7142EA2D">
            <w:pPr>
              <w:keepNext w:val="0"/>
              <w:keepLines w:val="0"/>
              <w:pageBreakBefore w:val="0"/>
              <w:widowControl w:val="0"/>
              <w:suppressLineNumbers w:val="0"/>
              <w:kinsoku/>
              <w:wordWrap/>
              <w:overflowPunct/>
              <w:topLinePunct w:val="0"/>
              <w:autoSpaceDE/>
              <w:autoSpaceDN/>
              <w:bidi w:val="0"/>
              <w:adjustRightInd/>
              <w:snapToGrid w:val="0"/>
              <w:spacing w:before="60" w:beforeAutospacing="0" w:after="60" w:afterAutospacing="0" w:line="360" w:lineRule="auto"/>
              <w:ind w:left="0" w:right="0"/>
              <w:jc w:val="left"/>
              <w:textAlignment w:val="auto"/>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val="en-US" w:eastAsia="zh-CN"/>
              </w:rPr>
              <w:t>1.本项目专门面向中小企业采购（供应商应为中小微企业或监狱企业或残疾人福利性单位)，不再执行价格评审优惠的扶持政策。</w:t>
            </w:r>
          </w:p>
          <w:p w14:paraId="6DC5D99C">
            <w:pPr>
              <w:keepNext w:val="0"/>
              <w:keepLines w:val="0"/>
              <w:pageBreakBefore w:val="0"/>
              <w:widowControl w:val="0"/>
              <w:suppressLineNumbers w:val="0"/>
              <w:kinsoku/>
              <w:wordWrap/>
              <w:overflowPunct/>
              <w:topLinePunct w:val="0"/>
              <w:autoSpaceDE/>
              <w:autoSpaceDN/>
              <w:bidi w:val="0"/>
              <w:adjustRightInd/>
              <w:snapToGrid w:val="0"/>
              <w:spacing w:before="60" w:beforeAutospacing="0" w:after="60" w:afterAutospacing="0" w:line="360" w:lineRule="auto"/>
              <w:ind w:left="0" w:right="0"/>
              <w:jc w:val="left"/>
              <w:textAlignment w:val="auto"/>
              <w:rPr>
                <w:rFonts w:hint="eastAsia" w:ascii="宋体" w:hAnsi="宋体" w:eastAsia="宋体" w:cs="宋体"/>
                <w:b w:val="0"/>
                <w:bCs w:val="0"/>
                <w:color w:val="auto"/>
                <w:spacing w:val="0"/>
                <w:w w:val="100"/>
                <w:position w:val="0"/>
                <w:sz w:val="21"/>
                <w:szCs w:val="21"/>
                <w:highlight w:val="none"/>
              </w:rPr>
            </w:pPr>
            <w:r>
              <w:rPr>
                <w:rFonts w:hint="eastAsia" w:ascii="宋体" w:hAnsi="宋体" w:eastAsia="宋体" w:cs="宋体"/>
                <w:b w:val="0"/>
                <w:bCs w:val="0"/>
                <w:color w:val="auto"/>
                <w:spacing w:val="0"/>
                <w:w w:val="100"/>
                <w:position w:val="0"/>
                <w:sz w:val="21"/>
                <w:szCs w:val="21"/>
                <w:highlight w:val="none"/>
                <w:lang w:val="en-US" w:eastAsia="zh-CN"/>
              </w:rPr>
              <w:t>2.</w:t>
            </w:r>
            <w:r>
              <w:rPr>
                <w:rFonts w:hint="eastAsia" w:ascii="宋体" w:hAnsi="宋体" w:eastAsia="宋体" w:cs="宋体"/>
                <w:b w:val="0"/>
                <w:bCs w:val="0"/>
                <w:color w:val="auto"/>
                <w:spacing w:val="0"/>
                <w:w w:val="100"/>
                <w:position w:val="0"/>
                <w:sz w:val="21"/>
                <w:szCs w:val="21"/>
                <w:highlight w:val="none"/>
              </w:rPr>
              <w:t>以进入比较与评价环节的</w:t>
            </w:r>
            <w:r>
              <w:rPr>
                <w:rFonts w:hint="eastAsia" w:ascii="宋体" w:hAnsi="宋体" w:eastAsia="宋体" w:cs="宋体"/>
                <w:b w:val="0"/>
                <w:bCs w:val="0"/>
                <w:color w:val="auto"/>
                <w:spacing w:val="0"/>
                <w:w w:val="100"/>
                <w:position w:val="0"/>
                <w:sz w:val="21"/>
                <w:szCs w:val="21"/>
                <w:highlight w:val="none"/>
                <w:lang w:val="en-US" w:eastAsia="zh-CN"/>
              </w:rPr>
              <w:t>最后报价的</w:t>
            </w:r>
            <w:r>
              <w:rPr>
                <w:rFonts w:hint="eastAsia" w:ascii="宋体" w:hAnsi="宋体" w:eastAsia="宋体" w:cs="宋体"/>
                <w:b w:val="0"/>
                <w:bCs w:val="0"/>
                <w:color w:val="auto"/>
                <w:spacing w:val="0"/>
                <w:w w:val="100"/>
                <w:position w:val="0"/>
                <w:sz w:val="21"/>
                <w:szCs w:val="21"/>
                <w:highlight w:val="none"/>
              </w:rPr>
              <w:t>最低</w:t>
            </w:r>
            <w:r>
              <w:rPr>
                <w:rFonts w:hint="eastAsia" w:ascii="宋体" w:hAnsi="宋体" w:eastAsia="宋体" w:cs="宋体"/>
                <w:b w:val="0"/>
                <w:bCs w:val="0"/>
                <w:color w:val="auto"/>
                <w:spacing w:val="0"/>
                <w:w w:val="100"/>
                <w:position w:val="0"/>
                <w:sz w:val="21"/>
                <w:szCs w:val="21"/>
                <w:highlight w:val="none"/>
                <w:lang w:val="en-US" w:eastAsia="zh-CN"/>
              </w:rPr>
              <w:t>价格</w:t>
            </w:r>
            <w:r>
              <w:rPr>
                <w:rFonts w:hint="eastAsia" w:ascii="宋体" w:hAnsi="宋体" w:eastAsia="宋体" w:cs="宋体"/>
                <w:b w:val="0"/>
                <w:bCs w:val="0"/>
                <w:color w:val="auto"/>
                <w:spacing w:val="0"/>
                <w:w w:val="100"/>
                <w:position w:val="0"/>
                <w:sz w:val="21"/>
                <w:szCs w:val="21"/>
                <w:highlight w:val="none"/>
              </w:rPr>
              <w:t>为基准价，基准价得分为</w:t>
            </w:r>
            <w:r>
              <w:rPr>
                <w:rFonts w:hint="eastAsia" w:ascii="宋体" w:hAnsi="宋体" w:eastAsia="宋体" w:cs="宋体"/>
                <w:b w:val="0"/>
                <w:bCs w:val="0"/>
                <w:color w:val="auto"/>
                <w:spacing w:val="0"/>
                <w:w w:val="100"/>
                <w:position w:val="0"/>
                <w:sz w:val="21"/>
                <w:szCs w:val="21"/>
                <w:highlight w:val="none"/>
                <w:lang w:val="en-US" w:eastAsia="zh-CN"/>
              </w:rPr>
              <w:t>1</w:t>
            </w:r>
            <w:r>
              <w:rPr>
                <w:rFonts w:hint="eastAsia" w:ascii="宋体" w:hAnsi="宋体" w:cs="宋体"/>
                <w:b w:val="0"/>
                <w:bCs w:val="0"/>
                <w:color w:val="auto"/>
                <w:spacing w:val="0"/>
                <w:w w:val="100"/>
                <w:position w:val="0"/>
                <w:sz w:val="21"/>
                <w:szCs w:val="21"/>
                <w:highlight w:val="none"/>
                <w:lang w:val="en-US" w:eastAsia="zh-CN"/>
              </w:rPr>
              <w:t>5</w:t>
            </w:r>
            <w:r>
              <w:rPr>
                <w:rFonts w:hint="eastAsia" w:ascii="宋体" w:hAnsi="宋体" w:eastAsia="宋体" w:cs="宋体"/>
                <w:b w:val="0"/>
                <w:bCs w:val="0"/>
                <w:color w:val="auto"/>
                <w:spacing w:val="0"/>
                <w:w w:val="100"/>
                <w:position w:val="0"/>
                <w:sz w:val="21"/>
                <w:szCs w:val="21"/>
                <w:highlight w:val="none"/>
              </w:rPr>
              <w:t>分。</w:t>
            </w:r>
          </w:p>
          <w:p w14:paraId="7F0BADDE">
            <w:pPr>
              <w:keepNext w:val="0"/>
              <w:keepLines w:val="0"/>
              <w:pageBreakBefore w:val="0"/>
              <w:suppressLineNumbers w:val="0"/>
              <w:kinsoku/>
              <w:wordWrap/>
              <w:overflowPunct/>
              <w:topLinePunct w:val="0"/>
              <w:autoSpaceDE/>
              <w:autoSpaceDN/>
              <w:bidi w:val="0"/>
              <w:spacing w:before="60" w:beforeAutospacing="0" w:after="60" w:afterAutospacing="0" w:line="360" w:lineRule="auto"/>
              <w:ind w:left="0" w:right="0"/>
              <w:rPr>
                <w:rFonts w:hint="eastAsia" w:ascii="宋体" w:hAnsi="宋体" w:eastAsia="宋体" w:cs="宋体"/>
                <w:bCs/>
                <w:color w:val="auto"/>
                <w:sz w:val="21"/>
                <w:szCs w:val="21"/>
                <w:highlight w:val="none"/>
              </w:rPr>
            </w:pPr>
            <w:r>
              <w:rPr>
                <w:rFonts w:hint="eastAsia" w:ascii="宋体" w:hAnsi="宋体" w:eastAsia="宋体" w:cs="宋体"/>
                <w:b w:val="0"/>
                <w:bCs w:val="0"/>
                <w:color w:val="auto"/>
                <w:spacing w:val="0"/>
                <w:w w:val="100"/>
                <w:position w:val="0"/>
                <w:sz w:val="21"/>
                <w:szCs w:val="21"/>
                <w:highlight w:val="none"/>
                <w:lang w:val="en-US" w:eastAsia="zh-CN"/>
              </w:rPr>
              <w:t>3.</w:t>
            </w:r>
            <w:r>
              <w:rPr>
                <w:rFonts w:hint="eastAsia" w:ascii="宋体" w:hAnsi="宋体" w:eastAsia="宋体" w:cs="宋体"/>
                <w:b w:val="0"/>
                <w:bCs w:val="0"/>
                <w:color w:val="auto"/>
                <w:spacing w:val="0"/>
                <w:w w:val="100"/>
                <w:position w:val="0"/>
                <w:sz w:val="21"/>
                <w:szCs w:val="21"/>
                <w:highlight w:val="none"/>
              </w:rPr>
              <w:t>价格分计算公式：报价得分=（基准价/最后报价）×</w:t>
            </w:r>
            <w:r>
              <w:rPr>
                <w:rFonts w:hint="eastAsia" w:ascii="宋体" w:hAnsi="宋体" w:eastAsia="宋体" w:cs="宋体"/>
                <w:b w:val="0"/>
                <w:bCs w:val="0"/>
                <w:color w:val="auto"/>
                <w:spacing w:val="0"/>
                <w:w w:val="100"/>
                <w:position w:val="0"/>
                <w:sz w:val="21"/>
                <w:szCs w:val="21"/>
                <w:highlight w:val="none"/>
                <w:lang w:val="en-US" w:eastAsia="zh-CN"/>
              </w:rPr>
              <w:t>1</w:t>
            </w:r>
            <w:r>
              <w:rPr>
                <w:rFonts w:hint="eastAsia" w:ascii="宋体" w:hAnsi="宋体" w:cs="宋体"/>
                <w:b w:val="0"/>
                <w:bCs w:val="0"/>
                <w:color w:val="auto"/>
                <w:spacing w:val="0"/>
                <w:w w:val="100"/>
                <w:position w:val="0"/>
                <w:sz w:val="21"/>
                <w:szCs w:val="21"/>
                <w:highlight w:val="none"/>
                <w:lang w:val="en-US" w:eastAsia="zh-CN"/>
              </w:rPr>
              <w:t>5</w:t>
            </w:r>
            <w:r>
              <w:rPr>
                <w:rFonts w:hint="eastAsia" w:ascii="宋体" w:hAnsi="宋体" w:eastAsia="宋体" w:cs="宋体"/>
                <w:b w:val="0"/>
                <w:bCs w:val="0"/>
                <w:color w:val="auto"/>
                <w:spacing w:val="0"/>
                <w:w w:val="100"/>
                <w:position w:val="0"/>
                <w:sz w:val="21"/>
                <w:szCs w:val="21"/>
                <w:highlight w:val="none"/>
              </w:rPr>
              <w:t>分</w:t>
            </w:r>
          </w:p>
        </w:tc>
      </w:tr>
      <w:tr w14:paraId="25C0B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restart"/>
            <w:noWrap/>
            <w:vAlign w:val="center"/>
          </w:tcPr>
          <w:p w14:paraId="61A0D891">
            <w:pPr>
              <w:keepNext w:val="0"/>
              <w:keepLines w:val="0"/>
              <w:pageBreakBefore w:val="0"/>
              <w:suppressLineNumbers w:val="0"/>
              <w:kinsoku/>
              <w:wordWrap/>
              <w:overflowPunct/>
              <w:topLinePunct w:val="0"/>
              <w:autoSpaceDE/>
              <w:autoSpaceDN/>
              <w:bidi w:val="0"/>
              <w:adjustRightInd w:val="0"/>
              <w:spacing w:before="60" w:beforeAutospacing="0" w:after="60" w:afterAutospacing="0" w:line="360" w:lineRule="auto"/>
              <w:ind w:left="0" w:right="0"/>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p>
        </w:tc>
        <w:tc>
          <w:tcPr>
            <w:tcW w:w="1129" w:type="dxa"/>
            <w:vMerge w:val="restart"/>
            <w:noWrap/>
            <w:vAlign w:val="center"/>
          </w:tcPr>
          <w:p w14:paraId="03945AD6">
            <w:pPr>
              <w:keepNext w:val="0"/>
              <w:keepLines w:val="0"/>
              <w:pageBreakBefore w:val="0"/>
              <w:suppressLineNumbers w:val="0"/>
              <w:kinsoku/>
              <w:wordWrap/>
              <w:overflowPunct/>
              <w:topLinePunct w:val="0"/>
              <w:autoSpaceDE/>
              <w:autoSpaceDN/>
              <w:bidi w:val="0"/>
              <w:adjustRightInd w:val="0"/>
              <w:spacing w:before="60" w:beforeAutospacing="0" w:after="60" w:afterAutospacing="0" w:line="360" w:lineRule="auto"/>
              <w:ind w:left="0" w:right="0"/>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技术分</w:t>
            </w:r>
          </w:p>
        </w:tc>
        <w:tc>
          <w:tcPr>
            <w:tcW w:w="805" w:type="dxa"/>
            <w:vMerge w:val="restart"/>
            <w:noWrap/>
            <w:vAlign w:val="center"/>
          </w:tcPr>
          <w:p w14:paraId="497965F1">
            <w:pPr>
              <w:keepNext w:val="0"/>
              <w:keepLines w:val="0"/>
              <w:pageBreakBefore w:val="0"/>
              <w:suppressLineNumbers w:val="0"/>
              <w:kinsoku/>
              <w:wordWrap/>
              <w:overflowPunct/>
              <w:topLinePunct w:val="0"/>
              <w:autoSpaceDE/>
              <w:autoSpaceDN/>
              <w:bidi w:val="0"/>
              <w:adjustRightInd w:val="0"/>
              <w:spacing w:before="60" w:beforeAutospacing="0" w:after="60" w:afterAutospacing="0" w:line="360" w:lineRule="auto"/>
              <w:ind w:left="0" w:right="0"/>
              <w:jc w:val="center"/>
              <w:textAlignment w:val="baseline"/>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满分75</w:t>
            </w:r>
            <w:r>
              <w:rPr>
                <w:rFonts w:hint="eastAsia" w:ascii="宋体" w:hAnsi="宋体" w:eastAsia="宋体" w:cs="宋体"/>
                <w:b/>
                <w:color w:val="auto"/>
                <w:sz w:val="21"/>
                <w:szCs w:val="21"/>
                <w:highlight w:val="none"/>
              </w:rPr>
              <w:t>分</w:t>
            </w:r>
          </w:p>
        </w:tc>
        <w:tc>
          <w:tcPr>
            <w:tcW w:w="1564" w:type="dxa"/>
            <w:noWrap/>
            <w:vAlign w:val="center"/>
          </w:tcPr>
          <w:p w14:paraId="0ACB1D74">
            <w:pPr>
              <w:keepNext w:val="0"/>
              <w:keepLines w:val="0"/>
              <w:pageBreakBefore w:val="0"/>
              <w:suppressLineNumbers w:val="0"/>
              <w:kinsoku/>
              <w:wordWrap/>
              <w:overflowPunct/>
              <w:topLinePunct w:val="0"/>
              <w:autoSpaceDE/>
              <w:autoSpaceDN/>
              <w:bidi w:val="0"/>
              <w:spacing w:before="60" w:beforeAutospacing="0" w:after="6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 xml:space="preserve">1服务方案（满分 </w:t>
            </w:r>
            <w:r>
              <w:rPr>
                <w:rFonts w:hint="eastAsia" w:ascii="宋体" w:hAnsi="宋体" w:cs="宋体"/>
                <w:b/>
                <w:bCs/>
                <w:color w:val="auto"/>
                <w:sz w:val="21"/>
                <w:szCs w:val="21"/>
                <w:highlight w:val="none"/>
                <w:lang w:val="en-US" w:eastAsia="zh-CN"/>
              </w:rPr>
              <w:t>20</w:t>
            </w:r>
            <w:r>
              <w:rPr>
                <w:rFonts w:hint="eastAsia" w:ascii="宋体" w:hAnsi="宋体" w:eastAsia="宋体" w:cs="宋体"/>
                <w:b/>
                <w:bCs/>
                <w:color w:val="auto"/>
                <w:sz w:val="21"/>
                <w:szCs w:val="21"/>
                <w:highlight w:val="none"/>
              </w:rPr>
              <w:t>分）</w:t>
            </w:r>
          </w:p>
        </w:tc>
        <w:tc>
          <w:tcPr>
            <w:tcW w:w="5524" w:type="dxa"/>
            <w:noWrap/>
          </w:tcPr>
          <w:p w14:paraId="0CF5ACE3">
            <w:pPr>
              <w:keepNext w:val="0"/>
              <w:keepLines w:val="0"/>
              <w:pageBreakBefore w:val="0"/>
              <w:suppressLineNumbers w:val="0"/>
              <w:kinsoku/>
              <w:wordWrap/>
              <w:overflowPunct/>
              <w:topLinePunct w:val="0"/>
              <w:autoSpaceDE/>
              <w:autoSpaceDN/>
              <w:bidi w:val="0"/>
              <w:spacing w:before="60" w:beforeAutospacing="0" w:after="60" w:afterAutospacing="0" w:line="360" w:lineRule="auto"/>
              <w:ind w:left="0" w:right="0" w:firstLine="422" w:firstLineChars="200"/>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评审依据：根据响应文件中提供的服务方案进行打分，未提供或提供</w:t>
            </w:r>
            <w:r>
              <w:rPr>
                <w:rFonts w:hint="eastAsia" w:ascii="宋体" w:hAnsi="宋体" w:cs="宋体"/>
                <w:b/>
                <w:bCs/>
                <w:color w:val="auto"/>
                <w:kern w:val="2"/>
                <w:sz w:val="21"/>
                <w:szCs w:val="21"/>
                <w:highlight w:val="none"/>
                <w:lang w:val="en-US" w:eastAsia="zh-CN"/>
              </w:rPr>
              <w:t>不满足以下档次要求</w:t>
            </w:r>
            <w:r>
              <w:rPr>
                <w:rFonts w:hint="eastAsia" w:ascii="宋体" w:hAnsi="宋体" w:eastAsia="宋体" w:cs="宋体"/>
                <w:b/>
                <w:bCs/>
                <w:color w:val="auto"/>
                <w:kern w:val="2"/>
                <w:sz w:val="21"/>
                <w:szCs w:val="21"/>
                <w:highlight w:val="none"/>
                <w:lang w:val="en-US" w:eastAsia="zh-CN"/>
              </w:rPr>
              <w:t>的不得分</w:t>
            </w:r>
            <w:r>
              <w:rPr>
                <w:rFonts w:hint="eastAsia" w:ascii="宋体" w:hAnsi="宋体" w:cs="宋体"/>
                <w:b/>
                <w:bCs/>
                <w:color w:val="auto"/>
                <w:kern w:val="2"/>
                <w:sz w:val="21"/>
                <w:szCs w:val="21"/>
                <w:highlight w:val="none"/>
                <w:lang w:val="en-US" w:eastAsia="zh-CN"/>
              </w:rPr>
              <w:t>。</w:t>
            </w:r>
          </w:p>
          <w:p w14:paraId="1BE7388D">
            <w:pPr>
              <w:pStyle w:val="86"/>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rPr>
              <w:t>分）供应商提供的项目实施方案包含简单的管理措施、具体实施流程等，围绕如何将就业服务内容展开描述，整体方案可实施性不高；</w:t>
            </w:r>
          </w:p>
          <w:p w14:paraId="0EFF21BF">
            <w:pPr>
              <w:pStyle w:val="86"/>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rPr>
              <w:t>分）供应商提供的项目实施方案较详细，包含管理措施、具体实施流程、质量保证措施等，围绕</w:t>
            </w:r>
            <w:r>
              <w:rPr>
                <w:rFonts w:hint="eastAsia" w:cs="宋体"/>
                <w:color w:val="auto"/>
                <w:sz w:val="21"/>
                <w:szCs w:val="21"/>
                <w:highlight w:val="none"/>
                <w:lang w:eastAsia="zh-CN"/>
              </w:rPr>
              <w:t>采购要求</w:t>
            </w:r>
            <w:r>
              <w:rPr>
                <w:rFonts w:hint="eastAsia" w:ascii="宋体" w:hAnsi="宋体" w:eastAsia="宋体" w:cs="宋体"/>
                <w:color w:val="auto"/>
                <w:sz w:val="21"/>
                <w:szCs w:val="21"/>
                <w:highlight w:val="none"/>
              </w:rPr>
              <w:t>提供就业创业指导、招聘求职对接等服务内容展开详细描述，整体方案符合实际情况，能够结合</w:t>
            </w:r>
            <w:r>
              <w:rPr>
                <w:rFonts w:hint="eastAsia" w:cs="宋体"/>
                <w:color w:val="auto"/>
                <w:sz w:val="21"/>
                <w:szCs w:val="21"/>
                <w:highlight w:val="none"/>
                <w:lang w:eastAsia="zh-CN"/>
              </w:rPr>
              <w:t>就业</w:t>
            </w:r>
            <w:r>
              <w:rPr>
                <w:rFonts w:hint="eastAsia" w:ascii="宋体" w:hAnsi="宋体" w:eastAsia="宋体" w:cs="宋体"/>
                <w:color w:val="auto"/>
                <w:sz w:val="21"/>
                <w:szCs w:val="21"/>
                <w:highlight w:val="none"/>
              </w:rPr>
              <w:t>实际和制定针对性的服务方案。</w:t>
            </w:r>
          </w:p>
          <w:p w14:paraId="73982705">
            <w:pPr>
              <w:pStyle w:val="86"/>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cs="宋体"/>
                <w:color w:val="auto"/>
                <w:sz w:val="21"/>
                <w:szCs w:val="21"/>
                <w:highlight w:val="none"/>
                <w:lang w:val="en-US" w:eastAsia="zh-CN"/>
              </w:rPr>
              <w:t>15</w:t>
            </w:r>
            <w:r>
              <w:rPr>
                <w:rFonts w:hint="eastAsia" w:ascii="宋体" w:hAnsi="宋体" w:eastAsia="宋体" w:cs="宋体"/>
                <w:color w:val="auto"/>
                <w:sz w:val="21"/>
                <w:szCs w:val="21"/>
                <w:highlight w:val="none"/>
              </w:rPr>
              <w:t>分）供应商提供的项目实施方案详细完善，包含管理措施、具体实施流程、质量保证措施、突发事件应急方案等，围绕为高校毕业生提供就业创业指导、就业技能提升、招聘求职对接、政策性岗位信息发布等服务内容展开详细描述，整体方案可行性较高，能说明实施各个阶段工作安排和进度计划，可行性较高；</w:t>
            </w:r>
          </w:p>
          <w:p w14:paraId="312F8A46">
            <w:pPr>
              <w:pStyle w:val="86"/>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四档（</w:t>
            </w:r>
            <w:r>
              <w:rPr>
                <w:rFonts w:hint="eastAsia" w:cs="宋体"/>
                <w:color w:val="auto"/>
                <w:sz w:val="21"/>
                <w:szCs w:val="21"/>
                <w:highlight w:val="none"/>
                <w:lang w:val="en-US" w:eastAsia="zh-CN"/>
              </w:rPr>
              <w:t>20</w:t>
            </w:r>
            <w:r>
              <w:rPr>
                <w:rFonts w:hint="eastAsia" w:ascii="宋体" w:hAnsi="宋体" w:eastAsia="宋体" w:cs="宋体"/>
                <w:color w:val="auto"/>
                <w:sz w:val="21"/>
                <w:szCs w:val="21"/>
                <w:highlight w:val="none"/>
              </w:rPr>
              <w:t>分）供应商提供的各项目实施方案详细、全面、完善，能够围绕求职信息采集服务、就业信息与职位推送服务、就业服务活动、职业规划与就业指导服务</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阐述清楚实施组织办法及保障体系，包含管理措施、具体实施流程、质量保证措施、突发事件应急方案等，整体方案针对性强，能说明项目风险管理措施，有详细的关键技术说明，重点难点分析理解准确，针对项目的重点难点能提出合理化建议或解决办法，可操作性强；完全准确地理解项目需求，部署科学可靠。</w:t>
            </w:r>
          </w:p>
        </w:tc>
      </w:tr>
      <w:tr w14:paraId="138B9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28" w:type="dxa"/>
            <w:vMerge w:val="continue"/>
            <w:noWrap/>
            <w:vAlign w:val="center"/>
          </w:tcPr>
          <w:p w14:paraId="275DAF72">
            <w:pPr>
              <w:keepNext w:val="0"/>
              <w:keepLines w:val="0"/>
              <w:pageBreakBefore w:val="0"/>
              <w:suppressLineNumbers w:val="0"/>
              <w:kinsoku/>
              <w:wordWrap/>
              <w:overflowPunct/>
              <w:topLinePunct w:val="0"/>
              <w:autoSpaceDE/>
              <w:autoSpaceDN/>
              <w:bidi w:val="0"/>
              <w:adjustRightInd w:val="0"/>
              <w:spacing w:before="60" w:beforeAutospacing="0" w:after="60" w:afterAutospacing="0" w:line="360" w:lineRule="auto"/>
              <w:ind w:left="0" w:right="0"/>
              <w:jc w:val="center"/>
              <w:textAlignment w:val="baseline"/>
              <w:rPr>
                <w:rFonts w:hint="eastAsia" w:ascii="宋体" w:hAnsi="宋体" w:eastAsia="宋体" w:cs="宋体"/>
                <w:b/>
                <w:color w:val="auto"/>
                <w:sz w:val="21"/>
                <w:szCs w:val="21"/>
                <w:highlight w:val="none"/>
              </w:rPr>
            </w:pPr>
          </w:p>
        </w:tc>
        <w:tc>
          <w:tcPr>
            <w:tcW w:w="1129" w:type="dxa"/>
            <w:vMerge w:val="continue"/>
            <w:noWrap/>
            <w:vAlign w:val="center"/>
          </w:tcPr>
          <w:p w14:paraId="395E378F">
            <w:pPr>
              <w:keepNext w:val="0"/>
              <w:keepLines w:val="0"/>
              <w:pageBreakBefore w:val="0"/>
              <w:suppressLineNumbers w:val="0"/>
              <w:kinsoku/>
              <w:wordWrap/>
              <w:overflowPunct/>
              <w:topLinePunct w:val="0"/>
              <w:autoSpaceDE/>
              <w:autoSpaceDN/>
              <w:bidi w:val="0"/>
              <w:adjustRightInd w:val="0"/>
              <w:spacing w:before="60" w:beforeAutospacing="0" w:after="60" w:afterAutospacing="0" w:line="360" w:lineRule="auto"/>
              <w:ind w:left="0" w:right="0"/>
              <w:jc w:val="center"/>
              <w:textAlignment w:val="baseline"/>
              <w:rPr>
                <w:rFonts w:hint="eastAsia" w:ascii="宋体" w:hAnsi="宋体" w:eastAsia="宋体" w:cs="宋体"/>
                <w:b/>
                <w:color w:val="auto"/>
                <w:sz w:val="21"/>
                <w:szCs w:val="21"/>
                <w:highlight w:val="none"/>
              </w:rPr>
            </w:pPr>
          </w:p>
        </w:tc>
        <w:tc>
          <w:tcPr>
            <w:tcW w:w="805" w:type="dxa"/>
            <w:vMerge w:val="continue"/>
            <w:noWrap/>
            <w:vAlign w:val="center"/>
          </w:tcPr>
          <w:p w14:paraId="0E83CBE4">
            <w:pPr>
              <w:keepNext w:val="0"/>
              <w:keepLines w:val="0"/>
              <w:pageBreakBefore w:val="0"/>
              <w:suppressLineNumbers w:val="0"/>
              <w:kinsoku/>
              <w:wordWrap/>
              <w:overflowPunct/>
              <w:topLinePunct w:val="0"/>
              <w:autoSpaceDE/>
              <w:autoSpaceDN/>
              <w:bidi w:val="0"/>
              <w:adjustRightInd w:val="0"/>
              <w:spacing w:before="60" w:beforeAutospacing="0" w:after="60" w:afterAutospacing="0" w:line="360" w:lineRule="auto"/>
              <w:ind w:left="0" w:right="0"/>
              <w:jc w:val="center"/>
              <w:textAlignment w:val="baseline"/>
              <w:rPr>
                <w:rFonts w:hint="eastAsia" w:ascii="宋体" w:hAnsi="宋体" w:eastAsia="宋体" w:cs="宋体"/>
                <w:b/>
                <w:color w:val="auto"/>
                <w:sz w:val="21"/>
                <w:szCs w:val="21"/>
                <w:highlight w:val="none"/>
              </w:rPr>
            </w:pPr>
          </w:p>
        </w:tc>
        <w:tc>
          <w:tcPr>
            <w:tcW w:w="1564" w:type="dxa"/>
            <w:noWrap/>
            <w:vAlign w:val="center"/>
          </w:tcPr>
          <w:p w14:paraId="48C847B2">
            <w:pPr>
              <w:keepNext w:val="0"/>
              <w:keepLines w:val="0"/>
              <w:pageBreakBefore w:val="0"/>
              <w:suppressLineNumbers w:val="0"/>
              <w:kinsoku/>
              <w:wordWrap/>
              <w:overflowPunct/>
              <w:topLinePunct w:val="0"/>
              <w:autoSpaceDE/>
              <w:autoSpaceDN/>
              <w:bidi w:val="0"/>
              <w:spacing w:before="60" w:beforeAutospacing="0" w:after="6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 xml:space="preserve">2服务团队及服务设施设备（满分 </w:t>
            </w:r>
            <w:r>
              <w:rPr>
                <w:rFonts w:hint="eastAsia" w:ascii="宋体" w:hAnsi="宋体" w:cs="宋体"/>
                <w:b/>
                <w:bCs/>
                <w:color w:val="auto"/>
                <w:sz w:val="21"/>
                <w:szCs w:val="21"/>
                <w:highlight w:val="none"/>
                <w:lang w:val="en-US" w:eastAsia="zh-CN"/>
              </w:rPr>
              <w:t>20</w:t>
            </w:r>
            <w:r>
              <w:rPr>
                <w:rFonts w:hint="eastAsia" w:ascii="宋体" w:hAnsi="宋体" w:eastAsia="宋体" w:cs="宋体"/>
                <w:b/>
                <w:bCs/>
                <w:color w:val="auto"/>
                <w:sz w:val="21"/>
                <w:szCs w:val="21"/>
                <w:highlight w:val="none"/>
              </w:rPr>
              <w:t xml:space="preserve"> 分）</w:t>
            </w:r>
          </w:p>
        </w:tc>
        <w:tc>
          <w:tcPr>
            <w:tcW w:w="5524" w:type="dxa"/>
            <w:noWrap/>
            <w:vAlign w:val="center"/>
          </w:tcPr>
          <w:p w14:paraId="2714AE9D">
            <w:pPr>
              <w:keepNext w:val="0"/>
              <w:keepLines w:val="0"/>
              <w:pageBreakBefore w:val="0"/>
              <w:suppressLineNumbers w:val="0"/>
              <w:kinsoku/>
              <w:wordWrap/>
              <w:overflowPunct/>
              <w:topLinePunct w:val="0"/>
              <w:autoSpaceDE/>
              <w:autoSpaceDN/>
              <w:bidi w:val="0"/>
              <w:spacing w:before="60" w:beforeAutospacing="0" w:after="60" w:afterAutospacing="0" w:line="360" w:lineRule="auto"/>
              <w:ind w:left="0" w:right="0" w:firstLine="422"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rPr>
              <w:t>评审依据：根据响应文件中提供的服务团队及服务设施设备进行打分，未提供或提供</w:t>
            </w:r>
            <w:r>
              <w:rPr>
                <w:rFonts w:hint="eastAsia" w:ascii="宋体" w:hAnsi="宋体" w:cs="宋体"/>
                <w:b/>
                <w:bCs/>
                <w:color w:val="auto"/>
                <w:kern w:val="2"/>
                <w:sz w:val="21"/>
                <w:szCs w:val="21"/>
                <w:highlight w:val="none"/>
                <w:lang w:val="en-US" w:eastAsia="zh-CN"/>
              </w:rPr>
              <w:t>不满足以下档次要求</w:t>
            </w:r>
            <w:r>
              <w:rPr>
                <w:rFonts w:hint="eastAsia" w:ascii="宋体" w:hAnsi="宋体" w:eastAsia="宋体" w:cs="宋体"/>
                <w:b/>
                <w:bCs/>
                <w:color w:val="auto"/>
                <w:kern w:val="2"/>
                <w:sz w:val="21"/>
                <w:szCs w:val="21"/>
                <w:highlight w:val="none"/>
                <w:lang w:val="en-US" w:eastAsia="zh-CN"/>
              </w:rPr>
              <w:t>的不得分。</w:t>
            </w:r>
          </w:p>
          <w:p w14:paraId="3729299B">
            <w:pPr>
              <w:keepNext w:val="0"/>
              <w:keepLines w:val="0"/>
              <w:pageBreakBefore w:val="0"/>
              <w:suppressLineNumbers w:val="0"/>
              <w:kinsoku/>
              <w:wordWrap/>
              <w:overflowPunct/>
              <w:topLinePunct w:val="0"/>
              <w:autoSpaceDE/>
              <w:autoSpaceDN/>
              <w:bidi w:val="0"/>
              <w:spacing w:before="60" w:beforeAutospacing="0" w:after="60" w:afterAutospacing="0" w:line="360" w:lineRule="auto"/>
              <w:ind w:left="0" w:right="0" w:firstLine="420" w:firstLineChars="200"/>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一档（5分）团队人员及设备设施配备基本齐全，拟投入实施团队人员基本满足项目实施需求。建立相关管理制度性文件，规章制度不够健全。</w:t>
            </w:r>
          </w:p>
          <w:p w14:paraId="783402E1">
            <w:pPr>
              <w:keepNext w:val="0"/>
              <w:keepLines w:val="0"/>
              <w:pageBreakBefore w:val="0"/>
              <w:suppressLineNumbers w:val="0"/>
              <w:kinsoku/>
              <w:wordWrap/>
              <w:overflowPunct/>
              <w:topLinePunct w:val="0"/>
              <w:autoSpaceDE/>
              <w:autoSpaceDN/>
              <w:bidi w:val="0"/>
              <w:spacing w:before="60" w:beforeAutospacing="0" w:after="60" w:afterAutospacing="0" w:line="360" w:lineRule="auto"/>
              <w:ind w:left="0" w:right="0" w:firstLine="420" w:firstLineChars="200"/>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二档（10分）团队人员及设备设施配备齐全，拟投入实施团队人员数量≥</w:t>
            </w:r>
            <w:r>
              <w:rPr>
                <w:rFonts w:hint="eastAsia" w:ascii="宋体" w:hAnsi="宋体" w:cs="宋体"/>
                <w:bCs w:val="0"/>
                <w:color w:val="auto"/>
                <w:sz w:val="21"/>
                <w:szCs w:val="21"/>
                <w:highlight w:val="none"/>
                <w:lang w:val="en-US" w:eastAsia="zh-CN"/>
              </w:rPr>
              <w:t>6</w:t>
            </w:r>
            <w:r>
              <w:rPr>
                <w:rFonts w:hint="eastAsia" w:ascii="宋体" w:hAnsi="宋体" w:eastAsia="宋体" w:cs="宋体"/>
                <w:bCs w:val="0"/>
                <w:color w:val="auto"/>
                <w:sz w:val="21"/>
                <w:szCs w:val="21"/>
                <w:highlight w:val="none"/>
              </w:rPr>
              <w:t>人，满足项目实施需求。建立相关管理制度性文件，规章制度基本健全。</w:t>
            </w:r>
          </w:p>
          <w:p w14:paraId="196C1C66">
            <w:pPr>
              <w:keepNext w:val="0"/>
              <w:keepLines w:val="0"/>
              <w:pageBreakBefore w:val="0"/>
              <w:suppressLineNumbers w:val="0"/>
              <w:kinsoku/>
              <w:wordWrap/>
              <w:overflowPunct/>
              <w:topLinePunct w:val="0"/>
              <w:autoSpaceDE/>
              <w:autoSpaceDN/>
              <w:bidi w:val="0"/>
              <w:spacing w:before="60" w:beforeAutospacing="0" w:after="60" w:afterAutospacing="0" w:line="360" w:lineRule="auto"/>
              <w:ind w:left="0" w:right="0" w:firstLine="420" w:firstLineChars="200"/>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三档（15分）团队人员及设备设施配备齐全、充足，满足项目实施需求。服务团队经验较丰富，参与人员及技术力量投入有保障，拟投入实施团队人员数量≥</w:t>
            </w:r>
            <w:r>
              <w:rPr>
                <w:rFonts w:hint="eastAsia" w:ascii="宋体" w:hAnsi="宋体" w:cs="宋体"/>
                <w:bCs w:val="0"/>
                <w:color w:val="auto"/>
                <w:sz w:val="21"/>
                <w:szCs w:val="21"/>
                <w:highlight w:val="none"/>
                <w:lang w:val="en-US" w:eastAsia="zh-CN"/>
              </w:rPr>
              <w:t>8</w:t>
            </w:r>
            <w:r>
              <w:rPr>
                <w:rFonts w:hint="eastAsia" w:ascii="宋体" w:hAnsi="宋体" w:eastAsia="宋体" w:cs="宋体"/>
                <w:bCs w:val="0"/>
                <w:color w:val="auto"/>
                <w:sz w:val="21"/>
                <w:szCs w:val="21"/>
                <w:highlight w:val="none"/>
              </w:rPr>
              <w:t>人，建立相关管理制度性文件，规章制度比较完善，项目运作机制比较成熟，便于项目实施。</w:t>
            </w:r>
          </w:p>
          <w:p w14:paraId="48BDE0F3">
            <w:pPr>
              <w:keepNext w:val="0"/>
              <w:keepLines w:val="0"/>
              <w:pageBreakBefore w:val="0"/>
              <w:suppressLineNumbers w:val="0"/>
              <w:kinsoku/>
              <w:wordWrap/>
              <w:overflowPunct/>
              <w:topLinePunct w:val="0"/>
              <w:autoSpaceDE/>
              <w:autoSpaceDN/>
              <w:bidi w:val="0"/>
              <w:spacing w:before="60" w:beforeAutospacing="0" w:after="60" w:afterAutospacing="0" w:line="360" w:lineRule="auto"/>
              <w:ind w:left="0" w:right="0" w:firstLine="420" w:firstLineChars="200"/>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四档（20分）团队人员配备合理、岗位</w:t>
            </w:r>
            <w:bookmarkStart w:id="184" w:name="_GoBack"/>
            <w:bookmarkEnd w:id="184"/>
            <w:r>
              <w:rPr>
                <w:rFonts w:hint="eastAsia" w:ascii="宋体" w:hAnsi="宋体" w:eastAsia="宋体" w:cs="宋体"/>
                <w:bCs w:val="0"/>
                <w:color w:val="auto"/>
                <w:sz w:val="21"/>
                <w:szCs w:val="21"/>
                <w:highlight w:val="none"/>
              </w:rPr>
              <w:t>分工明确、人员、设备设施配备齐全充足，较好满足项目实施需求。服务团队专业、经验丰富，参与人员及技术力量投入充足，拟投入实施团队人员数量≥</w:t>
            </w:r>
            <w:r>
              <w:rPr>
                <w:rFonts w:hint="eastAsia" w:ascii="宋体" w:hAnsi="宋体" w:cs="宋体"/>
                <w:bCs w:val="0"/>
                <w:color w:val="auto"/>
                <w:sz w:val="21"/>
                <w:szCs w:val="21"/>
                <w:highlight w:val="none"/>
                <w:lang w:val="en-US" w:eastAsia="zh-CN"/>
              </w:rPr>
              <w:t>10</w:t>
            </w:r>
            <w:r>
              <w:rPr>
                <w:rFonts w:hint="eastAsia" w:ascii="宋体" w:hAnsi="宋体" w:eastAsia="宋体" w:cs="宋体"/>
                <w:bCs w:val="0"/>
                <w:color w:val="auto"/>
                <w:sz w:val="21"/>
                <w:szCs w:val="21"/>
                <w:highlight w:val="none"/>
              </w:rPr>
              <w:t>人，建立相关项目人力资源管理、财务管理、应急突发事件管理等管理制度性文件，规章制度完善，项目运作机制成熟、科学，有针对性，逻辑清晰、切合实际。</w:t>
            </w:r>
          </w:p>
        </w:tc>
      </w:tr>
      <w:tr w14:paraId="4D175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28" w:type="dxa"/>
            <w:vMerge w:val="continue"/>
            <w:noWrap/>
            <w:vAlign w:val="center"/>
          </w:tcPr>
          <w:p w14:paraId="30FE9067">
            <w:pPr>
              <w:keepNext w:val="0"/>
              <w:keepLines w:val="0"/>
              <w:pageBreakBefore w:val="0"/>
              <w:suppressLineNumbers w:val="0"/>
              <w:kinsoku/>
              <w:wordWrap/>
              <w:overflowPunct/>
              <w:topLinePunct w:val="0"/>
              <w:autoSpaceDE/>
              <w:autoSpaceDN/>
              <w:bidi w:val="0"/>
              <w:adjustRightInd w:val="0"/>
              <w:spacing w:before="60" w:beforeAutospacing="0" w:after="60" w:afterAutospacing="0" w:line="360" w:lineRule="auto"/>
              <w:ind w:left="0" w:right="0"/>
              <w:jc w:val="center"/>
              <w:textAlignment w:val="baseline"/>
              <w:rPr>
                <w:rFonts w:hint="eastAsia" w:ascii="宋体" w:hAnsi="宋体" w:eastAsia="宋体" w:cs="宋体"/>
                <w:b/>
                <w:color w:val="auto"/>
                <w:sz w:val="21"/>
                <w:szCs w:val="21"/>
                <w:highlight w:val="none"/>
              </w:rPr>
            </w:pPr>
          </w:p>
        </w:tc>
        <w:tc>
          <w:tcPr>
            <w:tcW w:w="1129" w:type="dxa"/>
            <w:vMerge w:val="continue"/>
            <w:noWrap/>
            <w:vAlign w:val="center"/>
          </w:tcPr>
          <w:p w14:paraId="5B3373AB">
            <w:pPr>
              <w:keepNext w:val="0"/>
              <w:keepLines w:val="0"/>
              <w:pageBreakBefore w:val="0"/>
              <w:suppressLineNumbers w:val="0"/>
              <w:kinsoku/>
              <w:wordWrap/>
              <w:overflowPunct/>
              <w:topLinePunct w:val="0"/>
              <w:autoSpaceDE/>
              <w:autoSpaceDN/>
              <w:bidi w:val="0"/>
              <w:adjustRightInd w:val="0"/>
              <w:spacing w:before="60" w:beforeAutospacing="0" w:after="60" w:afterAutospacing="0" w:line="360" w:lineRule="auto"/>
              <w:ind w:left="0" w:right="0"/>
              <w:jc w:val="center"/>
              <w:textAlignment w:val="baseline"/>
              <w:rPr>
                <w:rFonts w:hint="eastAsia" w:ascii="宋体" w:hAnsi="宋体" w:eastAsia="宋体" w:cs="宋体"/>
                <w:b/>
                <w:color w:val="auto"/>
                <w:sz w:val="21"/>
                <w:szCs w:val="21"/>
                <w:highlight w:val="none"/>
              </w:rPr>
            </w:pPr>
          </w:p>
        </w:tc>
        <w:tc>
          <w:tcPr>
            <w:tcW w:w="805" w:type="dxa"/>
            <w:vMerge w:val="continue"/>
            <w:noWrap/>
            <w:vAlign w:val="center"/>
          </w:tcPr>
          <w:p w14:paraId="0E03D445">
            <w:pPr>
              <w:keepNext w:val="0"/>
              <w:keepLines w:val="0"/>
              <w:pageBreakBefore w:val="0"/>
              <w:suppressLineNumbers w:val="0"/>
              <w:kinsoku/>
              <w:wordWrap/>
              <w:overflowPunct/>
              <w:topLinePunct w:val="0"/>
              <w:autoSpaceDE/>
              <w:autoSpaceDN/>
              <w:bidi w:val="0"/>
              <w:adjustRightInd w:val="0"/>
              <w:spacing w:before="60" w:beforeAutospacing="0" w:after="60" w:afterAutospacing="0" w:line="360" w:lineRule="auto"/>
              <w:ind w:left="0" w:right="0"/>
              <w:jc w:val="center"/>
              <w:textAlignment w:val="baseline"/>
              <w:rPr>
                <w:rFonts w:hint="eastAsia" w:ascii="宋体" w:hAnsi="宋体" w:eastAsia="宋体" w:cs="宋体"/>
                <w:b/>
                <w:color w:val="auto"/>
                <w:sz w:val="21"/>
                <w:szCs w:val="21"/>
                <w:highlight w:val="none"/>
              </w:rPr>
            </w:pPr>
          </w:p>
        </w:tc>
        <w:tc>
          <w:tcPr>
            <w:tcW w:w="1564" w:type="dxa"/>
            <w:noWrap/>
            <w:vAlign w:val="center"/>
          </w:tcPr>
          <w:p w14:paraId="0F11DC5E">
            <w:pPr>
              <w:keepNext w:val="0"/>
              <w:keepLines w:val="0"/>
              <w:pageBreakBefore w:val="0"/>
              <w:suppressLineNumbers w:val="0"/>
              <w:kinsoku/>
              <w:wordWrap/>
              <w:overflowPunct/>
              <w:topLinePunct w:val="0"/>
              <w:autoSpaceDE/>
              <w:autoSpaceDN/>
              <w:bidi w:val="0"/>
              <w:spacing w:before="60" w:beforeAutospacing="0" w:after="60" w:afterAutospacing="0" w:line="360" w:lineRule="auto"/>
              <w:ind w:left="0" w:right="0"/>
              <w:jc w:val="center"/>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2.3</w:t>
            </w:r>
            <w:r>
              <w:rPr>
                <w:rFonts w:hint="eastAsia" w:ascii="宋体" w:hAnsi="宋体" w:eastAsia="宋体" w:cs="宋体"/>
                <w:b/>
                <w:bCs/>
                <w:color w:val="auto"/>
                <w:sz w:val="21"/>
                <w:szCs w:val="21"/>
                <w:highlight w:val="none"/>
              </w:rPr>
              <w:t>服务承诺（满分1</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分）</w:t>
            </w:r>
          </w:p>
        </w:tc>
        <w:tc>
          <w:tcPr>
            <w:tcW w:w="5524" w:type="dxa"/>
            <w:noWrap/>
            <w:vAlign w:val="center"/>
          </w:tcPr>
          <w:p w14:paraId="4B604866">
            <w:pPr>
              <w:keepNext w:val="0"/>
              <w:keepLines w:val="0"/>
              <w:pageBreakBefore w:val="0"/>
              <w:suppressLineNumbers w:val="0"/>
              <w:kinsoku/>
              <w:wordWrap/>
              <w:overflowPunct/>
              <w:topLinePunct w:val="0"/>
              <w:autoSpaceDE/>
              <w:autoSpaceDN/>
              <w:bidi w:val="0"/>
              <w:spacing w:before="60" w:beforeAutospacing="0" w:after="60" w:afterAutospacing="0" w:line="360" w:lineRule="auto"/>
              <w:ind w:left="0" w:right="0" w:firstLine="422" w:firstLineChars="200"/>
              <w:rPr>
                <w:rFonts w:hint="eastAsia" w:ascii="宋体" w:hAnsi="宋体" w:cs="宋体"/>
                <w:bCs w:val="0"/>
                <w:color w:val="auto"/>
                <w:sz w:val="21"/>
                <w:szCs w:val="21"/>
                <w:highlight w:val="none"/>
                <w:lang w:eastAsia="zh-CN"/>
              </w:rPr>
            </w:pPr>
            <w:r>
              <w:rPr>
                <w:rFonts w:hint="eastAsia" w:ascii="宋体" w:hAnsi="宋体" w:eastAsia="宋体" w:cs="宋体"/>
                <w:b/>
                <w:bCs/>
                <w:color w:val="auto"/>
                <w:kern w:val="2"/>
                <w:sz w:val="21"/>
                <w:szCs w:val="21"/>
                <w:highlight w:val="none"/>
                <w:lang w:val="en-US" w:eastAsia="zh-CN"/>
              </w:rPr>
              <w:t>评审依据：根据响应文件中提供的服务承诺进行打分，未提供或提供</w:t>
            </w:r>
            <w:r>
              <w:rPr>
                <w:rFonts w:hint="eastAsia" w:ascii="宋体" w:hAnsi="宋体" w:cs="宋体"/>
                <w:b/>
                <w:bCs/>
                <w:color w:val="auto"/>
                <w:kern w:val="2"/>
                <w:sz w:val="21"/>
                <w:szCs w:val="21"/>
                <w:highlight w:val="none"/>
                <w:lang w:val="en-US" w:eastAsia="zh-CN"/>
              </w:rPr>
              <w:t>不满足以下档次要求</w:t>
            </w:r>
            <w:r>
              <w:rPr>
                <w:rFonts w:hint="eastAsia" w:ascii="宋体" w:hAnsi="宋体" w:eastAsia="宋体" w:cs="宋体"/>
                <w:b/>
                <w:bCs/>
                <w:color w:val="auto"/>
                <w:kern w:val="2"/>
                <w:sz w:val="21"/>
                <w:szCs w:val="21"/>
                <w:highlight w:val="none"/>
                <w:lang w:val="en-US" w:eastAsia="zh-CN"/>
              </w:rPr>
              <w:t>的不得分。</w:t>
            </w:r>
          </w:p>
          <w:p w14:paraId="3AF43CD6">
            <w:pPr>
              <w:keepNext w:val="0"/>
              <w:keepLines w:val="0"/>
              <w:pageBreakBefore w:val="0"/>
              <w:suppressLineNumbers w:val="0"/>
              <w:kinsoku/>
              <w:wordWrap/>
              <w:overflowPunct/>
              <w:topLinePunct w:val="0"/>
              <w:autoSpaceDE/>
              <w:autoSpaceDN/>
              <w:bidi w:val="0"/>
              <w:spacing w:before="60" w:beforeAutospacing="0" w:after="60" w:afterAutospacing="0" w:line="360" w:lineRule="auto"/>
              <w:ind w:left="0" w:right="0"/>
              <w:rPr>
                <w:rFonts w:hint="eastAsia" w:ascii="宋体" w:hAnsi="宋体" w:cs="宋体"/>
                <w:bCs w:val="0"/>
                <w:color w:val="auto"/>
                <w:sz w:val="21"/>
                <w:szCs w:val="21"/>
                <w:highlight w:val="none"/>
                <w:lang w:eastAsia="zh-CN"/>
              </w:rPr>
            </w:pPr>
            <w:r>
              <w:rPr>
                <w:rFonts w:hint="eastAsia" w:ascii="宋体" w:hAnsi="宋体" w:cs="宋体"/>
                <w:bCs w:val="0"/>
                <w:color w:val="auto"/>
                <w:sz w:val="21"/>
                <w:szCs w:val="21"/>
                <w:highlight w:val="none"/>
                <w:lang w:eastAsia="zh-CN"/>
              </w:rPr>
              <w:t>一档（2 分）：服务宗旨不够明确，对零工人员和用工单位的需求考虑不足。服务内容承诺、服务质量承诺不够全面，没有明确时间承诺和应对措施。承诺内容可行性较低。</w:t>
            </w:r>
          </w:p>
          <w:p w14:paraId="7CC72EE3">
            <w:pPr>
              <w:keepNext w:val="0"/>
              <w:keepLines w:val="0"/>
              <w:pageBreakBefore w:val="0"/>
              <w:suppressLineNumbers w:val="0"/>
              <w:kinsoku/>
              <w:wordWrap/>
              <w:overflowPunct/>
              <w:topLinePunct w:val="0"/>
              <w:autoSpaceDE/>
              <w:autoSpaceDN/>
              <w:bidi w:val="0"/>
              <w:spacing w:before="60" w:beforeAutospacing="0" w:after="60" w:afterAutospacing="0" w:line="360" w:lineRule="auto"/>
              <w:ind w:left="0" w:right="0"/>
              <w:rPr>
                <w:rFonts w:hint="eastAsia" w:ascii="宋体" w:hAnsi="宋体" w:cs="宋体"/>
                <w:bCs w:val="0"/>
                <w:color w:val="auto"/>
                <w:sz w:val="21"/>
                <w:szCs w:val="21"/>
                <w:highlight w:val="none"/>
                <w:lang w:eastAsia="zh-CN"/>
              </w:rPr>
            </w:pPr>
            <w:r>
              <w:rPr>
                <w:rFonts w:hint="eastAsia" w:ascii="宋体" w:hAnsi="宋体" w:cs="宋体"/>
                <w:bCs w:val="0"/>
                <w:color w:val="auto"/>
                <w:sz w:val="21"/>
                <w:szCs w:val="21"/>
                <w:highlight w:val="none"/>
                <w:lang w:eastAsia="zh-CN"/>
              </w:rPr>
              <w:t>二档（5 分）：服务宗旨基本明确，对零工人员和用工单位的需求有一定考虑。服务内容承诺、服务质量承诺基本满足要求，服务时间承诺基本能保证服务时间。各项承诺表述基本清楚，但有些不够具体、不够明确，承诺内容有一定的可行性。</w:t>
            </w:r>
          </w:p>
          <w:p w14:paraId="55753A97">
            <w:pPr>
              <w:keepNext w:val="0"/>
              <w:keepLines w:val="0"/>
              <w:pageBreakBefore w:val="0"/>
              <w:suppressLineNumbers w:val="0"/>
              <w:kinsoku/>
              <w:wordWrap/>
              <w:overflowPunct/>
              <w:topLinePunct w:val="0"/>
              <w:autoSpaceDE/>
              <w:autoSpaceDN/>
              <w:bidi w:val="0"/>
              <w:spacing w:before="60" w:beforeAutospacing="0" w:after="60" w:afterAutospacing="0" w:line="360" w:lineRule="auto"/>
              <w:ind w:left="0" w:right="0"/>
              <w:rPr>
                <w:rFonts w:hint="eastAsia" w:ascii="宋体" w:hAnsi="宋体" w:cs="宋体"/>
                <w:bCs w:val="0"/>
                <w:color w:val="auto"/>
                <w:sz w:val="21"/>
                <w:szCs w:val="21"/>
                <w:highlight w:val="none"/>
                <w:lang w:eastAsia="zh-CN"/>
              </w:rPr>
            </w:pPr>
            <w:r>
              <w:rPr>
                <w:rFonts w:hint="eastAsia" w:ascii="宋体" w:hAnsi="宋体" w:cs="宋体"/>
                <w:bCs w:val="0"/>
                <w:color w:val="auto"/>
                <w:sz w:val="21"/>
                <w:szCs w:val="21"/>
                <w:highlight w:val="none"/>
                <w:lang w:eastAsia="zh-CN"/>
              </w:rPr>
              <w:t>三档（</w:t>
            </w:r>
            <w:r>
              <w:rPr>
                <w:rFonts w:hint="eastAsia" w:ascii="宋体" w:hAnsi="宋体" w:cs="宋体"/>
                <w:bCs w:val="0"/>
                <w:color w:val="auto"/>
                <w:sz w:val="21"/>
                <w:szCs w:val="21"/>
                <w:highlight w:val="none"/>
                <w:lang w:val="en-US" w:eastAsia="zh-CN"/>
              </w:rPr>
              <w:t>10</w:t>
            </w:r>
            <w:r>
              <w:rPr>
                <w:rFonts w:hint="eastAsia" w:ascii="宋体" w:hAnsi="宋体" w:cs="宋体"/>
                <w:bCs w:val="0"/>
                <w:color w:val="auto"/>
                <w:sz w:val="21"/>
                <w:szCs w:val="21"/>
                <w:highlight w:val="none"/>
                <w:lang w:eastAsia="zh-CN"/>
              </w:rPr>
              <w:t>分）：服务宗旨明确，能较好地考虑零工人员和用工单位的需求。服务内容承诺、服务质量承诺比较全面，服务时间承诺能保证服务时间。各项承诺表述较为清晰、具体，承诺内容具有较高的可行性。</w:t>
            </w:r>
          </w:p>
          <w:p w14:paraId="21326591">
            <w:pPr>
              <w:keepNext w:val="0"/>
              <w:keepLines w:val="0"/>
              <w:pageBreakBefore w:val="0"/>
              <w:suppressLineNumbers w:val="0"/>
              <w:kinsoku/>
              <w:wordWrap/>
              <w:overflowPunct/>
              <w:topLinePunct w:val="0"/>
              <w:autoSpaceDE/>
              <w:autoSpaceDN/>
              <w:bidi w:val="0"/>
              <w:spacing w:before="60" w:beforeAutospacing="0" w:after="60" w:afterAutospacing="0" w:line="360" w:lineRule="auto"/>
              <w:ind w:left="0" w:right="0"/>
              <w:rPr>
                <w:rFonts w:hint="eastAsia" w:ascii="宋体" w:hAnsi="宋体" w:cs="宋体"/>
                <w:bCs w:val="0"/>
                <w:color w:val="auto"/>
                <w:sz w:val="21"/>
                <w:szCs w:val="21"/>
                <w:highlight w:val="none"/>
                <w:lang w:eastAsia="zh-CN"/>
              </w:rPr>
            </w:pPr>
            <w:r>
              <w:rPr>
                <w:rFonts w:hint="eastAsia" w:ascii="宋体" w:hAnsi="宋体" w:cs="宋体"/>
                <w:bCs w:val="0"/>
                <w:color w:val="auto"/>
                <w:sz w:val="21"/>
                <w:szCs w:val="21"/>
                <w:highlight w:val="none"/>
                <w:lang w:eastAsia="zh-CN"/>
              </w:rPr>
              <w:t>四档（1</w:t>
            </w:r>
            <w:r>
              <w:rPr>
                <w:rFonts w:hint="eastAsia" w:ascii="宋体" w:hAnsi="宋体" w:cs="宋体"/>
                <w:bCs w:val="0"/>
                <w:color w:val="auto"/>
                <w:sz w:val="21"/>
                <w:szCs w:val="21"/>
                <w:highlight w:val="none"/>
                <w:lang w:val="en-US" w:eastAsia="zh-CN"/>
              </w:rPr>
              <w:t>5</w:t>
            </w:r>
            <w:r>
              <w:rPr>
                <w:rFonts w:hint="eastAsia" w:ascii="宋体" w:hAnsi="宋体" w:cs="宋体"/>
                <w:bCs w:val="0"/>
                <w:color w:val="auto"/>
                <w:sz w:val="21"/>
                <w:szCs w:val="21"/>
                <w:highlight w:val="none"/>
                <w:lang w:eastAsia="zh-CN"/>
              </w:rPr>
              <w:t>分）：服务宗旨明确且合理，完全以零工人员和用工单位的需求为导向。服务内容承诺、服务质量承诺全面且具体，服务时间承诺严格遵守，即使有特殊情况也能做好妥善安排。响应速度快。各项承诺表述清晰、具体，没有模糊不清的表述。承诺内容基于实际情况，具有高度的可行性，有充分的资源和能力来实现。</w:t>
            </w:r>
          </w:p>
        </w:tc>
      </w:tr>
      <w:tr w14:paraId="5A343115">
        <w:tblPrEx>
          <w:tblCellMar>
            <w:top w:w="0" w:type="dxa"/>
            <w:left w:w="108" w:type="dxa"/>
            <w:bottom w:w="0" w:type="dxa"/>
            <w:right w:w="108" w:type="dxa"/>
          </w:tblCellMar>
        </w:tblPrEx>
        <w:trPr>
          <w:trHeight w:val="312" w:hRule="atLeast"/>
          <w:jc w:val="center"/>
        </w:trPr>
        <w:tc>
          <w:tcPr>
            <w:tcW w:w="728" w:type="dxa"/>
            <w:vMerge w:val="continue"/>
            <w:noWrap/>
            <w:vAlign w:val="center"/>
          </w:tcPr>
          <w:p w14:paraId="0D66DD57">
            <w:pPr>
              <w:keepNext w:val="0"/>
              <w:keepLines w:val="0"/>
              <w:pageBreakBefore w:val="0"/>
              <w:suppressLineNumbers w:val="0"/>
              <w:kinsoku/>
              <w:wordWrap/>
              <w:overflowPunct/>
              <w:topLinePunct w:val="0"/>
              <w:autoSpaceDE/>
              <w:autoSpaceDN/>
              <w:bidi w:val="0"/>
              <w:adjustRightInd w:val="0"/>
              <w:spacing w:before="60" w:beforeAutospacing="0" w:after="60" w:afterAutospacing="0" w:line="360" w:lineRule="auto"/>
              <w:ind w:left="0" w:right="0"/>
              <w:jc w:val="center"/>
              <w:textAlignment w:val="baseline"/>
              <w:rPr>
                <w:rFonts w:hint="eastAsia" w:ascii="宋体" w:hAnsi="宋体" w:eastAsia="宋体" w:cs="宋体"/>
                <w:b/>
                <w:color w:val="auto"/>
                <w:sz w:val="21"/>
                <w:szCs w:val="21"/>
                <w:highlight w:val="none"/>
              </w:rPr>
            </w:pPr>
          </w:p>
        </w:tc>
        <w:tc>
          <w:tcPr>
            <w:tcW w:w="1129" w:type="dxa"/>
            <w:vMerge w:val="continue"/>
            <w:noWrap/>
            <w:vAlign w:val="center"/>
          </w:tcPr>
          <w:p w14:paraId="355423C0">
            <w:pPr>
              <w:keepNext w:val="0"/>
              <w:keepLines w:val="0"/>
              <w:pageBreakBefore w:val="0"/>
              <w:suppressLineNumbers w:val="0"/>
              <w:kinsoku/>
              <w:wordWrap/>
              <w:overflowPunct/>
              <w:topLinePunct w:val="0"/>
              <w:autoSpaceDE/>
              <w:autoSpaceDN/>
              <w:bidi w:val="0"/>
              <w:adjustRightInd w:val="0"/>
              <w:spacing w:before="60" w:beforeAutospacing="0" w:after="60" w:afterAutospacing="0" w:line="360" w:lineRule="auto"/>
              <w:ind w:left="0" w:right="0"/>
              <w:jc w:val="center"/>
              <w:textAlignment w:val="baseline"/>
              <w:rPr>
                <w:rFonts w:hint="eastAsia" w:ascii="宋体" w:hAnsi="宋体" w:eastAsia="宋体" w:cs="宋体"/>
                <w:b/>
                <w:color w:val="auto"/>
                <w:sz w:val="21"/>
                <w:szCs w:val="21"/>
                <w:highlight w:val="none"/>
              </w:rPr>
            </w:pPr>
          </w:p>
        </w:tc>
        <w:tc>
          <w:tcPr>
            <w:tcW w:w="805" w:type="dxa"/>
            <w:vMerge w:val="continue"/>
            <w:noWrap/>
            <w:vAlign w:val="center"/>
          </w:tcPr>
          <w:p w14:paraId="558A8DF5">
            <w:pPr>
              <w:keepNext w:val="0"/>
              <w:keepLines w:val="0"/>
              <w:pageBreakBefore w:val="0"/>
              <w:suppressLineNumbers w:val="0"/>
              <w:kinsoku/>
              <w:wordWrap/>
              <w:overflowPunct/>
              <w:topLinePunct w:val="0"/>
              <w:autoSpaceDE/>
              <w:autoSpaceDN/>
              <w:bidi w:val="0"/>
              <w:adjustRightInd w:val="0"/>
              <w:spacing w:before="60" w:beforeAutospacing="0" w:after="60" w:afterAutospacing="0" w:line="360" w:lineRule="auto"/>
              <w:ind w:left="0" w:right="0"/>
              <w:jc w:val="center"/>
              <w:textAlignment w:val="baseline"/>
              <w:rPr>
                <w:rFonts w:hint="eastAsia" w:ascii="宋体" w:hAnsi="宋体" w:eastAsia="宋体" w:cs="宋体"/>
                <w:b/>
                <w:color w:val="auto"/>
                <w:sz w:val="21"/>
                <w:szCs w:val="21"/>
                <w:highlight w:val="none"/>
              </w:rPr>
            </w:pPr>
          </w:p>
        </w:tc>
        <w:tc>
          <w:tcPr>
            <w:tcW w:w="1564" w:type="dxa"/>
            <w:noWrap/>
            <w:vAlign w:val="center"/>
          </w:tcPr>
          <w:p w14:paraId="7586F09A">
            <w:pPr>
              <w:keepNext w:val="0"/>
              <w:keepLines w:val="0"/>
              <w:pageBreakBefore w:val="0"/>
              <w:suppressLineNumbers w:val="0"/>
              <w:kinsoku/>
              <w:wordWrap/>
              <w:overflowPunct/>
              <w:topLinePunct w:val="0"/>
              <w:autoSpaceDE/>
              <w:autoSpaceDN/>
              <w:bidi w:val="0"/>
              <w:spacing w:before="60" w:beforeAutospacing="0" w:after="60" w:afterAutospacing="0" w:line="360"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4进度保证和质量控制措施（满分</w:t>
            </w:r>
            <w:r>
              <w:rPr>
                <w:rFonts w:hint="eastAsia" w:ascii="宋体" w:hAnsi="宋体" w:cs="宋体"/>
                <w:b/>
                <w:bCs/>
                <w:color w:val="auto"/>
                <w:sz w:val="21"/>
                <w:szCs w:val="21"/>
                <w:highlight w:val="none"/>
                <w:lang w:val="en-US" w:eastAsia="zh-CN"/>
              </w:rPr>
              <w:t>20</w:t>
            </w:r>
            <w:r>
              <w:rPr>
                <w:rFonts w:hint="eastAsia" w:ascii="宋体" w:hAnsi="宋体" w:eastAsia="宋体" w:cs="宋体"/>
                <w:b/>
                <w:bCs/>
                <w:color w:val="auto"/>
                <w:sz w:val="21"/>
                <w:szCs w:val="21"/>
                <w:highlight w:val="none"/>
                <w:lang w:val="en-US" w:eastAsia="zh-CN"/>
              </w:rPr>
              <w:t>分）</w:t>
            </w:r>
          </w:p>
        </w:tc>
        <w:tc>
          <w:tcPr>
            <w:tcW w:w="5524" w:type="dxa"/>
            <w:noWrap/>
            <w:vAlign w:val="center"/>
          </w:tcPr>
          <w:p w14:paraId="124B1BCD">
            <w:pPr>
              <w:keepNext w:val="0"/>
              <w:keepLines w:val="0"/>
              <w:pageBreakBefore w:val="0"/>
              <w:suppressLineNumbers w:val="0"/>
              <w:kinsoku/>
              <w:wordWrap/>
              <w:overflowPunct/>
              <w:topLinePunct w:val="0"/>
              <w:autoSpaceDE/>
              <w:autoSpaceDN/>
              <w:bidi w:val="0"/>
              <w:spacing w:before="60" w:beforeAutospacing="0" w:after="60" w:afterAutospacing="0" w:line="360" w:lineRule="auto"/>
              <w:ind w:left="0" w:right="0" w:firstLine="422" w:firstLineChars="200"/>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根据响应文件中提供的场进度保证和质量控制措施进行打分，未提供或提供</w:t>
            </w:r>
            <w:r>
              <w:rPr>
                <w:rFonts w:hint="eastAsia" w:ascii="宋体" w:hAnsi="宋体" w:cs="宋体"/>
                <w:b/>
                <w:bCs/>
                <w:color w:val="auto"/>
                <w:kern w:val="2"/>
                <w:sz w:val="21"/>
                <w:szCs w:val="21"/>
                <w:highlight w:val="none"/>
                <w:lang w:val="en-US" w:eastAsia="zh-CN"/>
              </w:rPr>
              <w:t>不满足以下档次要求</w:t>
            </w:r>
            <w:r>
              <w:rPr>
                <w:rFonts w:hint="eastAsia" w:ascii="宋体" w:hAnsi="宋体" w:eastAsia="宋体" w:cs="宋体"/>
                <w:b/>
                <w:bCs/>
                <w:color w:val="auto"/>
                <w:kern w:val="2"/>
                <w:sz w:val="21"/>
                <w:szCs w:val="21"/>
                <w:highlight w:val="none"/>
                <w:lang w:val="en-US" w:eastAsia="zh-CN"/>
              </w:rPr>
              <w:t>的不得分。</w:t>
            </w:r>
          </w:p>
          <w:p w14:paraId="7988BACB">
            <w:pPr>
              <w:keepNext w:val="0"/>
              <w:keepLines w:val="0"/>
              <w:pageBreakBefore w:val="0"/>
              <w:suppressLineNumbers w:val="0"/>
              <w:kinsoku/>
              <w:wordWrap/>
              <w:overflowPunct/>
              <w:topLinePunct w:val="0"/>
              <w:autoSpaceDE/>
              <w:autoSpaceDN/>
              <w:bidi w:val="0"/>
              <w:spacing w:before="60" w:beforeAutospacing="0" w:after="60" w:afterAutospacing="0" w:line="360" w:lineRule="auto"/>
              <w:ind w:left="0" w:right="0" w:firstLine="210" w:firstLineChars="1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一档（</w:t>
            </w: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rPr>
              <w:t xml:space="preserve">分）项目进度计划简单，时间节点不清晰，质量标准不明确，未根据项目实际情况制定方案，活动环节质量保证措施和手段，不完善，服务过程各系列活动工作的衔接措施欠缺，不能满足各系列活动实际要求； </w:t>
            </w:r>
          </w:p>
          <w:p w14:paraId="5C4A4FB8">
            <w:pPr>
              <w:keepNext w:val="0"/>
              <w:keepLines w:val="0"/>
              <w:pageBreakBefore w:val="0"/>
              <w:suppressLineNumbers w:val="0"/>
              <w:kinsoku/>
              <w:wordWrap/>
              <w:overflowPunct/>
              <w:topLinePunct w:val="0"/>
              <w:autoSpaceDE/>
              <w:autoSpaceDN/>
              <w:bidi w:val="0"/>
              <w:spacing w:before="60" w:beforeAutospacing="0" w:after="60" w:afterAutospacing="0" w:line="360" w:lineRule="auto"/>
              <w:ind w:left="0" w:right="0" w:firstLine="210" w:firstLineChars="1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二档（</w:t>
            </w:r>
            <w:r>
              <w:rPr>
                <w:rFonts w:hint="eastAsia" w:ascii="宋体" w:hAnsi="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 xml:space="preserve">分）项目进度计划较为详细，质量标准基本明确，有简单的质量管理班子和质量制度，活动环节质量保证措施和手段基本完善，服务过程各系列活动工作的衔接措施基本合理，基本满足各系列活动实际要求； </w:t>
            </w:r>
          </w:p>
          <w:p w14:paraId="080CB726">
            <w:pPr>
              <w:keepNext w:val="0"/>
              <w:keepLines w:val="0"/>
              <w:pageBreakBefore w:val="0"/>
              <w:suppressLineNumbers w:val="0"/>
              <w:kinsoku/>
              <w:wordWrap/>
              <w:overflowPunct/>
              <w:topLinePunct w:val="0"/>
              <w:autoSpaceDE/>
              <w:autoSpaceDN/>
              <w:bidi w:val="0"/>
              <w:spacing w:before="60" w:beforeAutospacing="0" w:after="60" w:afterAutospacing="0" w:line="360" w:lineRule="auto"/>
              <w:ind w:left="0" w:right="0" w:firstLine="210" w:firstLineChars="1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三档（</w:t>
            </w:r>
            <w:r>
              <w:rPr>
                <w:rFonts w:hint="eastAsia" w:ascii="宋体" w:hAnsi="宋体" w:cs="宋体"/>
                <w:bCs/>
                <w:color w:val="auto"/>
                <w:sz w:val="21"/>
                <w:szCs w:val="21"/>
                <w:highlight w:val="none"/>
                <w:lang w:val="en-US" w:eastAsia="zh-CN"/>
              </w:rPr>
              <w:t>15</w:t>
            </w:r>
            <w:r>
              <w:rPr>
                <w:rFonts w:hint="eastAsia" w:ascii="宋体" w:hAnsi="宋体" w:eastAsia="宋体" w:cs="宋体"/>
                <w:bCs/>
                <w:color w:val="auto"/>
                <w:sz w:val="21"/>
                <w:szCs w:val="21"/>
                <w:highlight w:val="none"/>
              </w:rPr>
              <w:t xml:space="preserve">分）项目进度计划详细，任务分配合理。质量标准明确，质量管理体系较为健全，有质量管理班子和质量制度，活动环节质量保证措施和手段完善，服务过程各系列活动工作的衔接措施合理，服务到位，计划执行到位保障性符合要求，符合各系列活动要求。 </w:t>
            </w:r>
          </w:p>
          <w:p w14:paraId="7AEF20B7">
            <w:pPr>
              <w:keepNext w:val="0"/>
              <w:keepLines w:val="0"/>
              <w:pageBreakBefore w:val="0"/>
              <w:suppressLineNumbers w:val="0"/>
              <w:kinsoku/>
              <w:wordWrap/>
              <w:overflowPunct/>
              <w:topLinePunct w:val="0"/>
              <w:autoSpaceDE/>
              <w:autoSpaceDN/>
              <w:bidi w:val="0"/>
              <w:spacing w:before="60" w:beforeAutospacing="0" w:after="60" w:afterAutospacing="0" w:line="360" w:lineRule="auto"/>
              <w:ind w:left="0" w:right="0" w:firstLine="210" w:firstLineChars="1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四档（</w:t>
            </w:r>
            <w:r>
              <w:rPr>
                <w:rFonts w:hint="eastAsia" w:ascii="宋体" w:hAnsi="宋体" w:cs="宋体"/>
                <w:bCs/>
                <w:color w:val="auto"/>
                <w:sz w:val="21"/>
                <w:szCs w:val="21"/>
                <w:highlight w:val="none"/>
                <w:lang w:val="en-US" w:eastAsia="zh-CN"/>
              </w:rPr>
              <w:t>20</w:t>
            </w:r>
            <w:r>
              <w:rPr>
                <w:rFonts w:hint="eastAsia" w:ascii="宋体" w:hAnsi="宋体" w:eastAsia="宋体" w:cs="宋体"/>
                <w:bCs/>
                <w:color w:val="auto"/>
                <w:sz w:val="21"/>
                <w:szCs w:val="21"/>
                <w:highlight w:val="none"/>
              </w:rPr>
              <w:t xml:space="preserve">分）项目进度计划详细且合理，各阶段任务明确。建立了完善的质量管理体系，涵盖从项目启动到结束的全过程。质量标准明确，有完善的质量管理体系，有专门的质量管理班子和健全的质量制度，活动环节质量保证措施和手段完善且有针对性，服务过程各系列活动工作的衔接措施合理且有针对性，所提供的服务优质；计划执行到位保障性高，能够很好保证项目的进度和质量，完全符合各系列活动实际要求。 </w:t>
            </w:r>
          </w:p>
        </w:tc>
      </w:tr>
      <w:tr w14:paraId="189B2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728" w:type="dxa"/>
            <w:noWrap/>
            <w:vAlign w:val="center"/>
          </w:tcPr>
          <w:p w14:paraId="7939AB2F">
            <w:pPr>
              <w:keepNext w:val="0"/>
              <w:keepLines w:val="0"/>
              <w:pageBreakBefore w:val="0"/>
              <w:suppressLineNumbers w:val="0"/>
              <w:kinsoku/>
              <w:wordWrap/>
              <w:overflowPunct/>
              <w:topLinePunct w:val="0"/>
              <w:autoSpaceDE/>
              <w:autoSpaceDN/>
              <w:bidi w:val="0"/>
              <w:adjustRightInd w:val="0"/>
              <w:spacing w:before="60" w:beforeAutospacing="0" w:after="60" w:afterAutospacing="0" w:line="360" w:lineRule="auto"/>
              <w:ind w:left="0" w:right="0"/>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p>
        </w:tc>
        <w:tc>
          <w:tcPr>
            <w:tcW w:w="1129" w:type="dxa"/>
            <w:noWrap/>
            <w:vAlign w:val="center"/>
          </w:tcPr>
          <w:p w14:paraId="6E9C53E5">
            <w:pPr>
              <w:keepNext w:val="0"/>
              <w:keepLines w:val="0"/>
              <w:pageBreakBefore w:val="0"/>
              <w:suppressLineNumbers w:val="0"/>
              <w:kinsoku/>
              <w:wordWrap/>
              <w:overflowPunct/>
              <w:topLinePunct w:val="0"/>
              <w:autoSpaceDE/>
              <w:autoSpaceDN/>
              <w:bidi w:val="0"/>
              <w:adjustRightInd w:val="0"/>
              <w:spacing w:before="60" w:beforeAutospacing="0" w:after="60" w:afterAutospacing="0" w:line="360" w:lineRule="auto"/>
              <w:ind w:left="0" w:right="0"/>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商务分</w:t>
            </w:r>
          </w:p>
        </w:tc>
        <w:tc>
          <w:tcPr>
            <w:tcW w:w="805" w:type="dxa"/>
            <w:noWrap/>
            <w:vAlign w:val="center"/>
          </w:tcPr>
          <w:p w14:paraId="337FF1A8">
            <w:pPr>
              <w:keepNext w:val="0"/>
              <w:keepLines w:val="0"/>
              <w:pageBreakBefore w:val="0"/>
              <w:suppressLineNumbers w:val="0"/>
              <w:kinsoku/>
              <w:wordWrap/>
              <w:overflowPunct/>
              <w:topLinePunct w:val="0"/>
              <w:autoSpaceDE/>
              <w:autoSpaceDN/>
              <w:bidi w:val="0"/>
              <w:spacing w:before="60" w:beforeAutospacing="0" w:after="60" w:afterAutospacing="0" w:line="360" w:lineRule="auto"/>
              <w:ind w:left="0" w:right="0"/>
              <w:rPr>
                <w:rFonts w:hint="eastAsia" w:ascii="宋体" w:hAnsi="宋体" w:eastAsia="宋体" w:cs="宋体"/>
                <w:b/>
                <w:bCs w:val="0"/>
                <w:color w:val="auto"/>
                <w:sz w:val="21"/>
                <w:szCs w:val="21"/>
                <w:highlight w:val="none"/>
                <w:lang w:val="en-US" w:eastAsia="zh-CN"/>
              </w:rPr>
            </w:pPr>
            <w:r>
              <w:rPr>
                <w:rFonts w:hint="eastAsia" w:ascii="宋体" w:hAnsi="宋体" w:cs="宋体"/>
                <w:b/>
                <w:color w:val="auto"/>
                <w:sz w:val="21"/>
                <w:szCs w:val="21"/>
                <w:highlight w:val="none"/>
                <w:lang w:val="en-US" w:eastAsia="zh-CN"/>
              </w:rPr>
              <w:t>满分10</w:t>
            </w:r>
            <w:r>
              <w:rPr>
                <w:rFonts w:hint="eastAsia" w:ascii="宋体" w:hAnsi="宋体" w:eastAsia="宋体" w:cs="宋体"/>
                <w:b/>
                <w:color w:val="auto"/>
                <w:sz w:val="21"/>
                <w:szCs w:val="21"/>
                <w:highlight w:val="none"/>
              </w:rPr>
              <w:t>分</w:t>
            </w:r>
          </w:p>
        </w:tc>
        <w:tc>
          <w:tcPr>
            <w:tcW w:w="1564" w:type="dxa"/>
            <w:shd w:val="clear" w:color="auto" w:fill="auto"/>
            <w:noWrap/>
            <w:vAlign w:val="center"/>
          </w:tcPr>
          <w:p w14:paraId="38A497AC">
            <w:pPr>
              <w:keepNext w:val="0"/>
              <w:keepLines w:val="0"/>
              <w:pageBreakBefore w:val="0"/>
              <w:suppressLineNumbers w:val="0"/>
              <w:kinsoku/>
              <w:wordWrap/>
              <w:overflowPunct/>
              <w:topLinePunct w:val="0"/>
              <w:autoSpaceDE/>
              <w:autoSpaceDN/>
              <w:bidi w:val="0"/>
              <w:spacing w:before="60" w:beforeAutospacing="0" w:after="60" w:afterAutospacing="0" w:line="360" w:lineRule="auto"/>
              <w:ind w:left="0" w:leftChars="0" w:right="0" w:rightChars="0"/>
              <w:jc w:val="center"/>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sz w:val="21"/>
                <w:szCs w:val="21"/>
                <w:highlight w:val="none"/>
                <w:lang w:val="en-US" w:eastAsia="zh-CN"/>
              </w:rPr>
              <w:t>服务人员资质（满分</w:t>
            </w:r>
            <w:r>
              <w:rPr>
                <w:rFonts w:hint="eastAsia" w:ascii="宋体" w:hAnsi="宋体" w:cs="宋体"/>
                <w:b/>
                <w:bCs w:val="0"/>
                <w:color w:val="auto"/>
                <w:sz w:val="21"/>
                <w:szCs w:val="21"/>
                <w:highlight w:val="none"/>
                <w:lang w:val="en-US" w:eastAsia="zh-CN"/>
              </w:rPr>
              <w:t>10</w:t>
            </w:r>
            <w:r>
              <w:rPr>
                <w:rFonts w:hint="eastAsia" w:ascii="宋体" w:hAnsi="宋体" w:eastAsia="宋体" w:cs="宋体"/>
                <w:b/>
                <w:bCs w:val="0"/>
                <w:color w:val="auto"/>
                <w:sz w:val="21"/>
                <w:szCs w:val="21"/>
                <w:highlight w:val="none"/>
                <w:lang w:val="en-US" w:eastAsia="zh-CN"/>
              </w:rPr>
              <w:t>分）</w:t>
            </w:r>
          </w:p>
        </w:tc>
        <w:tc>
          <w:tcPr>
            <w:tcW w:w="5524" w:type="dxa"/>
            <w:shd w:val="clear" w:color="auto" w:fill="auto"/>
            <w:noWrap/>
            <w:vAlign w:val="center"/>
          </w:tcPr>
          <w:p w14:paraId="0AD4CE5D">
            <w:pPr>
              <w:keepNext w:val="0"/>
              <w:keepLines w:val="0"/>
              <w:pageBreakBefore w:val="0"/>
              <w:suppressLineNumbers w:val="0"/>
              <w:kinsoku/>
              <w:wordWrap/>
              <w:overflowPunct/>
              <w:topLinePunct w:val="0"/>
              <w:autoSpaceDE/>
              <w:autoSpaceDN/>
              <w:bidi w:val="0"/>
              <w:spacing w:before="60" w:beforeAutospacing="0" w:after="60" w:afterAutospacing="0" w:line="360" w:lineRule="auto"/>
              <w:ind w:left="0" w:right="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项目管理服务人员资质。（满分10 分）</w:t>
            </w:r>
          </w:p>
          <w:p w14:paraId="261AC110">
            <w:pPr>
              <w:keepNext w:val="0"/>
              <w:keepLines w:val="0"/>
              <w:suppressLineNumbers w:val="0"/>
              <w:spacing w:before="0" w:beforeAutospacing="0" w:after="0" w:afterAutospacing="0"/>
              <w:ind w:left="0" w:right="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拟投入本项目服务人员持人力资源管理师资格证书每1人得 2 .5分。此项满分10分。</w:t>
            </w:r>
          </w:p>
          <w:p w14:paraId="2FDD5A8A">
            <w:pPr>
              <w:pStyle w:val="19"/>
              <w:keepNext w:val="0"/>
              <w:keepLines w:val="0"/>
              <w:suppressLineNumbers w:val="0"/>
              <w:spacing w:before="0" w:beforeAutospacing="0" w:after="0" w:afterAutospacing="0"/>
              <w:ind w:left="0" w:right="0"/>
              <w:rPr>
                <w:rFonts w:hint="eastAsia"/>
                <w:color w:val="auto"/>
                <w:highlight w:val="none"/>
                <w:lang w:val="en-US" w:eastAsia="zh-CN"/>
              </w:rPr>
            </w:pPr>
            <w:r>
              <w:rPr>
                <w:rFonts w:hint="eastAsia" w:ascii="宋体" w:hAnsi="宋体" w:eastAsia="宋体" w:cs="宋体"/>
                <w:b/>
                <w:bCs w:val="0"/>
                <w:color w:val="auto"/>
                <w:sz w:val="21"/>
                <w:szCs w:val="21"/>
                <w:highlight w:val="none"/>
                <w:lang w:val="en-US" w:eastAsia="zh-CN"/>
              </w:rPr>
              <w:t>提供人员证书复印件，否则不计分。</w:t>
            </w:r>
          </w:p>
        </w:tc>
      </w:tr>
      <w:tr w14:paraId="3BFD2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0" w:type="dxa"/>
            <w:gridSpan w:val="5"/>
            <w:noWrap/>
            <w:vAlign w:val="center"/>
          </w:tcPr>
          <w:p w14:paraId="67FED6CB">
            <w:pPr>
              <w:keepNext w:val="0"/>
              <w:keepLines w:val="0"/>
              <w:pageBreakBefore w:val="0"/>
              <w:suppressLineNumbers w:val="0"/>
              <w:kinsoku/>
              <w:wordWrap/>
              <w:overflowPunct/>
              <w:topLinePunct w:val="0"/>
              <w:autoSpaceDE/>
              <w:autoSpaceDN/>
              <w:bidi w:val="0"/>
              <w:spacing w:before="60" w:beforeAutospacing="0" w:after="60" w:afterAutospacing="0" w:line="360" w:lineRule="auto"/>
              <w:ind w:left="0" w:right="0"/>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总得分=1+2+3。（价格分+技术分+商务分=100分）</w:t>
            </w:r>
          </w:p>
        </w:tc>
      </w:tr>
    </w:tbl>
    <w:p w14:paraId="0C1DD70C">
      <w:pPr>
        <w:pageBreakBefore w:val="0"/>
        <w:numPr>
          <w:ilvl w:val="0"/>
          <w:numId w:val="0"/>
        </w:numPr>
        <w:kinsoku/>
        <w:topLinePunct w:val="0"/>
        <w:bidi w:val="0"/>
        <w:spacing w:before="60" w:after="60" w:line="360" w:lineRule="auto"/>
        <w:ind w:firstLine="420" w:firstLineChars="200"/>
        <w:rPr>
          <w:rFonts w:ascii="宋体" w:hAnsi="宋体"/>
          <w:bCs/>
          <w:color w:val="auto"/>
          <w:szCs w:val="21"/>
          <w:highlight w:val="none"/>
        </w:rPr>
      </w:pPr>
      <w:r>
        <w:rPr>
          <w:rFonts w:hint="eastAsia" w:ascii="宋体" w:hAnsi="宋体"/>
          <w:bCs/>
          <w:color w:val="auto"/>
          <w:szCs w:val="21"/>
          <w:highlight w:val="none"/>
          <w:lang w:val="en-US" w:eastAsia="zh-CN"/>
        </w:rPr>
        <w:t>7.</w:t>
      </w:r>
      <w:r>
        <w:rPr>
          <w:rFonts w:hint="eastAsia" w:ascii="宋体" w:hAnsi="宋体"/>
          <w:bCs/>
          <w:color w:val="auto"/>
          <w:szCs w:val="21"/>
          <w:highlight w:val="none"/>
        </w:rPr>
        <w:t>由磋商小组根据综合评分情况，按照评审得分由高到低顺序推荐3名以上成交候选供应商，并编写评审报告，</w:t>
      </w:r>
      <w:r>
        <w:rPr>
          <w:rFonts w:hint="eastAsia" w:ascii="宋体" w:hAnsi="宋体" w:cs="宋体"/>
          <w:color w:val="auto"/>
          <w:highlight w:val="none"/>
        </w:rPr>
        <w:t>评审报告</w:t>
      </w:r>
      <w:r>
        <w:rPr>
          <w:rFonts w:hint="eastAsia" w:hAnsi="宋体"/>
          <w:color w:val="auto"/>
          <w:highlight w:val="none"/>
        </w:rPr>
        <w:t>通过电子交易平台向采购人、采购代理机构提交。</w:t>
      </w:r>
      <w:r>
        <w:rPr>
          <w:rFonts w:hint="eastAsia" w:ascii="宋体" w:hAnsi="宋体"/>
          <w:bCs/>
          <w:color w:val="auto"/>
          <w:szCs w:val="21"/>
          <w:highlight w:val="none"/>
        </w:rPr>
        <w:t>符合本章第</w:t>
      </w:r>
      <w:r>
        <w:rPr>
          <w:rFonts w:ascii="宋体" w:hAnsi="宋体"/>
          <w:bCs/>
          <w:color w:val="auto"/>
          <w:szCs w:val="21"/>
          <w:highlight w:val="none"/>
        </w:rPr>
        <w:t>4</w:t>
      </w:r>
      <w:r>
        <w:rPr>
          <w:rFonts w:hint="eastAsia" w:ascii="宋体" w:hAnsi="宋体"/>
          <w:bCs/>
          <w:color w:val="auto"/>
          <w:szCs w:val="21"/>
          <w:highlight w:val="none"/>
          <w:lang w:eastAsia="zh-CN"/>
        </w:rPr>
        <w:t>.</w:t>
      </w:r>
      <w:r>
        <w:rPr>
          <w:rFonts w:ascii="宋体" w:hAnsi="宋体"/>
          <w:bCs/>
          <w:color w:val="auto"/>
          <w:szCs w:val="21"/>
          <w:highlight w:val="none"/>
        </w:rPr>
        <w:t>3</w:t>
      </w:r>
      <w:r>
        <w:rPr>
          <w:rFonts w:hint="eastAsia" w:ascii="宋体" w:hAnsi="宋体"/>
          <w:bCs/>
          <w:color w:val="auto"/>
          <w:szCs w:val="21"/>
          <w:highlight w:val="none"/>
        </w:rPr>
        <w:t>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p>
    <w:p w14:paraId="1FEA6F8F">
      <w:pPr>
        <w:pStyle w:val="28"/>
        <w:pageBreakBefore w:val="0"/>
        <w:kinsoku/>
        <w:topLinePunct w:val="0"/>
        <w:bidi w:val="0"/>
        <w:spacing w:before="60" w:after="60" w:line="360" w:lineRule="auto"/>
        <w:ind w:firstLine="210"/>
        <w:rPr>
          <w:color w:val="auto"/>
          <w:highlight w:val="none"/>
        </w:rPr>
      </w:pPr>
    </w:p>
    <w:p w14:paraId="1237C02D">
      <w:pPr>
        <w:pageBreakBefore w:val="0"/>
        <w:kinsoku/>
        <w:topLinePunct w:val="0"/>
        <w:bidi w:val="0"/>
        <w:spacing w:before="60" w:after="60" w:line="360" w:lineRule="auto"/>
        <w:rPr>
          <w:color w:val="auto"/>
          <w:highlight w:val="none"/>
        </w:rPr>
      </w:pPr>
    </w:p>
    <w:p w14:paraId="5AE5909A">
      <w:pPr>
        <w:pStyle w:val="2"/>
        <w:rPr>
          <w:color w:val="auto"/>
          <w:highlight w:val="none"/>
        </w:rPr>
      </w:pPr>
    </w:p>
    <w:p w14:paraId="153ED71D">
      <w:pPr>
        <w:rPr>
          <w:color w:val="auto"/>
          <w:highlight w:val="none"/>
        </w:rPr>
      </w:pPr>
    </w:p>
    <w:p w14:paraId="1AD41C78">
      <w:pPr>
        <w:rPr>
          <w:rFonts w:hint="eastAsia"/>
          <w:color w:val="auto"/>
          <w:highlight w:val="none"/>
        </w:rPr>
      </w:pPr>
    </w:p>
    <w:p w14:paraId="624E65CE">
      <w:pPr>
        <w:pStyle w:val="3"/>
        <w:pageBreakBefore w:val="0"/>
        <w:kinsoku/>
        <w:topLinePunct w:val="0"/>
        <w:bidi w:val="0"/>
        <w:spacing w:before="60" w:after="60" w:line="360" w:lineRule="auto"/>
        <w:jc w:val="center"/>
        <w:rPr>
          <w:rFonts w:hint="eastAsia"/>
          <w:color w:val="auto"/>
          <w:highlight w:val="none"/>
        </w:rPr>
      </w:pPr>
      <w:bookmarkStart w:id="81" w:name="_Toc4136"/>
      <w:r>
        <w:rPr>
          <w:rFonts w:hint="eastAsia"/>
          <w:color w:val="auto"/>
          <w:highlight w:val="none"/>
        </w:rPr>
        <w:t>第五章 响应文件格式</w:t>
      </w:r>
      <w:bookmarkEnd w:id="81"/>
    </w:p>
    <w:p w14:paraId="6ECB6DE3">
      <w:pPr>
        <w:rPr>
          <w:color w:val="auto"/>
          <w:highlight w:val="none"/>
        </w:rPr>
      </w:pPr>
    </w:p>
    <w:p w14:paraId="02E44635">
      <w:pPr>
        <w:pStyle w:val="19"/>
        <w:rPr>
          <w:color w:val="auto"/>
          <w:highlight w:val="none"/>
        </w:rPr>
      </w:pPr>
    </w:p>
    <w:p w14:paraId="043477CE">
      <w:pPr>
        <w:pageBreakBefore w:val="0"/>
        <w:kinsoku/>
        <w:topLinePunct w:val="0"/>
        <w:bidi w:val="0"/>
        <w:snapToGrid w:val="0"/>
        <w:spacing w:before="60" w:after="60" w:line="360" w:lineRule="auto"/>
        <w:rPr>
          <w:b/>
          <w:color w:val="auto"/>
          <w:sz w:val="32"/>
          <w:szCs w:val="32"/>
          <w:highlight w:val="none"/>
        </w:rPr>
      </w:pPr>
      <w:bookmarkStart w:id="82" w:name="_Toc31723070"/>
      <w:bookmarkStart w:id="83" w:name="_Toc35611438"/>
      <w:bookmarkStart w:id="84" w:name="_Toc31728084"/>
      <w:bookmarkStart w:id="85" w:name="_Toc35611516"/>
      <w:bookmarkStart w:id="86" w:name="_Toc71366186"/>
      <w:bookmarkStart w:id="87" w:name="_Toc44229899"/>
      <w:r>
        <w:rPr>
          <w:rFonts w:hint="eastAsia"/>
          <w:b/>
          <w:color w:val="auto"/>
          <w:sz w:val="32"/>
          <w:szCs w:val="32"/>
          <w:highlight w:val="none"/>
        </w:rPr>
        <w:t>一、资格证明文件格式</w:t>
      </w:r>
      <w:bookmarkEnd w:id="82"/>
      <w:bookmarkEnd w:id="83"/>
      <w:bookmarkEnd w:id="84"/>
      <w:bookmarkEnd w:id="85"/>
      <w:bookmarkEnd w:id="86"/>
      <w:bookmarkEnd w:id="87"/>
    </w:p>
    <w:p w14:paraId="2F6D8FF1">
      <w:pPr>
        <w:pageBreakBefore w:val="0"/>
        <w:kinsoku/>
        <w:topLinePunct w:val="0"/>
        <w:bidi w:val="0"/>
        <w:snapToGrid w:val="0"/>
        <w:spacing w:before="60" w:after="60" w:line="360" w:lineRule="auto"/>
        <w:jc w:val="left"/>
        <w:rPr>
          <w:rFonts w:ascii="宋体" w:hAnsi="宋体"/>
          <w:b/>
          <w:color w:val="auto"/>
          <w:sz w:val="24"/>
          <w:highlight w:val="none"/>
        </w:rPr>
      </w:pPr>
      <w:r>
        <w:rPr>
          <w:rFonts w:hint="eastAsia" w:ascii="宋体" w:hAnsi="宋体"/>
          <w:b/>
          <w:color w:val="auto"/>
          <w:sz w:val="32"/>
          <w:szCs w:val="32"/>
          <w:highlight w:val="none"/>
        </w:rPr>
        <w:t>1</w:t>
      </w:r>
      <w:r>
        <w:rPr>
          <w:rFonts w:hint="eastAsia" w:ascii="宋体" w:hAnsi="宋体"/>
          <w:b/>
          <w:color w:val="auto"/>
          <w:sz w:val="32"/>
          <w:szCs w:val="32"/>
          <w:highlight w:val="none"/>
          <w:lang w:eastAsia="zh-CN"/>
        </w:rPr>
        <w:t>.</w:t>
      </w:r>
      <w:r>
        <w:rPr>
          <w:rFonts w:hint="eastAsia" w:ascii="宋体" w:hAnsi="宋体"/>
          <w:b/>
          <w:color w:val="auto"/>
          <w:sz w:val="32"/>
          <w:szCs w:val="32"/>
          <w:highlight w:val="none"/>
        </w:rPr>
        <w:t>资格证明文件封面格式：</w:t>
      </w:r>
    </w:p>
    <w:p w14:paraId="64B299A8">
      <w:pPr>
        <w:pageBreakBefore w:val="0"/>
        <w:kinsoku/>
        <w:topLinePunct w:val="0"/>
        <w:bidi w:val="0"/>
        <w:snapToGrid w:val="0"/>
        <w:spacing w:before="60" w:after="60" w:line="360" w:lineRule="auto"/>
        <w:jc w:val="center"/>
        <w:rPr>
          <w:rFonts w:ascii="宋体" w:hAnsi="宋体"/>
          <w:color w:val="auto"/>
          <w:sz w:val="44"/>
          <w:szCs w:val="44"/>
          <w:highlight w:val="none"/>
        </w:rPr>
      </w:pPr>
    </w:p>
    <w:p w14:paraId="0ED0B938">
      <w:pPr>
        <w:pageBreakBefore w:val="0"/>
        <w:kinsoku/>
        <w:topLinePunct w:val="0"/>
        <w:bidi w:val="0"/>
        <w:snapToGrid w:val="0"/>
        <w:spacing w:before="60" w:after="60" w:line="360" w:lineRule="auto"/>
        <w:jc w:val="center"/>
        <w:rPr>
          <w:rFonts w:ascii="宋体" w:hAnsi="宋体"/>
          <w:color w:val="auto"/>
          <w:sz w:val="44"/>
          <w:szCs w:val="44"/>
          <w:highlight w:val="none"/>
        </w:rPr>
      </w:pPr>
      <w:r>
        <w:rPr>
          <w:rFonts w:hint="eastAsia" w:ascii="宋体" w:hAnsi="宋体"/>
          <w:color w:val="auto"/>
          <w:sz w:val="44"/>
          <w:szCs w:val="44"/>
          <w:highlight w:val="none"/>
        </w:rPr>
        <w:t>电 子 响 应 文 件</w:t>
      </w:r>
    </w:p>
    <w:p w14:paraId="4383FB85">
      <w:pPr>
        <w:pageBreakBefore w:val="0"/>
        <w:kinsoku/>
        <w:topLinePunct w:val="0"/>
        <w:bidi w:val="0"/>
        <w:snapToGrid w:val="0"/>
        <w:spacing w:before="60" w:after="60" w:line="360" w:lineRule="auto"/>
        <w:rPr>
          <w:rFonts w:ascii="宋体" w:hAnsi="宋体"/>
          <w:color w:val="auto"/>
          <w:sz w:val="24"/>
          <w:szCs w:val="20"/>
          <w:highlight w:val="none"/>
        </w:rPr>
      </w:pPr>
    </w:p>
    <w:p w14:paraId="1DF09EB9">
      <w:pPr>
        <w:pageBreakBefore w:val="0"/>
        <w:kinsoku/>
        <w:topLinePunct w:val="0"/>
        <w:bidi w:val="0"/>
        <w:snapToGrid w:val="0"/>
        <w:spacing w:before="60" w:after="60" w:line="360" w:lineRule="auto"/>
        <w:jc w:val="center"/>
        <w:rPr>
          <w:rFonts w:cs="方正小标宋简体" w:asciiTheme="majorEastAsia" w:hAnsiTheme="majorEastAsia" w:eastAsiaTheme="majorEastAsia"/>
          <w:bCs/>
          <w:color w:val="auto"/>
          <w:sz w:val="44"/>
          <w:szCs w:val="44"/>
          <w:highlight w:val="none"/>
        </w:rPr>
      </w:pPr>
      <w:r>
        <w:rPr>
          <w:rFonts w:hint="eastAsia" w:cs="方正小标宋简体" w:asciiTheme="majorEastAsia" w:hAnsiTheme="majorEastAsia" w:eastAsiaTheme="majorEastAsia"/>
          <w:bCs/>
          <w:color w:val="auto"/>
          <w:sz w:val="44"/>
          <w:szCs w:val="44"/>
          <w:highlight w:val="none"/>
        </w:rPr>
        <w:t>资  格  证  明  文  件</w:t>
      </w:r>
    </w:p>
    <w:p w14:paraId="64D496AA">
      <w:pPr>
        <w:pageBreakBefore w:val="0"/>
        <w:kinsoku/>
        <w:topLinePunct w:val="0"/>
        <w:bidi w:val="0"/>
        <w:snapToGrid w:val="0"/>
        <w:spacing w:before="60" w:after="60" w:line="360" w:lineRule="auto"/>
        <w:rPr>
          <w:rFonts w:ascii="宋体" w:hAnsi="宋体"/>
          <w:bCs/>
          <w:color w:val="auto"/>
          <w:sz w:val="24"/>
          <w:szCs w:val="20"/>
          <w:highlight w:val="none"/>
        </w:rPr>
      </w:pPr>
    </w:p>
    <w:p w14:paraId="40E87907">
      <w:pPr>
        <w:pageBreakBefore w:val="0"/>
        <w:kinsoku/>
        <w:topLinePunct w:val="0"/>
        <w:bidi w:val="0"/>
        <w:snapToGrid w:val="0"/>
        <w:spacing w:before="60" w:after="60" w:line="360" w:lineRule="auto"/>
        <w:rPr>
          <w:rFonts w:ascii="宋体" w:hAnsi="宋体"/>
          <w:bCs/>
          <w:color w:val="auto"/>
          <w:sz w:val="24"/>
          <w:szCs w:val="20"/>
          <w:highlight w:val="none"/>
        </w:rPr>
      </w:pPr>
    </w:p>
    <w:p w14:paraId="313CBD91">
      <w:pPr>
        <w:pageBreakBefore w:val="0"/>
        <w:kinsoku/>
        <w:topLinePunct w:val="0"/>
        <w:bidi w:val="0"/>
        <w:snapToGrid w:val="0"/>
        <w:spacing w:before="60" w:after="60" w:line="360" w:lineRule="auto"/>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634AC926">
      <w:pPr>
        <w:pageBreakBefore w:val="0"/>
        <w:kinsoku/>
        <w:topLinePunct w:val="0"/>
        <w:bidi w:val="0"/>
        <w:snapToGrid w:val="0"/>
        <w:spacing w:before="60" w:after="60" w:line="360" w:lineRule="auto"/>
        <w:ind w:firstLine="720" w:firstLineChars="225"/>
        <w:rPr>
          <w:rFonts w:ascii="宋体" w:hAnsi="宋体" w:cs="仿宋_GB2312"/>
          <w:bCs/>
          <w:color w:val="auto"/>
          <w:sz w:val="32"/>
          <w:szCs w:val="32"/>
          <w:highlight w:val="none"/>
        </w:rPr>
      </w:pPr>
    </w:p>
    <w:p w14:paraId="1560C1DE">
      <w:pPr>
        <w:pageBreakBefore w:val="0"/>
        <w:kinsoku/>
        <w:topLinePunct w:val="0"/>
        <w:bidi w:val="0"/>
        <w:snapToGrid w:val="0"/>
        <w:spacing w:before="60" w:after="60" w:line="360" w:lineRule="auto"/>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462CF4F9">
      <w:pPr>
        <w:pageBreakBefore w:val="0"/>
        <w:kinsoku/>
        <w:topLinePunct w:val="0"/>
        <w:bidi w:val="0"/>
        <w:snapToGrid w:val="0"/>
        <w:spacing w:before="60" w:after="60" w:line="360" w:lineRule="auto"/>
        <w:ind w:firstLine="720" w:firstLineChars="225"/>
        <w:rPr>
          <w:rFonts w:ascii="宋体" w:hAnsi="宋体" w:cs="仿宋_GB2312"/>
          <w:bCs/>
          <w:color w:val="auto"/>
          <w:sz w:val="32"/>
          <w:szCs w:val="32"/>
          <w:highlight w:val="none"/>
        </w:rPr>
      </w:pPr>
    </w:p>
    <w:p w14:paraId="0413DA0C">
      <w:pPr>
        <w:pageBreakBefore w:val="0"/>
        <w:kinsoku/>
        <w:topLinePunct w:val="0"/>
        <w:bidi w:val="0"/>
        <w:snapToGrid w:val="0"/>
        <w:spacing w:before="60" w:after="60" w:line="360" w:lineRule="auto"/>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46E11651">
      <w:pPr>
        <w:pStyle w:val="6"/>
        <w:pageBreakBefore w:val="0"/>
        <w:kinsoku/>
        <w:topLinePunct w:val="0"/>
        <w:bidi w:val="0"/>
        <w:snapToGrid w:val="0"/>
        <w:spacing w:before="60" w:after="60" w:line="360" w:lineRule="auto"/>
        <w:ind w:firstLine="720" w:firstLineChars="225"/>
        <w:rPr>
          <w:rFonts w:hint="eastAsia" w:ascii="宋体" w:hAnsi="宋体" w:cs="仿宋_GB2312"/>
          <w:bCs/>
          <w:color w:val="auto"/>
          <w:sz w:val="32"/>
          <w:szCs w:val="32"/>
          <w:highlight w:val="none"/>
        </w:rPr>
      </w:pPr>
    </w:p>
    <w:p w14:paraId="7985810B">
      <w:pPr>
        <w:pStyle w:val="6"/>
        <w:pageBreakBefore w:val="0"/>
        <w:kinsoku/>
        <w:topLinePunct w:val="0"/>
        <w:bidi w:val="0"/>
        <w:snapToGrid w:val="0"/>
        <w:spacing w:before="60" w:after="60" w:line="360" w:lineRule="auto"/>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FAD19CE">
      <w:pPr>
        <w:pageBreakBefore w:val="0"/>
        <w:kinsoku/>
        <w:topLinePunct w:val="0"/>
        <w:bidi w:val="0"/>
        <w:snapToGrid w:val="0"/>
        <w:spacing w:before="60" w:after="60" w:line="360" w:lineRule="auto"/>
        <w:ind w:firstLine="640" w:firstLineChars="200"/>
        <w:rPr>
          <w:rFonts w:ascii="宋体" w:hAnsi="宋体" w:cs="仿宋_GB2312"/>
          <w:bCs/>
          <w:color w:val="auto"/>
          <w:sz w:val="32"/>
          <w:szCs w:val="32"/>
          <w:highlight w:val="none"/>
        </w:rPr>
      </w:pPr>
    </w:p>
    <w:p w14:paraId="08E0CA73">
      <w:pPr>
        <w:pageBreakBefore w:val="0"/>
        <w:kinsoku/>
        <w:topLinePunct w:val="0"/>
        <w:bidi w:val="0"/>
        <w:snapToGrid w:val="0"/>
        <w:spacing w:before="60" w:after="60" w:line="360" w:lineRule="auto"/>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0234F43D">
      <w:pPr>
        <w:pageBreakBefore w:val="0"/>
        <w:kinsoku/>
        <w:topLinePunct w:val="0"/>
        <w:bidi w:val="0"/>
        <w:snapToGrid w:val="0"/>
        <w:spacing w:before="60" w:after="60" w:line="360" w:lineRule="auto"/>
        <w:ind w:left="142"/>
        <w:jc w:val="left"/>
        <w:rPr>
          <w:rFonts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w:t>
      </w:r>
      <w:r>
        <w:rPr>
          <w:rFonts w:hint="eastAsia" w:ascii="宋体" w:hAnsi="宋体"/>
          <w:b/>
          <w:bCs/>
          <w:color w:val="auto"/>
          <w:sz w:val="32"/>
          <w:szCs w:val="32"/>
          <w:highlight w:val="none"/>
          <w:lang w:eastAsia="zh-CN"/>
        </w:rPr>
        <w:t>.</w:t>
      </w:r>
      <w:r>
        <w:rPr>
          <w:rFonts w:hint="eastAsia" w:ascii="宋体" w:hAnsi="宋体"/>
          <w:b/>
          <w:bCs/>
          <w:color w:val="auto"/>
          <w:sz w:val="32"/>
          <w:szCs w:val="32"/>
          <w:highlight w:val="none"/>
        </w:rPr>
        <w:t>资格证明文件目录</w:t>
      </w:r>
    </w:p>
    <w:p w14:paraId="166DCAB3">
      <w:pPr>
        <w:pageBreakBefore w:val="0"/>
        <w:kinsoku/>
        <w:topLinePunct w:val="0"/>
        <w:bidi w:val="0"/>
        <w:snapToGrid w:val="0"/>
        <w:spacing w:before="60" w:after="6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4BA3903E">
      <w:pPr>
        <w:pageBreakBefore w:val="0"/>
        <w:kinsoku/>
        <w:topLinePunct w:val="0"/>
        <w:bidi w:val="0"/>
        <w:snapToGrid w:val="0"/>
        <w:spacing w:before="60" w:after="60" w:line="360" w:lineRule="auto"/>
        <w:rPr>
          <w:rFonts w:ascii="宋体" w:hAnsi="宋体"/>
          <w:color w:val="auto"/>
          <w:sz w:val="24"/>
          <w:szCs w:val="20"/>
          <w:highlight w:val="none"/>
        </w:rPr>
      </w:pPr>
    </w:p>
    <w:p w14:paraId="1DA1A90B">
      <w:pPr>
        <w:pageBreakBefore w:val="0"/>
        <w:kinsoku/>
        <w:topLinePunct w:val="0"/>
        <w:bidi w:val="0"/>
        <w:spacing w:before="60" w:after="60" w:line="360" w:lineRule="auto"/>
        <w:rPr>
          <w:rFonts w:ascii="宋体" w:hAnsi="宋体"/>
          <w:color w:val="auto"/>
          <w:szCs w:val="21"/>
          <w:highlight w:val="none"/>
        </w:rPr>
      </w:pPr>
    </w:p>
    <w:p w14:paraId="019B23BD">
      <w:pPr>
        <w:pageBreakBefore w:val="0"/>
        <w:kinsoku/>
        <w:topLinePunct w:val="0"/>
        <w:bidi w:val="0"/>
        <w:spacing w:before="60" w:after="60" w:line="360" w:lineRule="auto"/>
        <w:rPr>
          <w:rFonts w:ascii="宋体" w:hAnsi="宋体"/>
          <w:color w:val="auto"/>
          <w:szCs w:val="21"/>
          <w:highlight w:val="none"/>
        </w:rPr>
      </w:pPr>
    </w:p>
    <w:p w14:paraId="77989BE2">
      <w:pPr>
        <w:pageBreakBefore w:val="0"/>
        <w:kinsoku/>
        <w:topLinePunct w:val="0"/>
        <w:bidi w:val="0"/>
        <w:spacing w:before="60" w:after="60" w:line="360" w:lineRule="auto"/>
        <w:rPr>
          <w:rFonts w:ascii="宋体" w:hAnsi="宋体"/>
          <w:color w:val="auto"/>
          <w:szCs w:val="21"/>
          <w:highlight w:val="none"/>
        </w:rPr>
      </w:pPr>
    </w:p>
    <w:p w14:paraId="31D63F44">
      <w:pPr>
        <w:pageBreakBefore w:val="0"/>
        <w:kinsoku/>
        <w:topLinePunct w:val="0"/>
        <w:bidi w:val="0"/>
        <w:spacing w:before="60" w:after="60" w:line="360" w:lineRule="auto"/>
        <w:rPr>
          <w:rFonts w:ascii="宋体" w:hAnsi="宋体"/>
          <w:color w:val="auto"/>
          <w:szCs w:val="21"/>
          <w:highlight w:val="none"/>
        </w:rPr>
      </w:pPr>
    </w:p>
    <w:p w14:paraId="3305450F">
      <w:pPr>
        <w:pageBreakBefore w:val="0"/>
        <w:kinsoku/>
        <w:topLinePunct w:val="0"/>
        <w:bidi w:val="0"/>
        <w:spacing w:before="60" w:after="60" w:line="360" w:lineRule="auto"/>
        <w:rPr>
          <w:rFonts w:ascii="宋体" w:hAnsi="宋体"/>
          <w:color w:val="auto"/>
          <w:szCs w:val="21"/>
          <w:highlight w:val="none"/>
        </w:rPr>
      </w:pPr>
    </w:p>
    <w:p w14:paraId="330090EB">
      <w:pPr>
        <w:pageBreakBefore w:val="0"/>
        <w:kinsoku/>
        <w:topLinePunct w:val="0"/>
        <w:bidi w:val="0"/>
        <w:spacing w:before="60" w:after="60" w:line="360" w:lineRule="auto"/>
        <w:rPr>
          <w:rFonts w:ascii="宋体" w:hAnsi="宋体"/>
          <w:color w:val="auto"/>
          <w:szCs w:val="21"/>
          <w:highlight w:val="none"/>
        </w:rPr>
      </w:pPr>
    </w:p>
    <w:p w14:paraId="069FAEE8">
      <w:pPr>
        <w:pageBreakBefore w:val="0"/>
        <w:kinsoku/>
        <w:topLinePunct w:val="0"/>
        <w:bidi w:val="0"/>
        <w:spacing w:before="60" w:after="60" w:line="360" w:lineRule="auto"/>
        <w:rPr>
          <w:rFonts w:ascii="宋体" w:hAnsi="宋体"/>
          <w:color w:val="auto"/>
          <w:szCs w:val="21"/>
          <w:highlight w:val="none"/>
        </w:rPr>
      </w:pPr>
    </w:p>
    <w:p w14:paraId="465D2D91">
      <w:pPr>
        <w:pageBreakBefore w:val="0"/>
        <w:kinsoku/>
        <w:topLinePunct w:val="0"/>
        <w:bidi w:val="0"/>
        <w:spacing w:before="60" w:after="60" w:line="360" w:lineRule="auto"/>
        <w:rPr>
          <w:rFonts w:ascii="宋体" w:hAnsi="宋体"/>
          <w:color w:val="auto"/>
          <w:szCs w:val="21"/>
          <w:highlight w:val="none"/>
        </w:rPr>
      </w:pPr>
    </w:p>
    <w:p w14:paraId="58344440">
      <w:pPr>
        <w:pageBreakBefore w:val="0"/>
        <w:kinsoku/>
        <w:topLinePunct w:val="0"/>
        <w:bidi w:val="0"/>
        <w:spacing w:before="60" w:after="60" w:line="360" w:lineRule="auto"/>
        <w:rPr>
          <w:rFonts w:ascii="宋体" w:hAnsi="宋体"/>
          <w:color w:val="auto"/>
          <w:szCs w:val="21"/>
          <w:highlight w:val="none"/>
        </w:rPr>
      </w:pPr>
    </w:p>
    <w:p w14:paraId="4F2C4B60">
      <w:pPr>
        <w:pageBreakBefore w:val="0"/>
        <w:kinsoku/>
        <w:topLinePunct w:val="0"/>
        <w:bidi w:val="0"/>
        <w:spacing w:before="60" w:after="60" w:line="360" w:lineRule="auto"/>
        <w:rPr>
          <w:rFonts w:ascii="宋体" w:hAnsi="宋体"/>
          <w:color w:val="auto"/>
          <w:szCs w:val="21"/>
          <w:highlight w:val="none"/>
        </w:rPr>
      </w:pPr>
    </w:p>
    <w:p w14:paraId="73E1243F">
      <w:pPr>
        <w:pageBreakBefore w:val="0"/>
        <w:kinsoku/>
        <w:topLinePunct w:val="0"/>
        <w:bidi w:val="0"/>
        <w:spacing w:before="60" w:after="60" w:line="360" w:lineRule="auto"/>
        <w:rPr>
          <w:rFonts w:ascii="宋体" w:hAnsi="宋体"/>
          <w:color w:val="auto"/>
          <w:szCs w:val="21"/>
          <w:highlight w:val="none"/>
        </w:rPr>
      </w:pPr>
    </w:p>
    <w:p w14:paraId="7AD565A8">
      <w:pPr>
        <w:pageBreakBefore w:val="0"/>
        <w:kinsoku/>
        <w:topLinePunct w:val="0"/>
        <w:bidi w:val="0"/>
        <w:spacing w:before="60" w:after="60" w:line="360" w:lineRule="auto"/>
        <w:rPr>
          <w:rFonts w:ascii="宋体" w:hAnsi="宋体"/>
          <w:color w:val="auto"/>
          <w:szCs w:val="21"/>
          <w:highlight w:val="none"/>
        </w:rPr>
      </w:pPr>
    </w:p>
    <w:p w14:paraId="06B162E2">
      <w:pPr>
        <w:pageBreakBefore w:val="0"/>
        <w:kinsoku/>
        <w:topLinePunct w:val="0"/>
        <w:bidi w:val="0"/>
        <w:spacing w:before="60" w:after="60" w:line="360" w:lineRule="auto"/>
        <w:rPr>
          <w:rFonts w:ascii="宋体" w:hAnsi="宋体"/>
          <w:color w:val="auto"/>
          <w:szCs w:val="21"/>
          <w:highlight w:val="none"/>
        </w:rPr>
      </w:pPr>
    </w:p>
    <w:p w14:paraId="5D0997DC">
      <w:pPr>
        <w:pageBreakBefore w:val="0"/>
        <w:kinsoku/>
        <w:topLinePunct w:val="0"/>
        <w:bidi w:val="0"/>
        <w:spacing w:before="60" w:after="60" w:line="360" w:lineRule="auto"/>
        <w:rPr>
          <w:rFonts w:ascii="宋体" w:hAnsi="宋体"/>
          <w:color w:val="auto"/>
          <w:szCs w:val="21"/>
          <w:highlight w:val="none"/>
        </w:rPr>
      </w:pPr>
    </w:p>
    <w:p w14:paraId="6C3862FA">
      <w:pPr>
        <w:pageBreakBefore w:val="0"/>
        <w:kinsoku/>
        <w:topLinePunct w:val="0"/>
        <w:bidi w:val="0"/>
        <w:spacing w:before="60" w:after="60" w:line="360" w:lineRule="auto"/>
        <w:rPr>
          <w:rFonts w:ascii="宋体" w:hAnsi="宋体"/>
          <w:color w:val="auto"/>
          <w:szCs w:val="21"/>
          <w:highlight w:val="none"/>
        </w:rPr>
      </w:pPr>
    </w:p>
    <w:p w14:paraId="7D1FF47E">
      <w:pPr>
        <w:pageBreakBefore w:val="0"/>
        <w:kinsoku/>
        <w:topLinePunct w:val="0"/>
        <w:bidi w:val="0"/>
        <w:spacing w:before="60" w:after="60" w:line="360" w:lineRule="auto"/>
        <w:jc w:val="left"/>
        <w:rPr>
          <w:rFonts w:ascii="宋体" w:hAnsi="宋体"/>
          <w:color w:val="auto"/>
          <w:szCs w:val="21"/>
          <w:highlight w:val="none"/>
        </w:rPr>
      </w:pPr>
      <w:r>
        <w:rPr>
          <w:rFonts w:ascii="宋体" w:hAnsi="宋体"/>
          <w:color w:val="auto"/>
          <w:szCs w:val="21"/>
          <w:highlight w:val="none"/>
        </w:rPr>
        <w:br w:type="page"/>
      </w:r>
    </w:p>
    <w:p w14:paraId="6766396A">
      <w:pPr>
        <w:pageBreakBefore w:val="0"/>
        <w:kinsoku/>
        <w:wordWrap w:val="0"/>
        <w:topLinePunct w:val="0"/>
        <w:bidi w:val="0"/>
        <w:spacing w:before="60" w:after="60" w:line="360" w:lineRule="auto"/>
        <w:ind w:right="482" w:firstLine="210" w:firstLineChars="100"/>
        <w:contextualSpacing/>
        <w:jc w:val="center"/>
        <w:rPr>
          <w:rFonts w:ascii="宋体" w:hAnsi="宋体"/>
          <w:color w:val="auto"/>
          <w:szCs w:val="21"/>
          <w:highlight w:val="none"/>
        </w:rPr>
      </w:pPr>
    </w:p>
    <w:p w14:paraId="4ECFC17A">
      <w:pPr>
        <w:pageBreakBefore w:val="0"/>
        <w:kinsoku/>
        <w:topLinePunct w:val="0"/>
        <w:bidi w:val="0"/>
        <w:spacing w:before="60" w:after="60" w:line="360" w:lineRule="auto"/>
        <w:jc w:val="center"/>
        <w:rPr>
          <w:rFonts w:ascii="宋体" w:hAnsi="宋体"/>
          <w:b/>
          <w:color w:val="auto"/>
          <w:sz w:val="32"/>
          <w:szCs w:val="32"/>
          <w:highlight w:val="none"/>
        </w:rPr>
      </w:pPr>
      <w:r>
        <w:rPr>
          <w:rFonts w:hint="eastAsia" w:ascii="宋体" w:hAnsi="宋体"/>
          <w:b/>
          <w:color w:val="auto"/>
          <w:sz w:val="32"/>
          <w:szCs w:val="32"/>
          <w:highlight w:val="none"/>
        </w:rPr>
        <w:t>供应商直接控股、管理关系信息表</w:t>
      </w:r>
    </w:p>
    <w:p w14:paraId="7B88CAE6">
      <w:pPr>
        <w:pageBreakBefore w:val="0"/>
        <w:kinsoku/>
        <w:topLinePunct w:val="0"/>
        <w:bidi w:val="0"/>
        <w:snapToGrid w:val="0"/>
        <w:spacing w:before="60" w:after="60" w:line="360" w:lineRule="auto"/>
        <w:jc w:val="center"/>
        <w:rPr>
          <w:rFonts w:ascii="宋体" w:hAnsi="宋体"/>
          <w:b/>
          <w:color w:val="auto"/>
          <w:sz w:val="24"/>
          <w:highlight w:val="none"/>
        </w:rPr>
      </w:pPr>
    </w:p>
    <w:p w14:paraId="2A9D65BB">
      <w:pPr>
        <w:pageBreakBefore w:val="0"/>
        <w:kinsoku/>
        <w:topLinePunct w:val="0"/>
        <w:bidi w:val="0"/>
        <w:spacing w:before="60" w:after="60" w:line="360" w:lineRule="auto"/>
        <w:contextualSpacing/>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63AC6749">
      <w:pPr>
        <w:pageBreakBefore w:val="0"/>
        <w:kinsoku/>
        <w:topLinePunct w:val="0"/>
        <w:bidi w:val="0"/>
        <w:spacing w:before="60" w:after="60" w:line="360" w:lineRule="auto"/>
        <w:contextualSpacing/>
        <w:jc w:val="center"/>
        <w:rPr>
          <w:rFonts w:ascii="宋体" w:hAnsi="宋体"/>
          <w:b/>
          <w:color w:val="auto"/>
          <w:sz w:val="24"/>
          <w:highlight w:val="none"/>
        </w:rPr>
      </w:pPr>
    </w:p>
    <w:tbl>
      <w:tblPr>
        <w:tblStyle w:val="30"/>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1E7D51A5">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AAC3F5">
            <w:pPr>
              <w:keepNext w:val="0"/>
              <w:keepLines w:val="0"/>
              <w:pageBreakBefore w:val="0"/>
              <w:widowControl/>
              <w:suppressLineNumbers w:val="0"/>
              <w:kinsoku/>
              <w:topLinePunct w:val="0"/>
              <w:bidi w:val="0"/>
              <w:spacing w:before="60" w:beforeAutospacing="0" w:after="60" w:afterAutospacing="0" w:line="360" w:lineRule="auto"/>
              <w:ind w:left="0" w:right="0"/>
              <w:contextualSpacing/>
              <w:jc w:val="center"/>
              <w:rPr>
                <w:rFonts w:hint="default"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77720CC">
            <w:pPr>
              <w:keepNext w:val="0"/>
              <w:keepLines w:val="0"/>
              <w:pageBreakBefore w:val="0"/>
              <w:widowControl/>
              <w:suppressLineNumbers w:val="0"/>
              <w:kinsoku/>
              <w:topLinePunct w:val="0"/>
              <w:bidi w:val="0"/>
              <w:spacing w:before="60" w:beforeAutospacing="0" w:after="60" w:afterAutospacing="0" w:line="360" w:lineRule="auto"/>
              <w:ind w:left="0" w:right="0"/>
              <w:contextualSpacing/>
              <w:jc w:val="center"/>
              <w:rPr>
                <w:rFonts w:hint="default"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B4E881">
            <w:pPr>
              <w:keepNext w:val="0"/>
              <w:keepLines w:val="0"/>
              <w:pageBreakBefore w:val="0"/>
              <w:widowControl/>
              <w:suppressLineNumbers w:val="0"/>
              <w:kinsoku/>
              <w:topLinePunct w:val="0"/>
              <w:bidi w:val="0"/>
              <w:spacing w:before="60" w:beforeAutospacing="0" w:after="60" w:afterAutospacing="0" w:line="360" w:lineRule="auto"/>
              <w:ind w:left="0" w:right="0"/>
              <w:contextualSpacing/>
              <w:jc w:val="center"/>
              <w:rPr>
                <w:rFonts w:hint="default"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DAF6FE4">
            <w:pPr>
              <w:keepNext w:val="0"/>
              <w:keepLines w:val="0"/>
              <w:pageBreakBefore w:val="0"/>
              <w:widowControl/>
              <w:suppressLineNumbers w:val="0"/>
              <w:kinsoku/>
              <w:topLinePunct w:val="0"/>
              <w:bidi w:val="0"/>
              <w:spacing w:before="60" w:beforeAutospacing="0" w:after="60" w:afterAutospacing="0" w:line="360" w:lineRule="auto"/>
              <w:ind w:left="0" w:right="0"/>
              <w:contextualSpacing/>
              <w:jc w:val="center"/>
              <w:rPr>
                <w:rFonts w:hint="default"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BA8441F">
            <w:pPr>
              <w:keepNext w:val="0"/>
              <w:keepLines w:val="0"/>
              <w:pageBreakBefore w:val="0"/>
              <w:widowControl/>
              <w:suppressLineNumbers w:val="0"/>
              <w:kinsoku/>
              <w:topLinePunct w:val="0"/>
              <w:bidi w:val="0"/>
              <w:spacing w:before="60" w:beforeAutospacing="0" w:after="60" w:afterAutospacing="0" w:line="360" w:lineRule="auto"/>
              <w:ind w:left="0" w:right="0"/>
              <w:contextualSpacing/>
              <w:jc w:val="center"/>
              <w:rPr>
                <w:rFonts w:hint="default"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004D35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893A775">
            <w:pPr>
              <w:keepNext w:val="0"/>
              <w:keepLines w:val="0"/>
              <w:pageBreakBefore w:val="0"/>
              <w:widowControl/>
              <w:suppressLineNumbers w:val="0"/>
              <w:kinsoku/>
              <w:topLinePunct w:val="0"/>
              <w:bidi w:val="0"/>
              <w:spacing w:before="60" w:beforeAutospacing="0" w:after="60" w:afterAutospacing="0" w:line="360" w:lineRule="auto"/>
              <w:ind w:left="0" w:right="0"/>
              <w:contextualSpacing/>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269334">
            <w:pPr>
              <w:keepNext w:val="0"/>
              <w:keepLines w:val="0"/>
              <w:pageBreakBefore w:val="0"/>
              <w:widowControl/>
              <w:suppressLineNumbers w:val="0"/>
              <w:kinsoku/>
              <w:topLinePunct w:val="0"/>
              <w:bidi w:val="0"/>
              <w:spacing w:before="60" w:beforeAutospacing="0" w:after="60" w:afterAutospacing="0" w:line="360" w:lineRule="auto"/>
              <w:ind w:left="0" w:right="0"/>
              <w:contextualSpacing/>
              <w:jc w:val="center"/>
              <w:rPr>
                <w:rFonts w:hint="default"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DFC8555">
            <w:pPr>
              <w:keepNext w:val="0"/>
              <w:keepLines w:val="0"/>
              <w:pageBreakBefore w:val="0"/>
              <w:widowControl/>
              <w:suppressLineNumbers w:val="0"/>
              <w:kinsoku/>
              <w:topLinePunct w:val="0"/>
              <w:bidi w:val="0"/>
              <w:spacing w:before="60" w:beforeAutospacing="0" w:after="60" w:afterAutospacing="0" w:line="360" w:lineRule="auto"/>
              <w:ind w:left="0" w:right="0"/>
              <w:contextualSpacing/>
              <w:jc w:val="center"/>
              <w:rPr>
                <w:rFonts w:hint="default"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D0FAEF1">
            <w:pPr>
              <w:keepNext w:val="0"/>
              <w:keepLines w:val="0"/>
              <w:pageBreakBefore w:val="0"/>
              <w:widowControl/>
              <w:suppressLineNumbers w:val="0"/>
              <w:kinsoku/>
              <w:topLinePunct w:val="0"/>
              <w:bidi w:val="0"/>
              <w:spacing w:before="60" w:beforeAutospacing="0" w:after="60" w:afterAutospacing="0" w:line="360" w:lineRule="auto"/>
              <w:ind w:left="0" w:right="0"/>
              <w:contextualSpacing/>
              <w:jc w:val="center"/>
              <w:rPr>
                <w:rFonts w:hint="default"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B59DF29">
            <w:pPr>
              <w:keepNext w:val="0"/>
              <w:keepLines w:val="0"/>
              <w:pageBreakBefore w:val="0"/>
              <w:widowControl/>
              <w:suppressLineNumbers w:val="0"/>
              <w:kinsoku/>
              <w:topLinePunct w:val="0"/>
              <w:bidi w:val="0"/>
              <w:spacing w:before="60" w:beforeAutospacing="0" w:after="60" w:afterAutospacing="0" w:line="360" w:lineRule="auto"/>
              <w:ind w:left="0" w:right="0"/>
              <w:contextualSpacing/>
              <w:jc w:val="center"/>
              <w:rPr>
                <w:rFonts w:hint="default" w:ascii="宋体" w:hAnsi="宋体" w:cs="宋体"/>
                <w:color w:val="auto"/>
                <w:kern w:val="0"/>
                <w:sz w:val="24"/>
                <w:highlight w:val="none"/>
              </w:rPr>
            </w:pPr>
          </w:p>
        </w:tc>
      </w:tr>
      <w:tr w14:paraId="2E391476">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F291E43">
            <w:pPr>
              <w:keepNext w:val="0"/>
              <w:keepLines w:val="0"/>
              <w:pageBreakBefore w:val="0"/>
              <w:widowControl/>
              <w:suppressLineNumbers w:val="0"/>
              <w:kinsoku/>
              <w:topLinePunct w:val="0"/>
              <w:bidi w:val="0"/>
              <w:spacing w:before="60" w:beforeAutospacing="0" w:after="60" w:afterAutospacing="0" w:line="360" w:lineRule="auto"/>
              <w:ind w:left="0" w:right="0"/>
              <w:contextualSpacing/>
              <w:jc w:val="center"/>
              <w:rPr>
                <w:rFonts w:hint="default"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8C3F5AD">
            <w:pPr>
              <w:keepNext w:val="0"/>
              <w:keepLines w:val="0"/>
              <w:pageBreakBefore w:val="0"/>
              <w:widowControl/>
              <w:suppressLineNumbers w:val="0"/>
              <w:kinsoku/>
              <w:topLinePunct w:val="0"/>
              <w:bidi w:val="0"/>
              <w:spacing w:before="60" w:beforeAutospacing="0" w:after="60" w:afterAutospacing="0" w:line="360" w:lineRule="auto"/>
              <w:ind w:left="0" w:right="0"/>
              <w:contextualSpacing/>
              <w:jc w:val="center"/>
              <w:rPr>
                <w:rFonts w:hint="default"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6B5F7C1">
            <w:pPr>
              <w:keepNext w:val="0"/>
              <w:keepLines w:val="0"/>
              <w:pageBreakBefore w:val="0"/>
              <w:widowControl/>
              <w:suppressLineNumbers w:val="0"/>
              <w:kinsoku/>
              <w:topLinePunct w:val="0"/>
              <w:bidi w:val="0"/>
              <w:spacing w:before="60" w:beforeAutospacing="0" w:after="60" w:afterAutospacing="0" w:line="360" w:lineRule="auto"/>
              <w:ind w:left="0" w:right="0"/>
              <w:contextualSpacing/>
              <w:jc w:val="center"/>
              <w:rPr>
                <w:rFonts w:hint="default"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9F1DE7E">
            <w:pPr>
              <w:keepNext w:val="0"/>
              <w:keepLines w:val="0"/>
              <w:pageBreakBefore w:val="0"/>
              <w:widowControl/>
              <w:suppressLineNumbers w:val="0"/>
              <w:kinsoku/>
              <w:topLinePunct w:val="0"/>
              <w:bidi w:val="0"/>
              <w:spacing w:before="60" w:beforeAutospacing="0" w:after="60" w:afterAutospacing="0" w:line="360" w:lineRule="auto"/>
              <w:ind w:left="0" w:right="0"/>
              <w:contextualSpacing/>
              <w:jc w:val="center"/>
              <w:rPr>
                <w:rFonts w:hint="default"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AEDC7D1">
            <w:pPr>
              <w:keepNext w:val="0"/>
              <w:keepLines w:val="0"/>
              <w:pageBreakBefore w:val="0"/>
              <w:widowControl/>
              <w:suppressLineNumbers w:val="0"/>
              <w:kinsoku/>
              <w:topLinePunct w:val="0"/>
              <w:bidi w:val="0"/>
              <w:spacing w:before="60" w:beforeAutospacing="0" w:after="60" w:afterAutospacing="0" w:line="360" w:lineRule="auto"/>
              <w:ind w:left="0" w:right="0"/>
              <w:contextualSpacing/>
              <w:jc w:val="center"/>
              <w:rPr>
                <w:rFonts w:hint="default" w:ascii="宋体" w:hAnsi="宋体" w:cs="宋体"/>
                <w:color w:val="auto"/>
                <w:kern w:val="0"/>
                <w:sz w:val="24"/>
                <w:highlight w:val="none"/>
              </w:rPr>
            </w:pPr>
          </w:p>
        </w:tc>
      </w:tr>
      <w:tr w14:paraId="7D6923C2">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17CEA5F">
            <w:pPr>
              <w:keepNext w:val="0"/>
              <w:keepLines w:val="0"/>
              <w:pageBreakBefore w:val="0"/>
              <w:widowControl/>
              <w:suppressLineNumbers w:val="0"/>
              <w:kinsoku/>
              <w:topLinePunct w:val="0"/>
              <w:bidi w:val="0"/>
              <w:spacing w:before="60" w:beforeAutospacing="0" w:after="60" w:afterAutospacing="0" w:line="360" w:lineRule="auto"/>
              <w:ind w:left="0" w:right="0"/>
              <w:contextualSpacing/>
              <w:jc w:val="center"/>
              <w:rPr>
                <w:rFonts w:hint="default"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3B3638">
            <w:pPr>
              <w:keepNext w:val="0"/>
              <w:keepLines w:val="0"/>
              <w:pageBreakBefore w:val="0"/>
              <w:widowControl/>
              <w:suppressLineNumbers w:val="0"/>
              <w:kinsoku/>
              <w:topLinePunct w:val="0"/>
              <w:bidi w:val="0"/>
              <w:spacing w:before="60" w:beforeAutospacing="0" w:after="60" w:afterAutospacing="0" w:line="360" w:lineRule="auto"/>
              <w:ind w:left="0" w:right="0"/>
              <w:contextualSpacing/>
              <w:jc w:val="center"/>
              <w:rPr>
                <w:rFonts w:hint="default"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A1C2174">
            <w:pPr>
              <w:keepNext w:val="0"/>
              <w:keepLines w:val="0"/>
              <w:pageBreakBefore w:val="0"/>
              <w:widowControl/>
              <w:suppressLineNumbers w:val="0"/>
              <w:kinsoku/>
              <w:topLinePunct w:val="0"/>
              <w:bidi w:val="0"/>
              <w:spacing w:before="60" w:beforeAutospacing="0" w:after="60" w:afterAutospacing="0" w:line="360" w:lineRule="auto"/>
              <w:ind w:left="0" w:right="0"/>
              <w:contextualSpacing/>
              <w:jc w:val="center"/>
              <w:rPr>
                <w:rFonts w:hint="default"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1F6AE76">
            <w:pPr>
              <w:keepNext w:val="0"/>
              <w:keepLines w:val="0"/>
              <w:pageBreakBefore w:val="0"/>
              <w:widowControl/>
              <w:suppressLineNumbers w:val="0"/>
              <w:kinsoku/>
              <w:topLinePunct w:val="0"/>
              <w:bidi w:val="0"/>
              <w:spacing w:before="60" w:beforeAutospacing="0" w:after="60" w:afterAutospacing="0" w:line="360" w:lineRule="auto"/>
              <w:ind w:left="0" w:right="0"/>
              <w:contextualSpacing/>
              <w:jc w:val="center"/>
              <w:rPr>
                <w:rFonts w:hint="default"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15A2AA3">
            <w:pPr>
              <w:keepNext w:val="0"/>
              <w:keepLines w:val="0"/>
              <w:pageBreakBefore w:val="0"/>
              <w:widowControl/>
              <w:suppressLineNumbers w:val="0"/>
              <w:kinsoku/>
              <w:topLinePunct w:val="0"/>
              <w:bidi w:val="0"/>
              <w:spacing w:before="60" w:beforeAutospacing="0" w:after="60" w:afterAutospacing="0" w:line="360" w:lineRule="auto"/>
              <w:ind w:left="0" w:right="0"/>
              <w:contextualSpacing/>
              <w:jc w:val="center"/>
              <w:rPr>
                <w:rFonts w:hint="default" w:ascii="宋体" w:hAnsi="宋体" w:cs="宋体"/>
                <w:color w:val="auto"/>
                <w:kern w:val="0"/>
                <w:sz w:val="24"/>
                <w:highlight w:val="none"/>
              </w:rPr>
            </w:pPr>
          </w:p>
        </w:tc>
      </w:tr>
      <w:tr w14:paraId="535A269E">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99F789">
            <w:pPr>
              <w:keepNext w:val="0"/>
              <w:keepLines w:val="0"/>
              <w:pageBreakBefore w:val="0"/>
              <w:widowControl/>
              <w:suppressLineNumbers w:val="0"/>
              <w:kinsoku/>
              <w:topLinePunct w:val="0"/>
              <w:bidi w:val="0"/>
              <w:spacing w:before="60" w:beforeAutospacing="0" w:after="60" w:afterAutospacing="0" w:line="360" w:lineRule="auto"/>
              <w:ind w:left="0" w:right="0"/>
              <w:contextualSpacing/>
              <w:jc w:val="center"/>
              <w:rPr>
                <w:rFonts w:hint="default"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302BA61">
            <w:pPr>
              <w:keepNext w:val="0"/>
              <w:keepLines w:val="0"/>
              <w:pageBreakBefore w:val="0"/>
              <w:widowControl/>
              <w:suppressLineNumbers w:val="0"/>
              <w:kinsoku/>
              <w:topLinePunct w:val="0"/>
              <w:bidi w:val="0"/>
              <w:spacing w:before="60" w:beforeAutospacing="0" w:after="60" w:afterAutospacing="0" w:line="360" w:lineRule="auto"/>
              <w:ind w:left="0" w:right="0"/>
              <w:contextualSpacing/>
              <w:jc w:val="center"/>
              <w:rPr>
                <w:rFonts w:hint="default"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BC8AEB0">
            <w:pPr>
              <w:keepNext w:val="0"/>
              <w:keepLines w:val="0"/>
              <w:pageBreakBefore w:val="0"/>
              <w:widowControl/>
              <w:suppressLineNumbers w:val="0"/>
              <w:kinsoku/>
              <w:topLinePunct w:val="0"/>
              <w:bidi w:val="0"/>
              <w:spacing w:before="60" w:beforeAutospacing="0" w:after="60" w:afterAutospacing="0" w:line="360" w:lineRule="auto"/>
              <w:ind w:left="0" w:right="0"/>
              <w:contextualSpacing/>
              <w:jc w:val="center"/>
              <w:rPr>
                <w:rFonts w:hint="default"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FBEC206">
            <w:pPr>
              <w:keepNext w:val="0"/>
              <w:keepLines w:val="0"/>
              <w:pageBreakBefore w:val="0"/>
              <w:widowControl/>
              <w:suppressLineNumbers w:val="0"/>
              <w:kinsoku/>
              <w:topLinePunct w:val="0"/>
              <w:bidi w:val="0"/>
              <w:spacing w:before="60" w:beforeAutospacing="0" w:after="60" w:afterAutospacing="0" w:line="360" w:lineRule="auto"/>
              <w:ind w:left="0" w:right="0"/>
              <w:contextualSpacing/>
              <w:jc w:val="center"/>
              <w:rPr>
                <w:rFonts w:hint="default"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7ADA1F">
            <w:pPr>
              <w:keepNext w:val="0"/>
              <w:keepLines w:val="0"/>
              <w:pageBreakBefore w:val="0"/>
              <w:widowControl/>
              <w:suppressLineNumbers w:val="0"/>
              <w:kinsoku/>
              <w:topLinePunct w:val="0"/>
              <w:bidi w:val="0"/>
              <w:spacing w:before="60" w:beforeAutospacing="0" w:after="60" w:afterAutospacing="0" w:line="360" w:lineRule="auto"/>
              <w:ind w:left="0" w:right="0"/>
              <w:contextualSpacing/>
              <w:jc w:val="center"/>
              <w:rPr>
                <w:rFonts w:hint="default" w:ascii="宋体" w:hAnsi="宋体" w:cs="宋体"/>
                <w:color w:val="auto"/>
                <w:kern w:val="0"/>
                <w:sz w:val="24"/>
                <w:highlight w:val="none"/>
              </w:rPr>
            </w:pPr>
          </w:p>
        </w:tc>
      </w:tr>
    </w:tbl>
    <w:p w14:paraId="5558D0C6">
      <w:pPr>
        <w:pageBreakBefore w:val="0"/>
        <w:kinsoku/>
        <w:topLinePunct w:val="0"/>
        <w:bidi w:val="0"/>
        <w:spacing w:before="60" w:after="60"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6BDB32A5">
      <w:pPr>
        <w:pageBreakBefore w:val="0"/>
        <w:kinsoku/>
        <w:topLinePunct w:val="0"/>
        <w:bidi w:val="0"/>
        <w:spacing w:before="60" w:after="60"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FD3B858">
      <w:pPr>
        <w:pageBreakBefore w:val="0"/>
        <w:kinsoku/>
        <w:topLinePunct w:val="0"/>
        <w:bidi w:val="0"/>
        <w:spacing w:before="60" w:after="60"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本表所指的控股关系仅限于直接控股关系，不包括间接的控股关系。公司实际控制人与公司之间的关系不属于本表所指的直接控股关系。</w:t>
      </w:r>
    </w:p>
    <w:p w14:paraId="785CC0B0">
      <w:pPr>
        <w:pageBreakBefore w:val="0"/>
        <w:kinsoku/>
        <w:topLinePunct w:val="0"/>
        <w:bidi w:val="0"/>
        <w:spacing w:before="60" w:after="60"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5D7404B0">
      <w:pPr>
        <w:pageBreakBefore w:val="0"/>
        <w:kinsoku/>
        <w:topLinePunct w:val="0"/>
        <w:bidi w:val="0"/>
        <w:spacing w:before="60" w:after="60" w:line="360" w:lineRule="auto"/>
        <w:ind w:firstLine="420" w:firstLineChars="200"/>
        <w:contextualSpacing/>
        <w:jc w:val="left"/>
        <w:rPr>
          <w:rFonts w:ascii="宋体" w:hAnsi="宋体" w:cs="宋体"/>
          <w:color w:val="auto"/>
          <w:szCs w:val="21"/>
          <w:highlight w:val="none"/>
        </w:rPr>
      </w:pPr>
    </w:p>
    <w:p w14:paraId="40CF5819">
      <w:pPr>
        <w:pageBreakBefore w:val="0"/>
        <w:kinsoku/>
        <w:topLinePunct w:val="0"/>
        <w:bidi w:val="0"/>
        <w:spacing w:before="60" w:after="60" w:line="360" w:lineRule="auto"/>
        <w:ind w:firstLine="560" w:firstLineChars="200"/>
        <w:contextualSpacing/>
        <w:jc w:val="left"/>
        <w:rPr>
          <w:rFonts w:ascii="宋体" w:hAnsi="宋体" w:cs="宋体"/>
          <w:color w:val="auto"/>
          <w:sz w:val="28"/>
          <w:szCs w:val="28"/>
          <w:highlight w:val="none"/>
        </w:rPr>
      </w:pPr>
    </w:p>
    <w:p w14:paraId="1C927809">
      <w:pPr>
        <w:pageBreakBefore w:val="0"/>
        <w:kinsoku/>
        <w:topLinePunct w:val="0"/>
        <w:bidi w:val="0"/>
        <w:spacing w:before="60" w:after="60" w:line="36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p>
    <w:p w14:paraId="48F34209">
      <w:pPr>
        <w:pageBreakBefore w:val="0"/>
        <w:kinsoku/>
        <w:topLinePunct w:val="0"/>
        <w:bidi w:val="0"/>
        <w:spacing w:before="60" w:after="60" w:line="360" w:lineRule="auto"/>
        <w:ind w:right="480" w:firstLine="3000" w:firstLineChars="1250"/>
        <w:contextualSpacing/>
        <w:rPr>
          <w:rFonts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p>
    <w:p w14:paraId="2FA6AF3B">
      <w:pPr>
        <w:pageBreakBefore w:val="0"/>
        <w:kinsoku/>
        <w:topLinePunct w:val="0"/>
        <w:bidi w:val="0"/>
        <w:spacing w:before="60" w:after="60" w:line="360" w:lineRule="auto"/>
        <w:ind w:firstLine="480" w:firstLineChars="200"/>
        <w:contextualSpacing/>
        <w:jc w:val="right"/>
        <w:rPr>
          <w:rFonts w:ascii="宋体" w:hAnsi="宋体" w:cs="宋体"/>
          <w:color w:val="auto"/>
          <w:sz w:val="28"/>
          <w:szCs w:val="28"/>
          <w:highlight w:val="none"/>
        </w:rPr>
      </w:pPr>
      <w:r>
        <w:rPr>
          <w:rFonts w:hint="eastAsia" w:ascii="宋体" w:hAnsi="宋体" w:cs="宋体"/>
          <w:color w:val="auto"/>
          <w:sz w:val="24"/>
          <w:highlight w:val="none"/>
        </w:rPr>
        <w:t>年    月    日</w:t>
      </w:r>
    </w:p>
    <w:p w14:paraId="6C9B9C6A">
      <w:pPr>
        <w:pageBreakBefore w:val="0"/>
        <w:kinsoku/>
        <w:topLinePunct w:val="0"/>
        <w:bidi w:val="0"/>
        <w:snapToGrid w:val="0"/>
        <w:spacing w:before="60" w:after="60" w:line="360" w:lineRule="auto"/>
        <w:jc w:val="center"/>
        <w:rPr>
          <w:rFonts w:ascii="宋体" w:hAnsi="宋体"/>
          <w:b/>
          <w:color w:val="auto"/>
          <w:sz w:val="28"/>
          <w:szCs w:val="28"/>
          <w:highlight w:val="none"/>
        </w:rPr>
      </w:pPr>
      <w:r>
        <w:rPr>
          <w:rFonts w:ascii="宋体" w:hAnsi="宋体"/>
          <w:b/>
          <w:color w:val="auto"/>
          <w:sz w:val="28"/>
          <w:szCs w:val="28"/>
          <w:highlight w:val="none"/>
        </w:rPr>
        <w:br w:type="page"/>
      </w:r>
    </w:p>
    <w:p w14:paraId="62BE7DFF">
      <w:pPr>
        <w:pageBreakBefore w:val="0"/>
        <w:kinsoku/>
        <w:topLinePunct w:val="0"/>
        <w:bidi w:val="0"/>
        <w:spacing w:before="60" w:after="60" w:line="360" w:lineRule="auto"/>
        <w:jc w:val="center"/>
        <w:rPr>
          <w:rFonts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5F3A2590">
      <w:pPr>
        <w:pageBreakBefore w:val="0"/>
        <w:kinsoku/>
        <w:topLinePunct w:val="0"/>
        <w:bidi w:val="0"/>
        <w:snapToGrid w:val="0"/>
        <w:spacing w:before="60" w:after="60" w:line="360" w:lineRule="auto"/>
        <w:jc w:val="center"/>
        <w:rPr>
          <w:rFonts w:ascii="宋体" w:hAnsi="宋体"/>
          <w:b/>
          <w:color w:val="auto"/>
          <w:sz w:val="24"/>
          <w:highlight w:val="none"/>
        </w:rPr>
      </w:pPr>
    </w:p>
    <w:tbl>
      <w:tblPr>
        <w:tblStyle w:val="30"/>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196DF607">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22AD76C">
            <w:pPr>
              <w:keepNext w:val="0"/>
              <w:keepLines w:val="0"/>
              <w:pageBreakBefore w:val="0"/>
              <w:widowControl/>
              <w:suppressLineNumbers w:val="0"/>
              <w:kinsoku/>
              <w:topLinePunct w:val="0"/>
              <w:bidi w:val="0"/>
              <w:spacing w:before="60" w:beforeAutospacing="0" w:after="60" w:afterAutospacing="0" w:line="360" w:lineRule="auto"/>
              <w:ind w:left="0" w:right="0"/>
              <w:contextualSpacing/>
              <w:jc w:val="center"/>
              <w:rPr>
                <w:rFonts w:hint="default"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DD38EC8">
            <w:pPr>
              <w:keepNext w:val="0"/>
              <w:keepLines w:val="0"/>
              <w:pageBreakBefore w:val="0"/>
              <w:widowControl/>
              <w:suppressLineNumbers w:val="0"/>
              <w:kinsoku/>
              <w:topLinePunct w:val="0"/>
              <w:bidi w:val="0"/>
              <w:spacing w:before="60" w:beforeAutospacing="0" w:after="60" w:afterAutospacing="0" w:line="360" w:lineRule="auto"/>
              <w:ind w:left="0" w:right="0"/>
              <w:contextualSpacing/>
              <w:jc w:val="center"/>
              <w:rPr>
                <w:rFonts w:hint="default"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4BAA89C">
            <w:pPr>
              <w:keepNext w:val="0"/>
              <w:keepLines w:val="0"/>
              <w:pageBreakBefore w:val="0"/>
              <w:widowControl/>
              <w:suppressLineNumbers w:val="0"/>
              <w:kinsoku/>
              <w:topLinePunct w:val="0"/>
              <w:bidi w:val="0"/>
              <w:spacing w:before="60" w:beforeAutospacing="0" w:after="60" w:afterAutospacing="0" w:line="360" w:lineRule="auto"/>
              <w:ind w:left="0" w:right="0"/>
              <w:contextualSpacing/>
              <w:jc w:val="center"/>
              <w:rPr>
                <w:rFonts w:hint="default"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8DE3FE7">
            <w:pPr>
              <w:keepNext w:val="0"/>
              <w:keepLines w:val="0"/>
              <w:pageBreakBefore w:val="0"/>
              <w:widowControl/>
              <w:suppressLineNumbers w:val="0"/>
              <w:kinsoku/>
              <w:topLinePunct w:val="0"/>
              <w:bidi w:val="0"/>
              <w:spacing w:before="60" w:beforeAutospacing="0" w:after="60" w:afterAutospacing="0" w:line="360" w:lineRule="auto"/>
              <w:ind w:left="0" w:right="0"/>
              <w:contextualSpacing/>
              <w:jc w:val="center"/>
              <w:rPr>
                <w:rFonts w:hint="default"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39DDEC7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70A6730">
            <w:pPr>
              <w:keepNext w:val="0"/>
              <w:keepLines w:val="0"/>
              <w:pageBreakBefore w:val="0"/>
              <w:widowControl/>
              <w:suppressLineNumbers w:val="0"/>
              <w:kinsoku/>
              <w:topLinePunct w:val="0"/>
              <w:bidi w:val="0"/>
              <w:spacing w:before="60" w:beforeAutospacing="0" w:after="60" w:afterAutospacing="0" w:line="360" w:lineRule="auto"/>
              <w:ind w:left="0" w:right="0"/>
              <w:contextualSpacing/>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23B883">
            <w:pPr>
              <w:keepNext w:val="0"/>
              <w:keepLines w:val="0"/>
              <w:pageBreakBefore w:val="0"/>
              <w:widowControl/>
              <w:suppressLineNumbers w:val="0"/>
              <w:kinsoku/>
              <w:topLinePunct w:val="0"/>
              <w:bidi w:val="0"/>
              <w:spacing w:before="60" w:beforeAutospacing="0" w:after="60" w:afterAutospacing="0" w:line="360" w:lineRule="auto"/>
              <w:ind w:left="0" w:right="0"/>
              <w:contextualSpacing/>
              <w:jc w:val="center"/>
              <w:rPr>
                <w:rFonts w:hint="default"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B88ED1">
            <w:pPr>
              <w:keepNext w:val="0"/>
              <w:keepLines w:val="0"/>
              <w:pageBreakBefore w:val="0"/>
              <w:widowControl/>
              <w:suppressLineNumbers w:val="0"/>
              <w:kinsoku/>
              <w:topLinePunct w:val="0"/>
              <w:bidi w:val="0"/>
              <w:spacing w:before="60" w:beforeAutospacing="0" w:after="60" w:afterAutospacing="0" w:line="360" w:lineRule="auto"/>
              <w:ind w:left="0" w:right="0"/>
              <w:contextualSpacing/>
              <w:jc w:val="center"/>
              <w:rPr>
                <w:rFonts w:hint="default"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89EF3C3">
            <w:pPr>
              <w:keepNext w:val="0"/>
              <w:keepLines w:val="0"/>
              <w:pageBreakBefore w:val="0"/>
              <w:widowControl/>
              <w:suppressLineNumbers w:val="0"/>
              <w:kinsoku/>
              <w:topLinePunct w:val="0"/>
              <w:bidi w:val="0"/>
              <w:spacing w:before="60" w:beforeAutospacing="0" w:after="60" w:afterAutospacing="0" w:line="360" w:lineRule="auto"/>
              <w:ind w:left="0" w:right="0"/>
              <w:contextualSpacing/>
              <w:jc w:val="center"/>
              <w:rPr>
                <w:rFonts w:hint="default" w:ascii="宋体" w:hAnsi="宋体" w:cs="宋体"/>
                <w:color w:val="auto"/>
                <w:kern w:val="0"/>
                <w:sz w:val="24"/>
                <w:highlight w:val="none"/>
              </w:rPr>
            </w:pPr>
          </w:p>
        </w:tc>
      </w:tr>
      <w:tr w14:paraId="46F3FBB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782ABBE">
            <w:pPr>
              <w:keepNext w:val="0"/>
              <w:keepLines w:val="0"/>
              <w:pageBreakBefore w:val="0"/>
              <w:widowControl/>
              <w:suppressLineNumbers w:val="0"/>
              <w:kinsoku/>
              <w:topLinePunct w:val="0"/>
              <w:bidi w:val="0"/>
              <w:spacing w:before="60" w:beforeAutospacing="0" w:after="60" w:afterAutospacing="0" w:line="360" w:lineRule="auto"/>
              <w:ind w:left="0" w:right="0"/>
              <w:contextualSpacing/>
              <w:jc w:val="center"/>
              <w:rPr>
                <w:rFonts w:hint="default"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B76EEB0">
            <w:pPr>
              <w:keepNext w:val="0"/>
              <w:keepLines w:val="0"/>
              <w:pageBreakBefore w:val="0"/>
              <w:widowControl/>
              <w:suppressLineNumbers w:val="0"/>
              <w:kinsoku/>
              <w:topLinePunct w:val="0"/>
              <w:bidi w:val="0"/>
              <w:spacing w:before="60" w:beforeAutospacing="0" w:after="60" w:afterAutospacing="0" w:line="360" w:lineRule="auto"/>
              <w:ind w:left="0" w:right="0"/>
              <w:contextualSpacing/>
              <w:jc w:val="center"/>
              <w:rPr>
                <w:rFonts w:hint="default"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206FB4">
            <w:pPr>
              <w:keepNext w:val="0"/>
              <w:keepLines w:val="0"/>
              <w:pageBreakBefore w:val="0"/>
              <w:widowControl/>
              <w:suppressLineNumbers w:val="0"/>
              <w:kinsoku/>
              <w:topLinePunct w:val="0"/>
              <w:bidi w:val="0"/>
              <w:spacing w:before="60" w:beforeAutospacing="0" w:after="60" w:afterAutospacing="0" w:line="360" w:lineRule="auto"/>
              <w:ind w:left="0" w:right="0"/>
              <w:contextualSpacing/>
              <w:jc w:val="center"/>
              <w:rPr>
                <w:rFonts w:hint="default"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979FBA6">
            <w:pPr>
              <w:keepNext w:val="0"/>
              <w:keepLines w:val="0"/>
              <w:pageBreakBefore w:val="0"/>
              <w:widowControl/>
              <w:suppressLineNumbers w:val="0"/>
              <w:kinsoku/>
              <w:topLinePunct w:val="0"/>
              <w:bidi w:val="0"/>
              <w:spacing w:before="60" w:beforeAutospacing="0" w:after="60" w:afterAutospacing="0" w:line="360" w:lineRule="auto"/>
              <w:ind w:left="0" w:right="0"/>
              <w:contextualSpacing/>
              <w:jc w:val="center"/>
              <w:rPr>
                <w:rFonts w:hint="default" w:ascii="宋体" w:hAnsi="宋体" w:cs="宋体"/>
                <w:color w:val="auto"/>
                <w:kern w:val="0"/>
                <w:sz w:val="24"/>
                <w:highlight w:val="none"/>
              </w:rPr>
            </w:pPr>
          </w:p>
        </w:tc>
      </w:tr>
      <w:tr w14:paraId="1F10868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245465A">
            <w:pPr>
              <w:keepNext w:val="0"/>
              <w:keepLines w:val="0"/>
              <w:pageBreakBefore w:val="0"/>
              <w:widowControl/>
              <w:suppressLineNumbers w:val="0"/>
              <w:kinsoku/>
              <w:topLinePunct w:val="0"/>
              <w:bidi w:val="0"/>
              <w:spacing w:before="60" w:beforeAutospacing="0" w:after="60" w:afterAutospacing="0" w:line="360" w:lineRule="auto"/>
              <w:ind w:left="0" w:right="0"/>
              <w:contextualSpacing/>
              <w:jc w:val="center"/>
              <w:rPr>
                <w:rFonts w:hint="default"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CCA9B1F">
            <w:pPr>
              <w:keepNext w:val="0"/>
              <w:keepLines w:val="0"/>
              <w:pageBreakBefore w:val="0"/>
              <w:widowControl/>
              <w:suppressLineNumbers w:val="0"/>
              <w:kinsoku/>
              <w:topLinePunct w:val="0"/>
              <w:bidi w:val="0"/>
              <w:spacing w:before="60" w:beforeAutospacing="0" w:after="60" w:afterAutospacing="0" w:line="360" w:lineRule="auto"/>
              <w:ind w:left="0" w:right="0"/>
              <w:contextualSpacing/>
              <w:jc w:val="center"/>
              <w:rPr>
                <w:rFonts w:hint="default"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CAC40E">
            <w:pPr>
              <w:keepNext w:val="0"/>
              <w:keepLines w:val="0"/>
              <w:pageBreakBefore w:val="0"/>
              <w:widowControl/>
              <w:suppressLineNumbers w:val="0"/>
              <w:kinsoku/>
              <w:topLinePunct w:val="0"/>
              <w:bidi w:val="0"/>
              <w:spacing w:before="60" w:beforeAutospacing="0" w:after="60" w:afterAutospacing="0" w:line="360" w:lineRule="auto"/>
              <w:ind w:left="0" w:right="0"/>
              <w:contextualSpacing/>
              <w:jc w:val="center"/>
              <w:rPr>
                <w:rFonts w:hint="default"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E5A08E">
            <w:pPr>
              <w:keepNext w:val="0"/>
              <w:keepLines w:val="0"/>
              <w:pageBreakBefore w:val="0"/>
              <w:widowControl/>
              <w:suppressLineNumbers w:val="0"/>
              <w:kinsoku/>
              <w:topLinePunct w:val="0"/>
              <w:bidi w:val="0"/>
              <w:spacing w:before="60" w:beforeAutospacing="0" w:after="60" w:afterAutospacing="0" w:line="360" w:lineRule="auto"/>
              <w:ind w:left="0" w:right="0"/>
              <w:contextualSpacing/>
              <w:jc w:val="center"/>
              <w:rPr>
                <w:rFonts w:hint="default" w:ascii="宋体" w:hAnsi="宋体" w:cs="宋体"/>
                <w:color w:val="auto"/>
                <w:kern w:val="0"/>
                <w:sz w:val="24"/>
                <w:highlight w:val="none"/>
              </w:rPr>
            </w:pPr>
          </w:p>
        </w:tc>
      </w:tr>
      <w:tr w14:paraId="551CEAB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5316E1D">
            <w:pPr>
              <w:keepNext w:val="0"/>
              <w:keepLines w:val="0"/>
              <w:pageBreakBefore w:val="0"/>
              <w:widowControl/>
              <w:suppressLineNumbers w:val="0"/>
              <w:kinsoku/>
              <w:topLinePunct w:val="0"/>
              <w:bidi w:val="0"/>
              <w:spacing w:before="60" w:beforeAutospacing="0" w:after="60" w:afterAutospacing="0" w:line="360" w:lineRule="auto"/>
              <w:ind w:left="0" w:right="0"/>
              <w:contextualSpacing/>
              <w:jc w:val="center"/>
              <w:rPr>
                <w:rFonts w:hint="default"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6116569">
            <w:pPr>
              <w:keepNext w:val="0"/>
              <w:keepLines w:val="0"/>
              <w:pageBreakBefore w:val="0"/>
              <w:widowControl/>
              <w:suppressLineNumbers w:val="0"/>
              <w:kinsoku/>
              <w:topLinePunct w:val="0"/>
              <w:bidi w:val="0"/>
              <w:spacing w:before="60" w:beforeAutospacing="0" w:after="60" w:afterAutospacing="0" w:line="360" w:lineRule="auto"/>
              <w:ind w:left="0" w:right="0"/>
              <w:contextualSpacing/>
              <w:jc w:val="center"/>
              <w:rPr>
                <w:rFonts w:hint="default"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DC404F0">
            <w:pPr>
              <w:keepNext w:val="0"/>
              <w:keepLines w:val="0"/>
              <w:pageBreakBefore w:val="0"/>
              <w:widowControl/>
              <w:suppressLineNumbers w:val="0"/>
              <w:kinsoku/>
              <w:topLinePunct w:val="0"/>
              <w:bidi w:val="0"/>
              <w:spacing w:before="60" w:beforeAutospacing="0" w:after="60" w:afterAutospacing="0" w:line="360" w:lineRule="auto"/>
              <w:ind w:left="0" w:right="0"/>
              <w:contextualSpacing/>
              <w:jc w:val="center"/>
              <w:rPr>
                <w:rFonts w:hint="default"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4B0200D">
            <w:pPr>
              <w:keepNext w:val="0"/>
              <w:keepLines w:val="0"/>
              <w:pageBreakBefore w:val="0"/>
              <w:widowControl/>
              <w:suppressLineNumbers w:val="0"/>
              <w:kinsoku/>
              <w:topLinePunct w:val="0"/>
              <w:bidi w:val="0"/>
              <w:spacing w:before="60" w:beforeAutospacing="0" w:after="60" w:afterAutospacing="0" w:line="360" w:lineRule="auto"/>
              <w:ind w:left="0" w:right="0"/>
              <w:contextualSpacing/>
              <w:jc w:val="center"/>
              <w:rPr>
                <w:rFonts w:hint="default" w:ascii="宋体" w:hAnsi="宋体" w:cs="宋体"/>
                <w:color w:val="auto"/>
                <w:kern w:val="0"/>
                <w:sz w:val="24"/>
                <w:highlight w:val="none"/>
              </w:rPr>
            </w:pPr>
          </w:p>
        </w:tc>
      </w:tr>
    </w:tbl>
    <w:p w14:paraId="7E06C53C">
      <w:pPr>
        <w:pageBreakBefore w:val="0"/>
        <w:kinsoku/>
        <w:topLinePunct w:val="0"/>
        <w:bidi w:val="0"/>
        <w:spacing w:before="60" w:after="60" w:line="360" w:lineRule="auto"/>
        <w:contextualSpacing/>
        <w:jc w:val="left"/>
        <w:rPr>
          <w:rFonts w:ascii="宋体" w:hAnsi="宋体"/>
          <w:color w:val="auto"/>
          <w:sz w:val="24"/>
          <w:highlight w:val="none"/>
        </w:rPr>
      </w:pPr>
      <w:r>
        <w:rPr>
          <w:rFonts w:hint="eastAsia" w:ascii="宋体" w:hAnsi="宋体"/>
          <w:color w:val="auto"/>
          <w:sz w:val="24"/>
          <w:highlight w:val="none"/>
        </w:rPr>
        <w:t>注：</w:t>
      </w:r>
    </w:p>
    <w:p w14:paraId="0483FB25">
      <w:pPr>
        <w:pageBreakBefore w:val="0"/>
        <w:kinsoku/>
        <w:topLinePunct w:val="0"/>
        <w:bidi w:val="0"/>
        <w:spacing w:before="60" w:after="60"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eastAsia="zh-CN"/>
        </w:rPr>
        <w:t>.</w:t>
      </w:r>
      <w:r>
        <w:rPr>
          <w:rFonts w:hint="eastAsia" w:ascii="宋体" w:hAnsi="宋体"/>
          <w:color w:val="auto"/>
          <w:sz w:val="24"/>
          <w:highlight w:val="none"/>
        </w:rPr>
        <w:t>管理关系：是指不具有出资持股关系的其他单位之间存在的管理与被管理关系，如一些上下级关系的事业单位和团体组织。</w:t>
      </w:r>
    </w:p>
    <w:p w14:paraId="4775EBC7">
      <w:pPr>
        <w:pageBreakBefore w:val="0"/>
        <w:kinsoku/>
        <w:topLinePunct w:val="0"/>
        <w:bidi w:val="0"/>
        <w:spacing w:before="60" w:after="60"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eastAsia="zh-CN"/>
        </w:rPr>
        <w:t>.</w:t>
      </w:r>
      <w:r>
        <w:rPr>
          <w:rFonts w:hint="eastAsia" w:ascii="宋体" w:hAnsi="宋体"/>
          <w:color w:val="auto"/>
          <w:spacing w:val="-6"/>
          <w:sz w:val="24"/>
          <w:highlight w:val="none"/>
        </w:rPr>
        <w:t>本表所指的管理关系仅限于直接管理关系，不包括间接的管理关系。</w:t>
      </w:r>
    </w:p>
    <w:p w14:paraId="2CF8D189">
      <w:pPr>
        <w:pageBreakBefore w:val="0"/>
        <w:kinsoku/>
        <w:topLinePunct w:val="0"/>
        <w:bidi w:val="0"/>
        <w:spacing w:before="60" w:after="60"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eastAsia="zh-CN"/>
        </w:rPr>
        <w:t>.</w:t>
      </w:r>
      <w:r>
        <w:rPr>
          <w:rFonts w:hint="eastAsia" w:ascii="宋体" w:hAnsi="宋体"/>
          <w:color w:val="auto"/>
          <w:sz w:val="24"/>
          <w:highlight w:val="none"/>
        </w:rPr>
        <w:t>供应商不存在直接管理关系的，则在“直接管理关系单位名称”填“无”。</w:t>
      </w:r>
    </w:p>
    <w:p w14:paraId="3983CBE4">
      <w:pPr>
        <w:pageBreakBefore w:val="0"/>
        <w:kinsoku/>
        <w:topLinePunct w:val="0"/>
        <w:bidi w:val="0"/>
        <w:spacing w:before="60" w:after="60" w:line="360" w:lineRule="auto"/>
        <w:contextualSpacing/>
        <w:jc w:val="left"/>
        <w:rPr>
          <w:rFonts w:ascii="宋体" w:hAnsi="宋体"/>
          <w:color w:val="auto"/>
          <w:sz w:val="28"/>
          <w:szCs w:val="28"/>
          <w:highlight w:val="none"/>
        </w:rPr>
      </w:pPr>
    </w:p>
    <w:p w14:paraId="60DDE190">
      <w:pPr>
        <w:pageBreakBefore w:val="0"/>
        <w:kinsoku/>
        <w:topLinePunct w:val="0"/>
        <w:bidi w:val="0"/>
        <w:spacing w:before="60" w:after="60" w:line="360" w:lineRule="auto"/>
        <w:contextualSpacing/>
        <w:jc w:val="left"/>
        <w:rPr>
          <w:color w:val="auto"/>
          <w:sz w:val="28"/>
          <w:szCs w:val="28"/>
          <w:highlight w:val="none"/>
        </w:rPr>
      </w:pPr>
    </w:p>
    <w:p w14:paraId="191859BB">
      <w:pPr>
        <w:pageBreakBefore w:val="0"/>
        <w:kinsoku/>
        <w:topLinePunct w:val="0"/>
        <w:bidi w:val="0"/>
        <w:spacing w:before="60" w:after="60" w:line="360" w:lineRule="auto"/>
        <w:contextualSpacing/>
        <w:jc w:val="left"/>
        <w:rPr>
          <w:color w:val="auto"/>
          <w:sz w:val="28"/>
          <w:szCs w:val="28"/>
          <w:highlight w:val="none"/>
        </w:rPr>
      </w:pPr>
    </w:p>
    <w:p w14:paraId="2EC0A4C8">
      <w:pPr>
        <w:pageBreakBefore w:val="0"/>
        <w:kinsoku/>
        <w:topLinePunct w:val="0"/>
        <w:bidi w:val="0"/>
        <w:spacing w:before="60" w:after="60" w:line="360" w:lineRule="auto"/>
        <w:contextualSpacing/>
        <w:jc w:val="left"/>
        <w:rPr>
          <w:rFonts w:ascii="宋体" w:hAnsi="宋体"/>
          <w:color w:val="auto"/>
          <w:sz w:val="28"/>
          <w:szCs w:val="28"/>
          <w:highlight w:val="none"/>
        </w:rPr>
      </w:pPr>
    </w:p>
    <w:p w14:paraId="049FE281">
      <w:pPr>
        <w:pageBreakBefore w:val="0"/>
        <w:kinsoku/>
        <w:topLinePunct w:val="0"/>
        <w:bidi w:val="0"/>
        <w:spacing w:before="60" w:after="60" w:line="360" w:lineRule="auto"/>
        <w:ind w:right="480"/>
        <w:contextualSpacing/>
        <w:jc w:val="center"/>
        <w:rPr>
          <w:rFonts w:ascii="宋体" w:hAnsi="宋体"/>
          <w:color w:val="auto"/>
          <w:sz w:val="24"/>
          <w:highlight w:val="none"/>
          <w:u w:val="single"/>
        </w:rPr>
      </w:pPr>
      <w:r>
        <w:rPr>
          <w:rFonts w:hint="eastAsia" w:ascii="宋体" w:hAnsi="宋体"/>
          <w:color w:val="auto"/>
          <w:sz w:val="24"/>
          <w:highlight w:val="none"/>
        </w:rPr>
        <w:t>法定代表人或者委托代理人（签字或者电子签名）：</w:t>
      </w:r>
    </w:p>
    <w:p w14:paraId="2BDCC848">
      <w:pPr>
        <w:pageBreakBefore w:val="0"/>
        <w:kinsoku/>
        <w:topLinePunct w:val="0"/>
        <w:bidi w:val="0"/>
        <w:spacing w:before="60" w:after="60" w:line="360" w:lineRule="auto"/>
        <w:ind w:right="480" w:firstLine="3360" w:firstLineChars="1400"/>
        <w:contextualSpacing/>
        <w:rPr>
          <w:rFonts w:ascii="宋体" w:hAnsi="宋体"/>
          <w:color w:val="auto"/>
          <w:sz w:val="24"/>
          <w:highlight w:val="none"/>
        </w:rPr>
      </w:pPr>
      <w:r>
        <w:rPr>
          <w:rFonts w:hint="eastAsia" w:ascii="宋体" w:hAnsi="宋体"/>
          <w:color w:val="auto"/>
          <w:sz w:val="24"/>
          <w:highlight w:val="none"/>
        </w:rPr>
        <w:t>供应商（电子签章）：</w:t>
      </w:r>
    </w:p>
    <w:p w14:paraId="17BB428B">
      <w:pPr>
        <w:pageBreakBefore w:val="0"/>
        <w:kinsoku/>
        <w:topLinePunct w:val="0"/>
        <w:bidi w:val="0"/>
        <w:spacing w:before="60" w:after="60" w:line="360" w:lineRule="auto"/>
        <w:ind w:firstLine="480" w:firstLineChars="200"/>
        <w:contextualSpacing/>
        <w:jc w:val="left"/>
        <w:rPr>
          <w:rFonts w:ascii="宋体" w:hAnsi="宋体"/>
          <w:color w:val="auto"/>
          <w:sz w:val="28"/>
          <w:szCs w:val="28"/>
          <w:highlight w:val="none"/>
        </w:rPr>
      </w:pPr>
      <w:r>
        <w:rPr>
          <w:rFonts w:hint="eastAsia" w:ascii="宋体" w:hAnsi="宋体"/>
          <w:color w:val="auto"/>
          <w:sz w:val="24"/>
          <w:highlight w:val="none"/>
        </w:rPr>
        <w:t xml:space="preserve">                                        年    月    日</w:t>
      </w:r>
    </w:p>
    <w:p w14:paraId="3DA9F848">
      <w:pPr>
        <w:pageBreakBefore w:val="0"/>
        <w:kinsoku/>
        <w:topLinePunct w:val="0"/>
        <w:bidi w:val="0"/>
        <w:spacing w:before="60" w:after="60" w:line="360" w:lineRule="auto"/>
        <w:jc w:val="center"/>
        <w:rPr>
          <w:rFonts w:ascii="宋体" w:hAnsi="宋体"/>
          <w:b/>
          <w:color w:val="auto"/>
          <w:sz w:val="32"/>
          <w:szCs w:val="32"/>
          <w:highlight w:val="none"/>
        </w:rPr>
      </w:pPr>
      <w:r>
        <w:rPr>
          <w:rFonts w:ascii="宋体" w:hAnsi="宋体"/>
          <w:color w:val="auto"/>
          <w:sz w:val="28"/>
          <w:szCs w:val="28"/>
          <w:highlight w:val="none"/>
        </w:rPr>
        <w:br w:type="page"/>
      </w:r>
      <w:r>
        <w:rPr>
          <w:rFonts w:hint="eastAsia" w:ascii="宋体" w:hAnsi="宋体"/>
          <w:b/>
          <w:color w:val="auto"/>
          <w:sz w:val="36"/>
          <w:szCs w:val="36"/>
          <w:highlight w:val="none"/>
        </w:rPr>
        <w:t>竞标声明</w:t>
      </w:r>
    </w:p>
    <w:p w14:paraId="21CDE896">
      <w:pPr>
        <w:pageBreakBefore w:val="0"/>
        <w:kinsoku/>
        <w:topLinePunct w:val="0"/>
        <w:bidi w:val="0"/>
        <w:spacing w:before="60" w:after="60"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1129E5E5">
      <w:pPr>
        <w:pageBreakBefore w:val="0"/>
        <w:kinsoku/>
        <w:topLinePunct w:val="0"/>
        <w:bidi w:val="0"/>
        <w:spacing w:before="60" w:after="6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  。</w:t>
      </w:r>
    </w:p>
    <w:p w14:paraId="4233C997">
      <w:pPr>
        <w:pageBreakBefore w:val="0"/>
        <w:kinsoku/>
        <w:topLinePunct w:val="0"/>
        <w:bidi w:val="0"/>
        <w:spacing w:before="60" w:after="6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10FE4C42">
      <w:pPr>
        <w:pageBreakBefore w:val="0"/>
        <w:kinsoku/>
        <w:topLinePunct w:val="0"/>
        <w:bidi w:val="0"/>
        <w:spacing w:before="60" w:after="6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我方向贵方提交的所有响应文件、资料都是准确的和真实的。</w:t>
      </w:r>
    </w:p>
    <w:p w14:paraId="22F2613B">
      <w:pPr>
        <w:pageBreakBefore w:val="0"/>
        <w:kinsoku/>
        <w:topLinePunct w:val="0"/>
        <w:bidi w:val="0"/>
        <w:spacing w:before="60" w:after="6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086ECF7A">
      <w:pPr>
        <w:pageBreakBefore w:val="0"/>
        <w:kinsoku/>
        <w:topLinePunct w:val="0"/>
        <w:bidi w:val="0"/>
        <w:spacing w:before="60" w:after="6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在此，我方宣布同意如下：</w:t>
      </w:r>
    </w:p>
    <w:p w14:paraId="15B917A2">
      <w:pPr>
        <w:pageBreakBefore w:val="0"/>
        <w:kinsoku/>
        <w:topLinePunct w:val="0"/>
        <w:bidi w:val="0"/>
        <w:spacing w:before="60" w:after="6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10F88B29">
      <w:pPr>
        <w:pageBreakBefore w:val="0"/>
        <w:kinsoku/>
        <w:topLinePunct w:val="0"/>
        <w:bidi w:val="0"/>
        <w:spacing w:before="60" w:after="6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18F727B7">
      <w:pPr>
        <w:pageBreakBefore w:val="0"/>
        <w:kinsoku/>
        <w:topLinePunct w:val="0"/>
        <w:bidi w:val="0"/>
        <w:spacing w:before="60" w:after="6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412FF691">
      <w:pPr>
        <w:pageBreakBefore w:val="0"/>
        <w:kinsoku/>
        <w:topLinePunct w:val="0"/>
        <w:bidi w:val="0"/>
        <w:spacing w:before="60" w:after="6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（4）响应磋商文件规定的竞标有效期。</w:t>
      </w:r>
    </w:p>
    <w:p w14:paraId="349AEE51">
      <w:pPr>
        <w:pageBreakBefore w:val="0"/>
        <w:kinsoku/>
        <w:topLinePunct w:val="0"/>
        <w:bidi w:val="0"/>
        <w:spacing w:before="60" w:after="6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eastAsia="zh-CN"/>
        </w:rPr>
        <w:t>.</w:t>
      </w:r>
      <w:r>
        <w:rPr>
          <w:rFonts w:hint="eastAsia" w:ascii="宋体" w:hAnsi="宋体" w:cs="宋体"/>
          <w:color w:val="auto"/>
          <w:sz w:val="24"/>
          <w:highlight w:val="none"/>
        </w:rPr>
        <w:t>我方承诺符合《中华人民共和国政府采购法》第二十二条规定：</w:t>
      </w:r>
    </w:p>
    <w:p w14:paraId="1787CD64">
      <w:pPr>
        <w:pageBreakBefore w:val="0"/>
        <w:kinsoku/>
        <w:topLinePunct w:val="0"/>
        <w:bidi w:val="0"/>
        <w:spacing w:before="60" w:after="6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08CE0723">
      <w:pPr>
        <w:pageBreakBefore w:val="0"/>
        <w:kinsoku/>
        <w:topLinePunct w:val="0"/>
        <w:bidi w:val="0"/>
        <w:spacing w:before="60" w:after="6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1169C0B5">
      <w:pPr>
        <w:pageBreakBefore w:val="0"/>
        <w:kinsoku/>
        <w:topLinePunct w:val="0"/>
        <w:bidi w:val="0"/>
        <w:spacing w:before="60" w:after="6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1C1830F0">
      <w:pPr>
        <w:pageBreakBefore w:val="0"/>
        <w:kinsoku/>
        <w:topLinePunct w:val="0"/>
        <w:bidi w:val="0"/>
        <w:spacing w:before="60" w:after="6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182A51F1">
      <w:pPr>
        <w:pageBreakBefore w:val="0"/>
        <w:kinsoku/>
        <w:topLinePunct w:val="0"/>
        <w:bidi w:val="0"/>
        <w:spacing w:before="60" w:after="6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5F385C6F">
      <w:pPr>
        <w:pageBreakBefore w:val="0"/>
        <w:kinsoku/>
        <w:topLinePunct w:val="0"/>
        <w:bidi w:val="0"/>
        <w:spacing w:before="60" w:after="6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3AD1A2BD">
      <w:pPr>
        <w:pageBreakBefore w:val="0"/>
        <w:kinsoku/>
        <w:topLinePunct w:val="0"/>
        <w:bidi w:val="0"/>
        <w:spacing w:before="60" w:after="6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eastAsia="zh-CN"/>
        </w:rPr>
        <w:t>.</w:t>
      </w:r>
      <w:r>
        <w:rPr>
          <w:rFonts w:hint="eastAsia" w:ascii="宋体" w:hAnsi="宋体" w:cs="宋体"/>
          <w:color w:val="auto"/>
          <w:sz w:val="24"/>
          <w:highlight w:val="none"/>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0C8D46D">
      <w:pPr>
        <w:pageBreakBefore w:val="0"/>
        <w:kinsoku/>
        <w:topLinePunct w:val="0"/>
        <w:bidi w:val="0"/>
        <w:spacing w:before="60" w:after="6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eastAsia="zh-CN"/>
        </w:rPr>
        <w:t>.</w:t>
      </w:r>
      <w:r>
        <w:rPr>
          <w:rFonts w:hint="eastAsia" w:ascii="宋体" w:hAnsi="宋体" w:cs="宋体"/>
          <w:color w:val="auto"/>
          <w:sz w:val="24"/>
          <w:highlight w:val="none"/>
        </w:rPr>
        <w:t>根据《中华人民共和国政府采购法实施条例》第五十条要求对政府采购合同进行公告，但政府采购合同中涉及国家秘密、商业秘密的内容除外。我方就对本次响应文件进行注明如下：（两项内容中必须选择一项）</w:t>
      </w:r>
    </w:p>
    <w:p w14:paraId="206564AF">
      <w:pPr>
        <w:pageBreakBefore w:val="0"/>
        <w:kinsoku/>
        <w:topLinePunct w:val="0"/>
        <w:bidi w:val="0"/>
        <w:spacing w:before="60" w:after="6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41FDFAF5">
      <w:pPr>
        <w:pageBreakBefore w:val="0"/>
        <w:kinsoku/>
        <w:topLinePunct w:val="0"/>
        <w:bidi w:val="0"/>
        <w:spacing w:before="60" w:after="6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                    ；</w:t>
      </w:r>
    </w:p>
    <w:p w14:paraId="614D3C0F">
      <w:pPr>
        <w:pStyle w:val="15"/>
        <w:pageBreakBefore w:val="0"/>
        <w:kinsoku/>
        <w:topLinePunct w:val="0"/>
        <w:bidi w:val="0"/>
        <w:spacing w:before="60" w:after="60" w:line="360" w:lineRule="auto"/>
        <w:ind w:firstLine="480" w:firstLineChars="200"/>
        <w:contextualSpacing/>
        <w:rPr>
          <w:rFonts w:hAnsi="宋体" w:cs="宋体"/>
          <w:color w:val="auto"/>
          <w:sz w:val="24"/>
          <w:szCs w:val="24"/>
          <w:highlight w:val="none"/>
          <w:u w:val="single"/>
        </w:rPr>
      </w:pPr>
      <w:r>
        <w:rPr>
          <w:rFonts w:hint="eastAsia" w:hAnsi="宋体" w:cs="宋体"/>
          <w:color w:val="auto"/>
          <w:sz w:val="24"/>
          <w:szCs w:val="24"/>
          <w:highlight w:val="none"/>
        </w:rPr>
        <w:t>7</w:t>
      </w:r>
      <w:r>
        <w:rPr>
          <w:rFonts w:hint="eastAsia" w:hAnsi="宋体" w:cs="宋体"/>
          <w:color w:val="auto"/>
          <w:sz w:val="24"/>
          <w:szCs w:val="24"/>
          <w:highlight w:val="none"/>
          <w:lang w:eastAsia="zh-CN"/>
        </w:rPr>
        <w:t>.</w:t>
      </w:r>
      <w:r>
        <w:rPr>
          <w:rFonts w:hint="eastAsia" w:hAnsi="宋体" w:cs="宋体"/>
          <w:color w:val="auto"/>
          <w:sz w:val="24"/>
          <w:szCs w:val="24"/>
          <w:highlight w:val="none"/>
        </w:rPr>
        <w:t>与本磋商有关的一切正式往来信函请寄：                邮政编号：</w:t>
      </w:r>
    </w:p>
    <w:p w14:paraId="5F85237C">
      <w:pPr>
        <w:pStyle w:val="15"/>
        <w:pageBreakBefore w:val="0"/>
        <w:kinsoku/>
        <w:topLinePunct w:val="0"/>
        <w:bidi w:val="0"/>
        <w:spacing w:before="60" w:after="6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电话/传真：                      电子邮箱：</w:t>
      </w:r>
    </w:p>
    <w:p w14:paraId="3FE33B7B">
      <w:pPr>
        <w:pStyle w:val="14"/>
        <w:pageBreakBefore w:val="0"/>
        <w:tabs>
          <w:tab w:val="left" w:pos="939"/>
        </w:tabs>
        <w:kinsoku/>
        <w:topLinePunct w:val="0"/>
        <w:bidi w:val="0"/>
        <w:spacing w:before="60" w:after="60"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开户银行：                       帐号：</w:t>
      </w:r>
    </w:p>
    <w:p w14:paraId="5F24486A">
      <w:pPr>
        <w:pStyle w:val="14"/>
        <w:pageBreakBefore w:val="0"/>
        <w:tabs>
          <w:tab w:val="left" w:pos="939"/>
        </w:tabs>
        <w:kinsoku/>
        <w:topLinePunct w:val="0"/>
        <w:bidi w:val="0"/>
        <w:spacing w:before="60" w:after="60"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8</w:t>
      </w:r>
      <w:r>
        <w:rPr>
          <w:rFonts w:hint="eastAsia" w:ascii="宋体" w:hAnsi="宋体" w:cs="宋体"/>
          <w:color w:val="auto"/>
          <w:sz w:val="24"/>
          <w:highlight w:val="none"/>
          <w:lang w:eastAsia="zh-CN"/>
        </w:rPr>
        <w:t>.</w:t>
      </w:r>
      <w:r>
        <w:rPr>
          <w:rFonts w:hint="eastAsia" w:ascii="宋体" w:hAnsi="宋体" w:cs="宋体"/>
          <w:color w:val="auto"/>
          <w:sz w:val="24"/>
          <w:highlight w:val="none"/>
        </w:rPr>
        <w:t>以上事项如有虚假或者隐瞒，我方愿意承担一切后果，并不再寻求任何旨在减轻或者免除法律责任的辩解。</w:t>
      </w:r>
    </w:p>
    <w:p w14:paraId="4F94520D">
      <w:pPr>
        <w:pStyle w:val="14"/>
        <w:pageBreakBefore w:val="0"/>
        <w:tabs>
          <w:tab w:val="left" w:pos="939"/>
        </w:tabs>
        <w:kinsoku/>
        <w:topLinePunct w:val="0"/>
        <w:bidi w:val="0"/>
        <w:spacing w:before="60" w:after="60"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14:paraId="30C5E3EE">
      <w:pPr>
        <w:pageBreakBefore w:val="0"/>
        <w:kinsoku/>
        <w:topLinePunct w:val="0"/>
        <w:bidi w:val="0"/>
        <w:spacing w:before="60" w:after="60" w:line="360" w:lineRule="auto"/>
        <w:contextualSpacing/>
        <w:jc w:val="left"/>
        <w:rPr>
          <w:rFonts w:ascii="宋体" w:hAnsi="宋体"/>
          <w:b/>
          <w:color w:val="auto"/>
          <w:sz w:val="24"/>
          <w:highlight w:val="none"/>
        </w:rPr>
      </w:pPr>
      <w:r>
        <w:rPr>
          <w:rFonts w:hint="eastAsia" w:ascii="宋体" w:hAnsi="宋体" w:cs="宋体"/>
          <w:b/>
          <w:color w:val="auto"/>
          <w:sz w:val="24"/>
          <w:highlight w:val="none"/>
        </w:rPr>
        <w:t>注：</w:t>
      </w:r>
      <w:r>
        <w:rPr>
          <w:rFonts w:hint="eastAsia" w:ascii="宋体" w:hAnsi="宋体"/>
          <w:b/>
          <w:color w:val="auto"/>
          <w:sz w:val="24"/>
          <w:highlight w:val="none"/>
        </w:rPr>
        <w:t>如为联合体竞标，盖章处须加盖联合体牵头人电子签章并由联合体牵头人法定代表人分别签字或者盖章或者电子签名，否则响应文件按无效处理。</w:t>
      </w:r>
    </w:p>
    <w:p w14:paraId="54E1F8D0">
      <w:pPr>
        <w:pageBreakBefore w:val="0"/>
        <w:kinsoku/>
        <w:topLinePunct w:val="0"/>
        <w:bidi w:val="0"/>
        <w:spacing w:before="60" w:after="60" w:line="360" w:lineRule="auto"/>
        <w:contextualSpacing/>
        <w:jc w:val="left"/>
        <w:rPr>
          <w:rFonts w:ascii="宋体" w:hAnsi="宋体" w:cs="宋体"/>
          <w:color w:val="auto"/>
          <w:szCs w:val="21"/>
          <w:highlight w:val="none"/>
        </w:rPr>
      </w:pPr>
    </w:p>
    <w:p w14:paraId="7D1FE7F2">
      <w:pPr>
        <w:pageBreakBefore w:val="0"/>
        <w:kinsoku/>
        <w:topLinePunct w:val="0"/>
        <w:bidi w:val="0"/>
        <w:spacing w:before="60" w:after="60" w:line="360" w:lineRule="auto"/>
        <w:ind w:firstLine="1800" w:firstLineChars="750"/>
        <w:contextualSpacing/>
        <w:rPr>
          <w:color w:val="auto"/>
          <w:highlight w:val="none"/>
        </w:rPr>
      </w:pPr>
      <w:r>
        <w:rPr>
          <w:rFonts w:hint="eastAsia"/>
          <w:color w:val="auto"/>
          <w:sz w:val="24"/>
          <w:highlight w:val="none"/>
        </w:rPr>
        <w:t>法定代表人</w:t>
      </w:r>
      <w:r>
        <w:rPr>
          <w:rFonts w:hint="eastAsia"/>
          <w:color w:val="auto"/>
          <w:highlight w:val="none"/>
        </w:rPr>
        <w:t>（</w:t>
      </w:r>
      <w:r>
        <w:rPr>
          <w:rFonts w:hint="eastAsia" w:ascii="宋体" w:hAnsi="宋体"/>
          <w:color w:val="auto"/>
          <w:sz w:val="24"/>
          <w:highlight w:val="none"/>
        </w:rPr>
        <w:t>签字或者盖章或者电子签名</w:t>
      </w:r>
      <w:r>
        <w:rPr>
          <w:rFonts w:hint="eastAsia"/>
          <w:color w:val="auto"/>
          <w:highlight w:val="none"/>
        </w:rPr>
        <w:t>）：</w:t>
      </w:r>
    </w:p>
    <w:p w14:paraId="1ACB4448">
      <w:pPr>
        <w:pageBreakBefore w:val="0"/>
        <w:kinsoku/>
        <w:topLinePunct w:val="0"/>
        <w:bidi w:val="0"/>
        <w:spacing w:before="60" w:after="60" w:line="360" w:lineRule="auto"/>
        <w:ind w:firstLine="4320" w:firstLineChars="1800"/>
        <w:contextualSpacing/>
        <w:rPr>
          <w:rFonts w:ascii="宋体" w:hAnsi="宋体" w:cs="宋体"/>
          <w:color w:val="auto"/>
          <w:sz w:val="24"/>
          <w:highlight w:val="none"/>
          <w:u w:val="single"/>
        </w:rPr>
      </w:pPr>
      <w:r>
        <w:rPr>
          <w:rFonts w:hint="eastAsia"/>
          <w:color w:val="auto"/>
          <w:sz w:val="24"/>
          <w:highlight w:val="none"/>
        </w:rPr>
        <w:t>供应商（电子签章）：</w:t>
      </w:r>
    </w:p>
    <w:p w14:paraId="679E8BBD">
      <w:pPr>
        <w:pStyle w:val="14"/>
        <w:pageBreakBefore w:val="0"/>
        <w:tabs>
          <w:tab w:val="left" w:pos="939"/>
        </w:tabs>
        <w:kinsoku/>
        <w:topLinePunct w:val="0"/>
        <w:bidi w:val="0"/>
        <w:spacing w:before="60" w:after="60" w:line="360" w:lineRule="auto"/>
        <w:ind w:left="0" w:leftChars="0" w:firstLine="480" w:firstLineChars="200"/>
        <w:jc w:val="right"/>
        <w:rPr>
          <w:color w:val="auto"/>
          <w:sz w:val="24"/>
          <w:highlight w:val="none"/>
        </w:rPr>
      </w:pPr>
      <w:r>
        <w:rPr>
          <w:rFonts w:hint="eastAsia"/>
          <w:color w:val="auto"/>
          <w:sz w:val="24"/>
          <w:highlight w:val="none"/>
        </w:rPr>
        <w:t xml:space="preserve"> 年    月    日</w:t>
      </w:r>
    </w:p>
    <w:p w14:paraId="3EB959E3">
      <w:pPr>
        <w:pStyle w:val="6"/>
        <w:pageBreakBefore w:val="0"/>
        <w:kinsoku/>
        <w:overflowPunct w:val="0"/>
        <w:topLinePunct w:val="0"/>
        <w:bidi w:val="0"/>
        <w:spacing w:before="60" w:after="60" w:line="360" w:lineRule="auto"/>
        <w:ind w:firstLine="0"/>
        <w:jc w:val="center"/>
        <w:rPr>
          <w:rFonts w:cs="方正小标宋简体" w:asciiTheme="minorEastAsia" w:hAnsiTheme="minorEastAsia" w:eastAsiaTheme="minorEastAsia"/>
          <w:color w:val="auto"/>
          <w:sz w:val="44"/>
          <w:szCs w:val="44"/>
          <w:highlight w:val="none"/>
        </w:rPr>
      </w:pPr>
      <w:r>
        <w:rPr>
          <w:rFonts w:hint="eastAsia"/>
          <w:color w:val="auto"/>
          <w:sz w:val="24"/>
          <w:highlight w:val="none"/>
        </w:rPr>
        <w:br w:type="page"/>
      </w:r>
      <w:r>
        <w:rPr>
          <w:rFonts w:hint="eastAsia" w:cs="方正小标宋简体" w:asciiTheme="minorEastAsia" w:hAnsiTheme="minorEastAsia" w:eastAsiaTheme="minorEastAsia"/>
          <w:color w:val="auto"/>
          <w:sz w:val="36"/>
          <w:szCs w:val="36"/>
          <w:highlight w:val="none"/>
        </w:rPr>
        <w:t>联合体竞标协议书</w:t>
      </w:r>
    </w:p>
    <w:p w14:paraId="11F65758">
      <w:pPr>
        <w:pStyle w:val="6"/>
        <w:pageBreakBefore w:val="0"/>
        <w:kinsoku/>
        <w:overflowPunct w:val="0"/>
        <w:topLinePunct w:val="0"/>
        <w:bidi w:val="0"/>
        <w:spacing w:before="60" w:after="60" w:line="360" w:lineRule="auto"/>
        <w:ind w:firstLine="0"/>
        <w:rPr>
          <w:rFonts w:ascii="宋体" w:hAnsi="宋体"/>
          <w:color w:val="auto"/>
          <w:sz w:val="24"/>
          <w:szCs w:val="24"/>
          <w:highlight w:val="none"/>
        </w:rPr>
      </w:pPr>
    </w:p>
    <w:p w14:paraId="21850B42">
      <w:pPr>
        <w:pStyle w:val="6"/>
        <w:pageBreakBefore w:val="0"/>
        <w:kinsoku/>
        <w:overflowPunct w:val="0"/>
        <w:topLinePunct w:val="0"/>
        <w:bidi w:val="0"/>
        <w:spacing w:before="60" w:after="60"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（所有成员单位名称）自愿组成（联合体名称）联合体，共同参加（项目名称）采购项目竞标。现就联合体竞标事宜订立如下协议。</w:t>
      </w:r>
    </w:p>
    <w:p w14:paraId="39562D6F">
      <w:pPr>
        <w:pStyle w:val="6"/>
        <w:pageBreakBefore w:val="0"/>
        <w:kinsoku/>
        <w:overflowPunct w:val="0"/>
        <w:topLinePunct w:val="0"/>
        <w:bidi w:val="0"/>
        <w:spacing w:before="60" w:after="60"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1</w:t>
      </w:r>
      <w:r>
        <w:rPr>
          <w:rFonts w:hint="eastAsia" w:ascii="宋体" w:hAnsi="宋体" w:cs="仿宋_GB2312"/>
          <w:color w:val="auto"/>
          <w:sz w:val="24"/>
          <w:szCs w:val="24"/>
          <w:highlight w:val="none"/>
          <w:lang w:eastAsia="zh-CN"/>
        </w:rPr>
        <w:t>.</w:t>
      </w:r>
      <w:r>
        <w:rPr>
          <w:rFonts w:hint="eastAsia" w:ascii="宋体" w:hAnsi="宋体" w:cs="仿宋_GB2312"/>
          <w:color w:val="auto"/>
          <w:sz w:val="24"/>
          <w:szCs w:val="24"/>
          <w:highlight w:val="none"/>
          <w:u w:val="single"/>
        </w:rPr>
        <w:tab/>
      </w:r>
      <w:r>
        <w:rPr>
          <w:rFonts w:hint="eastAsia" w:ascii="宋体" w:hAnsi="宋体" w:cs="仿宋_GB2312"/>
          <w:color w:val="auto"/>
          <w:sz w:val="24"/>
          <w:szCs w:val="24"/>
          <w:highlight w:val="none"/>
        </w:rPr>
        <w:t>（某成员单位名称）为（联合体名称）牵头人。</w:t>
      </w:r>
    </w:p>
    <w:p w14:paraId="50ECF4E8">
      <w:pPr>
        <w:pStyle w:val="6"/>
        <w:pageBreakBefore w:val="0"/>
        <w:kinsoku/>
        <w:overflowPunct w:val="0"/>
        <w:topLinePunct w:val="0"/>
        <w:bidi w:val="0"/>
        <w:spacing w:before="60" w:after="60"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2</w:t>
      </w:r>
      <w:r>
        <w:rPr>
          <w:rFonts w:hint="eastAsia" w:ascii="宋体" w:hAnsi="宋体" w:cs="仿宋_GB2312"/>
          <w:color w:val="auto"/>
          <w:sz w:val="24"/>
          <w:szCs w:val="24"/>
          <w:highlight w:val="none"/>
          <w:lang w:eastAsia="zh-CN"/>
        </w:rPr>
        <w:t>.</w:t>
      </w:r>
      <w:r>
        <w:rPr>
          <w:rFonts w:hint="eastAsia" w:ascii="宋体" w:hAnsi="宋体" w:cs="仿宋_GB2312"/>
          <w:color w:val="auto"/>
          <w:sz w:val="24"/>
          <w:szCs w:val="24"/>
          <w:highlight w:val="none"/>
        </w:rPr>
        <w:t>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14:paraId="64964E9E">
      <w:pPr>
        <w:pStyle w:val="6"/>
        <w:pageBreakBefore w:val="0"/>
        <w:kinsoku/>
        <w:overflowPunct w:val="0"/>
        <w:topLinePunct w:val="0"/>
        <w:bidi w:val="0"/>
        <w:spacing w:before="60" w:after="60"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3</w:t>
      </w:r>
      <w:r>
        <w:rPr>
          <w:rFonts w:hint="eastAsia" w:ascii="宋体" w:hAnsi="宋体" w:cs="仿宋_GB2312"/>
          <w:color w:val="auto"/>
          <w:sz w:val="24"/>
          <w:szCs w:val="24"/>
          <w:highlight w:val="none"/>
          <w:lang w:eastAsia="zh-CN"/>
        </w:rPr>
        <w:t>.</w:t>
      </w:r>
      <w:r>
        <w:rPr>
          <w:rFonts w:hint="eastAsia" w:ascii="宋体" w:hAnsi="宋体" w:cs="仿宋_GB2312"/>
          <w:color w:val="auto"/>
          <w:sz w:val="24"/>
          <w:szCs w:val="24"/>
          <w:highlight w:val="none"/>
        </w:rPr>
        <w:t>联合体牵头人在本项目中签署和盖章的一切文件和处理的一切事宜，联合体各成员均予以承认。联合体各成员将严格按照磋商文件、响应文件和合同的要求全面履行义务，并向采购人承担连带责任。</w:t>
      </w:r>
    </w:p>
    <w:p w14:paraId="35305A73">
      <w:pPr>
        <w:pStyle w:val="6"/>
        <w:pageBreakBefore w:val="0"/>
        <w:kinsoku/>
        <w:overflowPunct w:val="0"/>
        <w:topLinePunct w:val="0"/>
        <w:bidi w:val="0"/>
        <w:spacing w:before="60" w:after="60"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4</w:t>
      </w:r>
      <w:r>
        <w:rPr>
          <w:rFonts w:hint="eastAsia" w:ascii="宋体" w:hAnsi="宋体" w:cs="仿宋_GB2312"/>
          <w:color w:val="auto"/>
          <w:sz w:val="24"/>
          <w:szCs w:val="24"/>
          <w:highlight w:val="none"/>
          <w:lang w:eastAsia="zh-CN"/>
        </w:rPr>
        <w:t>.</w:t>
      </w:r>
      <w:r>
        <w:rPr>
          <w:rFonts w:hint="eastAsia" w:ascii="宋体" w:hAnsi="宋体" w:cs="仿宋_GB2312"/>
          <w:color w:val="auto"/>
          <w:sz w:val="24"/>
          <w:szCs w:val="24"/>
          <w:highlight w:val="none"/>
        </w:rPr>
        <w:t>联合体各成员单位内部的职责分工如下：。</w:t>
      </w:r>
    </w:p>
    <w:p w14:paraId="21C8F2C2">
      <w:pPr>
        <w:pStyle w:val="6"/>
        <w:pageBreakBefore w:val="0"/>
        <w:kinsoku/>
        <w:overflowPunct w:val="0"/>
        <w:topLinePunct w:val="0"/>
        <w:bidi w:val="0"/>
        <w:spacing w:before="60" w:after="60"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5</w:t>
      </w:r>
      <w:r>
        <w:rPr>
          <w:rFonts w:hint="eastAsia" w:ascii="宋体" w:hAnsi="宋体" w:cs="仿宋_GB2312"/>
          <w:color w:val="auto"/>
          <w:sz w:val="24"/>
          <w:szCs w:val="24"/>
          <w:highlight w:val="none"/>
          <w:lang w:eastAsia="zh-CN"/>
        </w:rPr>
        <w:t>.</w:t>
      </w:r>
      <w:r>
        <w:rPr>
          <w:rFonts w:hint="eastAsia" w:ascii="宋体" w:hAnsi="宋体" w:cs="仿宋_GB2312"/>
          <w:color w:val="auto"/>
          <w:sz w:val="24"/>
          <w:szCs w:val="24"/>
          <w:highlight w:val="none"/>
        </w:rPr>
        <w:t>本</w:t>
      </w:r>
      <w:r>
        <w:rPr>
          <w:rFonts w:hint="eastAsia" w:ascii="宋体" w:hAnsi="宋体" w:cs="仿宋_GB2312"/>
          <w:color w:val="auto"/>
          <w:spacing w:val="-6"/>
          <w:sz w:val="24"/>
          <w:szCs w:val="24"/>
          <w:highlight w:val="none"/>
        </w:rPr>
        <w:t>协议书自所有成员单位法定代表人（单位负责人）或者其委托代理人签字或者盖单位章之日起生效，合同履行完毕后自动失效。</w:t>
      </w:r>
    </w:p>
    <w:p w14:paraId="36A56CC8">
      <w:pPr>
        <w:pStyle w:val="6"/>
        <w:pageBreakBefore w:val="0"/>
        <w:kinsoku/>
        <w:overflowPunct w:val="0"/>
        <w:topLinePunct w:val="0"/>
        <w:bidi w:val="0"/>
        <w:spacing w:before="60" w:after="60"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6</w:t>
      </w:r>
      <w:r>
        <w:rPr>
          <w:rFonts w:hint="eastAsia" w:ascii="宋体" w:hAnsi="宋体" w:cs="仿宋_GB2312"/>
          <w:color w:val="auto"/>
          <w:sz w:val="24"/>
          <w:szCs w:val="24"/>
          <w:highlight w:val="none"/>
          <w:lang w:eastAsia="zh-CN"/>
        </w:rPr>
        <w:t>.</w:t>
      </w:r>
      <w:r>
        <w:rPr>
          <w:rFonts w:hint="eastAsia" w:ascii="宋体" w:hAnsi="宋体" w:cs="仿宋_GB2312"/>
          <w:color w:val="auto"/>
          <w:sz w:val="24"/>
          <w:szCs w:val="24"/>
          <w:highlight w:val="none"/>
        </w:rPr>
        <w:t>本协议书一式</w:t>
      </w:r>
      <w:r>
        <w:rPr>
          <w:rFonts w:hint="eastAsia" w:ascii="宋体" w:hAnsi="宋体" w:cs="仿宋_GB2312"/>
          <w:color w:val="auto"/>
          <w:sz w:val="24"/>
          <w:szCs w:val="24"/>
          <w:highlight w:val="none"/>
          <w:u w:val="single"/>
        </w:rPr>
        <w:tab/>
      </w:r>
      <w:r>
        <w:rPr>
          <w:rFonts w:hint="eastAsia" w:ascii="宋体" w:hAnsi="宋体" w:cs="仿宋_GB2312"/>
          <w:color w:val="auto"/>
          <w:sz w:val="24"/>
          <w:szCs w:val="24"/>
          <w:highlight w:val="none"/>
        </w:rPr>
        <w:t>份，联合体成员和采购人各执一份。</w:t>
      </w:r>
    </w:p>
    <w:p w14:paraId="4DFDEFB0">
      <w:pPr>
        <w:pStyle w:val="6"/>
        <w:pageBreakBefore w:val="0"/>
        <w:kinsoku/>
        <w:overflowPunct w:val="0"/>
        <w:topLinePunct w:val="0"/>
        <w:bidi w:val="0"/>
        <w:spacing w:before="60" w:after="60"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注：本协议书应附法定代表人身份证明书；有委托代理的，应</w:t>
      </w:r>
      <w:r>
        <w:rPr>
          <w:rFonts w:hint="eastAsia" w:ascii="宋体" w:hAnsi="宋体" w:cs="仿宋_GB2312"/>
          <w:color w:val="auto"/>
          <w:sz w:val="24"/>
          <w:szCs w:val="24"/>
          <w:highlight w:val="none"/>
          <w:lang w:eastAsia="zh-CN"/>
        </w:rPr>
        <w:t>附</w:t>
      </w:r>
      <w:r>
        <w:rPr>
          <w:rFonts w:hint="eastAsia" w:ascii="宋体" w:hAnsi="宋体" w:cs="仿宋_GB2312"/>
          <w:color w:val="auto"/>
          <w:sz w:val="24"/>
          <w:szCs w:val="24"/>
          <w:highlight w:val="none"/>
        </w:rPr>
        <w:t>委托书（格式自拟）。</w:t>
      </w:r>
    </w:p>
    <w:p w14:paraId="7B935300">
      <w:pPr>
        <w:pStyle w:val="6"/>
        <w:pageBreakBefore w:val="0"/>
        <w:kinsoku/>
        <w:overflowPunct w:val="0"/>
        <w:topLinePunct w:val="0"/>
        <w:bidi w:val="0"/>
        <w:spacing w:before="60" w:after="60" w:line="360" w:lineRule="auto"/>
        <w:ind w:firstLineChars="175"/>
        <w:contextualSpacing/>
        <w:rPr>
          <w:rFonts w:ascii="宋体" w:hAnsi="宋体" w:cs="仿宋_GB2312"/>
          <w:color w:val="auto"/>
          <w:sz w:val="24"/>
          <w:szCs w:val="24"/>
          <w:highlight w:val="none"/>
        </w:rPr>
      </w:pPr>
    </w:p>
    <w:p w14:paraId="6472FB09">
      <w:pPr>
        <w:pStyle w:val="6"/>
        <w:pageBreakBefore w:val="0"/>
        <w:kinsoku/>
        <w:overflowPunct w:val="0"/>
        <w:topLinePunct w:val="0"/>
        <w:bidi w:val="0"/>
        <w:spacing w:before="60" w:after="60"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联合体牵头人名称（电子签章）：</w:t>
      </w:r>
    </w:p>
    <w:p w14:paraId="7CDE0C5A">
      <w:pPr>
        <w:pStyle w:val="6"/>
        <w:pageBreakBefore w:val="0"/>
        <w:kinsoku/>
        <w:overflowPunct w:val="0"/>
        <w:topLinePunct w:val="0"/>
        <w:bidi w:val="0"/>
        <w:spacing w:before="60" w:after="60"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法定代表人或者其委托代理人（签字或者电子签名）：</w:t>
      </w:r>
    </w:p>
    <w:p w14:paraId="21BA747B">
      <w:pPr>
        <w:pStyle w:val="6"/>
        <w:pageBreakBefore w:val="0"/>
        <w:kinsoku/>
        <w:overflowPunct w:val="0"/>
        <w:topLinePunct w:val="0"/>
        <w:bidi w:val="0"/>
        <w:spacing w:before="60" w:after="60" w:line="360" w:lineRule="auto"/>
        <w:ind w:firstLine="0"/>
        <w:contextualSpacing/>
        <w:rPr>
          <w:rFonts w:ascii="宋体" w:hAnsi="宋体" w:cs="仿宋_GB2312"/>
          <w:color w:val="auto"/>
          <w:sz w:val="24"/>
          <w:szCs w:val="24"/>
          <w:highlight w:val="none"/>
        </w:rPr>
      </w:pPr>
    </w:p>
    <w:p w14:paraId="3E778A2B">
      <w:pPr>
        <w:pStyle w:val="6"/>
        <w:pageBreakBefore w:val="0"/>
        <w:kinsoku/>
        <w:overflowPunct w:val="0"/>
        <w:topLinePunct w:val="0"/>
        <w:bidi w:val="0"/>
        <w:spacing w:before="60" w:after="60"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联合体成员名称（盖公章或者电子签章）：</w:t>
      </w:r>
    </w:p>
    <w:p w14:paraId="1D937CFF">
      <w:pPr>
        <w:pStyle w:val="6"/>
        <w:pageBreakBefore w:val="0"/>
        <w:kinsoku/>
        <w:overflowPunct w:val="0"/>
        <w:topLinePunct w:val="0"/>
        <w:bidi w:val="0"/>
        <w:spacing w:before="60" w:after="60"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法定代表人或者其委托代理人（签字或者电子签名）：</w:t>
      </w:r>
    </w:p>
    <w:p w14:paraId="534A08B5">
      <w:pPr>
        <w:pStyle w:val="6"/>
        <w:pageBreakBefore w:val="0"/>
        <w:kinsoku/>
        <w:overflowPunct w:val="0"/>
        <w:topLinePunct w:val="0"/>
        <w:bidi w:val="0"/>
        <w:spacing w:before="60" w:after="60" w:line="360" w:lineRule="auto"/>
        <w:ind w:firstLine="0"/>
        <w:contextualSpacing/>
        <w:rPr>
          <w:rFonts w:ascii="宋体" w:hAnsi="宋体" w:cs="仿宋_GB2312"/>
          <w:color w:val="auto"/>
          <w:sz w:val="24"/>
          <w:szCs w:val="24"/>
          <w:highlight w:val="none"/>
        </w:rPr>
      </w:pPr>
    </w:p>
    <w:p w14:paraId="70F917F0">
      <w:pPr>
        <w:pStyle w:val="6"/>
        <w:pageBreakBefore w:val="0"/>
        <w:kinsoku/>
        <w:overflowPunct w:val="0"/>
        <w:topLinePunct w:val="0"/>
        <w:bidi w:val="0"/>
        <w:spacing w:before="60" w:after="60"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联合体成员名称（盖公章或者电子签章）：</w:t>
      </w:r>
    </w:p>
    <w:p w14:paraId="4DEED015">
      <w:pPr>
        <w:pStyle w:val="6"/>
        <w:pageBreakBefore w:val="0"/>
        <w:kinsoku/>
        <w:overflowPunct w:val="0"/>
        <w:topLinePunct w:val="0"/>
        <w:bidi w:val="0"/>
        <w:spacing w:before="60" w:after="60"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法定代表人或者其委托代理人（签字或者电子签名）：</w:t>
      </w:r>
    </w:p>
    <w:p w14:paraId="7E6AA663">
      <w:pPr>
        <w:pStyle w:val="6"/>
        <w:pageBreakBefore w:val="0"/>
        <w:kinsoku/>
        <w:overflowPunct w:val="0"/>
        <w:topLinePunct w:val="0"/>
        <w:bidi w:val="0"/>
        <w:spacing w:before="60" w:after="60"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w:t>
      </w:r>
    </w:p>
    <w:p w14:paraId="7BAA3256">
      <w:pPr>
        <w:pageBreakBefore w:val="0"/>
        <w:kinsoku/>
        <w:topLinePunct w:val="0"/>
        <w:bidi w:val="0"/>
        <w:spacing w:before="60" w:after="60" w:line="360" w:lineRule="auto"/>
        <w:ind w:right="480" w:firstLine="240" w:firstLineChars="100"/>
        <w:contextualSpacing/>
        <w:jc w:val="center"/>
        <w:rPr>
          <w:rFonts w:ascii="宋体" w:hAnsi="宋体" w:cs="仿宋_GB2312"/>
          <w:color w:val="auto"/>
          <w:sz w:val="24"/>
          <w:highlight w:val="none"/>
        </w:rPr>
      </w:pPr>
    </w:p>
    <w:p w14:paraId="00C240C3">
      <w:pPr>
        <w:pageBreakBefore w:val="0"/>
        <w:kinsoku/>
        <w:topLinePunct w:val="0"/>
        <w:bidi w:val="0"/>
        <w:spacing w:before="60" w:after="60" w:line="360" w:lineRule="auto"/>
        <w:ind w:right="480" w:firstLine="240" w:firstLineChars="100"/>
        <w:contextualSpacing/>
        <w:jc w:val="center"/>
        <w:rPr>
          <w:rFonts w:ascii="宋体" w:hAnsi="宋体"/>
          <w:b/>
          <w:bCs/>
          <w:color w:val="auto"/>
          <w:sz w:val="32"/>
          <w:szCs w:val="32"/>
          <w:highlight w:val="none"/>
        </w:rPr>
      </w:pPr>
      <w:r>
        <w:rPr>
          <w:rFonts w:hint="eastAsia" w:ascii="宋体" w:hAnsi="宋体" w:cs="仿宋_GB2312"/>
          <w:color w:val="auto"/>
          <w:sz w:val="24"/>
          <w:highlight w:val="none"/>
        </w:rPr>
        <w:t xml:space="preserve">                                                年  </w:t>
      </w:r>
      <w:r>
        <w:rPr>
          <w:rFonts w:hint="eastAsia" w:ascii="宋体" w:hAnsi="宋体" w:cs="仿宋_GB2312"/>
          <w:color w:val="auto"/>
          <w:sz w:val="24"/>
          <w:highlight w:val="none"/>
        </w:rPr>
        <w:tab/>
      </w:r>
      <w:r>
        <w:rPr>
          <w:rFonts w:hint="eastAsia" w:ascii="宋体" w:hAnsi="宋体" w:cs="仿宋_GB2312"/>
          <w:color w:val="auto"/>
          <w:sz w:val="24"/>
          <w:highlight w:val="none"/>
        </w:rPr>
        <w:t xml:space="preserve">月  </w:t>
      </w:r>
      <w:r>
        <w:rPr>
          <w:rFonts w:hint="eastAsia" w:ascii="宋体" w:hAnsi="宋体" w:cs="仿宋_GB2312"/>
          <w:color w:val="auto"/>
          <w:sz w:val="24"/>
          <w:highlight w:val="none"/>
        </w:rPr>
        <w:tab/>
      </w:r>
      <w:r>
        <w:rPr>
          <w:rFonts w:hint="eastAsia" w:ascii="宋体" w:hAnsi="宋体" w:cs="仿宋_GB2312"/>
          <w:color w:val="auto"/>
          <w:sz w:val="24"/>
          <w:highlight w:val="none"/>
        </w:rPr>
        <w:t>日</w:t>
      </w:r>
    </w:p>
    <w:p w14:paraId="562634D0">
      <w:pPr>
        <w:pageBreakBefore w:val="0"/>
        <w:kinsoku/>
        <w:topLinePunct w:val="0"/>
        <w:bidi w:val="0"/>
        <w:spacing w:before="60" w:after="60" w:line="360" w:lineRule="auto"/>
        <w:ind w:right="420"/>
        <w:contextualSpacing/>
        <w:jc w:val="left"/>
        <w:rPr>
          <w:rFonts w:ascii="宋体" w:hAnsi="宋体"/>
          <w:b/>
          <w:color w:val="auto"/>
          <w:sz w:val="32"/>
          <w:szCs w:val="32"/>
          <w:highlight w:val="none"/>
        </w:rPr>
      </w:pPr>
      <w:r>
        <w:rPr>
          <w:rFonts w:ascii="宋体" w:hAnsi="宋体"/>
          <w:b/>
          <w:bCs/>
          <w:color w:val="auto"/>
          <w:sz w:val="32"/>
          <w:szCs w:val="32"/>
          <w:highlight w:val="none"/>
        </w:rPr>
        <w:br w:type="page"/>
      </w: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727A361E">
      <w:pPr>
        <w:pageBreakBefore w:val="0"/>
        <w:kinsoku/>
        <w:topLinePunct w:val="0"/>
        <w:bidi w:val="0"/>
        <w:snapToGrid w:val="0"/>
        <w:spacing w:before="60" w:after="60" w:line="360" w:lineRule="auto"/>
        <w:jc w:val="left"/>
        <w:rPr>
          <w:rFonts w:ascii="宋体" w:hAnsi="宋体"/>
          <w:b/>
          <w:color w:val="auto"/>
          <w:sz w:val="32"/>
          <w:szCs w:val="32"/>
          <w:highlight w:val="none"/>
        </w:rPr>
      </w:pPr>
      <w:r>
        <w:rPr>
          <w:rFonts w:hint="eastAsia" w:ascii="宋体" w:hAnsi="宋体"/>
          <w:b/>
          <w:color w:val="auto"/>
          <w:sz w:val="32"/>
          <w:szCs w:val="32"/>
          <w:highlight w:val="none"/>
        </w:rPr>
        <w:t>1</w:t>
      </w:r>
      <w:r>
        <w:rPr>
          <w:rFonts w:hint="eastAsia" w:ascii="宋体" w:hAnsi="宋体"/>
          <w:b/>
          <w:color w:val="auto"/>
          <w:sz w:val="32"/>
          <w:szCs w:val="32"/>
          <w:highlight w:val="none"/>
          <w:lang w:eastAsia="zh-CN"/>
        </w:rPr>
        <w:t>.</w:t>
      </w:r>
      <w:r>
        <w:rPr>
          <w:rFonts w:hint="eastAsia" w:ascii="宋体" w:hAnsi="宋体"/>
          <w:b/>
          <w:color w:val="auto"/>
          <w:sz w:val="32"/>
          <w:szCs w:val="32"/>
          <w:highlight w:val="none"/>
        </w:rPr>
        <w:t>报价文件封面格式</w:t>
      </w:r>
    </w:p>
    <w:p w14:paraId="76DBBD17">
      <w:pPr>
        <w:pageBreakBefore w:val="0"/>
        <w:kinsoku/>
        <w:topLinePunct w:val="0"/>
        <w:bidi w:val="0"/>
        <w:snapToGrid w:val="0"/>
        <w:spacing w:before="60" w:after="60" w:line="360" w:lineRule="auto"/>
        <w:rPr>
          <w:rFonts w:ascii="宋体" w:hAnsi="宋体"/>
          <w:bCs/>
          <w:color w:val="auto"/>
          <w:sz w:val="32"/>
          <w:szCs w:val="20"/>
          <w:highlight w:val="none"/>
        </w:rPr>
      </w:pPr>
    </w:p>
    <w:p w14:paraId="0B44FF8C">
      <w:pPr>
        <w:pageBreakBefore w:val="0"/>
        <w:kinsoku/>
        <w:topLinePunct w:val="0"/>
        <w:bidi w:val="0"/>
        <w:snapToGrid w:val="0"/>
        <w:spacing w:before="60" w:after="60" w:line="360" w:lineRule="auto"/>
        <w:jc w:val="center"/>
        <w:rPr>
          <w:rFonts w:ascii="宋体" w:hAnsi="宋体"/>
          <w:color w:val="auto"/>
          <w:sz w:val="24"/>
          <w:szCs w:val="20"/>
          <w:highlight w:val="none"/>
        </w:rPr>
      </w:pPr>
      <w:r>
        <w:rPr>
          <w:rFonts w:hint="eastAsia" w:ascii="宋体" w:hAnsi="宋体"/>
          <w:color w:val="auto"/>
          <w:sz w:val="44"/>
          <w:szCs w:val="44"/>
          <w:highlight w:val="none"/>
        </w:rPr>
        <w:t>电 子 响 应 文 件</w:t>
      </w:r>
    </w:p>
    <w:p w14:paraId="72C45C2D">
      <w:pPr>
        <w:pageBreakBefore w:val="0"/>
        <w:kinsoku/>
        <w:topLinePunct w:val="0"/>
        <w:bidi w:val="0"/>
        <w:snapToGrid w:val="0"/>
        <w:spacing w:before="60" w:after="60" w:line="360" w:lineRule="auto"/>
        <w:rPr>
          <w:rFonts w:ascii="宋体" w:hAnsi="宋体"/>
          <w:color w:val="auto"/>
          <w:sz w:val="24"/>
          <w:szCs w:val="20"/>
          <w:highlight w:val="none"/>
        </w:rPr>
      </w:pPr>
    </w:p>
    <w:p w14:paraId="742B0CD2">
      <w:pPr>
        <w:pageBreakBefore w:val="0"/>
        <w:kinsoku/>
        <w:topLinePunct w:val="0"/>
        <w:bidi w:val="0"/>
        <w:snapToGrid w:val="0"/>
        <w:spacing w:before="60" w:after="60" w:line="360" w:lineRule="auto"/>
        <w:rPr>
          <w:rFonts w:ascii="宋体" w:hAnsi="宋体"/>
          <w:color w:val="auto"/>
          <w:sz w:val="24"/>
          <w:szCs w:val="20"/>
          <w:highlight w:val="none"/>
        </w:rPr>
      </w:pPr>
    </w:p>
    <w:p w14:paraId="4EA54B33">
      <w:pPr>
        <w:pageBreakBefore w:val="0"/>
        <w:kinsoku/>
        <w:topLinePunct w:val="0"/>
        <w:bidi w:val="0"/>
        <w:snapToGrid w:val="0"/>
        <w:spacing w:before="60" w:after="60" w:line="360" w:lineRule="auto"/>
        <w:jc w:val="center"/>
        <w:rPr>
          <w:rFonts w:cs="方正小标宋简体" w:asciiTheme="minorEastAsia" w:hAnsiTheme="minorEastAsia" w:eastAsiaTheme="minorEastAsia"/>
          <w:bCs/>
          <w:color w:val="auto"/>
          <w:sz w:val="44"/>
          <w:szCs w:val="44"/>
          <w:highlight w:val="none"/>
        </w:rPr>
      </w:pPr>
      <w:r>
        <w:rPr>
          <w:rFonts w:hint="eastAsia" w:cs="方正小标宋简体" w:asciiTheme="minorEastAsia" w:hAnsiTheme="minorEastAsia" w:eastAsiaTheme="minorEastAsia"/>
          <w:bCs/>
          <w:color w:val="auto"/>
          <w:sz w:val="44"/>
          <w:szCs w:val="44"/>
          <w:highlight w:val="none"/>
        </w:rPr>
        <w:t>报  价  文  件</w:t>
      </w:r>
    </w:p>
    <w:p w14:paraId="54095CA4">
      <w:pPr>
        <w:pageBreakBefore w:val="0"/>
        <w:kinsoku/>
        <w:topLinePunct w:val="0"/>
        <w:bidi w:val="0"/>
        <w:snapToGrid w:val="0"/>
        <w:spacing w:before="60" w:after="60" w:line="360" w:lineRule="auto"/>
        <w:rPr>
          <w:rFonts w:ascii="宋体" w:hAnsi="宋体"/>
          <w:bCs/>
          <w:color w:val="auto"/>
          <w:sz w:val="24"/>
          <w:szCs w:val="20"/>
          <w:highlight w:val="none"/>
        </w:rPr>
      </w:pPr>
    </w:p>
    <w:p w14:paraId="007EF737">
      <w:pPr>
        <w:pageBreakBefore w:val="0"/>
        <w:kinsoku/>
        <w:topLinePunct w:val="0"/>
        <w:bidi w:val="0"/>
        <w:snapToGrid w:val="0"/>
        <w:spacing w:before="60" w:after="60" w:line="360" w:lineRule="auto"/>
        <w:rPr>
          <w:rFonts w:ascii="宋体" w:hAnsi="宋体"/>
          <w:bCs/>
          <w:color w:val="auto"/>
          <w:sz w:val="24"/>
          <w:szCs w:val="20"/>
          <w:highlight w:val="none"/>
        </w:rPr>
      </w:pPr>
    </w:p>
    <w:p w14:paraId="6CE10AAD">
      <w:pPr>
        <w:pageBreakBefore w:val="0"/>
        <w:kinsoku/>
        <w:topLinePunct w:val="0"/>
        <w:bidi w:val="0"/>
        <w:snapToGrid w:val="0"/>
        <w:spacing w:before="60" w:after="60" w:line="360" w:lineRule="auto"/>
        <w:rPr>
          <w:rFonts w:ascii="宋体" w:hAnsi="宋体"/>
          <w:bCs/>
          <w:color w:val="auto"/>
          <w:sz w:val="24"/>
          <w:szCs w:val="20"/>
          <w:highlight w:val="none"/>
        </w:rPr>
      </w:pPr>
    </w:p>
    <w:p w14:paraId="3949EC93">
      <w:pPr>
        <w:pageBreakBefore w:val="0"/>
        <w:kinsoku/>
        <w:topLinePunct w:val="0"/>
        <w:bidi w:val="0"/>
        <w:snapToGrid w:val="0"/>
        <w:spacing w:before="60" w:after="60" w:line="360" w:lineRule="auto"/>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08BB47EE">
      <w:pPr>
        <w:pageBreakBefore w:val="0"/>
        <w:kinsoku/>
        <w:topLinePunct w:val="0"/>
        <w:bidi w:val="0"/>
        <w:snapToGrid w:val="0"/>
        <w:spacing w:before="60" w:after="60" w:line="360" w:lineRule="auto"/>
        <w:ind w:firstLine="720" w:firstLineChars="225"/>
        <w:rPr>
          <w:rFonts w:ascii="宋体" w:hAnsi="宋体" w:cs="仿宋_GB2312"/>
          <w:bCs/>
          <w:color w:val="auto"/>
          <w:sz w:val="32"/>
          <w:szCs w:val="32"/>
          <w:highlight w:val="none"/>
        </w:rPr>
      </w:pPr>
    </w:p>
    <w:p w14:paraId="6020DA80">
      <w:pPr>
        <w:pageBreakBefore w:val="0"/>
        <w:kinsoku/>
        <w:topLinePunct w:val="0"/>
        <w:bidi w:val="0"/>
        <w:snapToGrid w:val="0"/>
        <w:spacing w:before="60" w:after="60" w:line="360" w:lineRule="auto"/>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778D8609">
      <w:pPr>
        <w:pageBreakBefore w:val="0"/>
        <w:kinsoku/>
        <w:topLinePunct w:val="0"/>
        <w:bidi w:val="0"/>
        <w:snapToGrid w:val="0"/>
        <w:spacing w:before="60" w:after="60" w:line="360" w:lineRule="auto"/>
        <w:ind w:firstLine="720" w:firstLineChars="225"/>
        <w:rPr>
          <w:rFonts w:ascii="宋体" w:hAnsi="宋体" w:cs="仿宋_GB2312"/>
          <w:bCs/>
          <w:color w:val="auto"/>
          <w:sz w:val="32"/>
          <w:szCs w:val="32"/>
          <w:highlight w:val="none"/>
        </w:rPr>
      </w:pPr>
    </w:p>
    <w:p w14:paraId="6C8619B6">
      <w:pPr>
        <w:pageBreakBefore w:val="0"/>
        <w:kinsoku/>
        <w:topLinePunct w:val="0"/>
        <w:bidi w:val="0"/>
        <w:snapToGrid w:val="0"/>
        <w:spacing w:before="60" w:after="60" w:line="360" w:lineRule="auto"/>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3AAD53F7">
      <w:pPr>
        <w:pageBreakBefore w:val="0"/>
        <w:kinsoku/>
        <w:topLinePunct w:val="0"/>
        <w:bidi w:val="0"/>
        <w:snapToGrid w:val="0"/>
        <w:spacing w:before="60" w:after="60" w:line="360" w:lineRule="auto"/>
        <w:ind w:firstLine="720" w:firstLineChars="225"/>
        <w:rPr>
          <w:rFonts w:ascii="宋体" w:hAnsi="宋体" w:cs="仿宋_GB2312"/>
          <w:bCs/>
          <w:color w:val="auto"/>
          <w:sz w:val="32"/>
          <w:szCs w:val="32"/>
          <w:highlight w:val="none"/>
        </w:rPr>
      </w:pPr>
    </w:p>
    <w:p w14:paraId="28424E6E">
      <w:pPr>
        <w:pStyle w:val="6"/>
        <w:pageBreakBefore w:val="0"/>
        <w:kinsoku/>
        <w:topLinePunct w:val="0"/>
        <w:bidi w:val="0"/>
        <w:snapToGrid w:val="0"/>
        <w:spacing w:before="60" w:after="60" w:line="360" w:lineRule="auto"/>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33D81C73">
      <w:pPr>
        <w:pStyle w:val="6"/>
        <w:pageBreakBefore w:val="0"/>
        <w:kinsoku/>
        <w:topLinePunct w:val="0"/>
        <w:bidi w:val="0"/>
        <w:snapToGrid w:val="0"/>
        <w:spacing w:before="60" w:after="60" w:line="360" w:lineRule="auto"/>
        <w:ind w:firstLine="640" w:firstLineChars="200"/>
        <w:rPr>
          <w:rFonts w:ascii="宋体" w:hAnsi="宋体" w:cs="仿宋_GB2312"/>
          <w:bCs/>
          <w:color w:val="auto"/>
          <w:sz w:val="32"/>
          <w:szCs w:val="32"/>
          <w:highlight w:val="none"/>
        </w:rPr>
      </w:pPr>
    </w:p>
    <w:p w14:paraId="21716B06">
      <w:pPr>
        <w:pStyle w:val="6"/>
        <w:pageBreakBefore w:val="0"/>
        <w:kinsoku/>
        <w:topLinePunct w:val="0"/>
        <w:bidi w:val="0"/>
        <w:snapToGrid w:val="0"/>
        <w:spacing w:before="60" w:after="60" w:line="360" w:lineRule="auto"/>
        <w:ind w:firstLine="1280" w:firstLineChars="400"/>
        <w:rPr>
          <w:rFonts w:ascii="宋体" w:hAnsi="宋体" w:cs="仿宋_GB2312"/>
          <w:bCs/>
          <w:color w:val="auto"/>
          <w:sz w:val="32"/>
          <w:szCs w:val="32"/>
          <w:highlight w:val="none"/>
        </w:rPr>
      </w:pPr>
    </w:p>
    <w:p w14:paraId="3BC768E3">
      <w:pPr>
        <w:pageBreakBefore w:val="0"/>
        <w:kinsoku/>
        <w:topLinePunct w:val="0"/>
        <w:bidi w:val="0"/>
        <w:snapToGrid w:val="0"/>
        <w:spacing w:before="60" w:after="60" w:line="360" w:lineRule="auto"/>
        <w:jc w:val="center"/>
        <w:rPr>
          <w:rFonts w:ascii="宋体" w:hAnsi="宋体"/>
          <w:b/>
          <w:bCs/>
          <w:color w:val="auto"/>
          <w:sz w:val="24"/>
          <w:highlight w:val="none"/>
        </w:rPr>
      </w:pPr>
      <w:r>
        <w:rPr>
          <w:rFonts w:hint="eastAsia" w:ascii="宋体" w:hAnsi="宋体" w:cs="仿宋_GB2312"/>
          <w:color w:val="auto"/>
          <w:sz w:val="32"/>
          <w:szCs w:val="32"/>
          <w:highlight w:val="none"/>
        </w:rPr>
        <w:t>年    月    日</w:t>
      </w:r>
      <w:r>
        <w:rPr>
          <w:rFonts w:hint="eastAsia" w:ascii="宋体" w:hAnsi="宋体"/>
          <w:color w:val="auto"/>
          <w:szCs w:val="21"/>
          <w:highlight w:val="none"/>
        </w:rPr>
        <w:br w:type="page"/>
      </w:r>
      <w:r>
        <w:rPr>
          <w:rFonts w:hint="eastAsia" w:ascii="宋体" w:hAnsi="宋体"/>
          <w:b/>
          <w:bCs/>
          <w:color w:val="auto"/>
          <w:sz w:val="32"/>
          <w:szCs w:val="32"/>
          <w:highlight w:val="none"/>
        </w:rPr>
        <w:t>2</w:t>
      </w:r>
      <w:r>
        <w:rPr>
          <w:rFonts w:hint="eastAsia" w:ascii="宋体" w:hAnsi="宋体"/>
          <w:b/>
          <w:bCs/>
          <w:color w:val="auto"/>
          <w:sz w:val="32"/>
          <w:szCs w:val="32"/>
          <w:highlight w:val="none"/>
          <w:lang w:eastAsia="zh-CN"/>
        </w:rPr>
        <w:t>.</w:t>
      </w:r>
      <w:r>
        <w:rPr>
          <w:rFonts w:hint="eastAsia" w:ascii="宋体" w:hAnsi="宋体"/>
          <w:b/>
          <w:bCs/>
          <w:color w:val="auto"/>
          <w:sz w:val="32"/>
          <w:szCs w:val="32"/>
          <w:highlight w:val="none"/>
        </w:rPr>
        <w:t>报价文件目录</w:t>
      </w:r>
    </w:p>
    <w:p w14:paraId="6BA94655">
      <w:pPr>
        <w:pageBreakBefore w:val="0"/>
        <w:kinsoku/>
        <w:topLinePunct w:val="0"/>
        <w:bidi w:val="0"/>
        <w:spacing w:before="60" w:after="60" w:line="360" w:lineRule="auto"/>
        <w:jc w:val="left"/>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00EC4F4E">
      <w:pPr>
        <w:pageBreakBefore w:val="0"/>
        <w:kinsoku/>
        <w:topLinePunct w:val="0"/>
        <w:bidi w:val="0"/>
        <w:spacing w:before="60" w:after="60" w:line="360" w:lineRule="auto"/>
        <w:jc w:val="center"/>
        <w:rPr>
          <w:rFonts w:cs="方正小标宋简体" w:asciiTheme="minorEastAsia" w:hAnsiTheme="minorEastAsia" w:eastAsiaTheme="minorEastAsia"/>
          <w:bCs/>
          <w:color w:val="auto"/>
          <w:sz w:val="32"/>
          <w:szCs w:val="32"/>
          <w:highlight w:val="none"/>
        </w:rPr>
      </w:pPr>
      <w:r>
        <w:rPr>
          <w:rFonts w:ascii="宋体" w:hAnsi="宋体"/>
          <w:b/>
          <w:bCs/>
          <w:color w:val="auto"/>
          <w:sz w:val="32"/>
          <w:szCs w:val="32"/>
          <w:highlight w:val="none"/>
        </w:rPr>
        <w:br w:type="page"/>
      </w:r>
      <w:r>
        <w:rPr>
          <w:rFonts w:hint="eastAsia" w:cs="方正小标宋简体" w:asciiTheme="minorEastAsia" w:hAnsiTheme="minorEastAsia" w:eastAsiaTheme="minorEastAsia"/>
          <w:bCs/>
          <w:color w:val="auto"/>
          <w:sz w:val="36"/>
          <w:szCs w:val="36"/>
          <w:highlight w:val="none"/>
        </w:rPr>
        <w:t>竞  标  报  价  表</w:t>
      </w:r>
    </w:p>
    <w:p w14:paraId="463EBAFB">
      <w:pPr>
        <w:pageBreakBefore w:val="0"/>
        <w:kinsoku/>
        <w:topLinePunct w:val="0"/>
        <w:bidi w:val="0"/>
        <w:spacing w:before="60" w:after="60" w:line="360" w:lineRule="auto"/>
        <w:jc w:val="center"/>
        <w:rPr>
          <w:rFonts w:ascii="方正小标宋简体" w:hAnsi="方正小标宋简体" w:eastAsia="方正小标宋简体" w:cs="方正小标宋简体"/>
          <w:bCs/>
          <w:color w:val="auto"/>
          <w:sz w:val="32"/>
          <w:szCs w:val="32"/>
          <w:highlight w:val="none"/>
        </w:rPr>
      </w:pPr>
    </w:p>
    <w:p w14:paraId="10BC29BF">
      <w:pPr>
        <w:pageBreakBefore w:val="0"/>
        <w:kinsoku/>
        <w:topLinePunct w:val="0"/>
        <w:bidi w:val="0"/>
        <w:spacing w:before="60" w:after="60"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项目名称：项目编号：</w:t>
      </w:r>
    </w:p>
    <w:p w14:paraId="09E1A024">
      <w:pPr>
        <w:pageBreakBefore w:val="0"/>
        <w:kinsoku/>
        <w:topLinePunct w:val="0"/>
        <w:bidi w:val="0"/>
        <w:spacing w:before="60" w:after="60" w:line="360" w:lineRule="auto"/>
        <w:contextualSpacing/>
        <w:rPr>
          <w:rFonts w:ascii="宋体" w:hAnsi="宋体" w:cs="仿宋_GB2312"/>
          <w:color w:val="auto"/>
          <w:sz w:val="24"/>
          <w:highlight w:val="none"/>
          <w:u w:val="single"/>
        </w:rPr>
      </w:pPr>
      <w:r>
        <w:rPr>
          <w:rFonts w:hint="eastAsia" w:ascii="宋体" w:hAnsi="宋体" w:cs="仿宋_GB2312"/>
          <w:color w:val="auto"/>
          <w:sz w:val="24"/>
          <w:highlight w:val="none"/>
        </w:rPr>
        <w:t>分标（如有）：</w:t>
      </w:r>
    </w:p>
    <w:p w14:paraId="67281FDF">
      <w:pPr>
        <w:pageBreakBefore w:val="0"/>
        <w:kinsoku/>
        <w:topLinePunct w:val="0"/>
        <w:bidi w:val="0"/>
        <w:spacing w:before="60" w:after="60"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p>
    <w:p w14:paraId="6457C653">
      <w:pPr>
        <w:pageBreakBefore w:val="0"/>
        <w:kinsoku/>
        <w:topLinePunct w:val="0"/>
        <w:bidi w:val="0"/>
        <w:spacing w:before="60" w:after="60"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单位：元</w:t>
      </w:r>
    </w:p>
    <w:tbl>
      <w:tblPr>
        <w:tblStyle w:val="30"/>
        <w:tblW w:w="1039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814"/>
        <w:gridCol w:w="1750"/>
        <w:gridCol w:w="945"/>
        <w:gridCol w:w="1800"/>
        <w:gridCol w:w="1260"/>
        <w:gridCol w:w="1605"/>
        <w:gridCol w:w="593"/>
      </w:tblGrid>
      <w:tr w14:paraId="3A4FC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628" w:type="dxa"/>
            <w:tcBorders>
              <w:top w:val="single" w:color="auto" w:sz="4" w:space="0"/>
              <w:left w:val="single" w:color="auto" w:sz="4" w:space="0"/>
              <w:bottom w:val="single" w:color="auto" w:sz="4" w:space="0"/>
              <w:right w:val="single" w:color="auto" w:sz="4" w:space="0"/>
            </w:tcBorders>
            <w:vAlign w:val="center"/>
          </w:tcPr>
          <w:p w14:paraId="3874CF99">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s="仿宋_GB2312"/>
                <w:color w:val="auto"/>
                <w:sz w:val="24"/>
                <w:highlight w:val="none"/>
              </w:rPr>
            </w:pPr>
            <w:r>
              <w:rPr>
                <w:rFonts w:hint="default" w:ascii="宋体" w:hAnsi="宋体" w:cs="仿宋_GB2312"/>
                <w:color w:val="auto"/>
                <w:sz w:val="24"/>
                <w:highlight w:val="none"/>
              </w:rPr>
              <w:t>序号</w:t>
            </w:r>
          </w:p>
        </w:tc>
        <w:tc>
          <w:tcPr>
            <w:tcW w:w="1814" w:type="dxa"/>
            <w:tcBorders>
              <w:top w:val="single" w:color="auto" w:sz="4" w:space="0"/>
              <w:left w:val="single" w:color="auto" w:sz="4" w:space="0"/>
              <w:bottom w:val="single" w:color="auto" w:sz="4" w:space="0"/>
              <w:right w:val="single" w:color="auto" w:sz="4" w:space="0"/>
            </w:tcBorders>
            <w:vAlign w:val="center"/>
          </w:tcPr>
          <w:p w14:paraId="57875155">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s="仿宋_GB2312"/>
                <w:color w:val="auto"/>
                <w:sz w:val="24"/>
                <w:highlight w:val="none"/>
              </w:rPr>
            </w:pPr>
            <w:r>
              <w:rPr>
                <w:rFonts w:hint="default" w:ascii="宋体" w:hAnsi="宋体" w:cs="仿宋_GB2312"/>
                <w:color w:val="auto"/>
                <w:sz w:val="24"/>
                <w:highlight w:val="none"/>
                <w:shd w:val="clear"/>
              </w:rPr>
              <w:t>服务名称</w:t>
            </w:r>
          </w:p>
        </w:tc>
        <w:tc>
          <w:tcPr>
            <w:tcW w:w="1750" w:type="dxa"/>
            <w:tcBorders>
              <w:top w:val="single" w:color="auto" w:sz="4" w:space="0"/>
              <w:left w:val="single" w:color="auto" w:sz="4" w:space="0"/>
              <w:bottom w:val="single" w:color="auto" w:sz="4" w:space="0"/>
              <w:right w:val="single" w:color="auto" w:sz="4" w:space="0"/>
            </w:tcBorders>
            <w:vAlign w:val="center"/>
          </w:tcPr>
          <w:p w14:paraId="646EA43A">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lang w:eastAsia="zh-CN"/>
              </w:rPr>
              <w:t>服务内容</w:t>
            </w:r>
          </w:p>
        </w:tc>
        <w:tc>
          <w:tcPr>
            <w:tcW w:w="945" w:type="dxa"/>
            <w:tcBorders>
              <w:top w:val="single" w:color="auto" w:sz="4" w:space="0"/>
              <w:left w:val="single" w:color="auto" w:sz="4" w:space="0"/>
              <w:bottom w:val="single" w:color="auto" w:sz="4" w:space="0"/>
              <w:right w:val="single" w:color="auto" w:sz="4" w:space="0"/>
            </w:tcBorders>
            <w:vAlign w:val="center"/>
          </w:tcPr>
          <w:p w14:paraId="59B7F624">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rPr>
              <w:t>数量</w:t>
            </w:r>
          </w:p>
        </w:tc>
        <w:tc>
          <w:tcPr>
            <w:tcW w:w="1800" w:type="dxa"/>
            <w:tcBorders>
              <w:top w:val="single" w:color="auto" w:sz="4" w:space="0"/>
              <w:left w:val="single" w:color="auto" w:sz="4" w:space="0"/>
              <w:bottom w:val="single" w:color="auto" w:sz="4" w:space="0"/>
              <w:right w:val="single" w:color="auto" w:sz="4" w:space="0"/>
            </w:tcBorders>
            <w:vAlign w:val="center"/>
          </w:tcPr>
          <w:p w14:paraId="355945BD">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s="仿宋_GB2312"/>
                <w:color w:val="auto"/>
                <w:sz w:val="24"/>
                <w:highlight w:val="none"/>
              </w:rPr>
            </w:pPr>
            <w:r>
              <w:rPr>
                <w:rFonts w:hint="eastAsia" w:ascii="宋体" w:hAnsi="宋体" w:cs="仿宋_GB2312"/>
                <w:color w:val="auto"/>
                <w:sz w:val="24"/>
                <w:highlight w:val="none"/>
              </w:rPr>
              <w:t>单位</w:t>
            </w:r>
          </w:p>
        </w:tc>
        <w:tc>
          <w:tcPr>
            <w:tcW w:w="1260" w:type="dxa"/>
            <w:tcBorders>
              <w:top w:val="single" w:color="auto" w:sz="4" w:space="0"/>
              <w:left w:val="single" w:color="auto" w:sz="4" w:space="0"/>
              <w:bottom w:val="single" w:color="auto" w:sz="4" w:space="0"/>
              <w:right w:val="single" w:color="auto" w:sz="4" w:space="0"/>
            </w:tcBorders>
            <w:vAlign w:val="center"/>
          </w:tcPr>
          <w:p w14:paraId="6EDB17A9">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单价</w:t>
            </w:r>
          </w:p>
          <w:p w14:paraId="6DC7FBBB">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lang w:eastAsia="zh-CN"/>
              </w:rPr>
              <w:t>（年</w:t>
            </w:r>
            <w:r>
              <w:rPr>
                <w:rFonts w:hint="eastAsia" w:ascii="宋体" w:hAnsi="宋体" w:cs="仿宋_GB2312"/>
                <w:color w:val="auto"/>
                <w:sz w:val="24"/>
                <w:highlight w:val="none"/>
                <w:lang w:val="en-US" w:eastAsia="zh-CN"/>
              </w:rPr>
              <w:t>/元</w:t>
            </w:r>
            <w:r>
              <w:rPr>
                <w:rFonts w:hint="eastAsia" w:ascii="宋体" w:hAnsi="宋体" w:cs="仿宋_GB2312"/>
                <w:color w:val="auto"/>
                <w:sz w:val="24"/>
                <w:highlight w:val="none"/>
                <w:lang w:eastAsia="zh-CN"/>
              </w:rPr>
              <w:t>）</w:t>
            </w:r>
          </w:p>
        </w:tc>
        <w:tc>
          <w:tcPr>
            <w:tcW w:w="1605" w:type="dxa"/>
            <w:tcBorders>
              <w:top w:val="single" w:color="auto" w:sz="4" w:space="0"/>
              <w:left w:val="single" w:color="auto" w:sz="4" w:space="0"/>
              <w:bottom w:val="single" w:color="auto" w:sz="4" w:space="0"/>
              <w:right w:val="single" w:color="auto" w:sz="4" w:space="0"/>
            </w:tcBorders>
            <w:vAlign w:val="center"/>
          </w:tcPr>
          <w:p w14:paraId="38934170">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rPr>
              <w:t>总价</w:t>
            </w:r>
            <w:r>
              <w:rPr>
                <w:rFonts w:hint="eastAsia" w:ascii="宋体" w:hAnsi="宋体" w:cs="仿宋_GB2312"/>
                <w:color w:val="auto"/>
                <w:sz w:val="24"/>
                <w:highlight w:val="none"/>
                <w:lang w:eastAsia="zh-CN"/>
              </w:rPr>
              <w:t>（元）</w:t>
            </w:r>
          </w:p>
        </w:tc>
        <w:tc>
          <w:tcPr>
            <w:tcW w:w="593" w:type="dxa"/>
            <w:tcBorders>
              <w:top w:val="single" w:color="auto" w:sz="4" w:space="0"/>
              <w:left w:val="single" w:color="auto" w:sz="4" w:space="0"/>
              <w:bottom w:val="single" w:color="auto" w:sz="4" w:space="0"/>
              <w:right w:val="single" w:color="auto" w:sz="4" w:space="0"/>
            </w:tcBorders>
            <w:vAlign w:val="center"/>
          </w:tcPr>
          <w:p w14:paraId="45EC8150">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s="仿宋_GB2312"/>
                <w:color w:val="auto"/>
                <w:sz w:val="24"/>
                <w:highlight w:val="none"/>
              </w:rPr>
            </w:pPr>
            <w:r>
              <w:rPr>
                <w:rFonts w:hint="default" w:ascii="宋体" w:hAnsi="宋体" w:cs="仿宋_GB2312"/>
                <w:color w:val="auto"/>
                <w:sz w:val="24"/>
                <w:highlight w:val="none"/>
              </w:rPr>
              <w:t>备注</w:t>
            </w:r>
          </w:p>
        </w:tc>
      </w:tr>
      <w:tr w14:paraId="6C9E2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628" w:type="dxa"/>
            <w:tcBorders>
              <w:top w:val="single" w:color="auto" w:sz="4" w:space="0"/>
              <w:left w:val="single" w:color="auto" w:sz="4" w:space="0"/>
              <w:bottom w:val="single" w:color="auto" w:sz="4" w:space="0"/>
              <w:right w:val="single" w:color="auto" w:sz="4" w:space="0"/>
            </w:tcBorders>
            <w:vAlign w:val="center"/>
          </w:tcPr>
          <w:p w14:paraId="7C86C1B9">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leftChars="0" w:right="0" w:rightChars="0"/>
              <w:contextualSpacing/>
              <w:jc w:val="center"/>
              <w:rPr>
                <w:rFonts w:hint="default" w:ascii="宋体" w:hAnsi="宋体" w:cs="仿宋_GB2312"/>
                <w:color w:val="auto"/>
                <w:sz w:val="24"/>
                <w:highlight w:val="none"/>
              </w:rPr>
            </w:pPr>
            <w:r>
              <w:rPr>
                <w:rFonts w:hint="default" w:ascii="宋体" w:hAnsi="宋体" w:eastAsia="宋体" w:cs="仿宋_GB2312"/>
                <w:color w:val="auto"/>
                <w:sz w:val="24"/>
                <w:szCs w:val="24"/>
                <w:highlight w:val="none"/>
              </w:rPr>
              <w:t>1</w:t>
            </w:r>
          </w:p>
        </w:tc>
        <w:tc>
          <w:tcPr>
            <w:tcW w:w="1814" w:type="dxa"/>
            <w:tcBorders>
              <w:top w:val="single" w:color="auto" w:sz="4" w:space="0"/>
              <w:left w:val="single" w:color="auto" w:sz="4" w:space="0"/>
              <w:bottom w:val="single" w:color="auto" w:sz="4" w:space="0"/>
              <w:right w:val="single" w:color="auto" w:sz="4" w:space="0"/>
            </w:tcBorders>
            <w:vAlign w:val="center"/>
          </w:tcPr>
          <w:p w14:paraId="1262A6A6">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leftChars="0" w:right="0" w:rightChars="0"/>
              <w:contextualSpacing/>
              <w:jc w:val="center"/>
              <w:textAlignment w:val="auto"/>
              <w:rPr>
                <w:rFonts w:hint="default" w:ascii="宋体" w:hAnsi="宋体" w:cs="仿宋_GB2312"/>
                <w:color w:val="auto"/>
                <w:sz w:val="24"/>
                <w:highlight w:val="none"/>
              </w:rPr>
            </w:pPr>
          </w:p>
        </w:tc>
        <w:tc>
          <w:tcPr>
            <w:tcW w:w="1750" w:type="dxa"/>
            <w:tcBorders>
              <w:top w:val="single" w:color="auto" w:sz="4" w:space="0"/>
              <w:left w:val="single" w:color="auto" w:sz="4" w:space="0"/>
              <w:bottom w:val="single" w:color="auto" w:sz="4" w:space="0"/>
              <w:right w:val="single" w:color="auto" w:sz="4" w:space="0"/>
            </w:tcBorders>
            <w:vAlign w:val="center"/>
          </w:tcPr>
          <w:p w14:paraId="565EFB44">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s="仿宋_GB2312"/>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vAlign w:val="center"/>
          </w:tcPr>
          <w:p w14:paraId="184FE1E7">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eastAsia" w:ascii="宋体" w:hAnsi="宋体" w:eastAsia="宋体" w:cs="仿宋_GB2312"/>
                <w:color w:val="auto"/>
                <w:sz w:val="24"/>
                <w:highlight w:val="none"/>
                <w:lang w:val="en-US" w:eastAsia="zh-CN"/>
              </w:rPr>
            </w:pPr>
            <w:r>
              <w:rPr>
                <w:rFonts w:hint="eastAsia" w:ascii="宋体" w:hAnsi="宋体" w:cs="仿宋_GB2312"/>
                <w:color w:val="auto"/>
                <w:sz w:val="24"/>
                <w:highlight w:val="none"/>
                <w:lang w:val="en-US" w:eastAsia="zh-CN"/>
              </w:rPr>
              <w:t>3</w:t>
            </w:r>
          </w:p>
        </w:tc>
        <w:tc>
          <w:tcPr>
            <w:tcW w:w="1800" w:type="dxa"/>
            <w:tcBorders>
              <w:top w:val="single" w:color="auto" w:sz="4" w:space="0"/>
              <w:left w:val="single" w:color="auto" w:sz="4" w:space="0"/>
              <w:bottom w:val="single" w:color="auto" w:sz="4" w:space="0"/>
              <w:right w:val="single" w:color="auto" w:sz="4" w:space="0"/>
            </w:tcBorders>
            <w:vAlign w:val="center"/>
          </w:tcPr>
          <w:p w14:paraId="29B2419B">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lang w:eastAsia="zh-CN"/>
              </w:rPr>
              <w:t>年</w:t>
            </w:r>
          </w:p>
        </w:tc>
        <w:tc>
          <w:tcPr>
            <w:tcW w:w="1260" w:type="dxa"/>
            <w:tcBorders>
              <w:top w:val="single" w:color="auto" w:sz="4" w:space="0"/>
              <w:left w:val="single" w:color="auto" w:sz="4" w:space="0"/>
              <w:bottom w:val="single" w:color="auto" w:sz="4" w:space="0"/>
              <w:right w:val="single" w:color="auto" w:sz="4" w:space="0"/>
            </w:tcBorders>
            <w:vAlign w:val="center"/>
          </w:tcPr>
          <w:p w14:paraId="35FD906E">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s="仿宋_GB2312"/>
                <w:color w:val="auto"/>
                <w:sz w:val="24"/>
                <w:highlight w:val="none"/>
              </w:rPr>
            </w:pPr>
          </w:p>
        </w:tc>
        <w:tc>
          <w:tcPr>
            <w:tcW w:w="1605" w:type="dxa"/>
            <w:tcBorders>
              <w:top w:val="single" w:color="auto" w:sz="4" w:space="0"/>
              <w:left w:val="single" w:color="auto" w:sz="4" w:space="0"/>
              <w:bottom w:val="single" w:color="auto" w:sz="4" w:space="0"/>
              <w:right w:val="single" w:color="auto" w:sz="4" w:space="0"/>
            </w:tcBorders>
            <w:vAlign w:val="center"/>
          </w:tcPr>
          <w:p w14:paraId="05996F74">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s="仿宋_GB2312"/>
                <w:color w:val="auto"/>
                <w:sz w:val="24"/>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14:paraId="0B91E144">
            <w:pPr>
              <w:keepNext w:val="0"/>
              <w:keepLines w:val="0"/>
              <w:pageBreakBefore w:val="0"/>
              <w:suppressLineNumbers w:val="0"/>
              <w:kinsoku/>
              <w:topLinePunct w:val="0"/>
              <w:bidi w:val="0"/>
              <w:spacing w:before="60" w:beforeAutospacing="0" w:after="60" w:afterAutospacing="0" w:line="360" w:lineRule="auto"/>
              <w:ind w:left="0" w:right="0"/>
              <w:contextualSpacing/>
              <w:rPr>
                <w:rFonts w:hint="default" w:ascii="宋体" w:hAnsi="宋体" w:cs="仿宋_GB2312"/>
                <w:color w:val="auto"/>
                <w:sz w:val="24"/>
                <w:highlight w:val="none"/>
              </w:rPr>
            </w:pPr>
          </w:p>
        </w:tc>
      </w:tr>
      <w:tr w14:paraId="769AE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628" w:type="dxa"/>
            <w:tcBorders>
              <w:top w:val="single" w:color="auto" w:sz="4" w:space="0"/>
              <w:left w:val="single" w:color="auto" w:sz="4" w:space="0"/>
              <w:bottom w:val="single" w:color="auto" w:sz="4" w:space="0"/>
              <w:right w:val="single" w:color="auto" w:sz="4" w:space="0"/>
            </w:tcBorders>
            <w:vAlign w:val="center"/>
          </w:tcPr>
          <w:p w14:paraId="6B5FA95B">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leftChars="0" w:right="0" w:rightChars="0"/>
              <w:contextualSpacing/>
              <w:jc w:val="center"/>
              <w:rPr>
                <w:rFonts w:hint="default" w:ascii="宋体" w:hAnsi="宋体" w:eastAsia="宋体" w:cs="仿宋_GB2312"/>
                <w:color w:val="auto"/>
                <w:sz w:val="24"/>
                <w:highlight w:val="none"/>
                <w:lang w:val="en-US" w:eastAsia="zh-CN"/>
              </w:rPr>
            </w:pPr>
            <w:r>
              <w:rPr>
                <w:rFonts w:hint="default" w:ascii="宋体" w:hAnsi="宋体" w:eastAsia="宋体" w:cs="仿宋_GB2312"/>
                <w:color w:val="auto"/>
                <w:sz w:val="24"/>
                <w:szCs w:val="24"/>
                <w:highlight w:val="none"/>
                <w:lang w:val="en-US" w:eastAsia="zh-CN"/>
              </w:rPr>
              <w:t>2</w:t>
            </w:r>
          </w:p>
        </w:tc>
        <w:tc>
          <w:tcPr>
            <w:tcW w:w="1814" w:type="dxa"/>
            <w:tcBorders>
              <w:top w:val="single" w:color="auto" w:sz="4" w:space="0"/>
              <w:left w:val="single" w:color="auto" w:sz="4" w:space="0"/>
              <w:bottom w:val="single" w:color="auto" w:sz="4" w:space="0"/>
              <w:right w:val="single" w:color="auto" w:sz="4" w:space="0"/>
            </w:tcBorders>
            <w:vAlign w:val="center"/>
          </w:tcPr>
          <w:p w14:paraId="30D8D552">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leftChars="0" w:right="0" w:rightChars="0"/>
              <w:contextualSpacing/>
              <w:jc w:val="center"/>
              <w:textAlignment w:val="auto"/>
              <w:rPr>
                <w:rFonts w:hint="default" w:ascii="宋体" w:hAnsi="宋体" w:cs="仿宋_GB2312"/>
                <w:color w:val="auto"/>
                <w:sz w:val="24"/>
                <w:szCs w:val="24"/>
                <w:highlight w:val="none"/>
                <w:lang w:eastAsia="zh-CN"/>
              </w:rPr>
            </w:pPr>
          </w:p>
        </w:tc>
        <w:tc>
          <w:tcPr>
            <w:tcW w:w="1750" w:type="dxa"/>
            <w:tcBorders>
              <w:top w:val="single" w:color="auto" w:sz="4" w:space="0"/>
              <w:left w:val="single" w:color="auto" w:sz="4" w:space="0"/>
              <w:bottom w:val="single" w:color="auto" w:sz="4" w:space="0"/>
              <w:right w:val="single" w:color="auto" w:sz="4" w:space="0"/>
            </w:tcBorders>
            <w:vAlign w:val="center"/>
          </w:tcPr>
          <w:p w14:paraId="6D0210D1">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eastAsia" w:ascii="宋体" w:hAnsi="宋体"/>
                <w:color w:val="auto"/>
                <w:szCs w:val="21"/>
                <w:highlight w:val="none"/>
                <w:lang w:eastAsia="zh-CN"/>
              </w:rPr>
            </w:pPr>
          </w:p>
        </w:tc>
        <w:tc>
          <w:tcPr>
            <w:tcW w:w="945" w:type="dxa"/>
            <w:tcBorders>
              <w:top w:val="single" w:color="auto" w:sz="4" w:space="0"/>
              <w:left w:val="single" w:color="auto" w:sz="4" w:space="0"/>
              <w:bottom w:val="single" w:color="auto" w:sz="4" w:space="0"/>
              <w:right w:val="single" w:color="auto" w:sz="4" w:space="0"/>
            </w:tcBorders>
            <w:vAlign w:val="center"/>
          </w:tcPr>
          <w:p w14:paraId="032C07A5">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s="仿宋_GB2312"/>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1C1F99DB">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s="仿宋_GB2312"/>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7726B22">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s="仿宋_GB2312"/>
                <w:color w:val="auto"/>
                <w:sz w:val="24"/>
                <w:highlight w:val="none"/>
              </w:rPr>
            </w:pPr>
          </w:p>
        </w:tc>
        <w:tc>
          <w:tcPr>
            <w:tcW w:w="1605" w:type="dxa"/>
            <w:tcBorders>
              <w:top w:val="single" w:color="auto" w:sz="4" w:space="0"/>
              <w:left w:val="single" w:color="auto" w:sz="4" w:space="0"/>
              <w:bottom w:val="single" w:color="auto" w:sz="4" w:space="0"/>
              <w:right w:val="single" w:color="auto" w:sz="4" w:space="0"/>
            </w:tcBorders>
            <w:vAlign w:val="center"/>
          </w:tcPr>
          <w:p w14:paraId="300F9D3E">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s="仿宋_GB2312"/>
                <w:color w:val="auto"/>
                <w:sz w:val="24"/>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14:paraId="3E440A30">
            <w:pPr>
              <w:keepNext w:val="0"/>
              <w:keepLines w:val="0"/>
              <w:pageBreakBefore w:val="0"/>
              <w:suppressLineNumbers w:val="0"/>
              <w:kinsoku/>
              <w:topLinePunct w:val="0"/>
              <w:bidi w:val="0"/>
              <w:spacing w:before="60" w:beforeAutospacing="0" w:after="60" w:afterAutospacing="0" w:line="360" w:lineRule="auto"/>
              <w:ind w:left="0" w:right="0"/>
              <w:contextualSpacing/>
              <w:rPr>
                <w:rFonts w:hint="default" w:ascii="宋体" w:hAnsi="宋体" w:cs="仿宋_GB2312"/>
                <w:color w:val="auto"/>
                <w:sz w:val="24"/>
                <w:highlight w:val="none"/>
              </w:rPr>
            </w:pPr>
          </w:p>
        </w:tc>
      </w:tr>
      <w:tr w14:paraId="64B0B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628" w:type="dxa"/>
            <w:tcBorders>
              <w:top w:val="single" w:color="auto" w:sz="4" w:space="0"/>
              <w:left w:val="single" w:color="auto" w:sz="4" w:space="0"/>
              <w:bottom w:val="single" w:color="auto" w:sz="4" w:space="0"/>
              <w:right w:val="single" w:color="auto" w:sz="4" w:space="0"/>
            </w:tcBorders>
            <w:vAlign w:val="center"/>
          </w:tcPr>
          <w:p w14:paraId="76F95F1F">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leftChars="0" w:right="0" w:rightChars="0"/>
              <w:contextualSpacing/>
              <w:jc w:val="center"/>
              <w:rPr>
                <w:rFonts w:hint="default" w:ascii="宋体" w:hAnsi="宋体" w:eastAsia="宋体" w:cs="仿宋_GB2312"/>
                <w:color w:val="auto"/>
                <w:sz w:val="24"/>
                <w:highlight w:val="none"/>
                <w:lang w:val="en-US" w:eastAsia="zh-CN"/>
              </w:rPr>
            </w:pPr>
            <w:r>
              <w:rPr>
                <w:rFonts w:hint="default" w:ascii="宋体" w:hAnsi="宋体" w:eastAsia="宋体" w:cs="仿宋_GB2312"/>
                <w:color w:val="auto"/>
                <w:sz w:val="24"/>
                <w:szCs w:val="24"/>
                <w:highlight w:val="none"/>
                <w:lang w:val="en-US" w:eastAsia="zh-CN"/>
              </w:rPr>
              <w:t>3</w:t>
            </w:r>
          </w:p>
        </w:tc>
        <w:tc>
          <w:tcPr>
            <w:tcW w:w="1814" w:type="dxa"/>
            <w:tcBorders>
              <w:top w:val="single" w:color="auto" w:sz="4" w:space="0"/>
              <w:left w:val="single" w:color="auto" w:sz="4" w:space="0"/>
              <w:bottom w:val="single" w:color="auto" w:sz="4" w:space="0"/>
              <w:right w:val="single" w:color="auto" w:sz="4" w:space="0"/>
            </w:tcBorders>
            <w:vAlign w:val="center"/>
          </w:tcPr>
          <w:p w14:paraId="41A91104">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leftChars="0" w:right="0" w:rightChars="0"/>
              <w:contextualSpacing/>
              <w:jc w:val="center"/>
              <w:textAlignment w:val="auto"/>
              <w:rPr>
                <w:rFonts w:hint="default" w:ascii="宋体" w:hAnsi="宋体" w:cs="仿宋_GB2312"/>
                <w:color w:val="auto"/>
                <w:sz w:val="24"/>
                <w:szCs w:val="24"/>
                <w:highlight w:val="none"/>
                <w:lang w:eastAsia="zh-CN"/>
              </w:rPr>
            </w:pPr>
          </w:p>
        </w:tc>
        <w:tc>
          <w:tcPr>
            <w:tcW w:w="1750" w:type="dxa"/>
            <w:tcBorders>
              <w:top w:val="single" w:color="auto" w:sz="4" w:space="0"/>
              <w:left w:val="single" w:color="auto" w:sz="4" w:space="0"/>
              <w:bottom w:val="single" w:color="auto" w:sz="4" w:space="0"/>
              <w:right w:val="single" w:color="auto" w:sz="4" w:space="0"/>
            </w:tcBorders>
            <w:vAlign w:val="center"/>
          </w:tcPr>
          <w:p w14:paraId="37EA916E">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eastAsia" w:ascii="宋体" w:hAnsi="宋体"/>
                <w:color w:val="auto"/>
                <w:szCs w:val="21"/>
                <w:highlight w:val="none"/>
                <w:lang w:eastAsia="zh-CN"/>
              </w:rPr>
            </w:pPr>
          </w:p>
        </w:tc>
        <w:tc>
          <w:tcPr>
            <w:tcW w:w="945" w:type="dxa"/>
            <w:tcBorders>
              <w:top w:val="single" w:color="auto" w:sz="4" w:space="0"/>
              <w:left w:val="single" w:color="auto" w:sz="4" w:space="0"/>
              <w:bottom w:val="single" w:color="auto" w:sz="4" w:space="0"/>
              <w:right w:val="single" w:color="auto" w:sz="4" w:space="0"/>
            </w:tcBorders>
            <w:vAlign w:val="center"/>
          </w:tcPr>
          <w:p w14:paraId="757FDA2B">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s="仿宋_GB2312"/>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2F0CE018">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s="仿宋_GB2312"/>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349856F">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s="仿宋_GB2312"/>
                <w:color w:val="auto"/>
                <w:sz w:val="24"/>
                <w:highlight w:val="none"/>
              </w:rPr>
            </w:pPr>
          </w:p>
        </w:tc>
        <w:tc>
          <w:tcPr>
            <w:tcW w:w="1605" w:type="dxa"/>
            <w:tcBorders>
              <w:top w:val="single" w:color="auto" w:sz="4" w:space="0"/>
              <w:left w:val="single" w:color="auto" w:sz="4" w:space="0"/>
              <w:bottom w:val="single" w:color="auto" w:sz="4" w:space="0"/>
              <w:right w:val="single" w:color="auto" w:sz="4" w:space="0"/>
            </w:tcBorders>
            <w:vAlign w:val="center"/>
          </w:tcPr>
          <w:p w14:paraId="6BF95660">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s="仿宋_GB2312"/>
                <w:color w:val="auto"/>
                <w:sz w:val="24"/>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14:paraId="1E2866A5">
            <w:pPr>
              <w:keepNext w:val="0"/>
              <w:keepLines w:val="0"/>
              <w:pageBreakBefore w:val="0"/>
              <w:suppressLineNumbers w:val="0"/>
              <w:kinsoku/>
              <w:topLinePunct w:val="0"/>
              <w:bidi w:val="0"/>
              <w:spacing w:before="60" w:beforeAutospacing="0" w:after="60" w:afterAutospacing="0" w:line="360" w:lineRule="auto"/>
              <w:ind w:left="0" w:right="0"/>
              <w:contextualSpacing/>
              <w:rPr>
                <w:rFonts w:hint="default" w:ascii="宋体" w:hAnsi="宋体" w:cs="仿宋_GB2312"/>
                <w:color w:val="auto"/>
                <w:sz w:val="24"/>
                <w:highlight w:val="none"/>
              </w:rPr>
            </w:pPr>
          </w:p>
        </w:tc>
      </w:tr>
      <w:tr w14:paraId="39DFE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628" w:type="dxa"/>
            <w:tcBorders>
              <w:top w:val="single" w:color="auto" w:sz="4" w:space="0"/>
              <w:left w:val="single" w:color="auto" w:sz="4" w:space="0"/>
              <w:bottom w:val="single" w:color="auto" w:sz="4" w:space="0"/>
              <w:right w:val="single" w:color="auto" w:sz="4" w:space="0"/>
            </w:tcBorders>
            <w:vAlign w:val="center"/>
          </w:tcPr>
          <w:p w14:paraId="1D8AF7AA">
            <w:pPr>
              <w:keepNext w:val="0"/>
              <w:keepLines w:val="0"/>
              <w:pageBreakBefore w:val="0"/>
              <w:suppressLineNumbers w:val="0"/>
              <w:kinsoku/>
              <w:wordWrap/>
              <w:overflowPunct/>
              <w:topLinePunct w:val="0"/>
              <w:autoSpaceDN/>
              <w:bidi w:val="0"/>
              <w:adjustRightInd/>
              <w:snapToGrid/>
              <w:spacing w:before="60" w:beforeAutospacing="0" w:after="60" w:afterAutospacing="0" w:line="360" w:lineRule="auto"/>
              <w:ind w:left="0" w:leftChars="0" w:right="0" w:rightChars="0"/>
              <w:contextualSpacing/>
              <w:jc w:val="center"/>
              <w:rPr>
                <w:rFonts w:hint="default" w:ascii="宋体" w:hAnsi="宋体" w:eastAsia="宋体" w:cs="仿宋_GB2312"/>
                <w:color w:val="auto"/>
                <w:sz w:val="24"/>
                <w:szCs w:val="24"/>
                <w:highlight w:val="none"/>
                <w:lang w:val="en-US" w:eastAsia="zh-CN"/>
              </w:rPr>
            </w:pPr>
            <w:r>
              <w:rPr>
                <w:rFonts w:hint="eastAsia" w:ascii="宋体" w:hAnsi="宋体" w:cs="仿宋_GB2312"/>
                <w:color w:val="auto"/>
                <w:sz w:val="24"/>
                <w:szCs w:val="24"/>
                <w:highlight w:val="none"/>
                <w:lang w:val="en-US" w:eastAsia="zh-CN"/>
              </w:rPr>
              <w:t>...</w:t>
            </w:r>
          </w:p>
        </w:tc>
        <w:tc>
          <w:tcPr>
            <w:tcW w:w="1814" w:type="dxa"/>
            <w:tcBorders>
              <w:top w:val="single" w:color="auto" w:sz="4" w:space="0"/>
              <w:left w:val="single" w:color="auto" w:sz="4" w:space="0"/>
              <w:bottom w:val="single" w:color="auto" w:sz="4" w:space="0"/>
              <w:right w:val="single" w:color="auto" w:sz="4" w:space="0"/>
            </w:tcBorders>
            <w:vAlign w:val="center"/>
          </w:tcPr>
          <w:p w14:paraId="76AEA0A5">
            <w:pPr>
              <w:keepNext w:val="0"/>
              <w:keepLines w:val="0"/>
              <w:pageBreakBefore w:val="0"/>
              <w:widowControl/>
              <w:suppressLineNumbers w:val="0"/>
              <w:kinsoku/>
              <w:wordWrap/>
              <w:overflowPunct/>
              <w:topLinePunct w:val="0"/>
              <w:autoSpaceDN/>
              <w:bidi w:val="0"/>
              <w:adjustRightInd/>
              <w:snapToGrid/>
              <w:spacing w:before="60" w:beforeAutospacing="0" w:after="60" w:afterAutospacing="0" w:line="360" w:lineRule="auto"/>
              <w:ind w:left="0" w:leftChars="0" w:right="0" w:rightChars="0"/>
              <w:contextualSpacing/>
              <w:jc w:val="center"/>
              <w:textAlignment w:val="auto"/>
              <w:rPr>
                <w:rFonts w:hint="default" w:ascii="宋体" w:hAnsi="宋体" w:eastAsia="宋体" w:cs="仿宋_GB2312"/>
                <w:i w:val="0"/>
                <w:iCs w:val="0"/>
                <w:color w:val="auto"/>
                <w:kern w:val="2"/>
                <w:sz w:val="24"/>
                <w:szCs w:val="24"/>
                <w:highlight w:val="none"/>
                <w:u w:val="none"/>
                <w:lang w:val="en-US" w:eastAsia="zh-CN" w:bidi="ar"/>
              </w:rPr>
            </w:pPr>
          </w:p>
        </w:tc>
        <w:tc>
          <w:tcPr>
            <w:tcW w:w="1750" w:type="dxa"/>
            <w:tcBorders>
              <w:top w:val="single" w:color="auto" w:sz="4" w:space="0"/>
              <w:left w:val="single" w:color="auto" w:sz="4" w:space="0"/>
              <w:bottom w:val="single" w:color="auto" w:sz="4" w:space="0"/>
              <w:right w:val="single" w:color="auto" w:sz="4" w:space="0"/>
            </w:tcBorders>
            <w:vAlign w:val="center"/>
          </w:tcPr>
          <w:p w14:paraId="5CAED62B">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olor w:val="auto"/>
                <w:szCs w:val="21"/>
                <w:highlight w:val="none"/>
                <w:lang w:val="en-US" w:eastAsia="zh-CN"/>
              </w:rPr>
            </w:pPr>
          </w:p>
        </w:tc>
        <w:tc>
          <w:tcPr>
            <w:tcW w:w="945" w:type="dxa"/>
            <w:tcBorders>
              <w:top w:val="single" w:color="auto" w:sz="4" w:space="0"/>
              <w:left w:val="single" w:color="auto" w:sz="4" w:space="0"/>
              <w:bottom w:val="single" w:color="auto" w:sz="4" w:space="0"/>
              <w:right w:val="single" w:color="auto" w:sz="4" w:space="0"/>
            </w:tcBorders>
            <w:vAlign w:val="center"/>
          </w:tcPr>
          <w:p w14:paraId="3E84574E">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eastAsia="宋体" w:cs="仿宋_GB2312"/>
                <w:color w:val="auto"/>
                <w:sz w:val="24"/>
                <w:highlight w:val="none"/>
                <w:lang w:val="en-US" w:eastAsia="zh-CN"/>
              </w:rPr>
            </w:pPr>
          </w:p>
        </w:tc>
        <w:tc>
          <w:tcPr>
            <w:tcW w:w="1800" w:type="dxa"/>
            <w:tcBorders>
              <w:top w:val="single" w:color="auto" w:sz="4" w:space="0"/>
              <w:left w:val="single" w:color="auto" w:sz="4" w:space="0"/>
              <w:bottom w:val="single" w:color="auto" w:sz="4" w:space="0"/>
              <w:right w:val="single" w:color="auto" w:sz="4" w:space="0"/>
            </w:tcBorders>
            <w:vAlign w:val="center"/>
          </w:tcPr>
          <w:p w14:paraId="2749EB7A">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s="仿宋_GB2312"/>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4F883D9">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s="仿宋_GB2312"/>
                <w:color w:val="auto"/>
                <w:sz w:val="24"/>
                <w:highlight w:val="none"/>
              </w:rPr>
            </w:pPr>
          </w:p>
        </w:tc>
        <w:tc>
          <w:tcPr>
            <w:tcW w:w="1605" w:type="dxa"/>
            <w:tcBorders>
              <w:top w:val="single" w:color="auto" w:sz="4" w:space="0"/>
              <w:left w:val="single" w:color="auto" w:sz="4" w:space="0"/>
              <w:bottom w:val="single" w:color="auto" w:sz="4" w:space="0"/>
              <w:right w:val="single" w:color="auto" w:sz="4" w:space="0"/>
            </w:tcBorders>
            <w:vAlign w:val="center"/>
          </w:tcPr>
          <w:p w14:paraId="406BF7DA">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s="仿宋_GB2312"/>
                <w:color w:val="auto"/>
                <w:sz w:val="24"/>
                <w:highlight w:val="none"/>
              </w:rPr>
            </w:pPr>
          </w:p>
        </w:tc>
        <w:tc>
          <w:tcPr>
            <w:tcW w:w="593" w:type="dxa"/>
            <w:tcBorders>
              <w:top w:val="single" w:color="auto" w:sz="4" w:space="0"/>
              <w:left w:val="single" w:color="auto" w:sz="4" w:space="0"/>
              <w:bottom w:val="single" w:color="auto" w:sz="4" w:space="0"/>
              <w:right w:val="single" w:color="auto" w:sz="4" w:space="0"/>
            </w:tcBorders>
            <w:vAlign w:val="center"/>
          </w:tcPr>
          <w:p w14:paraId="79CEAF83">
            <w:pPr>
              <w:keepNext w:val="0"/>
              <w:keepLines w:val="0"/>
              <w:pageBreakBefore w:val="0"/>
              <w:suppressLineNumbers w:val="0"/>
              <w:kinsoku/>
              <w:topLinePunct w:val="0"/>
              <w:bidi w:val="0"/>
              <w:spacing w:before="60" w:beforeAutospacing="0" w:after="60" w:afterAutospacing="0" w:line="360" w:lineRule="auto"/>
              <w:ind w:left="0" w:right="0"/>
              <w:contextualSpacing/>
              <w:rPr>
                <w:rFonts w:hint="default" w:ascii="宋体" w:hAnsi="宋体" w:cs="仿宋_GB2312"/>
                <w:color w:val="auto"/>
                <w:sz w:val="24"/>
                <w:highlight w:val="none"/>
              </w:rPr>
            </w:pPr>
          </w:p>
        </w:tc>
      </w:tr>
      <w:tr w14:paraId="2244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395" w:type="dxa"/>
            <w:gridSpan w:val="8"/>
            <w:tcBorders>
              <w:top w:val="single" w:color="auto" w:sz="4" w:space="0"/>
              <w:left w:val="single" w:color="auto" w:sz="4" w:space="0"/>
              <w:bottom w:val="single" w:color="auto" w:sz="4" w:space="0"/>
              <w:right w:val="single" w:color="auto" w:sz="4" w:space="0"/>
            </w:tcBorders>
            <w:vAlign w:val="center"/>
          </w:tcPr>
          <w:p w14:paraId="4582C188">
            <w:pPr>
              <w:keepNext w:val="0"/>
              <w:keepLines w:val="0"/>
              <w:pageBreakBefore w:val="0"/>
              <w:suppressLineNumbers w:val="0"/>
              <w:kinsoku/>
              <w:topLinePunct w:val="0"/>
              <w:bidi w:val="0"/>
              <w:spacing w:before="60" w:beforeAutospacing="0" w:after="60" w:afterAutospacing="0" w:line="360" w:lineRule="auto"/>
              <w:ind w:left="0" w:right="0"/>
              <w:contextualSpacing/>
              <w:rPr>
                <w:rFonts w:hint="default" w:ascii="宋体" w:hAnsi="宋体" w:cs="仿宋_GB2312"/>
                <w:color w:val="auto"/>
                <w:sz w:val="24"/>
                <w:highlight w:val="none"/>
              </w:rPr>
            </w:pPr>
            <w:r>
              <w:rPr>
                <w:rFonts w:hint="eastAsia" w:ascii="宋体" w:hAnsi="宋体" w:cs="仿宋_GB2312"/>
                <w:color w:val="auto"/>
                <w:sz w:val="24"/>
                <w:highlight w:val="none"/>
                <w:lang w:val="en-US" w:eastAsia="zh-CN"/>
              </w:rPr>
              <w:t>1年</w:t>
            </w:r>
            <w:r>
              <w:rPr>
                <w:rFonts w:hint="eastAsia" w:ascii="宋体" w:hAnsi="宋体" w:cs="仿宋_GB2312"/>
                <w:color w:val="auto"/>
                <w:sz w:val="24"/>
                <w:highlight w:val="none"/>
              </w:rPr>
              <w:t>合计金额大写：人民币                             （￥             ）</w:t>
            </w:r>
          </w:p>
        </w:tc>
      </w:tr>
      <w:tr w14:paraId="560A9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395" w:type="dxa"/>
            <w:gridSpan w:val="8"/>
            <w:tcBorders>
              <w:top w:val="single" w:color="auto" w:sz="4" w:space="0"/>
              <w:left w:val="single" w:color="auto" w:sz="4" w:space="0"/>
              <w:bottom w:val="single" w:color="auto" w:sz="4" w:space="0"/>
              <w:right w:val="single" w:color="auto" w:sz="4" w:space="0"/>
            </w:tcBorders>
            <w:vAlign w:val="center"/>
          </w:tcPr>
          <w:p w14:paraId="333E56E9">
            <w:pPr>
              <w:keepNext w:val="0"/>
              <w:keepLines w:val="0"/>
              <w:pageBreakBefore w:val="0"/>
              <w:suppressLineNumbers w:val="0"/>
              <w:kinsoku/>
              <w:topLinePunct w:val="0"/>
              <w:bidi w:val="0"/>
              <w:spacing w:before="60" w:beforeAutospacing="0" w:after="60" w:afterAutospacing="0" w:line="360" w:lineRule="auto"/>
              <w:ind w:left="0" w:right="0"/>
              <w:contextualSpacing/>
              <w:rPr>
                <w:rFonts w:hint="eastAsia" w:ascii="宋体" w:hAnsi="宋体" w:cs="仿宋_GB2312"/>
                <w:color w:val="auto"/>
                <w:sz w:val="24"/>
                <w:highlight w:val="none"/>
              </w:rPr>
            </w:pPr>
            <w:r>
              <w:rPr>
                <w:rFonts w:hint="eastAsia" w:ascii="宋体" w:hAnsi="宋体" w:cs="仿宋_GB2312"/>
                <w:color w:val="auto"/>
                <w:sz w:val="24"/>
                <w:highlight w:val="none"/>
                <w:lang w:val="en-US" w:eastAsia="zh-CN"/>
              </w:rPr>
              <w:t>3年</w:t>
            </w:r>
            <w:r>
              <w:rPr>
                <w:rFonts w:hint="eastAsia" w:ascii="宋体" w:hAnsi="宋体" w:cs="仿宋_GB2312"/>
                <w:color w:val="auto"/>
                <w:sz w:val="24"/>
                <w:highlight w:val="none"/>
              </w:rPr>
              <w:t>合计金额大写：人民币                             （￥             ）</w:t>
            </w:r>
          </w:p>
        </w:tc>
      </w:tr>
      <w:tr w14:paraId="31522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395" w:type="dxa"/>
            <w:gridSpan w:val="8"/>
            <w:tcBorders>
              <w:top w:val="single" w:color="auto" w:sz="4" w:space="0"/>
              <w:left w:val="single" w:color="auto" w:sz="4" w:space="0"/>
              <w:bottom w:val="single" w:color="auto" w:sz="4" w:space="0"/>
              <w:right w:val="single" w:color="auto" w:sz="4" w:space="0"/>
            </w:tcBorders>
            <w:vAlign w:val="center"/>
          </w:tcPr>
          <w:p w14:paraId="2531C058">
            <w:pPr>
              <w:keepNext w:val="0"/>
              <w:keepLines w:val="0"/>
              <w:pageBreakBefore w:val="0"/>
              <w:suppressLineNumbers w:val="0"/>
              <w:kinsoku/>
              <w:topLinePunct w:val="0"/>
              <w:bidi w:val="0"/>
              <w:spacing w:before="60" w:beforeAutospacing="0" w:after="60" w:afterAutospacing="0" w:line="360" w:lineRule="auto"/>
              <w:ind w:left="0" w:right="0"/>
              <w:contextualSpacing/>
              <w:rPr>
                <w:rFonts w:hint="default" w:ascii="宋体" w:hAnsi="宋体" w:cs="仿宋_GB2312"/>
                <w:color w:val="auto"/>
                <w:sz w:val="24"/>
                <w:highlight w:val="none"/>
                <w:lang w:val="en-US"/>
              </w:rPr>
            </w:pPr>
            <w:r>
              <w:rPr>
                <w:rFonts w:hint="eastAsia" w:ascii="宋体" w:hAnsi="宋体" w:eastAsia="宋体" w:cs="仿宋_GB2312"/>
                <w:color w:val="auto"/>
                <w:sz w:val="24"/>
                <w:highlight w:val="none"/>
                <w:lang w:eastAsia="zh-CN"/>
              </w:rPr>
              <w:t>服务期限：</w:t>
            </w:r>
          </w:p>
        </w:tc>
      </w:tr>
    </w:tbl>
    <w:p w14:paraId="4AA51654">
      <w:pPr>
        <w:pageBreakBefore w:val="0"/>
        <w:kinsoku/>
        <w:topLinePunct w:val="0"/>
        <w:bidi w:val="0"/>
        <w:spacing w:before="60" w:after="60"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注</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 xml:space="preserve"> </w:t>
      </w:r>
    </w:p>
    <w:p w14:paraId="12B87337">
      <w:pPr>
        <w:pageBreakBefore w:val="0"/>
        <w:kinsoku/>
        <w:topLinePunct w:val="0"/>
        <w:bidi w:val="0"/>
        <w:spacing w:before="60" w:after="60" w:line="360" w:lineRule="auto"/>
        <w:ind w:firstLine="480" w:firstLineChars="200"/>
        <w:contextualSpacing/>
        <w:jc w:val="left"/>
        <w:rPr>
          <w:rFonts w:ascii="宋体" w:hAnsi="宋体" w:cs="仿宋_GB2312"/>
          <w:color w:val="auto"/>
          <w:sz w:val="24"/>
          <w:highlight w:val="none"/>
        </w:rPr>
      </w:pPr>
      <w:r>
        <w:rPr>
          <w:rFonts w:hint="eastAsia" w:ascii="宋体" w:hAnsi="宋体" w:cs="仿宋_GB2312"/>
          <w:color w:val="auto"/>
          <w:sz w:val="24"/>
          <w:highlight w:val="none"/>
        </w:rPr>
        <w:t>1</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 xml:space="preserve"> 供应商的报价表必须加盖供应商电子签章并由法定代表人或者委托代理人签字或者电子签名，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659A8A8B">
      <w:pPr>
        <w:pageBreakBefore w:val="0"/>
        <w:kinsoku/>
        <w:topLinePunct w:val="0"/>
        <w:bidi w:val="0"/>
        <w:spacing w:before="60" w:after="60" w:line="360" w:lineRule="auto"/>
        <w:ind w:firstLine="480" w:firstLineChars="200"/>
        <w:contextualSpacing/>
        <w:jc w:val="left"/>
        <w:rPr>
          <w:rFonts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bCs/>
          <w:color w:val="auto"/>
          <w:sz w:val="24"/>
          <w:highlight w:val="none"/>
          <w:lang w:eastAsia="zh-CN"/>
        </w:rPr>
        <w:t>.</w:t>
      </w:r>
      <w:r>
        <w:rPr>
          <w:rFonts w:hint="eastAsia" w:ascii="宋体" w:hAnsi="宋体" w:cs="仿宋_GB2312"/>
          <w:color w:val="auto"/>
          <w:sz w:val="24"/>
          <w:highlight w:val="none"/>
        </w:rPr>
        <w:t xml:space="preserve"> 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2FFA4397">
      <w:pPr>
        <w:pageBreakBefore w:val="0"/>
        <w:kinsoku/>
        <w:topLinePunct w:val="0"/>
        <w:bidi w:val="0"/>
        <w:spacing w:before="60" w:after="60" w:line="360" w:lineRule="auto"/>
        <w:ind w:firstLine="480" w:firstLineChars="200"/>
        <w:contextualSpacing/>
        <w:jc w:val="left"/>
        <w:rPr>
          <w:rFonts w:ascii="宋体" w:hAnsi="宋体" w:cs="仿宋_GB2312"/>
          <w:b/>
          <w:color w:val="auto"/>
          <w:sz w:val="24"/>
          <w:highlight w:val="none"/>
        </w:rPr>
      </w:pPr>
      <w:r>
        <w:rPr>
          <w:rFonts w:ascii="宋体" w:hAnsi="宋体" w:cs="仿宋_GB2312"/>
          <w:color w:val="auto"/>
          <w:sz w:val="24"/>
          <w:highlight w:val="none"/>
        </w:rPr>
        <w:t>3</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如为联合体竞标，“供应商名称”处必须列明联合体各方名称，标注联合体牵头人名称，</w:t>
      </w:r>
      <w:r>
        <w:rPr>
          <w:rFonts w:hint="eastAsia" w:ascii="宋体" w:hAnsi="宋体" w:cs="仿宋_GB2312"/>
          <w:b/>
          <w:color w:val="auto"/>
          <w:sz w:val="24"/>
          <w:highlight w:val="none"/>
        </w:rPr>
        <w:t>否则其响应文件按无效响应处理。</w:t>
      </w:r>
    </w:p>
    <w:p w14:paraId="3B062A74">
      <w:pPr>
        <w:pageBreakBefore w:val="0"/>
        <w:kinsoku/>
        <w:topLinePunct w:val="0"/>
        <w:bidi w:val="0"/>
        <w:spacing w:before="60" w:after="60" w:line="360" w:lineRule="auto"/>
        <w:ind w:firstLine="480" w:firstLineChars="200"/>
        <w:contextualSpacing/>
        <w:jc w:val="left"/>
        <w:rPr>
          <w:rFonts w:ascii="宋体" w:hAnsi="宋体" w:cs="仿宋_GB2312"/>
          <w:color w:val="auto"/>
          <w:sz w:val="24"/>
          <w:highlight w:val="none"/>
        </w:rPr>
      </w:pPr>
      <w:r>
        <w:rPr>
          <w:rFonts w:ascii="宋体" w:hAnsi="宋体" w:cs="仿宋_GB2312"/>
          <w:color w:val="auto"/>
          <w:sz w:val="24"/>
          <w:highlight w:val="none"/>
        </w:rPr>
        <w:t>4</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 xml:space="preserve"> 如为联合体竞标，</w:t>
      </w:r>
      <w:r>
        <w:rPr>
          <w:rFonts w:hint="eastAsia" w:ascii="宋体" w:hAnsi="宋体"/>
          <w:color w:val="auto"/>
          <w:spacing w:val="-6"/>
          <w:sz w:val="24"/>
          <w:highlight w:val="none"/>
        </w:rPr>
        <w:t xml:space="preserve"> 盖章处须加盖联合体牵头人电子签章</w:t>
      </w:r>
      <w:r>
        <w:rPr>
          <w:rFonts w:hint="eastAsia" w:ascii="宋体" w:hAnsi="宋体" w:cs="仿宋_GB2312"/>
          <w:color w:val="auto"/>
          <w:sz w:val="24"/>
          <w:highlight w:val="none"/>
        </w:rPr>
        <w:t>，</w:t>
      </w:r>
      <w:r>
        <w:rPr>
          <w:rFonts w:hint="eastAsia" w:ascii="宋体" w:hAnsi="宋体" w:cs="仿宋_GB2312"/>
          <w:b/>
          <w:color w:val="auto"/>
          <w:sz w:val="24"/>
          <w:highlight w:val="none"/>
        </w:rPr>
        <w:t>否则其响应文件按无效处理。</w:t>
      </w:r>
    </w:p>
    <w:p w14:paraId="3EB91D9D">
      <w:pPr>
        <w:pageBreakBefore w:val="0"/>
        <w:kinsoku/>
        <w:topLinePunct w:val="0"/>
        <w:bidi w:val="0"/>
        <w:spacing w:before="60" w:after="60" w:line="360" w:lineRule="auto"/>
        <w:ind w:firstLine="480" w:firstLineChars="200"/>
        <w:contextualSpacing/>
        <w:rPr>
          <w:rFonts w:ascii="宋体" w:hAnsi="宋体" w:cs="仿宋_GB2312"/>
          <w:color w:val="auto"/>
          <w:sz w:val="24"/>
          <w:highlight w:val="none"/>
        </w:rPr>
      </w:pPr>
      <w:r>
        <w:rPr>
          <w:rFonts w:ascii="宋体" w:hAnsi="宋体" w:cs="仿宋_GB2312"/>
          <w:color w:val="auto"/>
          <w:sz w:val="24"/>
          <w:highlight w:val="none"/>
        </w:rPr>
        <w:t>5</w:t>
      </w:r>
      <w:r>
        <w:rPr>
          <w:rFonts w:hint="eastAsia" w:ascii="宋体" w:hAnsi="宋体" w:cs="仿宋_GB2312"/>
          <w:color w:val="auto"/>
          <w:sz w:val="24"/>
          <w:highlight w:val="none"/>
          <w:lang w:eastAsia="zh-CN"/>
        </w:rPr>
        <w:t>.</w:t>
      </w:r>
      <w:r>
        <w:rPr>
          <w:rFonts w:hint="eastAsia" w:ascii="宋体" w:hAnsi="宋体" w:cs="仿宋_GB2312"/>
          <w:color w:val="auto"/>
          <w:spacing w:val="-6"/>
          <w:sz w:val="24"/>
          <w:highlight w:val="none"/>
        </w:rPr>
        <w:t>如有多分标，分别列明各分标的报价表，</w:t>
      </w:r>
      <w:r>
        <w:rPr>
          <w:rFonts w:hint="eastAsia" w:ascii="宋体" w:hAnsi="宋体" w:cs="仿宋_GB2312"/>
          <w:b/>
          <w:color w:val="auto"/>
          <w:spacing w:val="-6"/>
          <w:sz w:val="24"/>
          <w:highlight w:val="none"/>
        </w:rPr>
        <w:t>否则其响应文件按无效响应处理。</w:t>
      </w:r>
    </w:p>
    <w:p w14:paraId="0A1C8C6F">
      <w:pPr>
        <w:pageBreakBefore w:val="0"/>
        <w:kinsoku/>
        <w:topLinePunct w:val="0"/>
        <w:bidi w:val="0"/>
        <w:spacing w:before="60" w:after="60" w:line="360" w:lineRule="auto"/>
        <w:ind w:right="-817" w:rightChars="-389"/>
        <w:contextualSpacing/>
        <w:rPr>
          <w:rFonts w:ascii="宋体" w:hAnsi="宋体" w:cs="仿宋_GB2312"/>
          <w:color w:val="auto"/>
          <w:sz w:val="24"/>
          <w:highlight w:val="none"/>
        </w:rPr>
      </w:pPr>
    </w:p>
    <w:p w14:paraId="2C332676">
      <w:pPr>
        <w:pageBreakBefore w:val="0"/>
        <w:kinsoku/>
        <w:topLinePunct w:val="0"/>
        <w:bidi w:val="0"/>
        <w:spacing w:before="60" w:after="60"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70958499">
      <w:pPr>
        <w:pageBreakBefore w:val="0"/>
        <w:kinsoku/>
        <w:topLinePunct w:val="0"/>
        <w:bidi w:val="0"/>
        <w:spacing w:before="60" w:after="60"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17DF5AF8">
      <w:pPr>
        <w:pageBreakBefore w:val="0"/>
        <w:kinsoku/>
        <w:topLinePunct w:val="0"/>
        <w:bidi w:val="0"/>
        <w:spacing w:before="60" w:after="60" w:line="360" w:lineRule="auto"/>
        <w:ind w:right="-817" w:rightChars="-389" w:firstLine="4320" w:firstLineChars="1800"/>
        <w:contextualSpacing/>
        <w:rPr>
          <w:rFonts w:ascii="宋体" w:hAnsi="宋体" w:cs="仿宋_GB2312"/>
          <w:b/>
          <w:color w:val="auto"/>
          <w:sz w:val="24"/>
          <w:highlight w:val="none"/>
        </w:rPr>
      </w:pPr>
      <w:r>
        <w:rPr>
          <w:rFonts w:hint="eastAsia" w:ascii="宋体" w:hAnsi="宋体" w:cs="仿宋_GB2312"/>
          <w:color w:val="auto"/>
          <w:sz w:val="24"/>
          <w:highlight w:val="none"/>
        </w:rPr>
        <w:t>日期：   年   月   日</w:t>
      </w:r>
    </w:p>
    <w:p w14:paraId="52807C0C">
      <w:pPr>
        <w:pageBreakBefore w:val="0"/>
        <w:kinsoku/>
        <w:topLinePunct w:val="0"/>
        <w:bidi w:val="0"/>
        <w:spacing w:before="60" w:after="60" w:line="360" w:lineRule="auto"/>
        <w:ind w:right="420"/>
        <w:contextualSpacing/>
        <w:jc w:val="left"/>
        <w:rPr>
          <w:rFonts w:ascii="宋体" w:hAnsi="宋体"/>
          <w:b/>
          <w:color w:val="auto"/>
          <w:sz w:val="32"/>
          <w:szCs w:val="32"/>
          <w:highlight w:val="none"/>
        </w:rPr>
      </w:pPr>
      <w:r>
        <w:rPr>
          <w:rFonts w:ascii="宋体" w:hAnsi="宋体"/>
          <w:b/>
          <w:bCs/>
          <w:color w:val="auto"/>
          <w:sz w:val="32"/>
          <w:szCs w:val="32"/>
          <w:highlight w:val="none"/>
        </w:rPr>
        <w:br w:type="page"/>
      </w:r>
      <w:r>
        <w:rPr>
          <w:rFonts w:hint="eastAsia" w:ascii="宋体" w:hAnsi="宋体"/>
          <w:b/>
          <w:bCs/>
          <w:color w:val="auto"/>
          <w:sz w:val="32"/>
          <w:szCs w:val="32"/>
          <w:highlight w:val="none"/>
        </w:rPr>
        <w:t>三、</w:t>
      </w:r>
      <w:r>
        <w:rPr>
          <w:rFonts w:hint="eastAsia" w:ascii="宋体" w:hAnsi="宋体"/>
          <w:b/>
          <w:color w:val="auto"/>
          <w:sz w:val="32"/>
          <w:szCs w:val="32"/>
          <w:highlight w:val="none"/>
        </w:rPr>
        <w:t xml:space="preserve">商务技术文件格式 </w:t>
      </w:r>
    </w:p>
    <w:p w14:paraId="33DF2368">
      <w:pPr>
        <w:pageBreakBefore w:val="0"/>
        <w:kinsoku/>
        <w:topLinePunct w:val="0"/>
        <w:bidi w:val="0"/>
        <w:snapToGrid w:val="0"/>
        <w:spacing w:before="60" w:after="60" w:line="360" w:lineRule="auto"/>
        <w:jc w:val="left"/>
        <w:rPr>
          <w:rFonts w:ascii="宋体" w:hAnsi="宋体"/>
          <w:b/>
          <w:color w:val="auto"/>
          <w:sz w:val="32"/>
          <w:szCs w:val="32"/>
          <w:highlight w:val="none"/>
        </w:rPr>
      </w:pPr>
      <w:r>
        <w:rPr>
          <w:rFonts w:hint="eastAsia" w:ascii="宋体" w:hAnsi="宋体"/>
          <w:b/>
          <w:color w:val="auto"/>
          <w:sz w:val="32"/>
          <w:szCs w:val="32"/>
          <w:highlight w:val="none"/>
        </w:rPr>
        <w:t>1</w:t>
      </w:r>
      <w:r>
        <w:rPr>
          <w:rFonts w:hint="eastAsia" w:ascii="宋体" w:hAnsi="宋体"/>
          <w:b/>
          <w:color w:val="auto"/>
          <w:sz w:val="32"/>
          <w:szCs w:val="32"/>
          <w:highlight w:val="none"/>
          <w:lang w:eastAsia="zh-CN"/>
        </w:rPr>
        <w:t>.</w:t>
      </w:r>
      <w:r>
        <w:rPr>
          <w:rFonts w:hint="eastAsia" w:ascii="宋体" w:hAnsi="宋体"/>
          <w:b/>
          <w:color w:val="auto"/>
          <w:sz w:val="32"/>
          <w:szCs w:val="32"/>
          <w:highlight w:val="none"/>
        </w:rPr>
        <w:t>商务技术文件封面格式</w:t>
      </w:r>
    </w:p>
    <w:p w14:paraId="7D779841">
      <w:pPr>
        <w:pageBreakBefore w:val="0"/>
        <w:kinsoku/>
        <w:topLinePunct w:val="0"/>
        <w:bidi w:val="0"/>
        <w:snapToGrid w:val="0"/>
        <w:spacing w:before="60" w:after="60" w:line="360" w:lineRule="auto"/>
        <w:rPr>
          <w:rFonts w:ascii="宋体" w:hAnsi="宋体"/>
          <w:bCs/>
          <w:color w:val="auto"/>
          <w:sz w:val="32"/>
          <w:szCs w:val="20"/>
          <w:highlight w:val="none"/>
        </w:rPr>
      </w:pPr>
    </w:p>
    <w:p w14:paraId="1CF8C4AA">
      <w:pPr>
        <w:pageBreakBefore w:val="0"/>
        <w:kinsoku/>
        <w:topLinePunct w:val="0"/>
        <w:bidi w:val="0"/>
        <w:snapToGrid w:val="0"/>
        <w:spacing w:before="60" w:after="60" w:line="360" w:lineRule="auto"/>
        <w:jc w:val="center"/>
        <w:rPr>
          <w:rFonts w:ascii="宋体" w:hAnsi="宋体"/>
          <w:color w:val="auto"/>
          <w:sz w:val="24"/>
          <w:szCs w:val="20"/>
          <w:highlight w:val="none"/>
        </w:rPr>
      </w:pPr>
      <w:r>
        <w:rPr>
          <w:rFonts w:hint="eastAsia" w:ascii="宋体" w:hAnsi="宋体"/>
          <w:color w:val="auto"/>
          <w:sz w:val="44"/>
          <w:szCs w:val="44"/>
          <w:highlight w:val="none"/>
        </w:rPr>
        <w:t>电 子 响 应 文 件</w:t>
      </w:r>
    </w:p>
    <w:p w14:paraId="14F069F9">
      <w:pPr>
        <w:pageBreakBefore w:val="0"/>
        <w:kinsoku/>
        <w:topLinePunct w:val="0"/>
        <w:bidi w:val="0"/>
        <w:snapToGrid w:val="0"/>
        <w:spacing w:before="60" w:after="60" w:line="360" w:lineRule="auto"/>
        <w:rPr>
          <w:rFonts w:ascii="宋体" w:hAnsi="宋体"/>
          <w:color w:val="auto"/>
          <w:sz w:val="24"/>
          <w:szCs w:val="20"/>
          <w:highlight w:val="none"/>
        </w:rPr>
      </w:pPr>
    </w:p>
    <w:p w14:paraId="728A355D">
      <w:pPr>
        <w:pageBreakBefore w:val="0"/>
        <w:kinsoku/>
        <w:topLinePunct w:val="0"/>
        <w:bidi w:val="0"/>
        <w:snapToGrid w:val="0"/>
        <w:spacing w:before="60" w:after="60" w:line="360" w:lineRule="auto"/>
        <w:rPr>
          <w:rFonts w:ascii="宋体" w:hAnsi="宋体"/>
          <w:color w:val="auto"/>
          <w:sz w:val="24"/>
          <w:szCs w:val="20"/>
          <w:highlight w:val="none"/>
        </w:rPr>
      </w:pPr>
    </w:p>
    <w:p w14:paraId="53EAF163">
      <w:pPr>
        <w:pageBreakBefore w:val="0"/>
        <w:kinsoku/>
        <w:topLinePunct w:val="0"/>
        <w:bidi w:val="0"/>
        <w:snapToGrid w:val="0"/>
        <w:spacing w:before="60" w:after="60" w:line="360" w:lineRule="auto"/>
        <w:jc w:val="center"/>
        <w:rPr>
          <w:rFonts w:cs="方正小标宋简体" w:asciiTheme="minorEastAsia" w:hAnsiTheme="minorEastAsia" w:eastAsiaTheme="minorEastAsia"/>
          <w:bCs/>
          <w:color w:val="auto"/>
          <w:sz w:val="44"/>
          <w:szCs w:val="44"/>
          <w:highlight w:val="none"/>
        </w:rPr>
      </w:pPr>
      <w:r>
        <w:rPr>
          <w:rFonts w:hint="eastAsia" w:cs="方正小标宋简体" w:asciiTheme="minorEastAsia" w:hAnsiTheme="minorEastAsia" w:eastAsiaTheme="minorEastAsia"/>
          <w:bCs/>
          <w:color w:val="auto"/>
          <w:sz w:val="44"/>
          <w:szCs w:val="44"/>
          <w:highlight w:val="none"/>
        </w:rPr>
        <w:t>商  务  技  术  文  件</w:t>
      </w:r>
    </w:p>
    <w:p w14:paraId="00F0DEC5">
      <w:pPr>
        <w:pageBreakBefore w:val="0"/>
        <w:kinsoku/>
        <w:topLinePunct w:val="0"/>
        <w:bidi w:val="0"/>
        <w:snapToGrid w:val="0"/>
        <w:spacing w:before="60" w:after="60" w:line="360" w:lineRule="auto"/>
        <w:rPr>
          <w:rFonts w:ascii="宋体" w:hAnsi="宋体"/>
          <w:bCs/>
          <w:color w:val="auto"/>
          <w:sz w:val="24"/>
          <w:szCs w:val="20"/>
          <w:highlight w:val="none"/>
        </w:rPr>
      </w:pPr>
    </w:p>
    <w:p w14:paraId="23791070">
      <w:pPr>
        <w:pageBreakBefore w:val="0"/>
        <w:kinsoku/>
        <w:topLinePunct w:val="0"/>
        <w:bidi w:val="0"/>
        <w:snapToGrid w:val="0"/>
        <w:spacing w:before="60" w:after="60" w:line="360" w:lineRule="auto"/>
        <w:rPr>
          <w:rFonts w:ascii="宋体" w:hAnsi="宋体"/>
          <w:bCs/>
          <w:color w:val="auto"/>
          <w:sz w:val="24"/>
          <w:szCs w:val="20"/>
          <w:highlight w:val="none"/>
        </w:rPr>
      </w:pPr>
    </w:p>
    <w:p w14:paraId="34BC4512">
      <w:pPr>
        <w:pageBreakBefore w:val="0"/>
        <w:kinsoku/>
        <w:topLinePunct w:val="0"/>
        <w:bidi w:val="0"/>
        <w:snapToGrid w:val="0"/>
        <w:spacing w:before="60" w:after="60" w:line="360" w:lineRule="auto"/>
        <w:rPr>
          <w:rFonts w:ascii="宋体" w:hAnsi="宋体"/>
          <w:bCs/>
          <w:color w:val="auto"/>
          <w:sz w:val="24"/>
          <w:szCs w:val="20"/>
          <w:highlight w:val="none"/>
        </w:rPr>
      </w:pPr>
    </w:p>
    <w:p w14:paraId="6A4C1FB5">
      <w:pPr>
        <w:pageBreakBefore w:val="0"/>
        <w:kinsoku/>
        <w:topLinePunct w:val="0"/>
        <w:bidi w:val="0"/>
        <w:snapToGrid w:val="0"/>
        <w:spacing w:before="60" w:after="60" w:line="360" w:lineRule="auto"/>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6434F6AF">
      <w:pPr>
        <w:pageBreakBefore w:val="0"/>
        <w:kinsoku/>
        <w:topLinePunct w:val="0"/>
        <w:bidi w:val="0"/>
        <w:snapToGrid w:val="0"/>
        <w:spacing w:before="60" w:after="60" w:line="360" w:lineRule="auto"/>
        <w:ind w:firstLine="720" w:firstLineChars="225"/>
        <w:rPr>
          <w:rFonts w:ascii="宋体" w:hAnsi="宋体" w:cs="仿宋_GB2312"/>
          <w:bCs/>
          <w:color w:val="auto"/>
          <w:sz w:val="32"/>
          <w:szCs w:val="32"/>
          <w:highlight w:val="none"/>
        </w:rPr>
      </w:pPr>
    </w:p>
    <w:p w14:paraId="74D5F2E9">
      <w:pPr>
        <w:pageBreakBefore w:val="0"/>
        <w:kinsoku/>
        <w:topLinePunct w:val="0"/>
        <w:bidi w:val="0"/>
        <w:snapToGrid w:val="0"/>
        <w:spacing w:before="60" w:after="60" w:line="360" w:lineRule="auto"/>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3573F4CA">
      <w:pPr>
        <w:pageBreakBefore w:val="0"/>
        <w:kinsoku/>
        <w:topLinePunct w:val="0"/>
        <w:bidi w:val="0"/>
        <w:snapToGrid w:val="0"/>
        <w:spacing w:before="60" w:after="60" w:line="360" w:lineRule="auto"/>
        <w:ind w:firstLine="720" w:firstLineChars="225"/>
        <w:rPr>
          <w:rFonts w:ascii="宋体" w:hAnsi="宋体" w:cs="仿宋_GB2312"/>
          <w:bCs/>
          <w:color w:val="auto"/>
          <w:sz w:val="32"/>
          <w:szCs w:val="32"/>
          <w:highlight w:val="none"/>
        </w:rPr>
      </w:pPr>
    </w:p>
    <w:p w14:paraId="1890767E">
      <w:pPr>
        <w:pageBreakBefore w:val="0"/>
        <w:kinsoku/>
        <w:topLinePunct w:val="0"/>
        <w:bidi w:val="0"/>
        <w:snapToGrid w:val="0"/>
        <w:spacing w:before="60" w:after="60" w:line="360" w:lineRule="auto"/>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4B964CF6">
      <w:pPr>
        <w:pageBreakBefore w:val="0"/>
        <w:kinsoku/>
        <w:topLinePunct w:val="0"/>
        <w:bidi w:val="0"/>
        <w:snapToGrid w:val="0"/>
        <w:spacing w:before="60" w:after="60" w:line="360" w:lineRule="auto"/>
        <w:ind w:firstLine="720" w:firstLineChars="225"/>
        <w:rPr>
          <w:rFonts w:ascii="宋体" w:hAnsi="宋体" w:cs="仿宋_GB2312"/>
          <w:bCs/>
          <w:color w:val="auto"/>
          <w:sz w:val="32"/>
          <w:szCs w:val="32"/>
          <w:highlight w:val="none"/>
        </w:rPr>
      </w:pPr>
    </w:p>
    <w:p w14:paraId="44DCF924">
      <w:pPr>
        <w:pStyle w:val="6"/>
        <w:pageBreakBefore w:val="0"/>
        <w:kinsoku/>
        <w:topLinePunct w:val="0"/>
        <w:bidi w:val="0"/>
        <w:snapToGrid w:val="0"/>
        <w:spacing w:before="60" w:after="60" w:line="360" w:lineRule="auto"/>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766D63A3">
      <w:pPr>
        <w:pStyle w:val="6"/>
        <w:pageBreakBefore w:val="0"/>
        <w:kinsoku/>
        <w:topLinePunct w:val="0"/>
        <w:bidi w:val="0"/>
        <w:snapToGrid w:val="0"/>
        <w:spacing w:before="60" w:after="60" w:line="360" w:lineRule="auto"/>
        <w:ind w:firstLine="640" w:firstLineChars="200"/>
        <w:rPr>
          <w:rFonts w:ascii="宋体" w:hAnsi="宋体" w:cs="仿宋_GB2312"/>
          <w:bCs/>
          <w:color w:val="auto"/>
          <w:sz w:val="32"/>
          <w:szCs w:val="32"/>
          <w:highlight w:val="none"/>
        </w:rPr>
      </w:pPr>
    </w:p>
    <w:p w14:paraId="62F8E0EC">
      <w:pPr>
        <w:pStyle w:val="6"/>
        <w:pageBreakBefore w:val="0"/>
        <w:kinsoku/>
        <w:topLinePunct w:val="0"/>
        <w:bidi w:val="0"/>
        <w:snapToGrid w:val="0"/>
        <w:spacing w:before="60" w:after="60" w:line="360" w:lineRule="auto"/>
        <w:ind w:firstLine="720" w:firstLineChars="225"/>
        <w:rPr>
          <w:rFonts w:ascii="宋体" w:hAnsi="宋体" w:cs="仿宋_GB2312"/>
          <w:bCs/>
          <w:color w:val="auto"/>
          <w:sz w:val="32"/>
          <w:szCs w:val="32"/>
          <w:highlight w:val="none"/>
        </w:rPr>
      </w:pPr>
    </w:p>
    <w:p w14:paraId="7F265B95">
      <w:pPr>
        <w:pStyle w:val="6"/>
        <w:pageBreakBefore w:val="0"/>
        <w:kinsoku/>
        <w:topLinePunct w:val="0"/>
        <w:bidi w:val="0"/>
        <w:snapToGrid w:val="0"/>
        <w:spacing w:before="60" w:after="60" w:line="360" w:lineRule="auto"/>
        <w:ind w:firstLine="0"/>
        <w:rPr>
          <w:rFonts w:ascii="宋体" w:hAnsi="宋体" w:cs="仿宋_GB2312"/>
          <w:bCs/>
          <w:color w:val="auto"/>
          <w:sz w:val="32"/>
          <w:szCs w:val="32"/>
          <w:highlight w:val="none"/>
        </w:rPr>
      </w:pPr>
    </w:p>
    <w:p w14:paraId="329FA367">
      <w:pPr>
        <w:pStyle w:val="6"/>
        <w:pageBreakBefore w:val="0"/>
        <w:kinsoku/>
        <w:topLinePunct w:val="0"/>
        <w:bidi w:val="0"/>
        <w:snapToGrid w:val="0"/>
        <w:spacing w:before="60" w:after="60" w:line="360" w:lineRule="auto"/>
        <w:ind w:firstLine="1280" w:firstLineChars="400"/>
        <w:rPr>
          <w:rFonts w:ascii="宋体" w:hAnsi="宋体" w:cs="仿宋_GB2312"/>
          <w:bCs/>
          <w:color w:val="auto"/>
          <w:sz w:val="32"/>
          <w:szCs w:val="32"/>
          <w:highlight w:val="none"/>
        </w:rPr>
      </w:pPr>
    </w:p>
    <w:p w14:paraId="67B7F70B">
      <w:pPr>
        <w:pageBreakBefore w:val="0"/>
        <w:kinsoku/>
        <w:topLinePunct w:val="0"/>
        <w:bidi w:val="0"/>
        <w:snapToGrid w:val="0"/>
        <w:spacing w:before="60" w:after="60" w:line="360" w:lineRule="auto"/>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32FBD3CD">
      <w:pPr>
        <w:pageBreakBefore w:val="0"/>
        <w:kinsoku/>
        <w:topLinePunct w:val="0"/>
        <w:bidi w:val="0"/>
        <w:snapToGrid w:val="0"/>
        <w:spacing w:before="60" w:after="60" w:line="360" w:lineRule="auto"/>
        <w:ind w:right="480" w:firstLine="321" w:firstLineChars="100"/>
        <w:jc w:val="left"/>
        <w:rPr>
          <w:rFonts w:ascii="宋体" w:hAnsi="宋体"/>
          <w:b/>
          <w:bCs/>
          <w:color w:val="auto"/>
          <w:sz w:val="24"/>
          <w:highlight w:val="none"/>
        </w:rPr>
      </w:pPr>
      <w:r>
        <w:rPr>
          <w:rFonts w:hint="eastAsia" w:ascii="宋体" w:hAnsi="宋体"/>
          <w:b/>
          <w:bCs/>
          <w:color w:val="auto"/>
          <w:sz w:val="32"/>
          <w:szCs w:val="32"/>
          <w:highlight w:val="none"/>
        </w:rPr>
        <w:t>2</w:t>
      </w:r>
      <w:r>
        <w:rPr>
          <w:rFonts w:hint="eastAsia" w:ascii="宋体" w:hAnsi="宋体"/>
          <w:b/>
          <w:bCs/>
          <w:color w:val="auto"/>
          <w:sz w:val="32"/>
          <w:szCs w:val="32"/>
          <w:highlight w:val="none"/>
          <w:lang w:eastAsia="zh-CN"/>
        </w:rPr>
        <w:t>.</w:t>
      </w:r>
      <w:r>
        <w:rPr>
          <w:rFonts w:hint="eastAsia" w:ascii="宋体" w:hAnsi="宋体"/>
          <w:b/>
          <w:bCs/>
          <w:color w:val="auto"/>
          <w:sz w:val="32"/>
          <w:szCs w:val="32"/>
          <w:highlight w:val="none"/>
        </w:rPr>
        <w:t>商务技术文件目录</w:t>
      </w:r>
    </w:p>
    <w:p w14:paraId="5F159A44">
      <w:pPr>
        <w:pageBreakBefore w:val="0"/>
        <w:kinsoku/>
        <w:topLinePunct w:val="0"/>
        <w:bidi w:val="0"/>
        <w:snapToGrid w:val="0"/>
        <w:spacing w:before="60" w:after="60"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7D729C4C">
      <w:pPr>
        <w:pageBreakBefore w:val="0"/>
        <w:kinsoku/>
        <w:topLinePunct w:val="0"/>
        <w:bidi w:val="0"/>
        <w:spacing w:before="60" w:after="60" w:line="360" w:lineRule="auto"/>
        <w:rPr>
          <w:rFonts w:ascii="仿宋_GB2312" w:hAnsi="仿宋_GB2312" w:eastAsia="仿宋_GB2312" w:cs="仿宋_GB2312"/>
          <w:color w:val="auto"/>
          <w:sz w:val="32"/>
          <w:szCs w:val="32"/>
          <w:highlight w:val="none"/>
        </w:rPr>
      </w:pPr>
    </w:p>
    <w:p w14:paraId="3E04D410">
      <w:pPr>
        <w:pageBreakBefore w:val="0"/>
        <w:kinsoku/>
        <w:topLinePunct w:val="0"/>
        <w:bidi w:val="0"/>
        <w:spacing w:before="60" w:after="60" w:line="360" w:lineRule="auto"/>
        <w:jc w:val="center"/>
        <w:rPr>
          <w:rFonts w:cs="仿宋_GB2312" w:asciiTheme="minorEastAsia" w:hAnsiTheme="minorEastAsia" w:eastAsiaTheme="minorEastAsia"/>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cs="方正小标宋简体" w:asciiTheme="minorEastAsia" w:hAnsiTheme="minorEastAsia" w:eastAsiaTheme="minorEastAsia"/>
          <w:color w:val="auto"/>
          <w:sz w:val="36"/>
          <w:szCs w:val="36"/>
          <w:highlight w:val="none"/>
        </w:rPr>
        <w:t>无串通竞标行为的承诺函</w:t>
      </w:r>
    </w:p>
    <w:p w14:paraId="28C0915F">
      <w:pPr>
        <w:pageBreakBefore w:val="0"/>
        <w:kinsoku/>
        <w:topLinePunct w:val="0"/>
        <w:bidi w:val="0"/>
        <w:spacing w:before="60" w:after="60" w:line="360" w:lineRule="auto"/>
        <w:ind w:firstLine="640" w:firstLineChars="200"/>
        <w:contextualSpacing/>
        <w:rPr>
          <w:rFonts w:ascii="仿宋_GB2312" w:hAnsi="仿宋_GB2312" w:eastAsia="仿宋_GB2312" w:cs="仿宋_GB2312"/>
          <w:color w:val="auto"/>
          <w:sz w:val="32"/>
          <w:szCs w:val="32"/>
          <w:highlight w:val="none"/>
        </w:rPr>
      </w:pPr>
    </w:p>
    <w:p w14:paraId="2BE2D9E7">
      <w:pPr>
        <w:pageBreakBefore w:val="0"/>
        <w:kinsoku/>
        <w:topLinePunct w:val="0"/>
        <w:bidi w:val="0"/>
        <w:spacing w:before="60" w:after="60"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66C4C110">
      <w:pPr>
        <w:pageBreakBefore w:val="0"/>
        <w:kinsoku/>
        <w:topLinePunct w:val="0"/>
        <w:bidi w:val="0"/>
        <w:spacing w:before="60" w:after="60"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1</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 xml:space="preserve">不同供应商的响应文件由同一单位或者个人编制； </w:t>
      </w:r>
    </w:p>
    <w:p w14:paraId="2732000C">
      <w:pPr>
        <w:pageBreakBefore w:val="0"/>
        <w:kinsoku/>
        <w:topLinePunct w:val="0"/>
        <w:bidi w:val="0"/>
        <w:spacing w:before="60" w:after="60"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不同供应商委托同一单位或者个人办理竞标事宜；</w:t>
      </w:r>
    </w:p>
    <w:p w14:paraId="605AA564">
      <w:pPr>
        <w:pageBreakBefore w:val="0"/>
        <w:kinsoku/>
        <w:topLinePunct w:val="0"/>
        <w:bidi w:val="0"/>
        <w:spacing w:before="60" w:after="60"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不同供应商的响应文件载明的项目管理员为同一个人；</w:t>
      </w:r>
    </w:p>
    <w:p w14:paraId="2FAB14D0">
      <w:pPr>
        <w:pageBreakBefore w:val="0"/>
        <w:kinsoku/>
        <w:topLinePunct w:val="0"/>
        <w:bidi w:val="0"/>
        <w:spacing w:before="60" w:after="60"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不</w:t>
      </w:r>
      <w:r>
        <w:rPr>
          <w:rFonts w:hint="eastAsia" w:ascii="宋体" w:hAnsi="宋体" w:cs="仿宋_GB2312"/>
          <w:color w:val="auto"/>
          <w:spacing w:val="-6"/>
          <w:sz w:val="24"/>
          <w:highlight w:val="none"/>
        </w:rPr>
        <w:t>同供应商的响应文件异常一致或者竞标报价呈规律性差异；</w:t>
      </w:r>
    </w:p>
    <w:p w14:paraId="4F024635">
      <w:pPr>
        <w:pageBreakBefore w:val="0"/>
        <w:kinsoku/>
        <w:topLinePunct w:val="0"/>
        <w:bidi w:val="0"/>
        <w:spacing w:before="60" w:after="60"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不同供应商的响应文件相互混装；</w:t>
      </w:r>
    </w:p>
    <w:p w14:paraId="77C96551">
      <w:pPr>
        <w:pageBreakBefore w:val="0"/>
        <w:kinsoku/>
        <w:topLinePunct w:val="0"/>
        <w:bidi w:val="0"/>
        <w:spacing w:before="60" w:after="60"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不同供应商的磋商保证金从同一单位或者个人账户转出。</w:t>
      </w:r>
    </w:p>
    <w:p w14:paraId="2D1C5F9D">
      <w:pPr>
        <w:pageBreakBefore w:val="0"/>
        <w:kinsoku/>
        <w:topLinePunct w:val="0"/>
        <w:bidi w:val="0"/>
        <w:spacing w:before="60" w:after="60"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1A8B723C">
      <w:pPr>
        <w:pageBreakBefore w:val="0"/>
        <w:kinsoku/>
        <w:topLinePunct w:val="0"/>
        <w:bidi w:val="0"/>
        <w:spacing w:before="60" w:after="60"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1</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供应商直接或者间接从采购人或者采购代理机构处获得其他供应商的相关信息并修改其响应文件；</w:t>
      </w:r>
    </w:p>
    <w:p w14:paraId="69B7803D">
      <w:pPr>
        <w:pageBreakBefore w:val="0"/>
        <w:kinsoku/>
        <w:topLinePunct w:val="0"/>
        <w:bidi w:val="0"/>
        <w:spacing w:before="60" w:after="60"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供应商按照采购人或者采购代理机构的授意撤换、修改响应文件；</w:t>
      </w:r>
    </w:p>
    <w:p w14:paraId="3D0C4D21">
      <w:pPr>
        <w:pageBreakBefore w:val="0"/>
        <w:kinsoku/>
        <w:topLinePunct w:val="0"/>
        <w:bidi w:val="0"/>
        <w:spacing w:before="60" w:after="60"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供</w:t>
      </w:r>
      <w:r>
        <w:rPr>
          <w:rFonts w:hint="eastAsia" w:ascii="宋体" w:hAnsi="宋体" w:cs="仿宋_GB2312"/>
          <w:color w:val="auto"/>
          <w:spacing w:val="-6"/>
          <w:sz w:val="24"/>
          <w:highlight w:val="none"/>
        </w:rPr>
        <w:t>应商之间协商报价、技术方案等响应文件的实质性内容；</w:t>
      </w:r>
    </w:p>
    <w:p w14:paraId="268FF3EA">
      <w:pPr>
        <w:pageBreakBefore w:val="0"/>
        <w:kinsoku/>
        <w:topLinePunct w:val="0"/>
        <w:bidi w:val="0"/>
        <w:spacing w:before="60" w:after="60"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属于同一集团、协会、商会等组织成员的供应商按照该组织要求协同参加政府采购活动；</w:t>
      </w:r>
    </w:p>
    <w:p w14:paraId="05E570C3">
      <w:pPr>
        <w:pageBreakBefore w:val="0"/>
        <w:kinsoku/>
        <w:topLinePunct w:val="0"/>
        <w:bidi w:val="0"/>
        <w:spacing w:before="60" w:after="60"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供应商之间事先约定一致抬高或者压低竞标报价，或者在竞争性磋商项目中事先约定轮流以高价位或者低价位成交，或者事先约定由某一特定供应商成交，然后再参加竞标；</w:t>
      </w:r>
    </w:p>
    <w:p w14:paraId="2CB23C6B">
      <w:pPr>
        <w:pageBreakBefore w:val="0"/>
        <w:kinsoku/>
        <w:topLinePunct w:val="0"/>
        <w:bidi w:val="0"/>
        <w:spacing w:before="60" w:after="60"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供应商之间商定部分供应商放弃参加政府采购活动或者放弃成交；</w:t>
      </w:r>
    </w:p>
    <w:p w14:paraId="16A73983">
      <w:pPr>
        <w:pageBreakBefore w:val="0"/>
        <w:kinsoku/>
        <w:topLinePunct w:val="0"/>
        <w:bidi w:val="0"/>
        <w:spacing w:before="60" w:after="60"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7</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7673020D">
      <w:pPr>
        <w:pageBreakBefore w:val="0"/>
        <w:kinsoku/>
        <w:topLinePunct w:val="0"/>
        <w:bidi w:val="0"/>
        <w:spacing w:before="60" w:after="60" w:line="360" w:lineRule="auto"/>
        <w:ind w:firstLine="480" w:firstLineChars="200"/>
        <w:contextualSpacing/>
        <w:rPr>
          <w:rFonts w:ascii="宋体" w:hAnsi="宋体" w:cs="仿宋_GB2312"/>
          <w:color w:val="auto"/>
          <w:sz w:val="24"/>
          <w:highlight w:val="none"/>
        </w:rPr>
      </w:pPr>
    </w:p>
    <w:p w14:paraId="03BF18A7">
      <w:pPr>
        <w:pageBreakBefore w:val="0"/>
        <w:kinsoku/>
        <w:topLinePunct w:val="0"/>
        <w:bidi w:val="0"/>
        <w:spacing w:before="60" w:after="60"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0D2D4635">
      <w:pPr>
        <w:pageBreakBefore w:val="0"/>
        <w:kinsoku/>
        <w:topLinePunct w:val="0"/>
        <w:bidi w:val="0"/>
        <w:spacing w:before="60" w:after="60" w:line="360" w:lineRule="auto"/>
        <w:contextualSpacing/>
        <w:rPr>
          <w:rFonts w:ascii="宋体" w:hAnsi="宋体" w:cs="仿宋_GB2312"/>
          <w:color w:val="auto"/>
          <w:sz w:val="24"/>
          <w:highlight w:val="none"/>
        </w:rPr>
      </w:pPr>
    </w:p>
    <w:p w14:paraId="18E6A50B">
      <w:pPr>
        <w:pageBreakBefore w:val="0"/>
        <w:kinsoku/>
        <w:topLinePunct w:val="0"/>
        <w:bidi w:val="0"/>
        <w:spacing w:before="60" w:after="60"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供应商（电子签章）：</w:t>
      </w:r>
    </w:p>
    <w:p w14:paraId="199D9214">
      <w:pPr>
        <w:pageBreakBefore w:val="0"/>
        <w:kinsoku/>
        <w:topLinePunct w:val="0"/>
        <w:bidi w:val="0"/>
        <w:spacing w:before="60" w:after="60" w:line="360" w:lineRule="auto"/>
        <w:ind w:firstLine="480" w:firstLineChars="200"/>
        <w:contextualSpacing/>
        <w:jc w:val="center"/>
        <w:rPr>
          <w:rFonts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238954EC">
      <w:pPr>
        <w:pageBreakBefore w:val="0"/>
        <w:kinsoku/>
        <w:topLinePunct w:val="0"/>
        <w:bidi w:val="0"/>
        <w:spacing w:before="60" w:after="60" w:line="360" w:lineRule="auto"/>
        <w:jc w:val="center"/>
        <w:rPr>
          <w:rFonts w:cs="仿宋_GB2312" w:asciiTheme="minorEastAsia" w:hAnsiTheme="minorEastAsia" w:eastAsiaTheme="minorEastAsia"/>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cs="方正小标宋简体" w:asciiTheme="minorEastAsia" w:hAnsiTheme="minorEastAsia" w:eastAsiaTheme="minorEastAsia"/>
          <w:bCs/>
          <w:color w:val="auto"/>
          <w:sz w:val="36"/>
          <w:szCs w:val="36"/>
          <w:highlight w:val="none"/>
        </w:rPr>
        <w:t>法定代表人证明书</w:t>
      </w:r>
    </w:p>
    <w:p w14:paraId="631C6BD3">
      <w:pPr>
        <w:pageBreakBefore w:val="0"/>
        <w:kinsoku/>
        <w:topLinePunct w:val="0"/>
        <w:bidi w:val="0"/>
        <w:spacing w:before="60" w:after="60" w:line="360" w:lineRule="auto"/>
        <w:ind w:left="540"/>
        <w:contextualSpacing/>
        <w:rPr>
          <w:rFonts w:ascii="仿宋_GB2312" w:hAnsi="仿宋_GB2312" w:eastAsia="仿宋_GB2312" w:cs="仿宋_GB2312"/>
          <w:color w:val="auto"/>
          <w:sz w:val="32"/>
          <w:szCs w:val="32"/>
          <w:highlight w:val="none"/>
        </w:rPr>
      </w:pPr>
    </w:p>
    <w:p w14:paraId="4CF14E63">
      <w:pPr>
        <w:pageBreakBefore w:val="0"/>
        <w:kinsoku/>
        <w:topLinePunct w:val="0"/>
        <w:bidi w:val="0"/>
        <w:spacing w:before="60" w:after="60"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p>
    <w:p w14:paraId="60B81979">
      <w:pPr>
        <w:pageBreakBefore w:val="0"/>
        <w:kinsoku/>
        <w:topLinePunct w:val="0"/>
        <w:bidi w:val="0"/>
        <w:spacing w:before="60" w:after="60"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地    址：</w:t>
      </w:r>
    </w:p>
    <w:p w14:paraId="332390CF">
      <w:pPr>
        <w:pageBreakBefore w:val="0"/>
        <w:kinsoku/>
        <w:topLinePunct w:val="0"/>
        <w:bidi w:val="0"/>
        <w:spacing w:before="60" w:after="60"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姓    名：  性     别：</w:t>
      </w:r>
    </w:p>
    <w:p w14:paraId="7057D75E">
      <w:pPr>
        <w:pageBreakBefore w:val="0"/>
        <w:kinsoku/>
        <w:topLinePunct w:val="0"/>
        <w:bidi w:val="0"/>
        <w:spacing w:before="60" w:after="60" w:line="360" w:lineRule="auto"/>
        <w:ind w:left="540"/>
        <w:contextualSpacing/>
        <w:rPr>
          <w:rFonts w:ascii="宋体" w:hAnsi="宋体" w:cs="仿宋_GB2312"/>
          <w:color w:val="auto"/>
          <w:sz w:val="24"/>
          <w:highlight w:val="none"/>
          <w:u w:val="single"/>
        </w:rPr>
      </w:pPr>
      <w:r>
        <w:rPr>
          <w:rFonts w:hint="eastAsia" w:ascii="宋体" w:hAnsi="宋体" w:cs="仿宋_GB2312"/>
          <w:color w:val="auto"/>
          <w:sz w:val="24"/>
          <w:highlight w:val="none"/>
        </w:rPr>
        <w:t>年    龄：  职     务：</w:t>
      </w:r>
    </w:p>
    <w:p w14:paraId="2F2BF8BE">
      <w:pPr>
        <w:pageBreakBefore w:val="0"/>
        <w:kinsoku/>
        <w:topLinePunct w:val="0"/>
        <w:bidi w:val="0"/>
        <w:spacing w:before="60" w:after="60"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身份证号码：</w:t>
      </w:r>
    </w:p>
    <w:p w14:paraId="139A957B">
      <w:pPr>
        <w:pageBreakBefore w:val="0"/>
        <w:kinsoku/>
        <w:topLinePunct w:val="0"/>
        <w:bidi w:val="0"/>
        <w:spacing w:before="60" w:after="60"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1856A51F">
      <w:pPr>
        <w:pageBreakBefore w:val="0"/>
        <w:kinsoku/>
        <w:topLinePunct w:val="0"/>
        <w:bidi w:val="0"/>
        <w:spacing w:before="60" w:after="60"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特此证明。</w:t>
      </w:r>
    </w:p>
    <w:p w14:paraId="4141667D">
      <w:pPr>
        <w:pageBreakBefore w:val="0"/>
        <w:kinsoku/>
        <w:topLinePunct w:val="0"/>
        <w:bidi w:val="0"/>
        <w:spacing w:before="60" w:after="60" w:line="360" w:lineRule="auto"/>
        <w:ind w:left="540"/>
        <w:contextualSpacing/>
        <w:rPr>
          <w:rFonts w:ascii="宋体" w:hAnsi="宋体" w:cs="仿宋_GB2312"/>
          <w:color w:val="auto"/>
          <w:sz w:val="24"/>
          <w:highlight w:val="none"/>
        </w:rPr>
      </w:pPr>
    </w:p>
    <w:p w14:paraId="142508AB">
      <w:pPr>
        <w:pageBreakBefore w:val="0"/>
        <w:kinsoku/>
        <w:topLinePunct w:val="0"/>
        <w:bidi w:val="0"/>
        <w:spacing w:before="60" w:after="60" w:line="360" w:lineRule="auto"/>
        <w:ind w:left="540"/>
        <w:contextualSpacing/>
        <w:rPr>
          <w:rFonts w:ascii="宋体" w:hAnsi="宋体" w:cs="仿宋_GB2312"/>
          <w:color w:val="auto"/>
          <w:sz w:val="24"/>
          <w:highlight w:val="none"/>
        </w:rPr>
      </w:pPr>
    </w:p>
    <w:p w14:paraId="72D51E44">
      <w:pPr>
        <w:pageBreakBefore w:val="0"/>
        <w:kinsoku/>
        <w:topLinePunct w:val="0"/>
        <w:bidi w:val="0"/>
        <w:spacing w:before="60" w:after="60" w:line="360" w:lineRule="auto"/>
        <w:ind w:left="540"/>
        <w:contextualSpacing/>
        <w:rPr>
          <w:rFonts w:ascii="宋体" w:hAnsi="宋体" w:cs="仿宋_GB2312"/>
          <w:color w:val="auto"/>
          <w:sz w:val="24"/>
          <w:highlight w:val="none"/>
        </w:rPr>
      </w:pPr>
    </w:p>
    <w:p w14:paraId="5A9B286F">
      <w:pPr>
        <w:pageBreakBefore w:val="0"/>
        <w:kinsoku/>
        <w:topLinePunct w:val="0"/>
        <w:bidi w:val="0"/>
        <w:spacing w:before="60" w:after="60"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683F76D4">
      <w:pPr>
        <w:pageBreakBefore w:val="0"/>
        <w:kinsoku/>
        <w:topLinePunct w:val="0"/>
        <w:bidi w:val="0"/>
        <w:spacing w:before="60" w:after="60" w:line="360" w:lineRule="auto"/>
        <w:ind w:left="540"/>
        <w:contextualSpacing/>
        <w:rPr>
          <w:rFonts w:ascii="宋体" w:hAnsi="宋体" w:cs="仿宋_GB2312"/>
          <w:color w:val="auto"/>
          <w:sz w:val="24"/>
          <w:highlight w:val="none"/>
        </w:rPr>
      </w:pPr>
    </w:p>
    <w:p w14:paraId="35B18932">
      <w:pPr>
        <w:pageBreakBefore w:val="0"/>
        <w:kinsoku/>
        <w:topLinePunct w:val="0"/>
        <w:bidi w:val="0"/>
        <w:spacing w:before="60" w:after="60" w:line="360" w:lineRule="auto"/>
        <w:ind w:left="540"/>
        <w:contextualSpacing/>
        <w:jc w:val="center"/>
        <w:rPr>
          <w:rFonts w:ascii="宋体" w:hAnsi="宋体" w:cs="仿宋_GB2312"/>
          <w:color w:val="auto"/>
          <w:sz w:val="24"/>
          <w:highlight w:val="none"/>
        </w:rPr>
      </w:pPr>
    </w:p>
    <w:p w14:paraId="6564ADA7">
      <w:pPr>
        <w:pageBreakBefore w:val="0"/>
        <w:kinsoku/>
        <w:topLinePunct w:val="0"/>
        <w:bidi w:val="0"/>
        <w:spacing w:before="60" w:after="60" w:line="360" w:lineRule="auto"/>
        <w:ind w:left="540"/>
        <w:contextualSpacing/>
        <w:jc w:val="center"/>
        <w:rPr>
          <w:rFonts w:ascii="宋体" w:hAnsi="宋体" w:cs="仿宋_GB2312"/>
          <w:color w:val="auto"/>
          <w:sz w:val="24"/>
          <w:highlight w:val="none"/>
        </w:rPr>
      </w:pPr>
    </w:p>
    <w:p w14:paraId="54DBE1F7">
      <w:pPr>
        <w:pageBreakBefore w:val="0"/>
        <w:kinsoku/>
        <w:topLinePunct w:val="0"/>
        <w:bidi w:val="0"/>
        <w:spacing w:before="60" w:after="60" w:line="360" w:lineRule="auto"/>
        <w:ind w:left="540"/>
        <w:contextualSpacing/>
        <w:jc w:val="center"/>
        <w:rPr>
          <w:rFonts w:ascii="宋体" w:hAnsi="宋体" w:cs="仿宋_GB2312"/>
          <w:color w:val="auto"/>
          <w:sz w:val="24"/>
          <w:highlight w:val="none"/>
        </w:rPr>
      </w:pPr>
      <w:r>
        <w:rPr>
          <w:rFonts w:hint="eastAsia" w:ascii="宋体" w:hAnsi="宋体" w:cs="仿宋_GB2312"/>
          <w:color w:val="auto"/>
          <w:sz w:val="24"/>
          <w:highlight w:val="none"/>
        </w:rPr>
        <w:t>供应商（电子签章）：</w:t>
      </w:r>
    </w:p>
    <w:p w14:paraId="6943DE3C">
      <w:pPr>
        <w:pageBreakBefore w:val="0"/>
        <w:kinsoku/>
        <w:topLinePunct w:val="0"/>
        <w:bidi w:val="0"/>
        <w:spacing w:before="60" w:after="60" w:line="360" w:lineRule="auto"/>
        <w:contextualSpacing/>
        <w:jc w:val="right"/>
        <w:rPr>
          <w:rFonts w:ascii="宋体" w:hAnsi="宋体" w:cs="仿宋_GB2312"/>
          <w:color w:val="auto"/>
          <w:sz w:val="24"/>
          <w:highlight w:val="none"/>
        </w:rPr>
      </w:pPr>
      <w:r>
        <w:rPr>
          <w:rFonts w:hint="eastAsia" w:ascii="宋体" w:hAnsi="宋体" w:cs="仿宋_GB2312"/>
          <w:color w:val="auto"/>
          <w:sz w:val="24"/>
          <w:highlight w:val="none"/>
        </w:rPr>
        <w:t>年   月   日</w:t>
      </w:r>
    </w:p>
    <w:p w14:paraId="557966BD">
      <w:pPr>
        <w:pageBreakBefore w:val="0"/>
        <w:kinsoku/>
        <w:topLinePunct w:val="0"/>
        <w:bidi w:val="0"/>
        <w:spacing w:before="60" w:after="60" w:line="360" w:lineRule="auto"/>
        <w:contextualSpacing/>
        <w:jc w:val="center"/>
        <w:rPr>
          <w:rFonts w:ascii="宋体" w:hAnsi="宋体" w:cs="仿宋_GB2312"/>
          <w:b/>
          <w:color w:val="auto"/>
          <w:sz w:val="24"/>
          <w:highlight w:val="none"/>
        </w:rPr>
      </w:pPr>
    </w:p>
    <w:p w14:paraId="584394B5">
      <w:pPr>
        <w:pageBreakBefore w:val="0"/>
        <w:kinsoku/>
        <w:topLinePunct w:val="0"/>
        <w:bidi w:val="0"/>
        <w:spacing w:before="60" w:after="60" w:line="360" w:lineRule="auto"/>
        <w:contextualSpacing/>
        <w:jc w:val="left"/>
        <w:rPr>
          <w:rFonts w:ascii="宋体" w:hAnsi="宋体" w:cs="仿宋_GB2312"/>
          <w:color w:val="auto"/>
          <w:sz w:val="24"/>
          <w:highlight w:val="none"/>
        </w:rPr>
      </w:pPr>
    </w:p>
    <w:p w14:paraId="765E5FA6">
      <w:pPr>
        <w:pageBreakBefore w:val="0"/>
        <w:kinsoku/>
        <w:topLinePunct w:val="0"/>
        <w:bidi w:val="0"/>
        <w:spacing w:before="60" w:after="60"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注：自然人竞标的无需提供，联合体竞标的只需牵头人出具。</w:t>
      </w:r>
    </w:p>
    <w:p w14:paraId="219F39C4">
      <w:pPr>
        <w:pageBreakBefore w:val="0"/>
        <w:kinsoku/>
        <w:topLinePunct w:val="0"/>
        <w:bidi w:val="0"/>
        <w:adjustRightInd w:val="0"/>
        <w:snapToGrid w:val="0"/>
        <w:spacing w:before="60" w:after="60" w:line="360" w:lineRule="auto"/>
        <w:jc w:val="left"/>
        <w:rPr>
          <w:rFonts w:ascii="宋体" w:hAnsi="宋体"/>
          <w:b/>
          <w:color w:val="auto"/>
          <w:szCs w:val="21"/>
          <w:highlight w:val="none"/>
        </w:rPr>
      </w:pPr>
    </w:p>
    <w:p w14:paraId="2A9184D3">
      <w:pPr>
        <w:pageBreakBefore w:val="0"/>
        <w:kinsoku/>
        <w:topLinePunct w:val="0"/>
        <w:bidi w:val="0"/>
        <w:spacing w:before="60" w:after="60" w:line="360" w:lineRule="auto"/>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p>
    <w:p w14:paraId="4A68F7CE">
      <w:pPr>
        <w:pageBreakBefore w:val="0"/>
        <w:kinsoku/>
        <w:topLinePunct w:val="0"/>
        <w:bidi w:val="0"/>
        <w:spacing w:before="60" w:after="60" w:line="360" w:lineRule="auto"/>
        <w:jc w:val="center"/>
        <w:rPr>
          <w:rFonts w:asciiTheme="minorEastAsia" w:hAnsiTheme="minorEastAsia" w:eastAsiaTheme="minorEastAsia"/>
          <w:color w:val="auto"/>
          <w:sz w:val="36"/>
          <w:szCs w:val="36"/>
          <w:highlight w:val="none"/>
        </w:rPr>
      </w:pPr>
      <w:bookmarkStart w:id="88" w:name="_Hlk65853643"/>
      <w:r>
        <w:rPr>
          <w:rFonts w:asciiTheme="minorEastAsia" w:hAnsiTheme="minorEastAsia" w:eastAsiaTheme="minorEastAsia"/>
          <w:color w:val="auto"/>
          <w:sz w:val="36"/>
          <w:szCs w:val="36"/>
          <w:highlight w:val="none"/>
        </w:rPr>
        <w:t>授权委托书</w:t>
      </w:r>
    </w:p>
    <w:p w14:paraId="5B47B390">
      <w:pPr>
        <w:pageBreakBefore w:val="0"/>
        <w:kinsoku/>
        <w:topLinePunct w:val="0"/>
        <w:bidi w:val="0"/>
        <w:spacing w:before="60" w:after="60" w:line="360" w:lineRule="auto"/>
        <w:jc w:val="center"/>
        <w:rPr>
          <w:rFonts w:asciiTheme="minorEastAsia" w:hAnsiTheme="minorEastAsia" w:eastAsiaTheme="minorEastAsia"/>
          <w:color w:val="auto"/>
          <w:sz w:val="32"/>
          <w:szCs w:val="32"/>
          <w:highlight w:val="none"/>
        </w:rPr>
      </w:pPr>
      <w:r>
        <w:rPr>
          <w:rFonts w:asciiTheme="minorEastAsia" w:hAnsiTheme="minorEastAsia" w:eastAsiaTheme="minorEastAsia"/>
          <w:color w:val="auto"/>
          <w:sz w:val="32"/>
          <w:szCs w:val="32"/>
          <w:highlight w:val="none"/>
        </w:rPr>
        <w:t>（非联合体竞标格式）</w:t>
      </w:r>
    </w:p>
    <w:p w14:paraId="43021828">
      <w:pPr>
        <w:pageBreakBefore w:val="0"/>
        <w:kinsoku/>
        <w:topLinePunct w:val="0"/>
        <w:bidi w:val="0"/>
        <w:spacing w:before="60" w:after="60" w:line="360" w:lineRule="auto"/>
        <w:jc w:val="center"/>
        <w:rPr>
          <w:rFonts w:asciiTheme="minorEastAsia" w:hAnsiTheme="minorEastAsia" w:eastAsiaTheme="minorEastAsia"/>
          <w:color w:val="auto"/>
          <w:sz w:val="44"/>
          <w:szCs w:val="44"/>
          <w:highlight w:val="none"/>
        </w:rPr>
      </w:pPr>
      <w:r>
        <w:rPr>
          <w:rFonts w:asciiTheme="minorEastAsia" w:hAnsiTheme="minorEastAsia" w:eastAsiaTheme="minorEastAsia"/>
          <w:color w:val="auto"/>
          <w:sz w:val="32"/>
          <w:szCs w:val="32"/>
          <w:highlight w:val="none"/>
        </w:rPr>
        <w:t>（如有委托时）</w:t>
      </w:r>
    </w:p>
    <w:p w14:paraId="4738C1FF">
      <w:pPr>
        <w:pageBreakBefore w:val="0"/>
        <w:kinsoku/>
        <w:topLinePunct w:val="0"/>
        <w:bidi w:val="0"/>
        <w:spacing w:before="60" w:after="60" w:line="360" w:lineRule="auto"/>
        <w:rPr>
          <w:rFonts w:ascii="仿宋_GB2312" w:hAnsi="仿宋_GB2312" w:eastAsia="仿宋_GB2312" w:cs="仿宋_GB2312"/>
          <w:color w:val="auto"/>
          <w:sz w:val="32"/>
          <w:szCs w:val="32"/>
          <w:highlight w:val="none"/>
        </w:rPr>
      </w:pPr>
    </w:p>
    <w:p w14:paraId="4EF4B650">
      <w:pPr>
        <w:pageBreakBefore w:val="0"/>
        <w:kinsoku/>
        <w:topLinePunct w:val="0"/>
        <w:bidi w:val="0"/>
        <w:spacing w:before="60" w:after="60" w:line="360" w:lineRule="auto"/>
        <w:rPr>
          <w:rFonts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1BED816D">
      <w:pPr>
        <w:pageBreakBefore w:val="0"/>
        <w:kinsoku/>
        <w:topLinePunct w:val="0"/>
        <w:bidi w:val="0"/>
        <w:spacing w:before="60" w:after="60"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sym w:font="Wingdings 2" w:char="00A3"/>
      </w:r>
      <w:r>
        <w:rPr>
          <w:rFonts w:hint="eastAsia" w:ascii="宋体" w:hAnsi="宋体" w:cs="仿宋_GB2312"/>
          <w:color w:val="auto"/>
          <w:sz w:val="24"/>
          <w:highlight w:val="none"/>
          <w:u w:val="single"/>
        </w:rPr>
        <w:t>法定代表人/□负责人/□自然人本人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以我方的名义参加项目的竞标活动，并代表我方全权办理针对上述项目的所有采购程序和环节的具体事务和签署相关文件。</w:t>
      </w:r>
    </w:p>
    <w:p w14:paraId="6081D736">
      <w:pPr>
        <w:pageBreakBefore w:val="0"/>
        <w:kinsoku/>
        <w:topLinePunct w:val="0"/>
        <w:bidi w:val="0"/>
        <w:spacing w:before="60" w:after="60"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我方对委托代理人的签字</w:t>
      </w:r>
      <w:r>
        <w:rPr>
          <w:rFonts w:hint="eastAsia" w:ascii="宋体" w:hAnsi="宋体"/>
          <w:color w:val="auto"/>
          <w:sz w:val="24"/>
          <w:highlight w:val="none"/>
        </w:rPr>
        <w:t>或者电子签名</w:t>
      </w:r>
      <w:r>
        <w:rPr>
          <w:rFonts w:hint="eastAsia" w:ascii="宋体" w:hAnsi="宋体" w:cs="仿宋_GB2312"/>
          <w:color w:val="auto"/>
          <w:sz w:val="24"/>
          <w:highlight w:val="none"/>
        </w:rPr>
        <w:t>事项负全部责任。</w:t>
      </w:r>
    </w:p>
    <w:p w14:paraId="5B24B3CE">
      <w:pPr>
        <w:pageBreakBefore w:val="0"/>
        <w:kinsoku/>
        <w:topLinePunct w:val="0"/>
        <w:bidi w:val="0"/>
        <w:spacing w:before="60" w:after="60"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4748DE2A">
      <w:pPr>
        <w:pageBreakBefore w:val="0"/>
        <w:kinsoku/>
        <w:topLinePunct w:val="0"/>
        <w:bidi w:val="0"/>
        <w:spacing w:before="60" w:after="60"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50FD9304">
      <w:pPr>
        <w:pageBreakBefore w:val="0"/>
        <w:kinsoku/>
        <w:topLinePunct w:val="0"/>
        <w:bidi w:val="0"/>
        <w:spacing w:before="60" w:after="60"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3EFB2E19">
      <w:pPr>
        <w:pageBreakBefore w:val="0"/>
        <w:kinsoku/>
        <w:topLinePunct w:val="0"/>
        <w:bidi w:val="0"/>
        <w:spacing w:before="60" w:after="60" w:line="360" w:lineRule="auto"/>
        <w:rPr>
          <w:rFonts w:ascii="宋体" w:hAnsi="宋体" w:cs="仿宋_GB2312"/>
          <w:color w:val="auto"/>
          <w:sz w:val="24"/>
          <w:highlight w:val="none"/>
        </w:rPr>
      </w:pPr>
    </w:p>
    <w:p w14:paraId="5B7223B4">
      <w:pPr>
        <w:pageBreakBefore w:val="0"/>
        <w:kinsoku/>
        <w:topLinePunct w:val="0"/>
        <w:bidi w:val="0"/>
        <w:spacing w:before="60" w:after="60"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xml:space="preserve">）：     法定代表人（签字或者盖章或者电子签名）：                    </w:t>
      </w:r>
    </w:p>
    <w:p w14:paraId="7FCDA461">
      <w:pPr>
        <w:pageBreakBefore w:val="0"/>
        <w:kinsoku/>
        <w:topLinePunct w:val="0"/>
        <w:bidi w:val="0"/>
        <w:spacing w:before="60" w:after="60"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2F76FC53">
      <w:pPr>
        <w:pageBreakBefore w:val="0"/>
        <w:kinsoku/>
        <w:topLinePunct w:val="0"/>
        <w:bidi w:val="0"/>
        <w:spacing w:before="60" w:after="60" w:line="360" w:lineRule="auto"/>
        <w:contextualSpacing/>
        <w:rPr>
          <w:rFonts w:ascii="宋体" w:hAnsi="宋体" w:cs="仿宋_GB2312"/>
          <w:color w:val="auto"/>
          <w:sz w:val="24"/>
          <w:highlight w:val="none"/>
        </w:rPr>
      </w:pPr>
    </w:p>
    <w:p w14:paraId="2AAB8E53">
      <w:pPr>
        <w:pageBreakBefore w:val="0"/>
        <w:kinsoku/>
        <w:topLinePunct w:val="0"/>
        <w:bidi w:val="0"/>
        <w:spacing w:before="60" w:after="60"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供应商（电子签章）：                      </w:t>
      </w:r>
    </w:p>
    <w:p w14:paraId="41B28000">
      <w:pPr>
        <w:pageBreakBefore w:val="0"/>
        <w:kinsoku/>
        <w:topLinePunct w:val="0"/>
        <w:bidi w:val="0"/>
        <w:spacing w:before="60" w:after="60"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年    月    日</w:t>
      </w:r>
    </w:p>
    <w:p w14:paraId="75F22A70">
      <w:pPr>
        <w:pageBreakBefore w:val="0"/>
        <w:kinsoku/>
        <w:topLinePunct w:val="0"/>
        <w:bidi w:val="0"/>
        <w:spacing w:before="60" w:after="60" w:line="360" w:lineRule="auto"/>
        <w:rPr>
          <w:rFonts w:ascii="宋体" w:hAnsi="宋体" w:cs="仿宋_GB2312"/>
          <w:color w:val="auto"/>
          <w:sz w:val="24"/>
          <w:highlight w:val="none"/>
        </w:rPr>
      </w:pPr>
    </w:p>
    <w:p w14:paraId="02760ACD">
      <w:pPr>
        <w:pageBreakBefore w:val="0"/>
        <w:kinsoku/>
        <w:topLinePunct w:val="0"/>
        <w:bidi w:val="0"/>
        <w:spacing w:before="60" w:after="60" w:line="360" w:lineRule="auto"/>
        <w:rPr>
          <w:rFonts w:ascii="宋体" w:hAnsi="宋体" w:cs="仿宋_GB2312"/>
          <w:color w:val="auto"/>
          <w:sz w:val="24"/>
          <w:highlight w:val="none"/>
        </w:rPr>
      </w:pPr>
      <w:r>
        <w:rPr>
          <w:rFonts w:hint="eastAsia" w:ascii="宋体" w:hAnsi="宋体" w:cs="仿宋_GB2312"/>
          <w:color w:val="auto"/>
          <w:sz w:val="24"/>
          <w:highlight w:val="none"/>
        </w:rPr>
        <w:t>注：1</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 xml:space="preserve"> 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482FC404">
      <w:pPr>
        <w:pageBreakBefore w:val="0"/>
        <w:kinsoku/>
        <w:topLinePunct w:val="0"/>
        <w:bidi w:val="0"/>
        <w:spacing w:before="60" w:after="60" w:line="360" w:lineRule="auto"/>
        <w:ind w:firstLine="480" w:firstLineChars="200"/>
        <w:jc w:val="left"/>
        <w:rPr>
          <w:rFonts w:ascii="宋体" w:hAnsi="宋体" w:cs="仿宋_GB2312"/>
          <w:color w:val="auto"/>
          <w:sz w:val="24"/>
          <w:highlight w:val="none"/>
        </w:rPr>
      </w:pPr>
      <w:r>
        <w:rPr>
          <w:rFonts w:ascii="宋体" w:hAnsi="宋体" w:cs="仿宋_GB2312"/>
          <w:color w:val="auto"/>
          <w:sz w:val="24"/>
          <w:highlight w:val="none"/>
        </w:rPr>
        <w:t>2</w:t>
      </w:r>
      <w:bookmarkStart w:id="89" w:name="_Hlk65853109"/>
      <w:bookmarkStart w:id="90" w:name="_Hlk65853542"/>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法人、其他组织竞标时“我方”是指“我单位”，自然人竞标时“我方”是指“本人”。</w:t>
      </w:r>
      <w:bookmarkEnd w:id="89"/>
    </w:p>
    <w:bookmarkEnd w:id="90"/>
    <w:p w14:paraId="3D7C77BA">
      <w:pPr>
        <w:pageBreakBefore w:val="0"/>
        <w:kinsoku/>
        <w:topLinePunct w:val="0"/>
        <w:bidi w:val="0"/>
        <w:spacing w:before="60" w:after="60" w:line="360" w:lineRule="auto"/>
        <w:ind w:firstLine="420" w:firstLineChars="200"/>
        <w:jc w:val="left"/>
        <w:rPr>
          <w:rFonts w:ascii="仿宋_GB2312" w:hAnsi="仿宋_GB2312" w:eastAsia="仿宋_GB2312" w:cs="仿宋_GB2312"/>
          <w:color w:val="auto"/>
          <w:szCs w:val="21"/>
          <w:highlight w:val="none"/>
        </w:rPr>
      </w:pPr>
    </w:p>
    <w:p w14:paraId="2D6F1E04">
      <w:pPr>
        <w:pageBreakBefore w:val="0"/>
        <w:kinsoku/>
        <w:topLinePunct w:val="0"/>
        <w:bidi w:val="0"/>
        <w:spacing w:before="60" w:after="60" w:line="360" w:lineRule="auto"/>
        <w:jc w:val="center"/>
        <w:rPr>
          <w:rFonts w:asciiTheme="minorEastAsia" w:hAnsiTheme="minorEastAsia" w:eastAsiaTheme="minorEastAsia"/>
          <w:color w:val="auto"/>
          <w:sz w:val="44"/>
          <w:szCs w:val="44"/>
          <w:highlight w:val="none"/>
        </w:rPr>
      </w:pPr>
      <w:r>
        <w:rPr>
          <w:rFonts w:ascii="仿宋_GB2312" w:hAnsi="仿宋_GB2312" w:eastAsia="仿宋_GB2312" w:cs="仿宋_GB2312"/>
          <w:color w:val="auto"/>
          <w:szCs w:val="21"/>
          <w:highlight w:val="none"/>
        </w:rPr>
        <w:br w:type="page"/>
      </w:r>
      <w:r>
        <w:rPr>
          <w:rFonts w:asciiTheme="minorEastAsia" w:hAnsiTheme="minorEastAsia" w:eastAsiaTheme="minorEastAsia"/>
          <w:color w:val="auto"/>
          <w:sz w:val="36"/>
          <w:szCs w:val="36"/>
          <w:highlight w:val="none"/>
        </w:rPr>
        <w:t>授权委托书</w:t>
      </w:r>
    </w:p>
    <w:p w14:paraId="73BA78BF">
      <w:pPr>
        <w:pageBreakBefore w:val="0"/>
        <w:kinsoku/>
        <w:topLinePunct w:val="0"/>
        <w:bidi w:val="0"/>
        <w:spacing w:before="60" w:after="60" w:line="360" w:lineRule="auto"/>
        <w:jc w:val="center"/>
        <w:rPr>
          <w:rFonts w:asciiTheme="minorEastAsia" w:hAnsiTheme="minorEastAsia" w:eastAsiaTheme="minorEastAsia"/>
          <w:color w:val="auto"/>
          <w:sz w:val="32"/>
          <w:szCs w:val="32"/>
          <w:highlight w:val="none"/>
        </w:rPr>
      </w:pPr>
      <w:r>
        <w:rPr>
          <w:rFonts w:asciiTheme="minorEastAsia" w:hAnsiTheme="minorEastAsia" w:eastAsiaTheme="minorEastAsia"/>
          <w:color w:val="auto"/>
          <w:sz w:val="32"/>
          <w:szCs w:val="32"/>
          <w:highlight w:val="none"/>
        </w:rPr>
        <w:t>（联合体竞标格式）</w:t>
      </w:r>
    </w:p>
    <w:p w14:paraId="2F0BEE0D">
      <w:pPr>
        <w:pageBreakBefore w:val="0"/>
        <w:kinsoku/>
        <w:topLinePunct w:val="0"/>
        <w:bidi w:val="0"/>
        <w:spacing w:before="60" w:after="60" w:line="360" w:lineRule="auto"/>
        <w:jc w:val="center"/>
        <w:rPr>
          <w:rFonts w:asciiTheme="minorEastAsia" w:hAnsiTheme="minorEastAsia" w:eastAsiaTheme="minorEastAsia"/>
          <w:color w:val="auto"/>
          <w:sz w:val="44"/>
          <w:szCs w:val="44"/>
          <w:highlight w:val="none"/>
        </w:rPr>
      </w:pPr>
      <w:r>
        <w:rPr>
          <w:rFonts w:asciiTheme="minorEastAsia" w:hAnsiTheme="minorEastAsia" w:eastAsiaTheme="minorEastAsia"/>
          <w:color w:val="auto"/>
          <w:sz w:val="32"/>
          <w:szCs w:val="32"/>
          <w:highlight w:val="none"/>
        </w:rPr>
        <w:t>（如有委托时）</w:t>
      </w:r>
    </w:p>
    <w:p w14:paraId="4AD8194B">
      <w:pPr>
        <w:pageBreakBefore w:val="0"/>
        <w:kinsoku/>
        <w:topLinePunct w:val="0"/>
        <w:bidi w:val="0"/>
        <w:spacing w:before="60" w:after="60" w:line="360" w:lineRule="auto"/>
        <w:jc w:val="center"/>
        <w:rPr>
          <w:rFonts w:ascii="方正小标宋简体" w:hAnsi="方正小标宋简体" w:eastAsia="方正小标宋简体" w:cs="方正小标宋简体"/>
          <w:color w:val="auto"/>
          <w:sz w:val="44"/>
          <w:szCs w:val="44"/>
          <w:highlight w:val="none"/>
        </w:rPr>
      </w:pPr>
    </w:p>
    <w:p w14:paraId="0C5C2DDD">
      <w:pPr>
        <w:pageBreakBefore w:val="0"/>
        <w:kinsoku/>
        <w:topLinePunct w:val="0"/>
        <w:bidi w:val="0"/>
        <w:spacing w:before="60" w:after="60" w:line="360" w:lineRule="auto"/>
        <w:jc w:val="center"/>
        <w:rPr>
          <w:rFonts w:ascii="仿宋_GB2312" w:hAnsi="仿宋_GB2312" w:eastAsia="仿宋_GB2312" w:cs="仿宋_GB2312"/>
          <w:color w:val="auto"/>
          <w:sz w:val="32"/>
          <w:szCs w:val="32"/>
          <w:highlight w:val="none"/>
        </w:rPr>
      </w:pPr>
    </w:p>
    <w:p w14:paraId="2FF1D467">
      <w:pPr>
        <w:pageBreakBefore w:val="0"/>
        <w:kinsoku/>
        <w:topLinePunct w:val="0"/>
        <w:bidi w:val="0"/>
        <w:spacing w:before="60" w:after="60"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14:paraId="53F842F7">
      <w:pPr>
        <w:pageBreakBefore w:val="0"/>
        <w:kinsoku/>
        <w:topLinePunct w:val="0"/>
        <w:bidi w:val="0"/>
        <w:spacing w:before="60" w:after="60"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我方对委托代理人的</w:t>
      </w:r>
      <w:r>
        <w:rPr>
          <w:rFonts w:hint="eastAsia" w:ascii="宋体" w:hAnsi="宋体"/>
          <w:color w:val="auto"/>
          <w:sz w:val="24"/>
          <w:highlight w:val="none"/>
        </w:rPr>
        <w:t>签字或者电子签名</w:t>
      </w:r>
      <w:r>
        <w:rPr>
          <w:rFonts w:hint="eastAsia" w:ascii="宋体" w:hAnsi="宋体" w:cs="仿宋_GB2312"/>
          <w:color w:val="auto"/>
          <w:sz w:val="24"/>
          <w:highlight w:val="none"/>
        </w:rPr>
        <w:t>事项负全部责任。</w:t>
      </w:r>
    </w:p>
    <w:p w14:paraId="69435714">
      <w:pPr>
        <w:pageBreakBefore w:val="0"/>
        <w:kinsoku/>
        <w:topLinePunct w:val="0"/>
        <w:bidi w:val="0"/>
        <w:spacing w:before="60" w:after="60"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3D1AF2B8">
      <w:pPr>
        <w:pageBreakBefore w:val="0"/>
        <w:kinsoku/>
        <w:topLinePunct w:val="0"/>
        <w:bidi w:val="0"/>
        <w:spacing w:before="60" w:after="60"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01375A09">
      <w:pPr>
        <w:pageBreakBefore w:val="0"/>
        <w:kinsoku/>
        <w:topLinePunct w:val="0"/>
        <w:bidi w:val="0"/>
        <w:spacing w:before="60" w:after="60"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附：法定代表人身份证明书及委托代理人有效身份证正反面复印件</w:t>
      </w:r>
    </w:p>
    <w:p w14:paraId="6FC85D87">
      <w:pPr>
        <w:pageBreakBefore w:val="0"/>
        <w:kinsoku/>
        <w:topLinePunct w:val="0"/>
        <w:bidi w:val="0"/>
        <w:spacing w:before="60" w:after="60"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牵头人法定代表人（签字或者盖章或者电子签名）：</w:t>
      </w:r>
    </w:p>
    <w:p w14:paraId="0F5B0D0F">
      <w:pPr>
        <w:pageBreakBefore w:val="0"/>
        <w:kinsoku/>
        <w:topLinePunct w:val="0"/>
        <w:bidi w:val="0"/>
        <w:spacing w:before="60" w:after="60" w:line="360" w:lineRule="auto"/>
        <w:ind w:firstLine="3120" w:firstLineChars="1300"/>
        <w:contextualSpacing/>
        <w:rPr>
          <w:rFonts w:ascii="宋体" w:hAnsi="宋体" w:cs="仿宋_GB2312"/>
          <w:color w:val="auto"/>
          <w:sz w:val="24"/>
          <w:highlight w:val="none"/>
        </w:rPr>
      </w:pPr>
      <w:r>
        <w:rPr>
          <w:rFonts w:hint="eastAsia" w:ascii="宋体" w:hAnsi="宋体" w:cs="仿宋_GB2312"/>
          <w:color w:val="auto"/>
          <w:sz w:val="24"/>
          <w:highlight w:val="none"/>
        </w:rPr>
        <w:t>牵头人（电子签章）：</w:t>
      </w:r>
    </w:p>
    <w:p w14:paraId="5FBFEF7D">
      <w:pPr>
        <w:pageBreakBefore w:val="0"/>
        <w:kinsoku/>
        <w:topLinePunct w:val="0"/>
        <w:bidi w:val="0"/>
        <w:spacing w:before="60" w:after="60" w:line="360" w:lineRule="auto"/>
        <w:ind w:firstLine="3840" w:firstLineChars="16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1C34033B">
      <w:pPr>
        <w:pageBreakBefore w:val="0"/>
        <w:kinsoku/>
        <w:topLinePunct w:val="0"/>
        <w:bidi w:val="0"/>
        <w:spacing w:before="60" w:after="60" w:line="360" w:lineRule="auto"/>
        <w:contextualSpacing/>
        <w:rPr>
          <w:rFonts w:ascii="宋体" w:hAnsi="宋体" w:cs="仿宋_GB2312"/>
          <w:color w:val="auto"/>
          <w:sz w:val="24"/>
          <w:highlight w:val="none"/>
        </w:rPr>
      </w:pPr>
    </w:p>
    <w:p w14:paraId="6CD9C91C">
      <w:pPr>
        <w:pageBreakBefore w:val="0"/>
        <w:kinsoku/>
        <w:topLinePunct w:val="0"/>
        <w:bidi w:val="0"/>
        <w:spacing w:before="60" w:after="60" w:line="360" w:lineRule="auto"/>
        <w:ind w:firstLine="3120" w:firstLineChars="1300"/>
        <w:contextualSpacing/>
        <w:rPr>
          <w:rFonts w:ascii="宋体" w:hAnsi="宋体" w:cs="仿宋_GB2312"/>
          <w:color w:val="auto"/>
          <w:sz w:val="24"/>
          <w:highlight w:val="none"/>
        </w:rPr>
      </w:pPr>
      <w:r>
        <w:rPr>
          <w:rFonts w:hint="eastAsia" w:ascii="宋体" w:hAnsi="宋体" w:cs="仿宋_GB2312"/>
          <w:color w:val="auto"/>
          <w:sz w:val="24"/>
          <w:highlight w:val="none"/>
        </w:rPr>
        <w:t>被授权人（签字或者电子签名）：</w:t>
      </w:r>
    </w:p>
    <w:p w14:paraId="2962D3E1">
      <w:pPr>
        <w:pageBreakBefore w:val="0"/>
        <w:kinsoku/>
        <w:topLinePunct w:val="0"/>
        <w:bidi w:val="0"/>
        <w:spacing w:before="60" w:after="60" w:line="360" w:lineRule="auto"/>
        <w:ind w:firstLine="3840" w:firstLineChars="16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2F3215E1">
      <w:pPr>
        <w:pageBreakBefore w:val="0"/>
        <w:kinsoku/>
        <w:topLinePunct w:val="0"/>
        <w:bidi w:val="0"/>
        <w:spacing w:before="60" w:after="60" w:line="360" w:lineRule="auto"/>
        <w:contextualSpacing/>
        <w:rPr>
          <w:rFonts w:ascii="宋体" w:hAnsi="宋体" w:cs="仿宋_GB2312"/>
          <w:color w:val="auto"/>
          <w:sz w:val="24"/>
          <w:highlight w:val="none"/>
        </w:rPr>
      </w:pPr>
    </w:p>
    <w:p w14:paraId="544906CF">
      <w:pPr>
        <w:pageBreakBefore w:val="0"/>
        <w:kinsoku/>
        <w:topLinePunct w:val="0"/>
        <w:bidi w:val="0"/>
        <w:spacing w:before="60" w:after="60"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注：1</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 xml:space="preserve"> 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4ACB1BAA">
      <w:pPr>
        <w:pageBreakBefore w:val="0"/>
        <w:kinsoku/>
        <w:topLinePunct w:val="0"/>
        <w:bidi w:val="0"/>
        <w:spacing w:before="60" w:after="60" w:line="360" w:lineRule="auto"/>
        <w:ind w:firstLine="480" w:firstLineChars="200"/>
        <w:jc w:val="left"/>
        <w:rPr>
          <w:rFonts w:ascii="宋体" w:hAnsi="宋体" w:cs="仿宋_GB2312"/>
          <w:color w:val="auto"/>
          <w:spacing w:val="-11"/>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法人、其他组织竞标时“我方”是指“我单位”，自然人竞标时“我方”是指“本人”。</w:t>
      </w:r>
    </w:p>
    <w:bookmarkEnd w:id="88"/>
    <w:p w14:paraId="37D21461">
      <w:pPr>
        <w:pageBreakBefore w:val="0"/>
        <w:kinsoku/>
        <w:topLinePunct w:val="0"/>
        <w:bidi w:val="0"/>
        <w:spacing w:before="60" w:after="60" w:line="360" w:lineRule="auto"/>
        <w:jc w:val="center"/>
        <w:rPr>
          <w:rFonts w:cs="方正小标宋简体" w:asciiTheme="minorEastAsia" w:hAnsiTheme="minorEastAsia" w:eastAsiaTheme="minorEastAsia"/>
          <w:bCs/>
          <w:color w:val="auto"/>
          <w:sz w:val="44"/>
          <w:szCs w:val="44"/>
          <w:highlight w:val="none"/>
        </w:rPr>
      </w:pPr>
      <w:r>
        <w:rPr>
          <w:rFonts w:hint="eastAsia" w:ascii="仿宋_GB2312" w:hAnsi="仿宋_GB2312" w:eastAsia="仿宋_GB2312" w:cs="仿宋_GB2312"/>
          <w:color w:val="auto"/>
          <w:sz w:val="32"/>
          <w:szCs w:val="32"/>
          <w:highlight w:val="none"/>
        </w:rPr>
        <w:br w:type="page"/>
      </w:r>
      <w:r>
        <w:rPr>
          <w:rFonts w:hint="eastAsia" w:cs="方正小标宋简体" w:asciiTheme="minorEastAsia" w:hAnsiTheme="minorEastAsia" w:eastAsiaTheme="minorEastAsia"/>
          <w:bCs/>
          <w:color w:val="auto"/>
          <w:sz w:val="36"/>
          <w:szCs w:val="36"/>
          <w:highlight w:val="none"/>
        </w:rPr>
        <w:t>商务要求偏离表格式</w:t>
      </w:r>
    </w:p>
    <w:p w14:paraId="344BD7B3">
      <w:pPr>
        <w:pageBreakBefore w:val="0"/>
        <w:kinsoku/>
        <w:topLinePunct w:val="0"/>
        <w:bidi w:val="0"/>
        <w:spacing w:before="60" w:after="60" w:line="360" w:lineRule="auto"/>
        <w:jc w:val="center"/>
        <w:rPr>
          <w:rFonts w:asciiTheme="minorEastAsia" w:hAnsiTheme="minorEastAsia" w:eastAsiaTheme="minorEastAsia"/>
          <w:b/>
          <w:i/>
          <w:color w:val="auto"/>
          <w:sz w:val="32"/>
          <w:szCs w:val="32"/>
          <w:highlight w:val="none"/>
        </w:rPr>
      </w:pPr>
      <w:r>
        <w:rPr>
          <w:rFonts w:hint="eastAsia" w:cs="方正小标宋简体" w:asciiTheme="minorEastAsia" w:hAnsiTheme="minorEastAsia" w:eastAsiaTheme="minorEastAsia"/>
          <w:bCs/>
          <w:i/>
          <w:color w:val="auto"/>
          <w:sz w:val="32"/>
          <w:szCs w:val="32"/>
          <w:highlight w:val="none"/>
        </w:rPr>
        <w:t>（注：按采购需求具体条款修改）</w:t>
      </w:r>
    </w:p>
    <w:p w14:paraId="18702E71">
      <w:pPr>
        <w:pageBreakBefore w:val="0"/>
        <w:kinsoku/>
        <w:topLinePunct w:val="0"/>
        <w:bidi w:val="0"/>
        <w:spacing w:before="60" w:after="60" w:line="360" w:lineRule="auto"/>
        <w:contextualSpacing/>
        <w:jc w:val="left"/>
        <w:rPr>
          <w:rFonts w:ascii="宋体" w:hAnsi="宋体"/>
          <w:color w:val="auto"/>
          <w:sz w:val="24"/>
          <w:highlight w:val="none"/>
        </w:rPr>
      </w:pPr>
    </w:p>
    <w:p w14:paraId="63628325">
      <w:pPr>
        <w:pStyle w:val="15"/>
        <w:pageBreakBefore w:val="0"/>
        <w:kinsoku/>
        <w:topLinePunct w:val="0"/>
        <w:bidi w:val="0"/>
        <w:spacing w:before="60" w:after="60" w:line="360" w:lineRule="auto"/>
        <w:contextualSpacing/>
        <w:rPr>
          <w:rFonts w:hAnsi="宋体" w:cs="仿宋_GB2312"/>
          <w:color w:val="auto"/>
          <w:sz w:val="24"/>
          <w:szCs w:val="24"/>
          <w:highlight w:val="none"/>
        </w:rPr>
      </w:pPr>
      <w:r>
        <w:rPr>
          <w:rFonts w:hint="eastAsia" w:hAnsi="宋体" w:cs="仿宋_GB2312"/>
          <w:color w:val="auto"/>
          <w:sz w:val="24"/>
          <w:szCs w:val="24"/>
          <w:highlight w:val="none"/>
        </w:rPr>
        <w:t>所竞分标：</w:t>
      </w:r>
    </w:p>
    <w:p w14:paraId="5F843216">
      <w:pPr>
        <w:pageBreakBefore w:val="0"/>
        <w:kinsoku/>
        <w:topLinePunct w:val="0"/>
        <w:bidi w:val="0"/>
        <w:spacing w:before="60" w:after="60" w:line="360" w:lineRule="auto"/>
        <w:contextualSpacing/>
        <w:jc w:val="left"/>
        <w:rPr>
          <w:rFonts w:ascii="宋体" w:hAnsi="宋体" w:cs="仿宋_GB2312"/>
          <w:color w:val="auto"/>
          <w:sz w:val="24"/>
          <w:highlight w:val="none"/>
          <w:u w:val="single"/>
        </w:rPr>
      </w:pPr>
    </w:p>
    <w:tbl>
      <w:tblPr>
        <w:tblStyle w:val="30"/>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0348AD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71A4079F">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s="仿宋_GB2312"/>
                <w:color w:val="auto"/>
                <w:sz w:val="24"/>
                <w:highlight w:val="none"/>
              </w:rPr>
            </w:pPr>
            <w:r>
              <w:rPr>
                <w:rFonts w:hint="eastAsia" w:ascii="宋体" w:hAnsi="宋体" w:cs="仿宋_GB2312"/>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51A3A70A">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s="仿宋_GB2312"/>
                <w:color w:val="auto"/>
                <w:sz w:val="24"/>
                <w:highlight w:val="none"/>
              </w:rPr>
            </w:pPr>
            <w:r>
              <w:rPr>
                <w:rFonts w:hint="eastAsia" w:ascii="宋体" w:hAnsi="宋体" w:cs="仿宋_GB2312"/>
                <w:color w:val="auto"/>
                <w:sz w:val="24"/>
                <w:highlight w:val="none"/>
              </w:rPr>
              <w:t>磋商文件商务要求</w:t>
            </w:r>
          </w:p>
        </w:tc>
        <w:tc>
          <w:tcPr>
            <w:tcW w:w="2350" w:type="dxa"/>
            <w:tcBorders>
              <w:top w:val="single" w:color="auto" w:sz="4" w:space="0"/>
              <w:left w:val="single" w:color="auto" w:sz="4" w:space="0"/>
              <w:bottom w:val="single" w:color="auto" w:sz="4" w:space="0"/>
              <w:right w:val="single" w:color="auto" w:sz="4" w:space="0"/>
            </w:tcBorders>
            <w:vAlign w:val="center"/>
          </w:tcPr>
          <w:p w14:paraId="7C81953C">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s="仿宋_GB2312"/>
                <w:color w:val="auto"/>
                <w:sz w:val="24"/>
                <w:highlight w:val="none"/>
              </w:rPr>
            </w:pPr>
            <w:r>
              <w:rPr>
                <w:rFonts w:hint="eastAsia" w:ascii="宋体" w:hAnsi="宋体" w:cs="仿宋_GB2312"/>
                <w:color w:val="auto"/>
                <w:sz w:val="24"/>
                <w:highlight w:val="none"/>
              </w:rPr>
              <w:t>供应商的响应</w:t>
            </w:r>
          </w:p>
        </w:tc>
        <w:tc>
          <w:tcPr>
            <w:tcW w:w="2112" w:type="dxa"/>
            <w:tcBorders>
              <w:top w:val="single" w:color="auto" w:sz="4" w:space="0"/>
              <w:left w:val="single" w:color="auto" w:sz="4" w:space="0"/>
              <w:bottom w:val="single" w:color="auto" w:sz="4" w:space="0"/>
              <w:right w:val="single" w:color="auto" w:sz="4" w:space="0"/>
            </w:tcBorders>
            <w:vAlign w:val="center"/>
          </w:tcPr>
          <w:p w14:paraId="4FE6DF74">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s="仿宋_GB2312"/>
                <w:color w:val="auto"/>
                <w:sz w:val="24"/>
                <w:highlight w:val="none"/>
              </w:rPr>
            </w:pPr>
            <w:r>
              <w:rPr>
                <w:rFonts w:hint="eastAsia" w:ascii="宋体" w:hAnsi="宋体" w:cs="仿宋_GB2312"/>
                <w:color w:val="auto"/>
                <w:sz w:val="24"/>
                <w:highlight w:val="none"/>
              </w:rPr>
              <w:t>偏离说明</w:t>
            </w:r>
          </w:p>
        </w:tc>
      </w:tr>
      <w:tr w14:paraId="6E57D2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14:paraId="16EB715A">
            <w:pPr>
              <w:keepNext w:val="0"/>
              <w:keepLines w:val="0"/>
              <w:pageBreakBefore w:val="0"/>
              <w:suppressLineNumbers w:val="0"/>
              <w:kinsoku/>
              <w:topLinePunct w:val="0"/>
              <w:bidi w:val="0"/>
              <w:spacing w:before="60" w:beforeAutospacing="0" w:after="60" w:afterAutospacing="0" w:line="360" w:lineRule="auto"/>
              <w:ind w:left="0" w:right="0"/>
              <w:jc w:val="center"/>
              <w:rPr>
                <w:rFonts w:hint="default" w:ascii="宋体" w:hAnsi="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51011E81">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33402E73">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5868D05D">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s="仿宋_GB2312"/>
                <w:color w:val="auto"/>
                <w:sz w:val="24"/>
                <w:highlight w:val="none"/>
              </w:rPr>
            </w:pPr>
          </w:p>
        </w:tc>
      </w:tr>
      <w:tr w14:paraId="132CC9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14:paraId="3715ECD8">
            <w:pPr>
              <w:keepNext w:val="0"/>
              <w:keepLines w:val="0"/>
              <w:pageBreakBefore w:val="0"/>
              <w:suppressLineNumbers w:val="0"/>
              <w:kinsoku/>
              <w:topLinePunct w:val="0"/>
              <w:bidi w:val="0"/>
              <w:spacing w:before="60" w:beforeAutospacing="0" w:after="60" w:afterAutospacing="0" w:line="360" w:lineRule="auto"/>
              <w:ind w:left="0" w:right="0"/>
              <w:jc w:val="center"/>
              <w:rPr>
                <w:rFonts w:hint="default" w:ascii="宋体" w:hAnsi="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18BB254C">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179698E4">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263C7381">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s="仿宋_GB2312"/>
                <w:color w:val="auto"/>
                <w:sz w:val="24"/>
                <w:highlight w:val="none"/>
              </w:rPr>
            </w:pPr>
          </w:p>
        </w:tc>
      </w:tr>
      <w:tr w14:paraId="567DE5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14:paraId="399AD359">
            <w:pPr>
              <w:keepNext w:val="0"/>
              <w:keepLines w:val="0"/>
              <w:pageBreakBefore w:val="0"/>
              <w:suppressLineNumbers w:val="0"/>
              <w:kinsoku/>
              <w:topLinePunct w:val="0"/>
              <w:bidi w:val="0"/>
              <w:spacing w:before="60" w:beforeAutospacing="0" w:after="60" w:afterAutospacing="0" w:line="360" w:lineRule="auto"/>
              <w:ind w:left="0" w:right="0"/>
              <w:jc w:val="center"/>
              <w:rPr>
                <w:rFonts w:hint="default" w:ascii="宋体" w:hAnsi="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01EDBB75">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4B07C168">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54CD3209">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s="仿宋_GB2312"/>
                <w:color w:val="auto"/>
                <w:sz w:val="24"/>
                <w:highlight w:val="none"/>
              </w:rPr>
            </w:pPr>
          </w:p>
        </w:tc>
      </w:tr>
      <w:tr w14:paraId="15B3EF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14:paraId="0084B433">
            <w:pPr>
              <w:keepNext w:val="0"/>
              <w:keepLines w:val="0"/>
              <w:pageBreakBefore w:val="0"/>
              <w:suppressLineNumbers w:val="0"/>
              <w:kinsoku/>
              <w:topLinePunct w:val="0"/>
              <w:bidi w:val="0"/>
              <w:spacing w:before="60" w:beforeAutospacing="0" w:after="60" w:afterAutospacing="0" w:line="360" w:lineRule="auto"/>
              <w:ind w:left="0" w:right="0"/>
              <w:jc w:val="center"/>
              <w:rPr>
                <w:rFonts w:hint="default" w:ascii="宋体" w:hAnsi="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3E9E7F99">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3CE5DC1B">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3D67AF59">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s="仿宋_GB2312"/>
                <w:color w:val="auto"/>
                <w:sz w:val="24"/>
                <w:highlight w:val="none"/>
              </w:rPr>
            </w:pPr>
          </w:p>
        </w:tc>
      </w:tr>
      <w:tr w14:paraId="4398CA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42451818">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s="仿宋_GB2312"/>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2D6277E5">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71F8F0E3">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6313C2B0">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s="仿宋_GB2312"/>
                <w:color w:val="auto"/>
                <w:sz w:val="24"/>
                <w:highlight w:val="none"/>
              </w:rPr>
            </w:pPr>
          </w:p>
        </w:tc>
      </w:tr>
    </w:tbl>
    <w:p w14:paraId="330F05A2">
      <w:pPr>
        <w:pStyle w:val="11"/>
        <w:pageBreakBefore w:val="0"/>
        <w:kinsoku/>
        <w:topLinePunct w:val="0"/>
        <w:bidi w:val="0"/>
        <w:spacing w:before="60" w:after="60" w:line="360" w:lineRule="auto"/>
        <w:contextualSpacing/>
        <w:rPr>
          <w:rFonts w:ascii="宋体" w:hAnsi="宋体"/>
          <w:color w:val="auto"/>
          <w:kern w:val="0"/>
          <w:sz w:val="24"/>
          <w:szCs w:val="24"/>
          <w:highlight w:val="none"/>
        </w:rPr>
      </w:pPr>
      <w:r>
        <w:rPr>
          <w:rFonts w:hint="eastAsia" w:ascii="宋体" w:hAnsi="宋体"/>
          <w:color w:val="auto"/>
          <w:kern w:val="0"/>
          <w:sz w:val="24"/>
          <w:szCs w:val="24"/>
          <w:highlight w:val="none"/>
        </w:rPr>
        <w:t>注：</w:t>
      </w:r>
    </w:p>
    <w:p w14:paraId="324D0496">
      <w:pPr>
        <w:pStyle w:val="11"/>
        <w:pageBreakBefore w:val="0"/>
        <w:kinsoku/>
        <w:topLinePunct w:val="0"/>
        <w:bidi w:val="0"/>
        <w:spacing w:before="60" w:after="60" w:line="360" w:lineRule="auto"/>
        <w:contextualSpacing/>
        <w:rPr>
          <w:rFonts w:ascii="宋体" w:hAnsi="宋体"/>
          <w:color w:val="auto"/>
          <w:kern w:val="0"/>
          <w:sz w:val="24"/>
          <w:szCs w:val="24"/>
          <w:highlight w:val="none"/>
        </w:rPr>
      </w:pPr>
      <w:r>
        <w:rPr>
          <w:rFonts w:hint="eastAsia" w:ascii="宋体" w:hAnsi="宋体"/>
          <w:color w:val="auto"/>
          <w:kern w:val="0"/>
          <w:sz w:val="24"/>
          <w:szCs w:val="24"/>
          <w:highlight w:val="none"/>
        </w:rPr>
        <w:t>1</w:t>
      </w:r>
      <w:r>
        <w:rPr>
          <w:rFonts w:hint="eastAsia" w:ascii="宋体" w:hAnsi="宋体"/>
          <w:color w:val="auto"/>
          <w:kern w:val="0"/>
          <w:sz w:val="24"/>
          <w:szCs w:val="24"/>
          <w:highlight w:val="none"/>
          <w:lang w:eastAsia="zh-CN"/>
        </w:rPr>
        <w:t>.</w:t>
      </w:r>
      <w:r>
        <w:rPr>
          <w:rFonts w:hint="eastAsia" w:ascii="宋体" w:hAnsi="宋体"/>
          <w:color w:val="auto"/>
          <w:kern w:val="0"/>
          <w:sz w:val="24"/>
          <w:szCs w:val="24"/>
          <w:highlight w:val="none"/>
        </w:rPr>
        <w:t xml:space="preserve"> 说明：应对照磋商文件“第三章 采购需求”中的商务要求逐条作出明确响应，并作出偏离说明。</w:t>
      </w:r>
    </w:p>
    <w:p w14:paraId="2F5C710D">
      <w:pPr>
        <w:pageBreakBefore w:val="0"/>
        <w:kinsoku/>
        <w:topLinePunct w:val="0"/>
        <w:bidi w:val="0"/>
        <w:spacing w:before="60" w:after="60" w:line="360" w:lineRule="auto"/>
        <w:contextualSpacing/>
        <w:jc w:val="left"/>
        <w:rPr>
          <w:rFonts w:ascii="宋体" w:hAnsi="宋体" w:cs="仿宋_GB2312"/>
          <w:color w:val="auto"/>
          <w:sz w:val="24"/>
          <w:highlight w:val="none"/>
          <w:u w:val="single"/>
        </w:rPr>
      </w:pPr>
      <w:r>
        <w:rPr>
          <w:rFonts w:hint="eastAsia" w:ascii="宋体" w:hAnsi="宋体"/>
          <w:color w:val="auto"/>
          <w:kern w:val="0"/>
          <w:sz w:val="24"/>
          <w:highlight w:val="none"/>
        </w:rPr>
        <w:t>2</w:t>
      </w:r>
      <w:r>
        <w:rPr>
          <w:rFonts w:hint="eastAsia" w:ascii="宋体" w:hAnsi="宋体"/>
          <w:color w:val="auto"/>
          <w:kern w:val="0"/>
          <w:sz w:val="24"/>
          <w:highlight w:val="none"/>
          <w:lang w:eastAsia="zh-CN"/>
        </w:rPr>
        <w:t>.</w:t>
      </w:r>
      <w:r>
        <w:rPr>
          <w:rFonts w:hint="eastAsia" w:ascii="宋体" w:hAnsi="宋体"/>
          <w:color w:val="auto"/>
          <w:kern w:val="0"/>
          <w:sz w:val="24"/>
          <w:highlight w:val="none"/>
        </w:rPr>
        <w:t>供应商应根据自身的承诺，对照磋商文件要求在“偏离说明”中注明“正偏离”、“负偏离”或者“无偏离”。既不属于“正偏离”也不属于“负偏离”即为“无偏离”。</w:t>
      </w:r>
    </w:p>
    <w:p w14:paraId="6B361EA9">
      <w:pPr>
        <w:pageBreakBefore w:val="0"/>
        <w:kinsoku/>
        <w:topLinePunct w:val="0"/>
        <w:bidi w:val="0"/>
        <w:spacing w:before="60" w:after="60" w:line="360" w:lineRule="auto"/>
        <w:ind w:right="-817" w:rightChars="-389"/>
        <w:contextualSpacing/>
        <w:rPr>
          <w:rFonts w:ascii="宋体" w:hAnsi="宋体" w:cs="仿宋_GB2312"/>
          <w:color w:val="auto"/>
          <w:sz w:val="24"/>
          <w:highlight w:val="none"/>
        </w:rPr>
      </w:pPr>
    </w:p>
    <w:p w14:paraId="32DAE9C4">
      <w:pPr>
        <w:pageBreakBefore w:val="0"/>
        <w:kinsoku/>
        <w:topLinePunct w:val="0"/>
        <w:bidi w:val="0"/>
        <w:spacing w:before="60" w:after="60" w:line="360" w:lineRule="auto"/>
        <w:ind w:right="-817" w:rightChars="-389"/>
        <w:contextualSpacing/>
        <w:jc w:val="center"/>
        <w:rPr>
          <w:rFonts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7074CBF3">
      <w:pPr>
        <w:pageBreakBefore w:val="0"/>
        <w:kinsoku/>
        <w:topLinePunct w:val="0"/>
        <w:bidi w:val="0"/>
        <w:spacing w:before="60" w:after="60"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0F50255D">
      <w:pPr>
        <w:pageBreakBefore w:val="0"/>
        <w:kinsoku/>
        <w:topLinePunct w:val="0"/>
        <w:bidi w:val="0"/>
        <w:spacing w:before="60" w:after="60" w:line="360" w:lineRule="auto"/>
        <w:ind w:right="-817" w:rightChars="-389" w:firstLine="4320" w:firstLineChars="1800"/>
        <w:contextualSpacing/>
        <w:rPr>
          <w:rFonts w:ascii="仿宋_GB2312" w:hAnsi="仿宋_GB2312" w:eastAsia="仿宋_GB2312" w:cs="仿宋_GB2312"/>
          <w:b/>
          <w:color w:val="auto"/>
          <w:sz w:val="32"/>
          <w:szCs w:val="32"/>
          <w:highlight w:val="none"/>
        </w:rPr>
      </w:pPr>
      <w:r>
        <w:rPr>
          <w:rFonts w:hint="eastAsia" w:ascii="宋体" w:hAnsi="宋体" w:cs="仿宋_GB2312"/>
          <w:color w:val="auto"/>
          <w:sz w:val="24"/>
          <w:highlight w:val="none"/>
        </w:rPr>
        <w:t>日期：   年   月   日</w:t>
      </w:r>
    </w:p>
    <w:p w14:paraId="5D3CB888">
      <w:pPr>
        <w:pageBreakBefore w:val="0"/>
        <w:kinsoku/>
        <w:topLinePunct w:val="0"/>
        <w:bidi w:val="0"/>
        <w:adjustRightInd w:val="0"/>
        <w:snapToGrid w:val="0"/>
        <w:spacing w:before="60" w:after="60" w:line="360" w:lineRule="auto"/>
        <w:ind w:firstLine="7040" w:firstLineChars="1600"/>
        <w:jc w:val="center"/>
        <w:rPr>
          <w:rFonts w:ascii="方正小标宋简体" w:hAnsi="方正小标宋简体" w:eastAsia="方正小标宋简体" w:cs="方正小标宋简体"/>
          <w:bCs/>
          <w:color w:val="auto"/>
          <w:sz w:val="44"/>
          <w:szCs w:val="44"/>
          <w:highlight w:val="none"/>
        </w:rPr>
      </w:pPr>
    </w:p>
    <w:p w14:paraId="21A7A64D">
      <w:pPr>
        <w:pageBreakBefore w:val="0"/>
        <w:kinsoku/>
        <w:topLinePunct w:val="0"/>
        <w:bidi w:val="0"/>
        <w:adjustRightInd w:val="0"/>
        <w:snapToGrid w:val="0"/>
        <w:spacing w:before="60" w:after="60" w:line="360" w:lineRule="auto"/>
        <w:ind w:firstLine="7040" w:firstLineChars="1600"/>
        <w:jc w:val="center"/>
        <w:rPr>
          <w:rFonts w:ascii="方正小标宋简体" w:hAnsi="方正小标宋简体" w:eastAsia="方正小标宋简体" w:cs="方正小标宋简体"/>
          <w:bCs/>
          <w:color w:val="auto"/>
          <w:sz w:val="44"/>
          <w:szCs w:val="44"/>
          <w:highlight w:val="none"/>
        </w:rPr>
      </w:pPr>
    </w:p>
    <w:p w14:paraId="55966A4A">
      <w:pPr>
        <w:pageBreakBefore w:val="0"/>
        <w:kinsoku/>
        <w:topLinePunct w:val="0"/>
        <w:bidi w:val="0"/>
        <w:adjustRightInd/>
        <w:snapToGrid/>
        <w:spacing w:before="0" w:after="0" w:line="240" w:lineRule="auto"/>
        <w:jc w:val="left"/>
        <w:rPr>
          <w:rFonts w:ascii="方正小标宋简体" w:hAnsi="方正小标宋简体" w:eastAsia="方正小标宋简体" w:cs="方正小标宋简体"/>
          <w:bCs/>
          <w:color w:val="auto"/>
          <w:sz w:val="44"/>
          <w:szCs w:val="44"/>
          <w:highlight w:val="none"/>
        </w:rPr>
      </w:pPr>
      <w:r>
        <w:rPr>
          <w:rFonts w:ascii="方正小标宋简体" w:hAnsi="方正小标宋简体" w:eastAsia="方正小标宋简体" w:cs="方正小标宋简体"/>
          <w:bCs/>
          <w:color w:val="auto"/>
          <w:sz w:val="44"/>
          <w:szCs w:val="44"/>
          <w:highlight w:val="none"/>
        </w:rPr>
        <w:br w:type="page"/>
      </w:r>
    </w:p>
    <w:p w14:paraId="3008DEEB">
      <w:pPr>
        <w:pageBreakBefore w:val="0"/>
        <w:kinsoku/>
        <w:topLinePunct w:val="0"/>
        <w:bidi w:val="0"/>
        <w:adjustRightInd w:val="0"/>
        <w:snapToGrid w:val="0"/>
        <w:spacing w:before="60" w:after="60" w:line="360" w:lineRule="auto"/>
        <w:jc w:val="center"/>
        <w:rPr>
          <w:rFonts w:cs="方正小标宋简体" w:asciiTheme="minorEastAsia" w:hAnsiTheme="minorEastAsia" w:eastAsiaTheme="minorEastAsia"/>
          <w:bCs/>
          <w:color w:val="auto"/>
          <w:sz w:val="44"/>
          <w:szCs w:val="44"/>
          <w:highlight w:val="none"/>
        </w:rPr>
      </w:pPr>
      <w:r>
        <w:rPr>
          <w:rFonts w:hint="eastAsia" w:cs="方正小标宋简体" w:asciiTheme="minorEastAsia" w:hAnsiTheme="minorEastAsia" w:eastAsiaTheme="minorEastAsia"/>
          <w:bCs/>
          <w:color w:val="auto"/>
          <w:sz w:val="36"/>
          <w:szCs w:val="36"/>
          <w:highlight w:val="none"/>
        </w:rPr>
        <w:t>技术要求偏离表</w:t>
      </w:r>
    </w:p>
    <w:p w14:paraId="0E6C0447">
      <w:pPr>
        <w:pageBreakBefore w:val="0"/>
        <w:kinsoku/>
        <w:topLinePunct w:val="0"/>
        <w:bidi w:val="0"/>
        <w:spacing w:before="60" w:after="60" w:line="360" w:lineRule="auto"/>
        <w:rPr>
          <w:rFonts w:ascii="仿宋_GB2312" w:hAnsi="仿宋_GB2312" w:eastAsia="仿宋_GB2312" w:cs="仿宋_GB2312"/>
          <w:color w:val="auto"/>
          <w:sz w:val="32"/>
          <w:szCs w:val="32"/>
          <w:highlight w:val="none"/>
        </w:rPr>
      </w:pPr>
    </w:p>
    <w:p w14:paraId="1DD62A30">
      <w:pPr>
        <w:pageBreakBefore w:val="0"/>
        <w:kinsoku/>
        <w:topLinePunct w:val="0"/>
        <w:bidi w:val="0"/>
        <w:spacing w:before="60" w:after="60" w:line="360" w:lineRule="auto"/>
        <w:contextualSpacing/>
        <w:rPr>
          <w:rFonts w:ascii="宋体" w:hAnsi="宋体" w:cs="仿宋_GB2312"/>
          <w:color w:val="auto"/>
          <w:sz w:val="24"/>
          <w:highlight w:val="none"/>
          <w:u w:val="single"/>
        </w:rPr>
      </w:pPr>
      <w:r>
        <w:rPr>
          <w:rFonts w:hint="eastAsia" w:ascii="宋体" w:hAnsi="宋体" w:cs="仿宋_GB2312"/>
          <w:color w:val="auto"/>
          <w:sz w:val="24"/>
          <w:highlight w:val="none"/>
        </w:rPr>
        <w:t>采购项目编号：</w:t>
      </w:r>
    </w:p>
    <w:p w14:paraId="6AC71526">
      <w:pPr>
        <w:pageBreakBefore w:val="0"/>
        <w:kinsoku/>
        <w:topLinePunct w:val="0"/>
        <w:bidi w:val="0"/>
        <w:spacing w:before="60" w:after="60"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采购项目名称：</w:t>
      </w:r>
    </w:p>
    <w:p w14:paraId="3F1ED7FA">
      <w:pPr>
        <w:pageBreakBefore w:val="0"/>
        <w:kinsoku/>
        <w:topLinePunct w:val="0"/>
        <w:bidi w:val="0"/>
        <w:spacing w:before="60" w:after="60" w:line="360" w:lineRule="auto"/>
        <w:contextualSpacing/>
        <w:rPr>
          <w:rFonts w:ascii="宋体" w:hAnsi="宋体" w:cs="仿宋_GB2312"/>
          <w:color w:val="auto"/>
          <w:sz w:val="24"/>
          <w:highlight w:val="none"/>
          <w:u w:val="single"/>
        </w:rPr>
      </w:pPr>
      <w:r>
        <w:rPr>
          <w:rFonts w:hint="eastAsia" w:ascii="宋体" w:hAnsi="宋体" w:cs="仿宋_GB2312"/>
          <w:color w:val="auto"/>
          <w:sz w:val="24"/>
          <w:highlight w:val="none"/>
        </w:rPr>
        <w:t>分标号：</w:t>
      </w:r>
    </w:p>
    <w:tbl>
      <w:tblPr>
        <w:tblStyle w:val="30"/>
        <w:tblW w:w="909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6"/>
        <w:gridCol w:w="915"/>
        <w:gridCol w:w="3038"/>
        <w:gridCol w:w="2734"/>
        <w:gridCol w:w="1492"/>
      </w:tblGrid>
      <w:tr w14:paraId="5D24B2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7910B637">
            <w:pPr>
              <w:pStyle w:val="13"/>
              <w:keepNext w:val="0"/>
              <w:keepLines w:val="0"/>
              <w:pageBreakBefore w:val="0"/>
              <w:suppressLineNumbers w:val="0"/>
              <w:kinsoku/>
              <w:topLinePunct w:val="0"/>
              <w:bidi w:val="0"/>
              <w:spacing w:before="60" w:beforeAutospacing="0" w:after="60" w:afterAutospacing="0" w:line="360" w:lineRule="auto"/>
              <w:ind w:left="0" w:right="0" w:firstLine="0" w:firstLineChars="0"/>
              <w:contextualSpacing/>
              <w:jc w:val="center"/>
              <w:rPr>
                <w:rFonts w:hint="default" w:ascii="宋体" w:hAnsi="宋体" w:eastAsia="宋体" w:cs="仿宋_GB2312"/>
                <w:color w:val="auto"/>
                <w:kern w:val="2"/>
                <w:sz w:val="24"/>
                <w:szCs w:val="24"/>
                <w:highlight w:val="none"/>
              </w:rPr>
            </w:pPr>
            <w:bookmarkStart w:id="91" w:name="_Toc383699906"/>
            <w:bookmarkStart w:id="92" w:name="_Toc373333689"/>
            <w:bookmarkStart w:id="93" w:name="_Toc301781611"/>
            <w:bookmarkStart w:id="94" w:name="_Toc295404981"/>
            <w:bookmarkStart w:id="95" w:name="_Toc297193185"/>
            <w:bookmarkStart w:id="96" w:name="_Toc173211900"/>
            <w:bookmarkStart w:id="97" w:name="_Toc254970729"/>
            <w:bookmarkStart w:id="98" w:name="_Toc254970588"/>
            <w:bookmarkStart w:id="99" w:name="_Toc173066401"/>
            <w:r>
              <w:rPr>
                <w:rFonts w:hint="eastAsia" w:ascii="宋体" w:hAnsi="宋体" w:eastAsia="宋体" w:cs="仿宋_GB2312"/>
                <w:color w:val="auto"/>
                <w:kern w:val="2"/>
                <w:sz w:val="24"/>
                <w:szCs w:val="24"/>
                <w:highlight w:val="none"/>
              </w:rPr>
              <w:t>序号</w:t>
            </w:r>
            <w:bookmarkEnd w:id="91"/>
            <w:bookmarkEnd w:id="92"/>
            <w:bookmarkEnd w:id="93"/>
            <w:bookmarkEnd w:id="94"/>
            <w:bookmarkEnd w:id="95"/>
            <w:bookmarkEnd w:id="96"/>
            <w:bookmarkEnd w:id="97"/>
            <w:bookmarkEnd w:id="98"/>
            <w:bookmarkEnd w:id="99"/>
          </w:p>
        </w:tc>
        <w:tc>
          <w:tcPr>
            <w:tcW w:w="915" w:type="dxa"/>
            <w:tcBorders>
              <w:right w:val="single" w:color="auto" w:sz="4" w:space="0"/>
            </w:tcBorders>
            <w:vAlign w:val="center"/>
          </w:tcPr>
          <w:p w14:paraId="6C715929">
            <w:pPr>
              <w:pStyle w:val="13"/>
              <w:keepNext w:val="0"/>
              <w:keepLines w:val="0"/>
              <w:pageBreakBefore w:val="0"/>
              <w:suppressLineNumbers w:val="0"/>
              <w:kinsoku/>
              <w:topLinePunct w:val="0"/>
              <w:bidi w:val="0"/>
              <w:spacing w:before="60" w:beforeAutospacing="0" w:after="60" w:afterAutospacing="0" w:line="360" w:lineRule="auto"/>
              <w:ind w:left="0" w:right="0" w:firstLine="0" w:firstLineChars="0"/>
              <w:contextualSpacing/>
              <w:jc w:val="center"/>
              <w:rPr>
                <w:rFonts w:hint="default"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名称</w:t>
            </w:r>
          </w:p>
        </w:tc>
        <w:tc>
          <w:tcPr>
            <w:tcW w:w="3038" w:type="dxa"/>
            <w:tcBorders>
              <w:left w:val="single" w:color="auto" w:sz="4" w:space="0"/>
            </w:tcBorders>
            <w:vAlign w:val="center"/>
          </w:tcPr>
          <w:p w14:paraId="2D2E5C92">
            <w:pPr>
              <w:pStyle w:val="13"/>
              <w:keepNext w:val="0"/>
              <w:keepLines w:val="0"/>
              <w:pageBreakBefore w:val="0"/>
              <w:suppressLineNumbers w:val="0"/>
              <w:kinsoku/>
              <w:topLinePunct w:val="0"/>
              <w:bidi w:val="0"/>
              <w:spacing w:before="60" w:beforeAutospacing="0" w:after="60" w:afterAutospacing="0" w:line="360" w:lineRule="auto"/>
              <w:ind w:left="0" w:right="0" w:firstLine="0" w:firstLineChars="0"/>
              <w:contextualSpacing/>
              <w:jc w:val="center"/>
              <w:rPr>
                <w:rFonts w:hint="default"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磋商文件技术要求</w:t>
            </w:r>
          </w:p>
        </w:tc>
        <w:tc>
          <w:tcPr>
            <w:tcW w:w="2734" w:type="dxa"/>
            <w:vAlign w:val="center"/>
          </w:tcPr>
          <w:p w14:paraId="16C25645">
            <w:pPr>
              <w:pStyle w:val="13"/>
              <w:keepNext w:val="0"/>
              <w:keepLines w:val="0"/>
              <w:pageBreakBefore w:val="0"/>
              <w:suppressLineNumbers w:val="0"/>
              <w:kinsoku/>
              <w:topLinePunct w:val="0"/>
              <w:bidi w:val="0"/>
              <w:spacing w:before="60" w:beforeAutospacing="0" w:after="60" w:afterAutospacing="0" w:line="360" w:lineRule="auto"/>
              <w:ind w:left="0" w:right="0" w:firstLine="0" w:firstLineChars="0"/>
              <w:contextualSpacing/>
              <w:jc w:val="center"/>
              <w:rPr>
                <w:rFonts w:hint="default" w:ascii="宋体" w:hAnsi="宋体" w:eastAsia="宋体" w:cs="仿宋_GB2312"/>
                <w:color w:val="auto"/>
                <w:kern w:val="2"/>
                <w:sz w:val="24"/>
                <w:szCs w:val="24"/>
                <w:highlight w:val="none"/>
              </w:rPr>
            </w:pPr>
            <w:bookmarkStart w:id="100" w:name="_Toc297193187"/>
            <w:bookmarkStart w:id="101" w:name="_Toc254970590"/>
            <w:bookmarkStart w:id="102" w:name="_Toc295404983"/>
            <w:bookmarkStart w:id="103" w:name="_Toc254970731"/>
            <w:bookmarkStart w:id="104" w:name="_Toc301781613"/>
            <w:bookmarkStart w:id="105" w:name="_Toc373333691"/>
            <w:bookmarkStart w:id="106" w:name="_Toc173211902"/>
            <w:bookmarkStart w:id="107" w:name="_Toc383699908"/>
            <w:bookmarkStart w:id="108" w:name="_Toc173066403"/>
            <w:r>
              <w:rPr>
                <w:rFonts w:hint="eastAsia" w:ascii="宋体" w:hAnsi="宋体" w:eastAsia="宋体" w:cs="仿宋_GB2312"/>
                <w:color w:val="auto"/>
                <w:kern w:val="2"/>
                <w:sz w:val="24"/>
                <w:szCs w:val="24"/>
                <w:highlight w:val="none"/>
              </w:rPr>
              <w:t>竞标响应</w:t>
            </w:r>
            <w:bookmarkEnd w:id="100"/>
            <w:bookmarkEnd w:id="101"/>
            <w:bookmarkEnd w:id="102"/>
            <w:bookmarkEnd w:id="103"/>
            <w:bookmarkEnd w:id="104"/>
            <w:bookmarkEnd w:id="105"/>
            <w:bookmarkEnd w:id="106"/>
            <w:bookmarkEnd w:id="107"/>
            <w:bookmarkEnd w:id="108"/>
          </w:p>
        </w:tc>
        <w:tc>
          <w:tcPr>
            <w:tcW w:w="1492" w:type="dxa"/>
            <w:vAlign w:val="center"/>
          </w:tcPr>
          <w:p w14:paraId="091002BF">
            <w:pPr>
              <w:pStyle w:val="13"/>
              <w:keepNext w:val="0"/>
              <w:keepLines w:val="0"/>
              <w:pageBreakBefore w:val="0"/>
              <w:suppressLineNumbers w:val="0"/>
              <w:kinsoku/>
              <w:topLinePunct w:val="0"/>
              <w:bidi w:val="0"/>
              <w:spacing w:before="60" w:beforeAutospacing="0" w:after="60" w:afterAutospacing="0" w:line="360" w:lineRule="auto"/>
              <w:ind w:left="0" w:right="0" w:firstLine="0" w:firstLineChars="0"/>
              <w:contextualSpacing/>
              <w:jc w:val="center"/>
              <w:rPr>
                <w:rFonts w:hint="default" w:ascii="宋体" w:hAnsi="宋体" w:eastAsia="宋体" w:cs="仿宋_GB2312"/>
                <w:color w:val="auto"/>
                <w:kern w:val="2"/>
                <w:sz w:val="24"/>
                <w:szCs w:val="24"/>
                <w:highlight w:val="none"/>
              </w:rPr>
            </w:pPr>
            <w:bookmarkStart w:id="109" w:name="_Toc297193188"/>
            <w:bookmarkStart w:id="110" w:name="_Toc295404984"/>
            <w:bookmarkStart w:id="111" w:name="_Toc173066404"/>
            <w:bookmarkStart w:id="112" w:name="_Toc254970732"/>
            <w:bookmarkStart w:id="113" w:name="_Toc373333692"/>
            <w:bookmarkStart w:id="114" w:name="_Toc254970591"/>
            <w:bookmarkStart w:id="115" w:name="_Toc173211903"/>
            <w:bookmarkStart w:id="116" w:name="_Toc301781614"/>
            <w:bookmarkStart w:id="117" w:name="_Toc383699909"/>
            <w:r>
              <w:rPr>
                <w:rFonts w:hint="eastAsia" w:ascii="宋体" w:hAnsi="宋体" w:eastAsia="宋体" w:cs="仿宋_GB2312"/>
                <w:color w:val="auto"/>
                <w:kern w:val="2"/>
                <w:sz w:val="24"/>
                <w:szCs w:val="24"/>
                <w:highlight w:val="none"/>
              </w:rPr>
              <w:t>偏离</w:t>
            </w:r>
            <w:bookmarkEnd w:id="109"/>
            <w:bookmarkEnd w:id="110"/>
            <w:bookmarkEnd w:id="111"/>
            <w:bookmarkEnd w:id="112"/>
            <w:bookmarkEnd w:id="113"/>
            <w:bookmarkEnd w:id="114"/>
            <w:bookmarkEnd w:id="115"/>
            <w:bookmarkEnd w:id="116"/>
            <w:bookmarkEnd w:id="117"/>
            <w:bookmarkStart w:id="118" w:name="_Toc173211904"/>
            <w:bookmarkStart w:id="119" w:name="_Toc297193189"/>
            <w:bookmarkStart w:id="120" w:name="_Toc173066405"/>
            <w:bookmarkStart w:id="121" w:name="_Toc373333693"/>
            <w:bookmarkStart w:id="122" w:name="_Toc383699910"/>
            <w:bookmarkStart w:id="123" w:name="_Toc254970592"/>
            <w:bookmarkStart w:id="124" w:name="_Toc254970733"/>
            <w:bookmarkStart w:id="125" w:name="_Toc295404985"/>
            <w:bookmarkStart w:id="126" w:name="_Toc301781615"/>
            <w:r>
              <w:rPr>
                <w:rFonts w:hint="eastAsia" w:ascii="宋体" w:hAnsi="宋体" w:eastAsia="宋体" w:cs="仿宋_GB2312"/>
                <w:color w:val="auto"/>
                <w:kern w:val="2"/>
                <w:sz w:val="24"/>
                <w:szCs w:val="24"/>
                <w:highlight w:val="none"/>
              </w:rPr>
              <w:t>说明</w:t>
            </w:r>
            <w:bookmarkEnd w:id="118"/>
            <w:bookmarkEnd w:id="119"/>
            <w:bookmarkEnd w:id="120"/>
            <w:bookmarkEnd w:id="121"/>
            <w:bookmarkEnd w:id="122"/>
            <w:bookmarkEnd w:id="123"/>
            <w:bookmarkEnd w:id="124"/>
            <w:bookmarkEnd w:id="125"/>
            <w:bookmarkEnd w:id="126"/>
          </w:p>
        </w:tc>
      </w:tr>
      <w:tr w14:paraId="21E796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2365C7F0">
            <w:pPr>
              <w:pStyle w:val="13"/>
              <w:keepNext w:val="0"/>
              <w:keepLines w:val="0"/>
              <w:pageBreakBefore w:val="0"/>
              <w:suppressLineNumbers w:val="0"/>
              <w:kinsoku/>
              <w:topLinePunct w:val="0"/>
              <w:bidi w:val="0"/>
              <w:spacing w:before="60" w:beforeAutospacing="0" w:after="60" w:afterAutospacing="0" w:line="360" w:lineRule="auto"/>
              <w:ind w:left="0" w:right="0" w:firstLine="0" w:firstLineChars="0"/>
              <w:contextualSpacing/>
              <w:jc w:val="center"/>
              <w:rPr>
                <w:rFonts w:hint="default" w:ascii="宋体" w:hAnsi="宋体" w:eastAsia="宋体" w:cs="仿宋_GB2312"/>
                <w:color w:val="auto"/>
                <w:kern w:val="2"/>
                <w:sz w:val="24"/>
                <w:szCs w:val="24"/>
                <w:highlight w:val="none"/>
              </w:rPr>
            </w:pPr>
            <w:bookmarkStart w:id="127" w:name="_Toc383699911"/>
            <w:bookmarkStart w:id="128" w:name="_Toc254970593"/>
            <w:bookmarkStart w:id="129" w:name="_Toc297193190"/>
            <w:bookmarkStart w:id="130" w:name="_Toc173211905"/>
            <w:bookmarkStart w:id="131" w:name="_Toc301781616"/>
            <w:bookmarkStart w:id="132" w:name="_Toc173066406"/>
            <w:bookmarkStart w:id="133" w:name="_Toc295404986"/>
            <w:bookmarkStart w:id="134" w:name="_Toc373333694"/>
            <w:bookmarkStart w:id="135" w:name="_Toc254970734"/>
            <w:r>
              <w:rPr>
                <w:rFonts w:hint="eastAsia" w:ascii="宋体" w:hAnsi="宋体" w:eastAsia="宋体" w:cs="仿宋_GB2312"/>
                <w:color w:val="auto"/>
                <w:kern w:val="2"/>
                <w:sz w:val="24"/>
                <w:szCs w:val="24"/>
                <w:highlight w:val="none"/>
              </w:rPr>
              <w:t>1</w:t>
            </w:r>
            <w:bookmarkEnd w:id="127"/>
            <w:bookmarkEnd w:id="128"/>
            <w:bookmarkEnd w:id="129"/>
            <w:bookmarkEnd w:id="130"/>
            <w:bookmarkEnd w:id="131"/>
            <w:bookmarkEnd w:id="132"/>
            <w:bookmarkEnd w:id="133"/>
            <w:bookmarkEnd w:id="134"/>
            <w:bookmarkEnd w:id="135"/>
          </w:p>
        </w:tc>
        <w:tc>
          <w:tcPr>
            <w:tcW w:w="915" w:type="dxa"/>
            <w:tcBorders>
              <w:right w:val="single" w:color="auto" w:sz="4" w:space="0"/>
            </w:tcBorders>
            <w:vAlign w:val="center"/>
          </w:tcPr>
          <w:p w14:paraId="0864D4BF">
            <w:pPr>
              <w:pStyle w:val="13"/>
              <w:keepNext w:val="0"/>
              <w:keepLines w:val="0"/>
              <w:pageBreakBefore w:val="0"/>
              <w:suppressLineNumbers w:val="0"/>
              <w:kinsoku/>
              <w:topLinePunct w:val="0"/>
              <w:bidi w:val="0"/>
              <w:spacing w:before="60" w:beforeAutospacing="0" w:after="60" w:afterAutospacing="0" w:line="360" w:lineRule="auto"/>
              <w:ind w:left="0" w:right="0" w:firstLine="0" w:firstLineChars="0"/>
              <w:contextualSpacing/>
              <w:jc w:val="center"/>
              <w:rPr>
                <w:rFonts w:hint="default" w:ascii="宋体" w:hAnsi="宋体" w:eastAsia="宋体" w:cs="仿宋_GB2312"/>
                <w:color w:val="auto"/>
                <w:kern w:val="2"/>
                <w:sz w:val="24"/>
                <w:szCs w:val="24"/>
                <w:highlight w:val="none"/>
              </w:rPr>
            </w:pPr>
          </w:p>
        </w:tc>
        <w:tc>
          <w:tcPr>
            <w:tcW w:w="3038" w:type="dxa"/>
            <w:tcBorders>
              <w:left w:val="single" w:color="auto" w:sz="4" w:space="0"/>
            </w:tcBorders>
            <w:vAlign w:val="center"/>
          </w:tcPr>
          <w:p w14:paraId="710048F6">
            <w:pPr>
              <w:pStyle w:val="13"/>
              <w:keepNext w:val="0"/>
              <w:keepLines w:val="0"/>
              <w:pageBreakBefore w:val="0"/>
              <w:suppressLineNumbers w:val="0"/>
              <w:kinsoku/>
              <w:topLinePunct w:val="0"/>
              <w:bidi w:val="0"/>
              <w:spacing w:before="60" w:beforeAutospacing="0" w:after="60" w:afterAutospacing="0" w:line="360" w:lineRule="auto"/>
              <w:ind w:left="0" w:right="0" w:firstLine="0" w:firstLineChars="0"/>
              <w:contextualSpacing/>
              <w:jc w:val="center"/>
              <w:rPr>
                <w:rFonts w:hint="default" w:ascii="宋体" w:hAnsi="宋体" w:eastAsia="宋体" w:cs="仿宋_GB2312"/>
                <w:color w:val="auto"/>
                <w:kern w:val="2"/>
                <w:sz w:val="24"/>
                <w:szCs w:val="24"/>
                <w:highlight w:val="none"/>
              </w:rPr>
            </w:pPr>
          </w:p>
        </w:tc>
        <w:tc>
          <w:tcPr>
            <w:tcW w:w="2734" w:type="dxa"/>
            <w:vAlign w:val="center"/>
          </w:tcPr>
          <w:p w14:paraId="7F90F568">
            <w:pPr>
              <w:pStyle w:val="13"/>
              <w:keepNext w:val="0"/>
              <w:keepLines w:val="0"/>
              <w:pageBreakBefore w:val="0"/>
              <w:suppressLineNumbers w:val="0"/>
              <w:kinsoku/>
              <w:topLinePunct w:val="0"/>
              <w:bidi w:val="0"/>
              <w:spacing w:before="60" w:beforeAutospacing="0" w:after="60" w:afterAutospacing="0" w:line="360" w:lineRule="auto"/>
              <w:ind w:left="0" w:right="0" w:firstLine="0" w:firstLineChars="0"/>
              <w:contextualSpacing/>
              <w:jc w:val="center"/>
              <w:rPr>
                <w:rFonts w:hint="default" w:ascii="宋体" w:hAnsi="宋体" w:eastAsia="宋体" w:cs="仿宋_GB2312"/>
                <w:color w:val="auto"/>
                <w:kern w:val="2"/>
                <w:sz w:val="24"/>
                <w:szCs w:val="24"/>
                <w:highlight w:val="none"/>
              </w:rPr>
            </w:pPr>
          </w:p>
        </w:tc>
        <w:tc>
          <w:tcPr>
            <w:tcW w:w="1492" w:type="dxa"/>
            <w:vAlign w:val="center"/>
          </w:tcPr>
          <w:p w14:paraId="40C347B2">
            <w:pPr>
              <w:pStyle w:val="13"/>
              <w:keepNext w:val="0"/>
              <w:keepLines w:val="0"/>
              <w:pageBreakBefore w:val="0"/>
              <w:suppressLineNumbers w:val="0"/>
              <w:kinsoku/>
              <w:topLinePunct w:val="0"/>
              <w:bidi w:val="0"/>
              <w:spacing w:before="60" w:beforeAutospacing="0" w:after="60" w:afterAutospacing="0" w:line="360" w:lineRule="auto"/>
              <w:ind w:left="0" w:right="0" w:firstLine="0" w:firstLineChars="0"/>
              <w:contextualSpacing/>
              <w:jc w:val="center"/>
              <w:rPr>
                <w:rFonts w:hint="default" w:ascii="宋体" w:hAnsi="宋体" w:eastAsia="宋体" w:cs="仿宋_GB2312"/>
                <w:color w:val="auto"/>
                <w:kern w:val="2"/>
                <w:sz w:val="24"/>
                <w:szCs w:val="24"/>
                <w:highlight w:val="none"/>
              </w:rPr>
            </w:pPr>
          </w:p>
        </w:tc>
      </w:tr>
      <w:tr w14:paraId="264AEE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626B8EFD">
            <w:pPr>
              <w:pStyle w:val="13"/>
              <w:keepNext w:val="0"/>
              <w:keepLines w:val="0"/>
              <w:pageBreakBefore w:val="0"/>
              <w:suppressLineNumbers w:val="0"/>
              <w:kinsoku/>
              <w:topLinePunct w:val="0"/>
              <w:bidi w:val="0"/>
              <w:spacing w:before="60" w:beforeAutospacing="0" w:after="60" w:afterAutospacing="0" w:line="360" w:lineRule="auto"/>
              <w:ind w:left="0" w:right="0" w:firstLine="0" w:firstLineChars="0"/>
              <w:contextualSpacing/>
              <w:jc w:val="center"/>
              <w:rPr>
                <w:rFonts w:hint="default" w:ascii="宋体" w:hAnsi="宋体" w:eastAsia="宋体" w:cs="仿宋_GB2312"/>
                <w:color w:val="auto"/>
                <w:kern w:val="2"/>
                <w:sz w:val="24"/>
                <w:szCs w:val="24"/>
                <w:highlight w:val="none"/>
              </w:rPr>
            </w:pPr>
            <w:bookmarkStart w:id="136" w:name="_Toc373333695"/>
            <w:bookmarkStart w:id="137" w:name="_Toc301781617"/>
            <w:bookmarkStart w:id="138" w:name="_Toc173211906"/>
            <w:bookmarkStart w:id="139" w:name="_Toc297193191"/>
            <w:bookmarkStart w:id="140" w:name="_Toc173066407"/>
            <w:bookmarkStart w:id="141" w:name="_Toc254970594"/>
            <w:bookmarkStart w:id="142" w:name="_Toc254970735"/>
            <w:bookmarkStart w:id="143" w:name="_Toc383699912"/>
            <w:bookmarkStart w:id="144" w:name="_Toc295404987"/>
            <w:r>
              <w:rPr>
                <w:rFonts w:hint="eastAsia" w:ascii="宋体" w:hAnsi="宋体" w:eastAsia="宋体" w:cs="仿宋_GB2312"/>
                <w:color w:val="auto"/>
                <w:kern w:val="2"/>
                <w:sz w:val="24"/>
                <w:szCs w:val="24"/>
                <w:highlight w:val="none"/>
              </w:rPr>
              <w:t>2</w:t>
            </w:r>
            <w:bookmarkEnd w:id="136"/>
            <w:bookmarkEnd w:id="137"/>
            <w:bookmarkEnd w:id="138"/>
            <w:bookmarkEnd w:id="139"/>
            <w:bookmarkEnd w:id="140"/>
            <w:bookmarkEnd w:id="141"/>
            <w:bookmarkEnd w:id="142"/>
            <w:bookmarkEnd w:id="143"/>
            <w:bookmarkEnd w:id="144"/>
          </w:p>
        </w:tc>
        <w:tc>
          <w:tcPr>
            <w:tcW w:w="915" w:type="dxa"/>
            <w:tcBorders>
              <w:right w:val="single" w:color="auto" w:sz="4" w:space="0"/>
            </w:tcBorders>
            <w:vAlign w:val="center"/>
          </w:tcPr>
          <w:p w14:paraId="7682EE01">
            <w:pPr>
              <w:pStyle w:val="13"/>
              <w:keepNext w:val="0"/>
              <w:keepLines w:val="0"/>
              <w:pageBreakBefore w:val="0"/>
              <w:suppressLineNumbers w:val="0"/>
              <w:kinsoku/>
              <w:topLinePunct w:val="0"/>
              <w:bidi w:val="0"/>
              <w:spacing w:before="60" w:beforeAutospacing="0" w:after="60" w:afterAutospacing="0" w:line="360" w:lineRule="auto"/>
              <w:ind w:left="0" w:right="0" w:firstLine="0" w:firstLineChars="0"/>
              <w:contextualSpacing/>
              <w:jc w:val="center"/>
              <w:rPr>
                <w:rFonts w:hint="default" w:ascii="宋体" w:hAnsi="宋体" w:eastAsia="宋体" w:cs="仿宋_GB2312"/>
                <w:color w:val="auto"/>
                <w:kern w:val="2"/>
                <w:sz w:val="24"/>
                <w:szCs w:val="24"/>
                <w:highlight w:val="none"/>
              </w:rPr>
            </w:pPr>
          </w:p>
        </w:tc>
        <w:tc>
          <w:tcPr>
            <w:tcW w:w="3038" w:type="dxa"/>
            <w:tcBorders>
              <w:left w:val="single" w:color="auto" w:sz="4" w:space="0"/>
            </w:tcBorders>
            <w:vAlign w:val="center"/>
          </w:tcPr>
          <w:p w14:paraId="4948DC32">
            <w:pPr>
              <w:pStyle w:val="13"/>
              <w:keepNext w:val="0"/>
              <w:keepLines w:val="0"/>
              <w:pageBreakBefore w:val="0"/>
              <w:suppressLineNumbers w:val="0"/>
              <w:kinsoku/>
              <w:topLinePunct w:val="0"/>
              <w:bidi w:val="0"/>
              <w:spacing w:before="60" w:beforeAutospacing="0" w:after="60" w:afterAutospacing="0" w:line="360" w:lineRule="auto"/>
              <w:ind w:left="0" w:right="0" w:firstLine="0" w:firstLineChars="0"/>
              <w:contextualSpacing/>
              <w:jc w:val="center"/>
              <w:rPr>
                <w:rFonts w:hint="default" w:ascii="宋体" w:hAnsi="宋体" w:eastAsia="宋体" w:cs="仿宋_GB2312"/>
                <w:color w:val="auto"/>
                <w:kern w:val="2"/>
                <w:sz w:val="24"/>
                <w:szCs w:val="24"/>
                <w:highlight w:val="none"/>
              </w:rPr>
            </w:pPr>
          </w:p>
        </w:tc>
        <w:tc>
          <w:tcPr>
            <w:tcW w:w="2734" w:type="dxa"/>
            <w:vAlign w:val="center"/>
          </w:tcPr>
          <w:p w14:paraId="75430578">
            <w:pPr>
              <w:pStyle w:val="13"/>
              <w:keepNext w:val="0"/>
              <w:keepLines w:val="0"/>
              <w:pageBreakBefore w:val="0"/>
              <w:suppressLineNumbers w:val="0"/>
              <w:kinsoku/>
              <w:topLinePunct w:val="0"/>
              <w:bidi w:val="0"/>
              <w:spacing w:before="60" w:beforeAutospacing="0" w:after="60" w:afterAutospacing="0" w:line="360" w:lineRule="auto"/>
              <w:ind w:left="0" w:right="0" w:firstLine="0" w:firstLineChars="0"/>
              <w:contextualSpacing/>
              <w:jc w:val="center"/>
              <w:rPr>
                <w:rFonts w:hint="default" w:ascii="宋体" w:hAnsi="宋体" w:eastAsia="宋体" w:cs="仿宋_GB2312"/>
                <w:color w:val="auto"/>
                <w:kern w:val="2"/>
                <w:sz w:val="24"/>
                <w:szCs w:val="24"/>
                <w:highlight w:val="none"/>
              </w:rPr>
            </w:pPr>
          </w:p>
        </w:tc>
        <w:tc>
          <w:tcPr>
            <w:tcW w:w="1492" w:type="dxa"/>
            <w:vAlign w:val="center"/>
          </w:tcPr>
          <w:p w14:paraId="176D86A0">
            <w:pPr>
              <w:pStyle w:val="13"/>
              <w:keepNext w:val="0"/>
              <w:keepLines w:val="0"/>
              <w:pageBreakBefore w:val="0"/>
              <w:suppressLineNumbers w:val="0"/>
              <w:kinsoku/>
              <w:topLinePunct w:val="0"/>
              <w:bidi w:val="0"/>
              <w:spacing w:before="60" w:beforeAutospacing="0" w:after="60" w:afterAutospacing="0" w:line="360" w:lineRule="auto"/>
              <w:ind w:left="0" w:right="0" w:firstLine="0" w:firstLineChars="0"/>
              <w:contextualSpacing/>
              <w:jc w:val="center"/>
              <w:rPr>
                <w:rFonts w:hint="default" w:ascii="宋体" w:hAnsi="宋体" w:eastAsia="宋体" w:cs="仿宋_GB2312"/>
                <w:color w:val="auto"/>
                <w:kern w:val="2"/>
                <w:sz w:val="24"/>
                <w:szCs w:val="24"/>
                <w:highlight w:val="none"/>
              </w:rPr>
            </w:pPr>
          </w:p>
        </w:tc>
      </w:tr>
      <w:tr w14:paraId="0CD7A0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22ADFA04">
            <w:pPr>
              <w:pStyle w:val="13"/>
              <w:keepNext w:val="0"/>
              <w:keepLines w:val="0"/>
              <w:pageBreakBefore w:val="0"/>
              <w:suppressLineNumbers w:val="0"/>
              <w:kinsoku/>
              <w:topLinePunct w:val="0"/>
              <w:bidi w:val="0"/>
              <w:spacing w:before="60" w:beforeAutospacing="0" w:after="60" w:afterAutospacing="0" w:line="360" w:lineRule="auto"/>
              <w:ind w:left="0" w:right="0" w:firstLine="0" w:firstLineChars="0"/>
              <w:contextualSpacing/>
              <w:jc w:val="center"/>
              <w:rPr>
                <w:rFonts w:hint="default" w:ascii="宋体" w:hAnsi="宋体" w:eastAsia="宋体" w:cs="仿宋_GB2312"/>
                <w:color w:val="auto"/>
                <w:kern w:val="2"/>
                <w:sz w:val="24"/>
                <w:szCs w:val="24"/>
                <w:highlight w:val="none"/>
              </w:rPr>
            </w:pPr>
            <w:bookmarkStart w:id="145" w:name="_Toc297193192"/>
            <w:bookmarkStart w:id="146" w:name="_Toc373333696"/>
            <w:bookmarkStart w:id="147" w:name="_Toc173211907"/>
            <w:bookmarkStart w:id="148" w:name="_Toc254970595"/>
            <w:bookmarkStart w:id="149" w:name="_Toc295404988"/>
            <w:bookmarkStart w:id="150" w:name="_Toc301781618"/>
            <w:bookmarkStart w:id="151" w:name="_Toc254970736"/>
            <w:bookmarkStart w:id="152" w:name="_Toc383699913"/>
            <w:bookmarkStart w:id="153" w:name="_Toc173066408"/>
            <w:r>
              <w:rPr>
                <w:rFonts w:hint="eastAsia" w:ascii="宋体" w:hAnsi="宋体" w:eastAsia="宋体" w:cs="仿宋_GB2312"/>
                <w:color w:val="auto"/>
                <w:kern w:val="2"/>
                <w:sz w:val="24"/>
                <w:szCs w:val="24"/>
                <w:highlight w:val="none"/>
              </w:rPr>
              <w:t>3</w:t>
            </w:r>
            <w:bookmarkEnd w:id="145"/>
            <w:bookmarkEnd w:id="146"/>
            <w:bookmarkEnd w:id="147"/>
            <w:bookmarkEnd w:id="148"/>
            <w:bookmarkEnd w:id="149"/>
            <w:bookmarkEnd w:id="150"/>
            <w:bookmarkEnd w:id="151"/>
            <w:bookmarkEnd w:id="152"/>
            <w:bookmarkEnd w:id="153"/>
          </w:p>
        </w:tc>
        <w:tc>
          <w:tcPr>
            <w:tcW w:w="915" w:type="dxa"/>
            <w:tcBorders>
              <w:right w:val="single" w:color="auto" w:sz="4" w:space="0"/>
            </w:tcBorders>
            <w:vAlign w:val="center"/>
          </w:tcPr>
          <w:p w14:paraId="3059BAB4">
            <w:pPr>
              <w:pStyle w:val="13"/>
              <w:keepNext w:val="0"/>
              <w:keepLines w:val="0"/>
              <w:pageBreakBefore w:val="0"/>
              <w:suppressLineNumbers w:val="0"/>
              <w:kinsoku/>
              <w:topLinePunct w:val="0"/>
              <w:bidi w:val="0"/>
              <w:spacing w:before="60" w:beforeAutospacing="0" w:after="60" w:afterAutospacing="0" w:line="360" w:lineRule="auto"/>
              <w:ind w:left="0" w:right="0" w:firstLine="0" w:firstLineChars="0"/>
              <w:contextualSpacing/>
              <w:jc w:val="center"/>
              <w:rPr>
                <w:rFonts w:hint="default" w:ascii="宋体" w:hAnsi="宋体" w:eastAsia="宋体" w:cs="仿宋_GB2312"/>
                <w:color w:val="auto"/>
                <w:kern w:val="2"/>
                <w:sz w:val="24"/>
                <w:szCs w:val="24"/>
                <w:highlight w:val="none"/>
              </w:rPr>
            </w:pPr>
          </w:p>
        </w:tc>
        <w:tc>
          <w:tcPr>
            <w:tcW w:w="3038" w:type="dxa"/>
            <w:tcBorders>
              <w:left w:val="single" w:color="auto" w:sz="4" w:space="0"/>
            </w:tcBorders>
            <w:vAlign w:val="center"/>
          </w:tcPr>
          <w:p w14:paraId="1F283B6F">
            <w:pPr>
              <w:pStyle w:val="13"/>
              <w:keepNext w:val="0"/>
              <w:keepLines w:val="0"/>
              <w:pageBreakBefore w:val="0"/>
              <w:suppressLineNumbers w:val="0"/>
              <w:kinsoku/>
              <w:topLinePunct w:val="0"/>
              <w:bidi w:val="0"/>
              <w:spacing w:before="60" w:beforeAutospacing="0" w:after="60" w:afterAutospacing="0" w:line="360" w:lineRule="auto"/>
              <w:ind w:left="0" w:right="0" w:firstLine="0" w:firstLineChars="0"/>
              <w:contextualSpacing/>
              <w:jc w:val="center"/>
              <w:rPr>
                <w:rFonts w:hint="default" w:ascii="宋体" w:hAnsi="宋体" w:eastAsia="宋体" w:cs="仿宋_GB2312"/>
                <w:color w:val="auto"/>
                <w:kern w:val="2"/>
                <w:sz w:val="24"/>
                <w:szCs w:val="24"/>
                <w:highlight w:val="none"/>
              </w:rPr>
            </w:pPr>
          </w:p>
        </w:tc>
        <w:tc>
          <w:tcPr>
            <w:tcW w:w="2734" w:type="dxa"/>
            <w:vAlign w:val="center"/>
          </w:tcPr>
          <w:p w14:paraId="0DC1A7B8">
            <w:pPr>
              <w:pStyle w:val="13"/>
              <w:keepNext w:val="0"/>
              <w:keepLines w:val="0"/>
              <w:pageBreakBefore w:val="0"/>
              <w:suppressLineNumbers w:val="0"/>
              <w:kinsoku/>
              <w:topLinePunct w:val="0"/>
              <w:bidi w:val="0"/>
              <w:spacing w:before="60" w:beforeAutospacing="0" w:after="60" w:afterAutospacing="0" w:line="360" w:lineRule="auto"/>
              <w:ind w:left="0" w:right="0" w:firstLine="0" w:firstLineChars="0"/>
              <w:contextualSpacing/>
              <w:jc w:val="center"/>
              <w:rPr>
                <w:rFonts w:hint="default" w:ascii="宋体" w:hAnsi="宋体" w:eastAsia="宋体" w:cs="仿宋_GB2312"/>
                <w:color w:val="auto"/>
                <w:kern w:val="2"/>
                <w:sz w:val="24"/>
                <w:szCs w:val="24"/>
                <w:highlight w:val="none"/>
              </w:rPr>
            </w:pPr>
          </w:p>
        </w:tc>
        <w:tc>
          <w:tcPr>
            <w:tcW w:w="1492" w:type="dxa"/>
            <w:vAlign w:val="center"/>
          </w:tcPr>
          <w:p w14:paraId="678FABC7">
            <w:pPr>
              <w:pStyle w:val="13"/>
              <w:keepNext w:val="0"/>
              <w:keepLines w:val="0"/>
              <w:pageBreakBefore w:val="0"/>
              <w:suppressLineNumbers w:val="0"/>
              <w:kinsoku/>
              <w:topLinePunct w:val="0"/>
              <w:bidi w:val="0"/>
              <w:spacing w:before="60" w:beforeAutospacing="0" w:after="60" w:afterAutospacing="0" w:line="360" w:lineRule="auto"/>
              <w:ind w:left="0" w:right="0" w:firstLine="0" w:firstLineChars="0"/>
              <w:contextualSpacing/>
              <w:jc w:val="center"/>
              <w:rPr>
                <w:rFonts w:hint="default" w:ascii="宋体" w:hAnsi="宋体" w:eastAsia="宋体" w:cs="仿宋_GB2312"/>
                <w:color w:val="auto"/>
                <w:kern w:val="2"/>
                <w:sz w:val="24"/>
                <w:szCs w:val="24"/>
                <w:highlight w:val="none"/>
              </w:rPr>
            </w:pPr>
          </w:p>
        </w:tc>
      </w:tr>
      <w:tr w14:paraId="2D6600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0DD0982F">
            <w:pPr>
              <w:pStyle w:val="13"/>
              <w:keepNext w:val="0"/>
              <w:keepLines w:val="0"/>
              <w:pageBreakBefore w:val="0"/>
              <w:suppressLineNumbers w:val="0"/>
              <w:kinsoku/>
              <w:topLinePunct w:val="0"/>
              <w:bidi w:val="0"/>
              <w:spacing w:before="60" w:beforeAutospacing="0" w:after="60" w:afterAutospacing="0" w:line="360" w:lineRule="auto"/>
              <w:ind w:left="0" w:right="0" w:firstLine="0" w:firstLineChars="0"/>
              <w:contextualSpacing/>
              <w:jc w:val="center"/>
              <w:rPr>
                <w:rFonts w:hint="default" w:ascii="宋体" w:hAnsi="宋体" w:eastAsia="宋体" w:cs="仿宋_GB2312"/>
                <w:color w:val="auto"/>
                <w:kern w:val="2"/>
                <w:sz w:val="24"/>
                <w:szCs w:val="24"/>
                <w:highlight w:val="none"/>
              </w:rPr>
            </w:pPr>
            <w:bookmarkStart w:id="154" w:name="_Toc254970737"/>
            <w:bookmarkStart w:id="155" w:name="_Toc373333697"/>
            <w:bookmarkStart w:id="156" w:name="_Toc295404989"/>
            <w:bookmarkStart w:id="157" w:name="_Toc173211908"/>
            <w:bookmarkStart w:id="158" w:name="_Toc297193193"/>
            <w:bookmarkStart w:id="159" w:name="_Toc383699914"/>
            <w:bookmarkStart w:id="160" w:name="_Toc301781619"/>
            <w:bookmarkStart w:id="161" w:name="_Toc173066409"/>
            <w:bookmarkStart w:id="162" w:name="_Toc254970596"/>
            <w:r>
              <w:rPr>
                <w:rFonts w:hint="eastAsia" w:ascii="宋体" w:hAnsi="宋体" w:eastAsia="宋体" w:cs="仿宋_GB2312"/>
                <w:color w:val="auto"/>
                <w:kern w:val="2"/>
                <w:sz w:val="24"/>
                <w:szCs w:val="24"/>
                <w:highlight w:val="none"/>
              </w:rPr>
              <w:t>4</w:t>
            </w:r>
            <w:bookmarkEnd w:id="154"/>
            <w:bookmarkEnd w:id="155"/>
            <w:bookmarkEnd w:id="156"/>
            <w:bookmarkEnd w:id="157"/>
            <w:bookmarkEnd w:id="158"/>
            <w:bookmarkEnd w:id="159"/>
            <w:bookmarkEnd w:id="160"/>
            <w:bookmarkEnd w:id="161"/>
            <w:bookmarkEnd w:id="162"/>
          </w:p>
        </w:tc>
        <w:tc>
          <w:tcPr>
            <w:tcW w:w="915" w:type="dxa"/>
            <w:tcBorders>
              <w:right w:val="single" w:color="auto" w:sz="4" w:space="0"/>
            </w:tcBorders>
            <w:vAlign w:val="center"/>
          </w:tcPr>
          <w:p w14:paraId="138389AD">
            <w:pPr>
              <w:pStyle w:val="13"/>
              <w:keepNext w:val="0"/>
              <w:keepLines w:val="0"/>
              <w:pageBreakBefore w:val="0"/>
              <w:suppressLineNumbers w:val="0"/>
              <w:kinsoku/>
              <w:topLinePunct w:val="0"/>
              <w:bidi w:val="0"/>
              <w:spacing w:before="60" w:beforeAutospacing="0" w:after="60" w:afterAutospacing="0" w:line="360" w:lineRule="auto"/>
              <w:ind w:left="0" w:right="0" w:firstLine="0" w:firstLineChars="0"/>
              <w:contextualSpacing/>
              <w:jc w:val="center"/>
              <w:rPr>
                <w:rFonts w:hint="default" w:ascii="宋体" w:hAnsi="宋体" w:eastAsia="宋体" w:cs="仿宋_GB2312"/>
                <w:color w:val="auto"/>
                <w:kern w:val="2"/>
                <w:sz w:val="24"/>
                <w:szCs w:val="24"/>
                <w:highlight w:val="none"/>
              </w:rPr>
            </w:pPr>
          </w:p>
        </w:tc>
        <w:tc>
          <w:tcPr>
            <w:tcW w:w="3038" w:type="dxa"/>
            <w:tcBorders>
              <w:left w:val="single" w:color="auto" w:sz="4" w:space="0"/>
            </w:tcBorders>
            <w:vAlign w:val="center"/>
          </w:tcPr>
          <w:p w14:paraId="282E18BD">
            <w:pPr>
              <w:pStyle w:val="13"/>
              <w:keepNext w:val="0"/>
              <w:keepLines w:val="0"/>
              <w:pageBreakBefore w:val="0"/>
              <w:suppressLineNumbers w:val="0"/>
              <w:kinsoku/>
              <w:topLinePunct w:val="0"/>
              <w:bidi w:val="0"/>
              <w:spacing w:before="60" w:beforeAutospacing="0" w:after="60" w:afterAutospacing="0" w:line="360" w:lineRule="auto"/>
              <w:ind w:left="0" w:right="0" w:firstLine="0" w:firstLineChars="0"/>
              <w:contextualSpacing/>
              <w:jc w:val="center"/>
              <w:rPr>
                <w:rFonts w:hint="default" w:ascii="宋体" w:hAnsi="宋体" w:eastAsia="宋体" w:cs="仿宋_GB2312"/>
                <w:color w:val="auto"/>
                <w:kern w:val="2"/>
                <w:sz w:val="24"/>
                <w:szCs w:val="24"/>
                <w:highlight w:val="none"/>
              </w:rPr>
            </w:pPr>
          </w:p>
        </w:tc>
        <w:tc>
          <w:tcPr>
            <w:tcW w:w="2734" w:type="dxa"/>
            <w:vAlign w:val="center"/>
          </w:tcPr>
          <w:p w14:paraId="611782CD">
            <w:pPr>
              <w:pStyle w:val="13"/>
              <w:keepNext w:val="0"/>
              <w:keepLines w:val="0"/>
              <w:pageBreakBefore w:val="0"/>
              <w:suppressLineNumbers w:val="0"/>
              <w:kinsoku/>
              <w:topLinePunct w:val="0"/>
              <w:bidi w:val="0"/>
              <w:spacing w:before="60" w:beforeAutospacing="0" w:after="60" w:afterAutospacing="0" w:line="360" w:lineRule="auto"/>
              <w:ind w:left="0" w:right="0" w:firstLine="0" w:firstLineChars="0"/>
              <w:contextualSpacing/>
              <w:jc w:val="center"/>
              <w:rPr>
                <w:rFonts w:hint="default" w:ascii="宋体" w:hAnsi="宋体" w:eastAsia="宋体" w:cs="仿宋_GB2312"/>
                <w:color w:val="auto"/>
                <w:kern w:val="2"/>
                <w:sz w:val="24"/>
                <w:szCs w:val="24"/>
                <w:highlight w:val="none"/>
              </w:rPr>
            </w:pPr>
          </w:p>
        </w:tc>
        <w:tc>
          <w:tcPr>
            <w:tcW w:w="1492" w:type="dxa"/>
            <w:vAlign w:val="center"/>
          </w:tcPr>
          <w:p w14:paraId="7AE5F46F">
            <w:pPr>
              <w:pStyle w:val="13"/>
              <w:keepNext w:val="0"/>
              <w:keepLines w:val="0"/>
              <w:pageBreakBefore w:val="0"/>
              <w:suppressLineNumbers w:val="0"/>
              <w:kinsoku/>
              <w:topLinePunct w:val="0"/>
              <w:bidi w:val="0"/>
              <w:spacing w:before="60" w:beforeAutospacing="0" w:after="60" w:afterAutospacing="0" w:line="360" w:lineRule="auto"/>
              <w:ind w:left="0" w:right="0" w:firstLine="0" w:firstLineChars="0"/>
              <w:contextualSpacing/>
              <w:jc w:val="center"/>
              <w:rPr>
                <w:rFonts w:hint="default" w:ascii="宋体" w:hAnsi="宋体" w:eastAsia="宋体" w:cs="仿宋_GB2312"/>
                <w:color w:val="auto"/>
                <w:kern w:val="2"/>
                <w:sz w:val="24"/>
                <w:szCs w:val="24"/>
                <w:highlight w:val="none"/>
              </w:rPr>
            </w:pPr>
          </w:p>
        </w:tc>
      </w:tr>
      <w:tr w14:paraId="356E75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175C6455">
            <w:pPr>
              <w:pStyle w:val="13"/>
              <w:keepNext w:val="0"/>
              <w:keepLines w:val="0"/>
              <w:pageBreakBefore w:val="0"/>
              <w:suppressLineNumbers w:val="0"/>
              <w:kinsoku/>
              <w:topLinePunct w:val="0"/>
              <w:bidi w:val="0"/>
              <w:spacing w:before="60" w:beforeAutospacing="0" w:after="60" w:afterAutospacing="0" w:line="360" w:lineRule="auto"/>
              <w:ind w:left="0" w:right="0" w:firstLine="0" w:firstLineChars="0"/>
              <w:contextualSpacing/>
              <w:jc w:val="center"/>
              <w:rPr>
                <w:rFonts w:hint="default" w:ascii="宋体" w:hAnsi="宋体" w:eastAsia="宋体" w:cs="仿宋_GB2312"/>
                <w:color w:val="auto"/>
                <w:kern w:val="2"/>
                <w:sz w:val="24"/>
                <w:szCs w:val="24"/>
                <w:highlight w:val="none"/>
              </w:rPr>
            </w:pPr>
            <w:bookmarkStart w:id="163" w:name="_Toc301781620"/>
            <w:bookmarkStart w:id="164" w:name="_Toc295404990"/>
            <w:bookmarkStart w:id="165" w:name="_Toc254970597"/>
            <w:bookmarkStart w:id="166" w:name="_Toc173211909"/>
            <w:bookmarkStart w:id="167" w:name="_Toc173066410"/>
            <w:bookmarkStart w:id="168" w:name="_Toc383699915"/>
            <w:bookmarkStart w:id="169" w:name="_Toc254970738"/>
            <w:bookmarkStart w:id="170" w:name="_Toc297193194"/>
            <w:bookmarkStart w:id="171" w:name="_Toc373333698"/>
            <w:r>
              <w:rPr>
                <w:rFonts w:hint="eastAsia" w:ascii="宋体" w:hAnsi="宋体" w:eastAsia="宋体" w:cs="仿宋_GB2312"/>
                <w:color w:val="auto"/>
                <w:kern w:val="2"/>
                <w:sz w:val="24"/>
                <w:szCs w:val="24"/>
                <w:highlight w:val="none"/>
              </w:rPr>
              <w:t>5</w:t>
            </w:r>
            <w:bookmarkEnd w:id="163"/>
            <w:bookmarkEnd w:id="164"/>
            <w:bookmarkEnd w:id="165"/>
            <w:bookmarkEnd w:id="166"/>
            <w:bookmarkEnd w:id="167"/>
            <w:bookmarkEnd w:id="168"/>
            <w:bookmarkEnd w:id="169"/>
            <w:bookmarkEnd w:id="170"/>
            <w:bookmarkEnd w:id="171"/>
          </w:p>
        </w:tc>
        <w:tc>
          <w:tcPr>
            <w:tcW w:w="915" w:type="dxa"/>
            <w:tcBorders>
              <w:right w:val="single" w:color="auto" w:sz="4" w:space="0"/>
            </w:tcBorders>
            <w:vAlign w:val="center"/>
          </w:tcPr>
          <w:p w14:paraId="508FBCEA">
            <w:pPr>
              <w:pStyle w:val="13"/>
              <w:keepNext w:val="0"/>
              <w:keepLines w:val="0"/>
              <w:pageBreakBefore w:val="0"/>
              <w:suppressLineNumbers w:val="0"/>
              <w:kinsoku/>
              <w:topLinePunct w:val="0"/>
              <w:bidi w:val="0"/>
              <w:spacing w:before="60" w:beforeAutospacing="0" w:after="60" w:afterAutospacing="0" w:line="360" w:lineRule="auto"/>
              <w:ind w:left="0" w:right="0" w:firstLine="0" w:firstLineChars="0"/>
              <w:contextualSpacing/>
              <w:jc w:val="center"/>
              <w:rPr>
                <w:rFonts w:hint="default" w:ascii="宋体" w:hAnsi="宋体" w:eastAsia="宋体" w:cs="仿宋_GB2312"/>
                <w:color w:val="auto"/>
                <w:kern w:val="2"/>
                <w:sz w:val="24"/>
                <w:szCs w:val="24"/>
                <w:highlight w:val="none"/>
              </w:rPr>
            </w:pPr>
          </w:p>
        </w:tc>
        <w:tc>
          <w:tcPr>
            <w:tcW w:w="3038" w:type="dxa"/>
            <w:tcBorders>
              <w:left w:val="single" w:color="auto" w:sz="4" w:space="0"/>
            </w:tcBorders>
            <w:vAlign w:val="center"/>
          </w:tcPr>
          <w:p w14:paraId="22D0DEB7">
            <w:pPr>
              <w:pStyle w:val="13"/>
              <w:keepNext w:val="0"/>
              <w:keepLines w:val="0"/>
              <w:pageBreakBefore w:val="0"/>
              <w:suppressLineNumbers w:val="0"/>
              <w:kinsoku/>
              <w:topLinePunct w:val="0"/>
              <w:bidi w:val="0"/>
              <w:spacing w:before="60" w:beforeAutospacing="0" w:after="60" w:afterAutospacing="0" w:line="360" w:lineRule="auto"/>
              <w:ind w:left="0" w:right="0" w:firstLine="0" w:firstLineChars="0"/>
              <w:contextualSpacing/>
              <w:jc w:val="center"/>
              <w:rPr>
                <w:rFonts w:hint="default" w:ascii="宋体" w:hAnsi="宋体" w:eastAsia="宋体" w:cs="仿宋_GB2312"/>
                <w:color w:val="auto"/>
                <w:kern w:val="2"/>
                <w:sz w:val="24"/>
                <w:szCs w:val="24"/>
                <w:highlight w:val="none"/>
              </w:rPr>
            </w:pPr>
          </w:p>
        </w:tc>
        <w:tc>
          <w:tcPr>
            <w:tcW w:w="2734" w:type="dxa"/>
            <w:vAlign w:val="center"/>
          </w:tcPr>
          <w:p w14:paraId="1E039EB2">
            <w:pPr>
              <w:pStyle w:val="13"/>
              <w:keepNext w:val="0"/>
              <w:keepLines w:val="0"/>
              <w:pageBreakBefore w:val="0"/>
              <w:suppressLineNumbers w:val="0"/>
              <w:kinsoku/>
              <w:topLinePunct w:val="0"/>
              <w:bidi w:val="0"/>
              <w:spacing w:before="60" w:beforeAutospacing="0" w:after="60" w:afterAutospacing="0" w:line="360" w:lineRule="auto"/>
              <w:ind w:left="0" w:right="0" w:firstLine="0" w:firstLineChars="0"/>
              <w:contextualSpacing/>
              <w:jc w:val="center"/>
              <w:rPr>
                <w:rFonts w:hint="default" w:ascii="宋体" w:hAnsi="宋体" w:eastAsia="宋体" w:cs="仿宋_GB2312"/>
                <w:color w:val="auto"/>
                <w:kern w:val="2"/>
                <w:sz w:val="24"/>
                <w:szCs w:val="24"/>
                <w:highlight w:val="none"/>
              </w:rPr>
            </w:pPr>
          </w:p>
        </w:tc>
        <w:tc>
          <w:tcPr>
            <w:tcW w:w="1492" w:type="dxa"/>
            <w:vAlign w:val="center"/>
          </w:tcPr>
          <w:p w14:paraId="6EB0B0E5">
            <w:pPr>
              <w:pStyle w:val="13"/>
              <w:keepNext w:val="0"/>
              <w:keepLines w:val="0"/>
              <w:pageBreakBefore w:val="0"/>
              <w:suppressLineNumbers w:val="0"/>
              <w:kinsoku/>
              <w:topLinePunct w:val="0"/>
              <w:bidi w:val="0"/>
              <w:spacing w:before="60" w:beforeAutospacing="0" w:after="60" w:afterAutospacing="0" w:line="360" w:lineRule="auto"/>
              <w:ind w:left="0" w:right="0" w:firstLine="0" w:firstLineChars="0"/>
              <w:contextualSpacing/>
              <w:jc w:val="center"/>
              <w:rPr>
                <w:rFonts w:hint="default" w:ascii="宋体" w:hAnsi="宋体" w:eastAsia="宋体" w:cs="仿宋_GB2312"/>
                <w:color w:val="auto"/>
                <w:kern w:val="2"/>
                <w:sz w:val="24"/>
                <w:szCs w:val="24"/>
                <w:highlight w:val="none"/>
              </w:rPr>
            </w:pPr>
          </w:p>
        </w:tc>
      </w:tr>
      <w:tr w14:paraId="683662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6" w:type="dxa"/>
            <w:vAlign w:val="center"/>
          </w:tcPr>
          <w:p w14:paraId="31FEE904">
            <w:pPr>
              <w:pStyle w:val="13"/>
              <w:keepNext w:val="0"/>
              <w:keepLines w:val="0"/>
              <w:pageBreakBefore w:val="0"/>
              <w:suppressLineNumbers w:val="0"/>
              <w:kinsoku/>
              <w:topLinePunct w:val="0"/>
              <w:bidi w:val="0"/>
              <w:spacing w:before="60" w:beforeAutospacing="0" w:after="60" w:afterAutospacing="0" w:line="360" w:lineRule="auto"/>
              <w:ind w:left="0" w:right="0" w:firstLine="0" w:firstLineChars="0"/>
              <w:contextualSpacing/>
              <w:jc w:val="center"/>
              <w:rPr>
                <w:rFonts w:hint="default" w:ascii="宋体" w:hAnsi="宋体" w:eastAsia="宋体" w:cs="仿宋_GB2312"/>
                <w:color w:val="auto"/>
                <w:kern w:val="2"/>
                <w:sz w:val="24"/>
                <w:szCs w:val="24"/>
                <w:highlight w:val="none"/>
              </w:rPr>
            </w:pPr>
            <w:bookmarkStart w:id="172" w:name="_Toc173211914"/>
            <w:bookmarkStart w:id="173" w:name="_Toc254970602"/>
            <w:bookmarkStart w:id="174" w:name="_Toc295404991"/>
            <w:bookmarkStart w:id="175" w:name="_Toc373333699"/>
            <w:bookmarkStart w:id="176" w:name="_Toc383699916"/>
            <w:bookmarkStart w:id="177" w:name="_Toc173066415"/>
            <w:bookmarkStart w:id="178" w:name="_Toc254970743"/>
            <w:bookmarkStart w:id="179" w:name="_Toc301781621"/>
            <w:bookmarkStart w:id="180" w:name="_Toc297193195"/>
            <w:r>
              <w:rPr>
                <w:rFonts w:hint="eastAsia" w:ascii="宋体" w:hAnsi="宋体" w:eastAsia="宋体" w:cs="仿宋_GB2312"/>
                <w:color w:val="auto"/>
                <w:kern w:val="2"/>
                <w:sz w:val="24"/>
                <w:szCs w:val="24"/>
                <w:highlight w:val="none"/>
              </w:rPr>
              <w:t>…</w:t>
            </w:r>
            <w:bookmarkEnd w:id="172"/>
            <w:bookmarkEnd w:id="173"/>
            <w:bookmarkEnd w:id="174"/>
            <w:bookmarkEnd w:id="175"/>
            <w:bookmarkEnd w:id="176"/>
            <w:bookmarkEnd w:id="177"/>
            <w:bookmarkEnd w:id="178"/>
            <w:bookmarkEnd w:id="179"/>
            <w:bookmarkEnd w:id="180"/>
          </w:p>
        </w:tc>
        <w:tc>
          <w:tcPr>
            <w:tcW w:w="915" w:type="dxa"/>
            <w:tcBorders>
              <w:right w:val="single" w:color="auto" w:sz="4" w:space="0"/>
            </w:tcBorders>
            <w:vAlign w:val="center"/>
          </w:tcPr>
          <w:p w14:paraId="4FAE03F7">
            <w:pPr>
              <w:pStyle w:val="13"/>
              <w:keepNext w:val="0"/>
              <w:keepLines w:val="0"/>
              <w:pageBreakBefore w:val="0"/>
              <w:suppressLineNumbers w:val="0"/>
              <w:kinsoku/>
              <w:topLinePunct w:val="0"/>
              <w:bidi w:val="0"/>
              <w:spacing w:before="60" w:beforeAutospacing="0" w:after="60" w:afterAutospacing="0" w:line="360" w:lineRule="auto"/>
              <w:ind w:left="0" w:right="0" w:firstLine="0" w:firstLineChars="0"/>
              <w:contextualSpacing/>
              <w:jc w:val="center"/>
              <w:rPr>
                <w:rFonts w:hint="default" w:ascii="宋体" w:hAnsi="宋体" w:eastAsia="宋体" w:cs="仿宋_GB2312"/>
                <w:color w:val="auto"/>
                <w:kern w:val="2"/>
                <w:sz w:val="24"/>
                <w:szCs w:val="24"/>
                <w:highlight w:val="none"/>
              </w:rPr>
            </w:pPr>
          </w:p>
        </w:tc>
        <w:tc>
          <w:tcPr>
            <w:tcW w:w="3038" w:type="dxa"/>
            <w:tcBorders>
              <w:left w:val="single" w:color="auto" w:sz="4" w:space="0"/>
            </w:tcBorders>
            <w:vAlign w:val="center"/>
          </w:tcPr>
          <w:p w14:paraId="1EC96728">
            <w:pPr>
              <w:pStyle w:val="13"/>
              <w:keepNext w:val="0"/>
              <w:keepLines w:val="0"/>
              <w:pageBreakBefore w:val="0"/>
              <w:suppressLineNumbers w:val="0"/>
              <w:kinsoku/>
              <w:topLinePunct w:val="0"/>
              <w:bidi w:val="0"/>
              <w:spacing w:before="60" w:beforeAutospacing="0" w:after="60" w:afterAutospacing="0" w:line="360" w:lineRule="auto"/>
              <w:ind w:left="0" w:right="0" w:firstLine="0" w:firstLineChars="0"/>
              <w:contextualSpacing/>
              <w:jc w:val="center"/>
              <w:rPr>
                <w:rFonts w:hint="default" w:ascii="宋体" w:hAnsi="宋体" w:eastAsia="宋体" w:cs="仿宋_GB2312"/>
                <w:color w:val="auto"/>
                <w:kern w:val="2"/>
                <w:sz w:val="24"/>
                <w:szCs w:val="24"/>
                <w:highlight w:val="none"/>
              </w:rPr>
            </w:pPr>
          </w:p>
        </w:tc>
        <w:tc>
          <w:tcPr>
            <w:tcW w:w="2734" w:type="dxa"/>
            <w:vAlign w:val="center"/>
          </w:tcPr>
          <w:p w14:paraId="341DB5FC">
            <w:pPr>
              <w:pStyle w:val="13"/>
              <w:keepNext w:val="0"/>
              <w:keepLines w:val="0"/>
              <w:pageBreakBefore w:val="0"/>
              <w:suppressLineNumbers w:val="0"/>
              <w:kinsoku/>
              <w:topLinePunct w:val="0"/>
              <w:bidi w:val="0"/>
              <w:spacing w:before="60" w:beforeAutospacing="0" w:after="60" w:afterAutospacing="0" w:line="360" w:lineRule="auto"/>
              <w:ind w:left="0" w:right="0" w:firstLine="0" w:firstLineChars="0"/>
              <w:contextualSpacing/>
              <w:jc w:val="center"/>
              <w:rPr>
                <w:rFonts w:hint="default" w:ascii="宋体" w:hAnsi="宋体" w:eastAsia="宋体" w:cs="仿宋_GB2312"/>
                <w:color w:val="auto"/>
                <w:kern w:val="2"/>
                <w:sz w:val="24"/>
                <w:szCs w:val="24"/>
                <w:highlight w:val="none"/>
              </w:rPr>
            </w:pPr>
          </w:p>
        </w:tc>
        <w:tc>
          <w:tcPr>
            <w:tcW w:w="1492" w:type="dxa"/>
            <w:tcBorders>
              <w:right w:val="single" w:color="auto" w:sz="4" w:space="0"/>
            </w:tcBorders>
            <w:vAlign w:val="center"/>
          </w:tcPr>
          <w:p w14:paraId="4902B469">
            <w:pPr>
              <w:pStyle w:val="13"/>
              <w:keepNext w:val="0"/>
              <w:keepLines w:val="0"/>
              <w:pageBreakBefore w:val="0"/>
              <w:suppressLineNumbers w:val="0"/>
              <w:kinsoku/>
              <w:topLinePunct w:val="0"/>
              <w:bidi w:val="0"/>
              <w:spacing w:before="60" w:beforeAutospacing="0" w:after="60" w:afterAutospacing="0" w:line="360" w:lineRule="auto"/>
              <w:ind w:left="0" w:right="0" w:firstLine="0" w:firstLineChars="0"/>
              <w:contextualSpacing/>
              <w:jc w:val="center"/>
              <w:rPr>
                <w:rFonts w:hint="default" w:ascii="宋体" w:hAnsi="宋体" w:eastAsia="宋体" w:cs="仿宋_GB2312"/>
                <w:color w:val="auto"/>
                <w:kern w:val="2"/>
                <w:sz w:val="24"/>
                <w:szCs w:val="24"/>
                <w:highlight w:val="none"/>
              </w:rPr>
            </w:pPr>
          </w:p>
        </w:tc>
      </w:tr>
    </w:tbl>
    <w:p w14:paraId="3852A186">
      <w:pPr>
        <w:pageBreakBefore w:val="0"/>
        <w:kinsoku/>
        <w:topLinePunct w:val="0"/>
        <w:bidi w:val="0"/>
        <w:adjustRightInd w:val="0"/>
        <w:spacing w:before="60" w:after="60" w:line="360" w:lineRule="auto"/>
        <w:contextualSpacing/>
        <w:rPr>
          <w:rFonts w:ascii="宋体" w:hAnsi="宋体" w:cs="仿宋_GB2312"/>
          <w:color w:val="auto"/>
          <w:sz w:val="24"/>
          <w:highlight w:val="none"/>
        </w:rPr>
      </w:pPr>
    </w:p>
    <w:p w14:paraId="6BC07ECA">
      <w:pPr>
        <w:pStyle w:val="13"/>
        <w:pageBreakBefore w:val="0"/>
        <w:kinsoku/>
        <w:topLinePunct w:val="0"/>
        <w:bidi w:val="0"/>
        <w:spacing w:before="60" w:after="60"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4E5D5857">
      <w:pPr>
        <w:pStyle w:val="13"/>
        <w:pageBreakBefore w:val="0"/>
        <w:kinsoku/>
        <w:topLinePunct w:val="0"/>
        <w:bidi w:val="0"/>
        <w:spacing w:before="60" w:after="60"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w:t>
      </w:r>
      <w:r>
        <w:rPr>
          <w:rFonts w:hint="eastAsia" w:ascii="宋体" w:hAnsi="宋体" w:eastAsia="宋体" w:cs="仿宋_GB2312"/>
          <w:color w:val="auto"/>
          <w:sz w:val="24"/>
          <w:szCs w:val="24"/>
          <w:highlight w:val="none"/>
          <w:lang w:eastAsia="zh-CN"/>
        </w:rPr>
        <w:t>.</w:t>
      </w:r>
      <w:r>
        <w:rPr>
          <w:rFonts w:hint="eastAsia" w:ascii="宋体" w:hAnsi="宋体" w:eastAsia="宋体" w:cs="仿宋_GB2312"/>
          <w:color w:val="auto"/>
          <w:sz w:val="24"/>
          <w:szCs w:val="24"/>
          <w:highlight w:val="none"/>
        </w:rPr>
        <w:t xml:space="preserve"> 说明：应对照磋商文件“第三章 采购需求”中的技术要求（包括附件）逐条作出明确响应，并作出偏离说明。</w:t>
      </w:r>
    </w:p>
    <w:p w14:paraId="3BA3E7F1">
      <w:pPr>
        <w:pStyle w:val="13"/>
        <w:pageBreakBefore w:val="0"/>
        <w:kinsoku/>
        <w:topLinePunct w:val="0"/>
        <w:bidi w:val="0"/>
        <w:spacing w:before="60" w:after="60"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w:t>
      </w:r>
      <w:r>
        <w:rPr>
          <w:rFonts w:hint="eastAsia" w:ascii="宋体" w:hAnsi="宋体" w:eastAsia="宋体" w:cs="仿宋_GB2312"/>
          <w:color w:val="auto"/>
          <w:sz w:val="24"/>
          <w:szCs w:val="24"/>
          <w:highlight w:val="none"/>
          <w:lang w:eastAsia="zh-CN"/>
        </w:rPr>
        <w:t>.</w:t>
      </w:r>
      <w:r>
        <w:rPr>
          <w:rFonts w:hint="eastAsia" w:ascii="宋体" w:hAnsi="宋体" w:eastAsia="宋体" w:cs="仿宋_GB2312"/>
          <w:color w:val="auto"/>
          <w:sz w:val="24"/>
          <w:szCs w:val="24"/>
          <w:highlight w:val="none"/>
        </w:rPr>
        <w:t>供应商应根据自身的承诺，对照磋商文件要求，在“偏离说明”中注明“正偏离”、“负偏离”或者“无偏离”。既不属于“正偏离”也不属于“负偏离”即为“无偏离”。</w:t>
      </w:r>
    </w:p>
    <w:p w14:paraId="706C9158">
      <w:pPr>
        <w:pageBreakBefore w:val="0"/>
        <w:kinsoku/>
        <w:topLinePunct w:val="0"/>
        <w:bidi w:val="0"/>
        <w:spacing w:before="60" w:after="60" w:line="360" w:lineRule="auto"/>
        <w:ind w:right="-817" w:rightChars="-389"/>
        <w:contextualSpacing/>
        <w:rPr>
          <w:rFonts w:ascii="宋体" w:hAnsi="宋体" w:cs="仿宋_GB2312"/>
          <w:color w:val="auto"/>
          <w:sz w:val="24"/>
          <w:highlight w:val="none"/>
        </w:rPr>
      </w:pPr>
    </w:p>
    <w:p w14:paraId="751EF7B5">
      <w:pPr>
        <w:pageBreakBefore w:val="0"/>
        <w:kinsoku/>
        <w:topLinePunct w:val="0"/>
        <w:bidi w:val="0"/>
        <w:spacing w:before="60" w:after="60" w:line="360" w:lineRule="auto"/>
        <w:ind w:right="-817" w:rightChars="-389"/>
        <w:contextualSpacing/>
        <w:jc w:val="center"/>
        <w:rPr>
          <w:rFonts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0967F77E">
      <w:pPr>
        <w:pageBreakBefore w:val="0"/>
        <w:kinsoku/>
        <w:topLinePunct w:val="0"/>
        <w:bidi w:val="0"/>
        <w:spacing w:before="60" w:after="60"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0972DBBD">
      <w:pPr>
        <w:pageBreakBefore w:val="0"/>
        <w:kinsoku/>
        <w:topLinePunct w:val="0"/>
        <w:bidi w:val="0"/>
        <w:spacing w:before="60" w:after="60" w:line="360" w:lineRule="auto"/>
        <w:ind w:right="-817" w:rightChars="-389" w:firstLine="4320" w:firstLineChars="18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52364DF3">
      <w:pPr>
        <w:pageBreakBefore w:val="0"/>
        <w:kinsoku/>
        <w:topLinePunct w:val="0"/>
        <w:bidi w:val="0"/>
        <w:snapToGrid w:val="0"/>
        <w:spacing w:before="60" w:after="60" w:line="360" w:lineRule="auto"/>
        <w:ind w:left="142"/>
        <w:jc w:val="left"/>
        <w:rPr>
          <w:rFonts w:ascii="宋体" w:hAnsi="宋体"/>
          <w:b/>
          <w:color w:val="auto"/>
          <w:sz w:val="24"/>
          <w:highlight w:val="none"/>
        </w:rPr>
      </w:pPr>
      <w:r>
        <w:rPr>
          <w:rFonts w:ascii="宋体" w:hAnsi="宋体" w:cs="仿宋_GB2312"/>
          <w:color w:val="auto"/>
          <w:sz w:val="24"/>
          <w:highlight w:val="none"/>
        </w:rPr>
        <w:br w:type="page"/>
      </w:r>
      <w:r>
        <w:rPr>
          <w:rFonts w:hint="eastAsia" w:ascii="宋体" w:hAnsi="宋体"/>
          <w:b/>
          <w:color w:val="auto"/>
          <w:sz w:val="24"/>
          <w:highlight w:val="none"/>
        </w:rPr>
        <w:t>项目实施人员一览表格式</w:t>
      </w:r>
    </w:p>
    <w:p w14:paraId="280BF1D2">
      <w:pPr>
        <w:pageBreakBefore w:val="0"/>
        <w:kinsoku/>
        <w:topLinePunct w:val="0"/>
        <w:bidi w:val="0"/>
        <w:snapToGrid w:val="0"/>
        <w:spacing w:before="60" w:after="60" w:line="360" w:lineRule="auto"/>
        <w:ind w:left="142"/>
        <w:jc w:val="left"/>
        <w:rPr>
          <w:rFonts w:ascii="宋体" w:hAnsi="宋体"/>
          <w:b/>
          <w:color w:val="auto"/>
          <w:sz w:val="24"/>
          <w:highlight w:val="none"/>
        </w:rPr>
      </w:pPr>
    </w:p>
    <w:p w14:paraId="774D4564">
      <w:pPr>
        <w:pageBreakBefore w:val="0"/>
        <w:kinsoku/>
        <w:topLinePunct w:val="0"/>
        <w:bidi w:val="0"/>
        <w:spacing w:before="60" w:after="60" w:line="360" w:lineRule="auto"/>
        <w:ind w:left="142"/>
        <w:contextualSpacing/>
        <w:jc w:val="center"/>
        <w:rPr>
          <w:rFonts w:ascii="宋体" w:hAnsi="宋体"/>
          <w:b/>
          <w:color w:val="auto"/>
          <w:sz w:val="36"/>
          <w:szCs w:val="36"/>
          <w:highlight w:val="none"/>
        </w:rPr>
      </w:pPr>
      <w:r>
        <w:rPr>
          <w:rFonts w:hint="eastAsia" w:ascii="宋体" w:hAnsi="宋体"/>
          <w:b/>
          <w:color w:val="auto"/>
          <w:sz w:val="36"/>
          <w:szCs w:val="36"/>
          <w:highlight w:val="none"/>
        </w:rPr>
        <w:t>项目实施人员一览表</w:t>
      </w:r>
    </w:p>
    <w:p w14:paraId="1C119634">
      <w:pPr>
        <w:pStyle w:val="15"/>
        <w:pageBreakBefore w:val="0"/>
        <w:kinsoku/>
        <w:topLinePunct w:val="0"/>
        <w:bidi w:val="0"/>
        <w:spacing w:before="60" w:after="60" w:line="360" w:lineRule="auto"/>
        <w:contextualSpacing/>
        <w:rPr>
          <w:color w:val="auto"/>
          <w:sz w:val="24"/>
          <w:szCs w:val="24"/>
          <w:highlight w:val="none"/>
        </w:rPr>
      </w:pPr>
      <w:r>
        <w:rPr>
          <w:rFonts w:hint="eastAsia"/>
          <w:color w:val="auto"/>
          <w:sz w:val="24"/>
          <w:szCs w:val="24"/>
          <w:highlight w:val="none"/>
        </w:rPr>
        <w:t>所竞分标：</w:t>
      </w:r>
    </w:p>
    <w:tbl>
      <w:tblPr>
        <w:tblStyle w:val="30"/>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gridCol w:w="1843"/>
      </w:tblGrid>
      <w:tr w14:paraId="3C439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61BF438">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olor w:val="auto"/>
                <w:sz w:val="24"/>
                <w:szCs w:val="20"/>
                <w:highlight w:val="none"/>
              </w:rPr>
            </w:pPr>
            <w:r>
              <w:rPr>
                <w:rFonts w:hint="eastAsia" w:ascii="宋体" w:hAnsi="宋体"/>
                <w:color w:val="auto"/>
                <w:sz w:val="24"/>
                <w:szCs w:val="20"/>
                <w:highlight w:val="none"/>
              </w:rPr>
              <w:t>姓名</w:t>
            </w:r>
          </w:p>
        </w:tc>
        <w:tc>
          <w:tcPr>
            <w:tcW w:w="709" w:type="dxa"/>
            <w:vAlign w:val="center"/>
          </w:tcPr>
          <w:p w14:paraId="0A48562B">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olor w:val="auto"/>
                <w:sz w:val="24"/>
                <w:szCs w:val="20"/>
                <w:highlight w:val="none"/>
              </w:rPr>
            </w:pPr>
            <w:r>
              <w:rPr>
                <w:rFonts w:hint="eastAsia" w:ascii="宋体" w:hAnsi="宋体"/>
                <w:color w:val="auto"/>
                <w:sz w:val="24"/>
                <w:szCs w:val="20"/>
                <w:highlight w:val="none"/>
              </w:rPr>
              <w:t>职务</w:t>
            </w:r>
          </w:p>
        </w:tc>
        <w:tc>
          <w:tcPr>
            <w:tcW w:w="1701" w:type="dxa"/>
            <w:vAlign w:val="center"/>
          </w:tcPr>
          <w:p w14:paraId="436EBA24">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420" w:type="dxa"/>
            <w:vAlign w:val="center"/>
          </w:tcPr>
          <w:p w14:paraId="6F9A9810">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olor w:val="auto"/>
                <w:sz w:val="24"/>
                <w:szCs w:val="20"/>
                <w:highlight w:val="none"/>
              </w:rPr>
            </w:pPr>
            <w:r>
              <w:rPr>
                <w:rFonts w:hint="eastAsia" w:ascii="宋体" w:hAnsi="宋体"/>
                <w:color w:val="auto"/>
                <w:sz w:val="24"/>
                <w:szCs w:val="20"/>
                <w:highlight w:val="none"/>
              </w:rPr>
              <w:t>证书编号</w:t>
            </w:r>
          </w:p>
        </w:tc>
        <w:tc>
          <w:tcPr>
            <w:tcW w:w="1698" w:type="dxa"/>
            <w:vAlign w:val="center"/>
          </w:tcPr>
          <w:p w14:paraId="13744272">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olor w:val="auto"/>
                <w:sz w:val="24"/>
                <w:szCs w:val="20"/>
                <w:highlight w:val="none"/>
              </w:rPr>
            </w:pPr>
            <w:r>
              <w:rPr>
                <w:rFonts w:hint="eastAsia" w:ascii="宋体" w:hAnsi="宋体"/>
                <w:color w:val="auto"/>
                <w:sz w:val="24"/>
                <w:szCs w:val="20"/>
                <w:highlight w:val="none"/>
              </w:rPr>
              <w:t>参加本单位</w:t>
            </w:r>
          </w:p>
          <w:p w14:paraId="292B5833">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olor w:val="auto"/>
                <w:sz w:val="24"/>
                <w:szCs w:val="20"/>
                <w:highlight w:val="none"/>
              </w:rPr>
            </w:pPr>
            <w:r>
              <w:rPr>
                <w:rFonts w:hint="eastAsia" w:ascii="宋体" w:hAnsi="宋体"/>
                <w:color w:val="auto"/>
                <w:sz w:val="24"/>
                <w:szCs w:val="20"/>
                <w:highlight w:val="none"/>
              </w:rPr>
              <w:t>工作时间</w:t>
            </w:r>
          </w:p>
        </w:tc>
        <w:tc>
          <w:tcPr>
            <w:tcW w:w="1843" w:type="dxa"/>
            <w:vAlign w:val="center"/>
          </w:tcPr>
          <w:p w14:paraId="4DA8FE00">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olor w:val="auto"/>
                <w:sz w:val="24"/>
                <w:szCs w:val="20"/>
                <w:highlight w:val="none"/>
              </w:rPr>
            </w:pPr>
            <w:r>
              <w:rPr>
                <w:rFonts w:hint="eastAsia" w:ascii="宋体" w:hAnsi="宋体"/>
                <w:color w:val="auto"/>
                <w:sz w:val="24"/>
                <w:szCs w:val="20"/>
                <w:highlight w:val="none"/>
              </w:rPr>
              <w:t>劳动合同编号</w:t>
            </w:r>
          </w:p>
        </w:tc>
        <w:tc>
          <w:tcPr>
            <w:tcW w:w="1843" w:type="dxa"/>
            <w:vAlign w:val="center"/>
          </w:tcPr>
          <w:p w14:paraId="4C22817D">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olor w:val="auto"/>
                <w:sz w:val="24"/>
                <w:szCs w:val="20"/>
                <w:highlight w:val="none"/>
              </w:rPr>
            </w:pPr>
            <w:r>
              <w:rPr>
                <w:rFonts w:hint="eastAsia" w:ascii="宋体" w:hAnsi="宋体"/>
                <w:color w:val="auto"/>
                <w:sz w:val="24"/>
                <w:szCs w:val="20"/>
                <w:highlight w:val="none"/>
              </w:rPr>
              <w:t>联系方式</w:t>
            </w:r>
          </w:p>
        </w:tc>
      </w:tr>
      <w:tr w14:paraId="0EE1D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E5AEEF9">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olor w:val="auto"/>
                <w:sz w:val="24"/>
                <w:szCs w:val="20"/>
                <w:highlight w:val="none"/>
              </w:rPr>
            </w:pPr>
          </w:p>
        </w:tc>
        <w:tc>
          <w:tcPr>
            <w:tcW w:w="709" w:type="dxa"/>
            <w:vAlign w:val="center"/>
          </w:tcPr>
          <w:p w14:paraId="54D863B6">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olor w:val="auto"/>
                <w:sz w:val="24"/>
                <w:szCs w:val="20"/>
                <w:highlight w:val="none"/>
              </w:rPr>
            </w:pPr>
          </w:p>
        </w:tc>
        <w:tc>
          <w:tcPr>
            <w:tcW w:w="1701" w:type="dxa"/>
            <w:vAlign w:val="center"/>
          </w:tcPr>
          <w:p w14:paraId="1FE858ED">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olor w:val="auto"/>
                <w:sz w:val="24"/>
                <w:szCs w:val="20"/>
                <w:highlight w:val="none"/>
              </w:rPr>
            </w:pPr>
          </w:p>
        </w:tc>
        <w:tc>
          <w:tcPr>
            <w:tcW w:w="1420" w:type="dxa"/>
            <w:vAlign w:val="center"/>
          </w:tcPr>
          <w:p w14:paraId="3B29E7FB">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olor w:val="auto"/>
                <w:sz w:val="24"/>
                <w:szCs w:val="20"/>
                <w:highlight w:val="none"/>
              </w:rPr>
            </w:pPr>
          </w:p>
        </w:tc>
        <w:tc>
          <w:tcPr>
            <w:tcW w:w="1698" w:type="dxa"/>
            <w:vAlign w:val="center"/>
          </w:tcPr>
          <w:p w14:paraId="20FA1C41">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olor w:val="auto"/>
                <w:sz w:val="24"/>
                <w:szCs w:val="20"/>
                <w:highlight w:val="none"/>
              </w:rPr>
            </w:pPr>
          </w:p>
        </w:tc>
        <w:tc>
          <w:tcPr>
            <w:tcW w:w="1843" w:type="dxa"/>
            <w:vAlign w:val="center"/>
          </w:tcPr>
          <w:p w14:paraId="430B542D">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olor w:val="auto"/>
                <w:sz w:val="24"/>
                <w:szCs w:val="20"/>
                <w:highlight w:val="none"/>
              </w:rPr>
            </w:pPr>
          </w:p>
        </w:tc>
        <w:tc>
          <w:tcPr>
            <w:tcW w:w="1843" w:type="dxa"/>
            <w:vAlign w:val="center"/>
          </w:tcPr>
          <w:p w14:paraId="461143D0">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olor w:val="auto"/>
                <w:sz w:val="24"/>
                <w:szCs w:val="20"/>
                <w:highlight w:val="none"/>
              </w:rPr>
            </w:pPr>
          </w:p>
        </w:tc>
      </w:tr>
      <w:tr w14:paraId="71E2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DB58C6B">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olor w:val="auto"/>
                <w:sz w:val="24"/>
                <w:szCs w:val="20"/>
                <w:highlight w:val="none"/>
              </w:rPr>
            </w:pPr>
          </w:p>
        </w:tc>
        <w:tc>
          <w:tcPr>
            <w:tcW w:w="709" w:type="dxa"/>
            <w:vAlign w:val="center"/>
          </w:tcPr>
          <w:p w14:paraId="556F7250">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olor w:val="auto"/>
                <w:sz w:val="24"/>
                <w:szCs w:val="20"/>
                <w:highlight w:val="none"/>
              </w:rPr>
            </w:pPr>
          </w:p>
        </w:tc>
        <w:tc>
          <w:tcPr>
            <w:tcW w:w="1701" w:type="dxa"/>
            <w:vAlign w:val="center"/>
          </w:tcPr>
          <w:p w14:paraId="34C1CA8C">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olor w:val="auto"/>
                <w:sz w:val="24"/>
                <w:szCs w:val="20"/>
                <w:highlight w:val="none"/>
              </w:rPr>
            </w:pPr>
          </w:p>
        </w:tc>
        <w:tc>
          <w:tcPr>
            <w:tcW w:w="1420" w:type="dxa"/>
            <w:vAlign w:val="center"/>
          </w:tcPr>
          <w:p w14:paraId="67082637">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olor w:val="auto"/>
                <w:sz w:val="24"/>
                <w:szCs w:val="20"/>
                <w:highlight w:val="none"/>
              </w:rPr>
            </w:pPr>
          </w:p>
        </w:tc>
        <w:tc>
          <w:tcPr>
            <w:tcW w:w="1698" w:type="dxa"/>
            <w:vAlign w:val="center"/>
          </w:tcPr>
          <w:p w14:paraId="3EB7C486">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olor w:val="auto"/>
                <w:sz w:val="24"/>
                <w:szCs w:val="20"/>
                <w:highlight w:val="none"/>
              </w:rPr>
            </w:pPr>
          </w:p>
        </w:tc>
        <w:tc>
          <w:tcPr>
            <w:tcW w:w="1843" w:type="dxa"/>
            <w:vAlign w:val="center"/>
          </w:tcPr>
          <w:p w14:paraId="2310C099">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olor w:val="auto"/>
                <w:sz w:val="24"/>
                <w:szCs w:val="20"/>
                <w:highlight w:val="none"/>
              </w:rPr>
            </w:pPr>
          </w:p>
        </w:tc>
        <w:tc>
          <w:tcPr>
            <w:tcW w:w="1843" w:type="dxa"/>
            <w:vAlign w:val="center"/>
          </w:tcPr>
          <w:p w14:paraId="3B24E9E2">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olor w:val="auto"/>
                <w:sz w:val="24"/>
                <w:szCs w:val="20"/>
                <w:highlight w:val="none"/>
              </w:rPr>
            </w:pPr>
          </w:p>
        </w:tc>
      </w:tr>
      <w:tr w14:paraId="23B00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E667C89">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olor w:val="auto"/>
                <w:sz w:val="24"/>
                <w:szCs w:val="20"/>
                <w:highlight w:val="none"/>
              </w:rPr>
            </w:pPr>
          </w:p>
        </w:tc>
        <w:tc>
          <w:tcPr>
            <w:tcW w:w="709" w:type="dxa"/>
            <w:vAlign w:val="center"/>
          </w:tcPr>
          <w:p w14:paraId="191D592B">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olor w:val="auto"/>
                <w:sz w:val="24"/>
                <w:szCs w:val="20"/>
                <w:highlight w:val="none"/>
              </w:rPr>
            </w:pPr>
          </w:p>
        </w:tc>
        <w:tc>
          <w:tcPr>
            <w:tcW w:w="1701" w:type="dxa"/>
            <w:vAlign w:val="center"/>
          </w:tcPr>
          <w:p w14:paraId="7E4F6A19">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olor w:val="auto"/>
                <w:sz w:val="24"/>
                <w:szCs w:val="20"/>
                <w:highlight w:val="none"/>
              </w:rPr>
            </w:pPr>
          </w:p>
        </w:tc>
        <w:tc>
          <w:tcPr>
            <w:tcW w:w="1420" w:type="dxa"/>
            <w:vAlign w:val="center"/>
          </w:tcPr>
          <w:p w14:paraId="77E6DBBC">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olor w:val="auto"/>
                <w:sz w:val="24"/>
                <w:szCs w:val="20"/>
                <w:highlight w:val="none"/>
              </w:rPr>
            </w:pPr>
          </w:p>
        </w:tc>
        <w:tc>
          <w:tcPr>
            <w:tcW w:w="1698" w:type="dxa"/>
            <w:vAlign w:val="center"/>
          </w:tcPr>
          <w:p w14:paraId="1AF60A3B">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olor w:val="auto"/>
                <w:sz w:val="24"/>
                <w:szCs w:val="20"/>
                <w:highlight w:val="none"/>
              </w:rPr>
            </w:pPr>
          </w:p>
        </w:tc>
        <w:tc>
          <w:tcPr>
            <w:tcW w:w="1843" w:type="dxa"/>
            <w:vAlign w:val="center"/>
          </w:tcPr>
          <w:p w14:paraId="48750008">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olor w:val="auto"/>
                <w:sz w:val="24"/>
                <w:szCs w:val="20"/>
                <w:highlight w:val="none"/>
              </w:rPr>
            </w:pPr>
          </w:p>
        </w:tc>
        <w:tc>
          <w:tcPr>
            <w:tcW w:w="1843" w:type="dxa"/>
            <w:vAlign w:val="center"/>
          </w:tcPr>
          <w:p w14:paraId="35846754">
            <w:pPr>
              <w:keepNext w:val="0"/>
              <w:keepLines w:val="0"/>
              <w:pageBreakBefore w:val="0"/>
              <w:suppressLineNumbers w:val="0"/>
              <w:kinsoku/>
              <w:topLinePunct w:val="0"/>
              <w:bidi w:val="0"/>
              <w:spacing w:before="60" w:beforeAutospacing="0" w:after="60" w:afterAutospacing="0" w:line="360" w:lineRule="auto"/>
              <w:ind w:left="0" w:right="0"/>
              <w:contextualSpacing/>
              <w:jc w:val="center"/>
              <w:rPr>
                <w:rFonts w:hint="default" w:ascii="宋体" w:hAnsi="宋体"/>
                <w:color w:val="auto"/>
                <w:sz w:val="24"/>
                <w:szCs w:val="20"/>
                <w:highlight w:val="none"/>
              </w:rPr>
            </w:pPr>
          </w:p>
        </w:tc>
      </w:tr>
    </w:tbl>
    <w:p w14:paraId="0E5E765F">
      <w:pPr>
        <w:pageBreakBefore w:val="0"/>
        <w:kinsoku/>
        <w:topLinePunct w:val="0"/>
        <w:bidi w:val="0"/>
        <w:spacing w:before="60" w:after="60"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注：</w:t>
      </w:r>
    </w:p>
    <w:p w14:paraId="64911C51">
      <w:pPr>
        <w:pageBreakBefore w:val="0"/>
        <w:kinsoku/>
        <w:topLinePunct w:val="0"/>
        <w:bidi w:val="0"/>
        <w:spacing w:before="60" w:after="60"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1</w:t>
      </w:r>
      <w:r>
        <w:rPr>
          <w:rFonts w:hint="eastAsia" w:ascii="宋体" w:hAnsi="宋体"/>
          <w:color w:val="auto"/>
          <w:sz w:val="24"/>
          <w:szCs w:val="20"/>
          <w:highlight w:val="none"/>
          <w:lang w:eastAsia="zh-CN"/>
        </w:rPr>
        <w:t>.</w:t>
      </w:r>
      <w:r>
        <w:rPr>
          <w:rFonts w:hint="eastAsia" w:ascii="宋体" w:hAnsi="宋体"/>
          <w:color w:val="auto"/>
          <w:sz w:val="24"/>
          <w:szCs w:val="20"/>
          <w:highlight w:val="none"/>
        </w:rPr>
        <w:t>在填写时，如本表格不适合供应商的实际情况，可根据本表格式自行制表填写。</w:t>
      </w:r>
    </w:p>
    <w:p w14:paraId="51AE28ED">
      <w:pPr>
        <w:pageBreakBefore w:val="0"/>
        <w:kinsoku/>
        <w:topLinePunct w:val="0"/>
        <w:bidi w:val="0"/>
        <w:spacing w:before="60" w:after="60" w:line="360" w:lineRule="auto"/>
        <w:contextualSpacing/>
        <w:jc w:val="left"/>
        <w:rPr>
          <w:rFonts w:ascii="宋体" w:hAnsi="宋体"/>
          <w:color w:val="auto"/>
          <w:sz w:val="24"/>
          <w:szCs w:val="20"/>
          <w:highlight w:val="none"/>
        </w:rPr>
      </w:pPr>
      <w:r>
        <w:rPr>
          <w:rFonts w:ascii="宋体" w:hAnsi="宋体"/>
          <w:color w:val="auto"/>
          <w:sz w:val="24"/>
          <w:szCs w:val="20"/>
          <w:highlight w:val="none"/>
        </w:rPr>
        <w:t>2</w:t>
      </w:r>
      <w:r>
        <w:rPr>
          <w:rFonts w:hint="eastAsia" w:ascii="宋体" w:hAnsi="宋体"/>
          <w:color w:val="auto"/>
          <w:sz w:val="24"/>
          <w:szCs w:val="20"/>
          <w:highlight w:val="none"/>
          <w:lang w:eastAsia="zh-CN"/>
        </w:rPr>
        <w:t>.</w:t>
      </w:r>
      <w:r>
        <w:rPr>
          <w:rFonts w:hint="eastAsia" w:ascii="宋体" w:hAnsi="宋体"/>
          <w:color w:val="auto"/>
          <w:sz w:val="24"/>
          <w:szCs w:val="20"/>
          <w:highlight w:val="none"/>
        </w:rPr>
        <w:t>供应商应当附本表所列证书的复印件并加盖供应商电子签章。</w:t>
      </w:r>
    </w:p>
    <w:p w14:paraId="511EED25">
      <w:pPr>
        <w:pageBreakBefore w:val="0"/>
        <w:kinsoku/>
        <w:topLinePunct w:val="0"/>
        <w:bidi w:val="0"/>
        <w:spacing w:before="60" w:after="60" w:line="360" w:lineRule="auto"/>
        <w:contextualSpacing/>
        <w:rPr>
          <w:rFonts w:ascii="宋体" w:hAnsi="宋体"/>
          <w:color w:val="auto"/>
          <w:sz w:val="24"/>
          <w:highlight w:val="none"/>
        </w:rPr>
      </w:pPr>
    </w:p>
    <w:p w14:paraId="00AEBB22">
      <w:pPr>
        <w:pageBreakBefore w:val="0"/>
        <w:kinsoku/>
        <w:topLinePunct w:val="0"/>
        <w:bidi w:val="0"/>
        <w:spacing w:before="60" w:after="60" w:line="360" w:lineRule="auto"/>
        <w:contextualSpacing/>
        <w:rPr>
          <w:rFonts w:ascii="宋体" w:hAnsi="宋体"/>
          <w:color w:val="auto"/>
          <w:sz w:val="24"/>
          <w:highlight w:val="none"/>
        </w:rPr>
      </w:pPr>
    </w:p>
    <w:p w14:paraId="69F443D2">
      <w:pPr>
        <w:pageBreakBefore w:val="0"/>
        <w:kinsoku/>
        <w:topLinePunct w:val="0"/>
        <w:bidi w:val="0"/>
        <w:spacing w:before="60" w:after="60" w:line="360" w:lineRule="auto"/>
        <w:ind w:firstLine="3360" w:firstLineChars="1400"/>
        <w:contextualSpacing/>
        <w:rPr>
          <w:rFonts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p>
    <w:p w14:paraId="29E519B4">
      <w:pPr>
        <w:pageBreakBefore w:val="0"/>
        <w:kinsoku/>
        <w:topLinePunct w:val="0"/>
        <w:bidi w:val="0"/>
        <w:spacing w:before="60" w:after="60" w:line="360" w:lineRule="auto"/>
        <w:ind w:firstLine="4200" w:firstLineChars="1500"/>
        <w:contextualSpacing/>
        <w:jc w:val="left"/>
        <w:rPr>
          <w:rFonts w:ascii="宋体" w:hAnsi="宋体"/>
          <w:color w:val="auto"/>
          <w:spacing w:val="20"/>
          <w:sz w:val="24"/>
          <w:highlight w:val="none"/>
        </w:rPr>
      </w:pPr>
      <w:r>
        <w:rPr>
          <w:rFonts w:hint="eastAsia" w:ascii="宋体" w:hAnsi="宋体"/>
          <w:color w:val="auto"/>
          <w:spacing w:val="20"/>
          <w:sz w:val="24"/>
          <w:highlight w:val="none"/>
        </w:rPr>
        <w:t xml:space="preserve">供应商（电子签章）：              </w:t>
      </w:r>
    </w:p>
    <w:p w14:paraId="083F0590">
      <w:pPr>
        <w:pageBreakBefore w:val="0"/>
        <w:kinsoku/>
        <w:topLinePunct w:val="0"/>
        <w:bidi w:val="0"/>
        <w:spacing w:before="60" w:after="60" w:line="360" w:lineRule="auto"/>
        <w:ind w:firstLine="6160" w:firstLineChars="2200"/>
        <w:contextualSpacing/>
        <w:jc w:val="left"/>
        <w:rPr>
          <w:rFonts w:ascii="宋体" w:hAnsi="宋体"/>
          <w:color w:val="auto"/>
          <w:sz w:val="24"/>
          <w:szCs w:val="20"/>
          <w:highlight w:val="none"/>
        </w:rPr>
      </w:pPr>
      <w:r>
        <w:rPr>
          <w:rFonts w:hint="eastAsia" w:ascii="宋体" w:hAnsi="宋体"/>
          <w:color w:val="auto"/>
          <w:spacing w:val="20"/>
          <w:sz w:val="24"/>
          <w:highlight w:val="none"/>
        </w:rPr>
        <w:t>日 期：</w:t>
      </w:r>
    </w:p>
    <w:p w14:paraId="704FC321">
      <w:pPr>
        <w:pageBreakBefore w:val="0"/>
        <w:kinsoku/>
        <w:topLinePunct w:val="0"/>
        <w:bidi w:val="0"/>
        <w:snapToGrid w:val="0"/>
        <w:spacing w:before="60" w:after="60" w:line="360" w:lineRule="auto"/>
        <w:jc w:val="left"/>
        <w:rPr>
          <w:rFonts w:ascii="宋体" w:hAnsi="宋体"/>
          <w:color w:val="auto"/>
          <w:sz w:val="24"/>
          <w:szCs w:val="20"/>
          <w:highlight w:val="none"/>
        </w:rPr>
      </w:pPr>
    </w:p>
    <w:p w14:paraId="130DD0AB">
      <w:pPr>
        <w:pageBreakBefore w:val="0"/>
        <w:kinsoku/>
        <w:topLinePunct w:val="0"/>
        <w:bidi w:val="0"/>
        <w:snapToGrid w:val="0"/>
        <w:spacing w:before="60" w:after="60" w:line="360" w:lineRule="auto"/>
        <w:ind w:right="-817" w:rightChars="-389" w:firstLine="5461" w:firstLineChars="1700"/>
        <w:rPr>
          <w:rFonts w:ascii="仿宋_GB2312" w:hAnsi="仿宋_GB2312" w:eastAsia="仿宋_GB2312" w:cs="仿宋_GB2312"/>
          <w:b/>
          <w:color w:val="auto"/>
          <w:sz w:val="32"/>
          <w:szCs w:val="32"/>
          <w:highlight w:val="none"/>
        </w:rPr>
      </w:pPr>
    </w:p>
    <w:p w14:paraId="686B3DA1">
      <w:pPr>
        <w:pageBreakBefore w:val="0"/>
        <w:kinsoku/>
        <w:topLinePunct w:val="0"/>
        <w:bidi w:val="0"/>
        <w:spacing w:before="60" w:after="60" w:line="360" w:lineRule="auto"/>
        <w:rPr>
          <w:rFonts w:ascii="宋体" w:hAnsi="宋体"/>
          <w:color w:val="auto"/>
          <w:szCs w:val="21"/>
          <w:highlight w:val="none"/>
        </w:rPr>
      </w:pPr>
      <w:r>
        <w:rPr>
          <w:rFonts w:ascii="宋体" w:hAnsi="宋体"/>
          <w:b/>
          <w:bCs/>
          <w:color w:val="auto"/>
          <w:sz w:val="24"/>
          <w:highlight w:val="none"/>
        </w:rPr>
        <w:br w:type="page"/>
      </w:r>
      <w:r>
        <w:rPr>
          <w:rFonts w:hint="eastAsia" w:ascii="宋体" w:hAnsi="宋体"/>
          <w:b/>
          <w:bCs/>
          <w:color w:val="auto"/>
          <w:sz w:val="24"/>
          <w:highlight w:val="none"/>
        </w:rPr>
        <w:t>其他文书、文件格式</w:t>
      </w:r>
    </w:p>
    <w:p w14:paraId="5DB6A6DB">
      <w:pPr>
        <w:pageBreakBefore w:val="0"/>
        <w:kinsoku/>
        <w:topLinePunct w:val="0"/>
        <w:bidi w:val="0"/>
        <w:spacing w:before="60" w:after="60" w:line="360" w:lineRule="auto"/>
        <w:jc w:val="center"/>
        <w:rPr>
          <w:rFonts w:cs="方正小标宋简体" w:asciiTheme="minorEastAsia" w:hAnsiTheme="minorEastAsia" w:eastAsiaTheme="minorEastAsia"/>
          <w:color w:val="auto"/>
          <w:sz w:val="36"/>
          <w:szCs w:val="36"/>
          <w:highlight w:val="none"/>
        </w:rPr>
      </w:pPr>
      <w:bookmarkStart w:id="181" w:name="_Toc71365926"/>
      <w:r>
        <w:rPr>
          <w:rFonts w:hint="eastAsia" w:cs="方正小标宋简体" w:asciiTheme="minorEastAsia" w:hAnsiTheme="minorEastAsia" w:eastAsiaTheme="minorEastAsia"/>
          <w:color w:val="auto"/>
          <w:sz w:val="36"/>
          <w:szCs w:val="36"/>
          <w:highlight w:val="none"/>
        </w:rPr>
        <w:t>中小企业声明函（服务）</w:t>
      </w:r>
      <w:bookmarkEnd w:id="181"/>
    </w:p>
    <w:p w14:paraId="02412313">
      <w:pPr>
        <w:pageBreakBefore w:val="0"/>
        <w:kinsoku/>
        <w:topLinePunct w:val="0"/>
        <w:bidi w:val="0"/>
        <w:spacing w:before="60" w:after="60" w:line="360" w:lineRule="auto"/>
        <w:ind w:firstLine="708" w:firstLineChars="294"/>
        <w:rPr>
          <w:rFonts w:ascii="宋体" w:hAnsi="宋体" w:cs="宋体"/>
          <w:b/>
          <w:bCs/>
          <w:color w:val="auto"/>
          <w:sz w:val="24"/>
          <w:highlight w:val="none"/>
        </w:rPr>
      </w:pPr>
    </w:p>
    <w:p w14:paraId="2A88F5B7">
      <w:pPr>
        <w:pStyle w:val="12"/>
        <w:pageBreakBefore w:val="0"/>
        <w:kinsoku/>
        <w:topLinePunct w:val="0"/>
        <w:bidi w:val="0"/>
        <w:spacing w:before="60" w:after="60" w:line="360" w:lineRule="auto"/>
        <w:ind w:right="142" w:firstLine="705" w:firstLineChars="294"/>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服务全部由符合政策要求的中小企业承接。相关企业（含联合体中的中小企业、签订分包意向协议的中小企业）的具体情况如下：</w:t>
      </w:r>
    </w:p>
    <w:p w14:paraId="5E0A41F9">
      <w:pPr>
        <w:pageBreakBefore w:val="0"/>
        <w:tabs>
          <w:tab w:val="left" w:pos="1384"/>
          <w:tab w:val="left" w:pos="4562"/>
          <w:tab w:val="left" w:pos="6803"/>
        </w:tabs>
        <w:kinsoku/>
        <w:topLinePunct w:val="0"/>
        <w:bidi w:val="0"/>
        <w:spacing w:before="60" w:after="60" w:line="360" w:lineRule="auto"/>
        <w:ind w:right="142" w:firstLine="772" w:firstLineChars="322"/>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lang w:eastAsia="zh-CN"/>
        </w:rPr>
        <w:t>.</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，从业人员人，营业收入为万元，资产总额为万元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4B4015C4">
      <w:pPr>
        <w:pageBreakBefore w:val="0"/>
        <w:tabs>
          <w:tab w:val="left" w:pos="1065"/>
          <w:tab w:val="left" w:pos="4262"/>
          <w:tab w:val="left" w:pos="6477"/>
        </w:tabs>
        <w:kinsoku/>
        <w:topLinePunct w:val="0"/>
        <w:bidi w:val="0"/>
        <w:spacing w:before="60" w:after="60" w:line="360" w:lineRule="auto"/>
        <w:ind w:right="84" w:firstLine="772" w:firstLineChars="322"/>
        <w:rPr>
          <w:rFonts w:ascii="宋体" w:hAnsi="宋体"/>
          <w:color w:val="auto"/>
          <w:sz w:val="24"/>
          <w:highlight w:val="none"/>
          <w:u w:val="single"/>
        </w:rPr>
      </w:pPr>
      <w:r>
        <w:rPr>
          <w:rFonts w:ascii="宋体" w:hAnsi="宋体"/>
          <w:color w:val="auto"/>
          <w:sz w:val="24"/>
          <w:highlight w:val="none"/>
        </w:rPr>
        <w:t>2</w:t>
      </w:r>
      <w:r>
        <w:rPr>
          <w:rFonts w:hint="eastAsia" w:ascii="宋体" w:hAnsi="宋体"/>
          <w:color w:val="auto"/>
          <w:sz w:val="24"/>
          <w:highlight w:val="none"/>
          <w:lang w:eastAsia="zh-CN"/>
        </w:rPr>
        <w:t>.</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，从业人员人，营业收入为万元，资产总额为万元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4A175547">
      <w:pPr>
        <w:pStyle w:val="12"/>
        <w:pageBreakBefore w:val="0"/>
        <w:kinsoku/>
        <w:topLinePunct w:val="0"/>
        <w:bidi w:val="0"/>
        <w:spacing w:before="60" w:after="60" w:line="360" w:lineRule="auto"/>
        <w:ind w:right="142" w:firstLine="705" w:firstLineChars="294"/>
        <w:rPr>
          <w:rFonts w:ascii="宋体" w:hAnsi="宋体"/>
          <w:color w:val="auto"/>
          <w:sz w:val="24"/>
          <w:highlight w:val="none"/>
        </w:rPr>
      </w:pPr>
      <w:r>
        <w:rPr>
          <w:rFonts w:ascii="宋体" w:hAnsi="宋体"/>
          <w:color w:val="auto"/>
          <w:sz w:val="24"/>
          <w:highlight w:val="none"/>
        </w:rPr>
        <w:t xml:space="preserve">…… </w:t>
      </w:r>
    </w:p>
    <w:p w14:paraId="646FEC1E">
      <w:pPr>
        <w:pStyle w:val="12"/>
        <w:pageBreakBefore w:val="0"/>
        <w:kinsoku/>
        <w:topLinePunct w:val="0"/>
        <w:bidi w:val="0"/>
        <w:spacing w:before="60" w:after="60" w:line="360" w:lineRule="auto"/>
        <w:ind w:right="142" w:firstLine="705" w:firstLineChars="294"/>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5B3C6EBA">
      <w:pPr>
        <w:pStyle w:val="12"/>
        <w:pageBreakBefore w:val="0"/>
        <w:kinsoku/>
        <w:topLinePunct w:val="0"/>
        <w:bidi w:val="0"/>
        <w:spacing w:before="60" w:after="60" w:line="360" w:lineRule="auto"/>
        <w:ind w:right="142" w:firstLine="705" w:firstLineChars="294"/>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780175A6">
      <w:pPr>
        <w:pStyle w:val="12"/>
        <w:pageBreakBefore w:val="0"/>
        <w:kinsoku/>
        <w:topLinePunct w:val="0"/>
        <w:bidi w:val="0"/>
        <w:spacing w:before="60" w:after="60" w:line="360" w:lineRule="auto"/>
        <w:ind w:right="1808" w:firstLine="705" w:firstLineChars="294"/>
        <w:rPr>
          <w:rFonts w:ascii="宋体" w:hAnsi="宋体"/>
          <w:color w:val="auto"/>
          <w:sz w:val="24"/>
          <w:highlight w:val="none"/>
        </w:rPr>
      </w:pPr>
    </w:p>
    <w:p w14:paraId="4ACAC343">
      <w:pPr>
        <w:pStyle w:val="12"/>
        <w:pageBreakBefore w:val="0"/>
        <w:kinsoku/>
        <w:topLinePunct w:val="0"/>
        <w:bidi w:val="0"/>
        <w:spacing w:before="60" w:after="60" w:line="360" w:lineRule="auto"/>
        <w:ind w:right="650" w:firstLine="5625" w:firstLineChars="2344"/>
        <w:rPr>
          <w:rFonts w:ascii="宋体" w:hAnsi="宋体"/>
          <w:color w:val="auto"/>
          <w:sz w:val="24"/>
          <w:highlight w:val="none"/>
        </w:rPr>
      </w:pPr>
      <w:r>
        <w:rPr>
          <w:rFonts w:ascii="宋体" w:hAnsi="宋体"/>
          <w:color w:val="auto"/>
          <w:sz w:val="24"/>
          <w:highlight w:val="none"/>
        </w:rPr>
        <w:t xml:space="preserve">企业名称（章）： </w:t>
      </w:r>
    </w:p>
    <w:p w14:paraId="10F95C40">
      <w:pPr>
        <w:pStyle w:val="12"/>
        <w:pageBreakBefore w:val="0"/>
        <w:kinsoku/>
        <w:topLinePunct w:val="0"/>
        <w:bidi w:val="0"/>
        <w:spacing w:before="60" w:after="60" w:line="360" w:lineRule="auto"/>
        <w:ind w:right="1808" w:firstLine="5625" w:firstLineChars="2344"/>
        <w:rPr>
          <w:rFonts w:ascii="宋体" w:hAnsi="宋体"/>
          <w:color w:val="auto"/>
          <w:sz w:val="24"/>
          <w:highlight w:val="none"/>
        </w:rPr>
      </w:pPr>
      <w:r>
        <w:rPr>
          <w:rFonts w:ascii="宋体" w:hAnsi="宋体"/>
          <w:color w:val="auto"/>
          <w:sz w:val="24"/>
          <w:highlight w:val="none"/>
        </w:rPr>
        <w:t>日 期：</w:t>
      </w:r>
    </w:p>
    <w:p w14:paraId="4E65ADA7">
      <w:pPr>
        <w:pageBreakBefore w:val="0"/>
        <w:kinsoku/>
        <w:topLinePunct w:val="0"/>
        <w:bidi w:val="0"/>
        <w:spacing w:before="60" w:after="60" w:line="360" w:lineRule="auto"/>
        <w:jc w:val="left"/>
        <w:rPr>
          <w:rFonts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F25ED05">
      <w:pPr>
        <w:pageBreakBefore w:val="0"/>
        <w:kinsoku/>
        <w:topLinePunct w:val="0"/>
        <w:bidi w:val="0"/>
        <w:spacing w:before="60" w:after="60" w:line="360" w:lineRule="auto"/>
        <w:jc w:val="center"/>
        <w:rPr>
          <w:rFonts w:cs="仿宋_GB2312" w:asciiTheme="minorEastAsia" w:hAnsiTheme="minorEastAsia" w:eastAsiaTheme="minorEastAsia"/>
          <w:color w:val="auto"/>
          <w:sz w:val="32"/>
          <w:szCs w:val="32"/>
          <w:highlight w:val="none"/>
        </w:rPr>
      </w:pPr>
      <w:r>
        <w:rPr>
          <w:rFonts w:ascii="宋体" w:hAnsi="宋体"/>
          <w:color w:val="auto"/>
          <w:sz w:val="24"/>
          <w:highlight w:val="none"/>
        </w:rPr>
        <w:br w:type="page"/>
      </w:r>
      <w:r>
        <w:rPr>
          <w:rFonts w:hint="eastAsia" w:cs="方正小标宋简体" w:asciiTheme="minorEastAsia" w:hAnsiTheme="minorEastAsia" w:eastAsiaTheme="minorEastAsia"/>
          <w:color w:val="auto"/>
          <w:sz w:val="36"/>
          <w:szCs w:val="36"/>
          <w:highlight w:val="none"/>
        </w:rPr>
        <w:t>残疾人福利性单位声明函</w:t>
      </w:r>
    </w:p>
    <w:p w14:paraId="044952F6">
      <w:pPr>
        <w:pageBreakBefore w:val="0"/>
        <w:kinsoku/>
        <w:topLinePunct w:val="0"/>
        <w:bidi w:val="0"/>
        <w:spacing w:before="60" w:after="60" w:line="360" w:lineRule="auto"/>
        <w:contextualSpacing/>
        <w:rPr>
          <w:rFonts w:ascii="仿宋_GB2312" w:hAnsi="仿宋_GB2312" w:eastAsia="仿宋_GB2312" w:cs="仿宋_GB2312"/>
          <w:color w:val="auto"/>
          <w:sz w:val="32"/>
          <w:szCs w:val="32"/>
          <w:highlight w:val="none"/>
        </w:rPr>
      </w:pPr>
    </w:p>
    <w:p w14:paraId="2CA059EE">
      <w:pPr>
        <w:pageBreakBefore w:val="0"/>
        <w:kinsoku/>
        <w:topLinePunct w:val="0"/>
        <w:bidi w:val="0"/>
        <w:spacing w:before="60" w:after="60"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56F14ED1">
      <w:pPr>
        <w:pageBreakBefore w:val="0"/>
        <w:kinsoku/>
        <w:topLinePunct w:val="0"/>
        <w:bidi w:val="0"/>
        <w:spacing w:before="60" w:after="60"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5A23A96D">
      <w:pPr>
        <w:pageBreakBefore w:val="0"/>
        <w:kinsoku/>
        <w:topLinePunct w:val="0"/>
        <w:bidi w:val="0"/>
        <w:spacing w:before="60" w:after="60" w:line="360" w:lineRule="auto"/>
        <w:contextualSpacing/>
        <w:rPr>
          <w:rFonts w:ascii="宋体" w:hAnsi="宋体" w:cs="仿宋_GB2312"/>
          <w:color w:val="auto"/>
          <w:sz w:val="24"/>
          <w:highlight w:val="none"/>
        </w:rPr>
      </w:pPr>
    </w:p>
    <w:p w14:paraId="264E7CF5">
      <w:pPr>
        <w:pageBreakBefore w:val="0"/>
        <w:kinsoku/>
        <w:topLinePunct w:val="0"/>
        <w:bidi w:val="0"/>
        <w:spacing w:before="60" w:after="60" w:line="360" w:lineRule="auto"/>
        <w:contextualSpacing/>
        <w:rPr>
          <w:rFonts w:ascii="宋体" w:hAnsi="宋体" w:cs="仿宋_GB2312"/>
          <w:color w:val="auto"/>
          <w:sz w:val="24"/>
          <w:highlight w:val="none"/>
        </w:rPr>
      </w:pPr>
    </w:p>
    <w:p w14:paraId="66244407">
      <w:pPr>
        <w:pageBreakBefore w:val="0"/>
        <w:kinsoku/>
        <w:topLinePunct w:val="0"/>
        <w:bidi w:val="0"/>
        <w:spacing w:before="60" w:after="60" w:line="360" w:lineRule="auto"/>
        <w:contextualSpacing/>
        <w:rPr>
          <w:rFonts w:ascii="宋体" w:hAnsi="宋体" w:cs="仿宋_GB2312"/>
          <w:color w:val="auto"/>
          <w:sz w:val="24"/>
          <w:highlight w:val="none"/>
        </w:rPr>
      </w:pPr>
    </w:p>
    <w:p w14:paraId="33861562">
      <w:pPr>
        <w:pageBreakBefore w:val="0"/>
        <w:kinsoku/>
        <w:topLinePunct w:val="0"/>
        <w:bidi w:val="0"/>
        <w:spacing w:before="60" w:after="60" w:line="360" w:lineRule="auto"/>
        <w:ind w:firstLine="2400" w:firstLineChars="1000"/>
        <w:contextualSpacing/>
        <w:rPr>
          <w:rFonts w:ascii="宋体" w:hAnsi="宋体" w:cs="仿宋_GB2312"/>
          <w:color w:val="auto"/>
          <w:sz w:val="24"/>
          <w:highlight w:val="none"/>
        </w:rPr>
      </w:pPr>
      <w:r>
        <w:rPr>
          <w:rFonts w:hint="eastAsia" w:ascii="宋体" w:hAnsi="宋体" w:cs="仿宋_GB2312"/>
          <w:color w:val="auto"/>
          <w:sz w:val="24"/>
          <w:highlight w:val="none"/>
        </w:rPr>
        <w:t>单位名称（盖章）：</w:t>
      </w:r>
    </w:p>
    <w:p w14:paraId="614C8EBB">
      <w:pPr>
        <w:pageBreakBefore w:val="0"/>
        <w:kinsoku/>
        <w:topLinePunct w:val="0"/>
        <w:bidi w:val="0"/>
        <w:spacing w:before="60" w:after="60"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日  期：</w:t>
      </w:r>
    </w:p>
    <w:p w14:paraId="523F9660">
      <w:pPr>
        <w:pageBreakBefore w:val="0"/>
        <w:kinsoku/>
        <w:topLinePunct w:val="0"/>
        <w:bidi w:val="0"/>
        <w:spacing w:before="60" w:after="60" w:line="360" w:lineRule="auto"/>
        <w:contextualSpacing/>
        <w:rPr>
          <w:rFonts w:ascii="宋体" w:hAnsi="宋体" w:cs="仿宋_GB2312"/>
          <w:color w:val="auto"/>
          <w:sz w:val="24"/>
          <w:highlight w:val="none"/>
        </w:rPr>
      </w:pPr>
    </w:p>
    <w:p w14:paraId="50CEC3AB">
      <w:pPr>
        <w:pageBreakBefore w:val="0"/>
        <w:kinsoku/>
        <w:topLinePunct w:val="0"/>
        <w:bidi w:val="0"/>
        <w:spacing w:before="60" w:after="60" w:line="360" w:lineRule="auto"/>
        <w:contextualSpacing/>
        <w:rPr>
          <w:rFonts w:ascii="宋体" w:hAnsi="宋体" w:cs="仿宋_GB2312"/>
          <w:color w:val="auto"/>
          <w:sz w:val="24"/>
          <w:highlight w:val="none"/>
        </w:rPr>
      </w:pPr>
    </w:p>
    <w:p w14:paraId="43F87E84">
      <w:pPr>
        <w:pageBreakBefore w:val="0"/>
        <w:kinsoku/>
        <w:topLinePunct w:val="0"/>
        <w:bidi w:val="0"/>
        <w:spacing w:before="60" w:after="60" w:line="360" w:lineRule="auto"/>
        <w:contextualSpacing/>
        <w:rPr>
          <w:rFonts w:ascii="宋体" w:hAnsi="宋体" w:cs="仿宋_GB2312"/>
          <w:color w:val="auto"/>
          <w:sz w:val="24"/>
          <w:highlight w:val="none"/>
        </w:rPr>
      </w:pPr>
    </w:p>
    <w:p w14:paraId="5784ED30">
      <w:pPr>
        <w:pageBreakBefore w:val="0"/>
        <w:widowControl/>
        <w:kinsoku/>
        <w:topLinePunct w:val="0"/>
        <w:bidi w:val="0"/>
        <w:spacing w:before="60" w:after="60" w:line="360" w:lineRule="auto"/>
        <w:jc w:val="left"/>
        <w:rPr>
          <w:rFonts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r>
        <w:rPr>
          <w:rFonts w:ascii="宋体" w:hAnsi="宋体" w:cs="仿宋_GB2312"/>
          <w:color w:val="auto"/>
          <w:sz w:val="24"/>
          <w:highlight w:val="none"/>
        </w:rPr>
        <w:br w:type="page"/>
      </w:r>
    </w:p>
    <w:p w14:paraId="3C9DC7AB">
      <w:pPr>
        <w:pageBreakBefore w:val="0"/>
        <w:kinsoku/>
        <w:topLinePunct w:val="0"/>
        <w:bidi w:val="0"/>
        <w:spacing w:before="60" w:after="60" w:line="360" w:lineRule="auto"/>
        <w:jc w:val="center"/>
        <w:rPr>
          <w:rFonts w:asciiTheme="minorEastAsia" w:hAnsiTheme="minorEastAsia" w:eastAsiaTheme="minorEastAsia"/>
          <w:b/>
          <w:bCs/>
          <w:color w:val="auto"/>
          <w:sz w:val="36"/>
          <w:szCs w:val="36"/>
          <w:highlight w:val="none"/>
        </w:rPr>
      </w:pPr>
      <w:r>
        <w:rPr>
          <w:rFonts w:hint="eastAsia" w:cs="方正小标宋简体" w:asciiTheme="minorEastAsia" w:hAnsiTheme="minorEastAsia" w:eastAsiaTheme="minorEastAsia"/>
          <w:color w:val="auto"/>
          <w:sz w:val="36"/>
          <w:szCs w:val="36"/>
          <w:highlight w:val="none"/>
        </w:rPr>
        <w:t>质疑函（格式）</w:t>
      </w:r>
    </w:p>
    <w:p w14:paraId="1B98F8DB">
      <w:pPr>
        <w:pStyle w:val="15"/>
        <w:pageBreakBefore w:val="0"/>
        <w:kinsoku/>
        <w:topLinePunct w:val="0"/>
        <w:bidi w:val="0"/>
        <w:spacing w:before="60" w:after="60"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一、质疑供应商基本信息：</w:t>
      </w:r>
    </w:p>
    <w:p w14:paraId="5BB402A7">
      <w:pPr>
        <w:pStyle w:val="15"/>
        <w:pageBreakBefore w:val="0"/>
        <w:kinsoku/>
        <w:topLinePunct w:val="0"/>
        <w:bidi w:val="0"/>
        <w:spacing w:before="60" w:after="60" w:line="360" w:lineRule="auto"/>
        <w:ind w:firstLine="480" w:firstLineChars="200"/>
        <w:contextualSpacing/>
        <w:rPr>
          <w:rFonts w:hAnsi="宋体"/>
          <w:bCs/>
          <w:color w:val="auto"/>
          <w:sz w:val="24"/>
          <w:szCs w:val="24"/>
          <w:highlight w:val="none"/>
          <w:u w:val="single"/>
        </w:rPr>
      </w:pPr>
      <w:r>
        <w:rPr>
          <w:rFonts w:hint="eastAsia" w:hAnsi="宋体"/>
          <w:bCs/>
          <w:color w:val="auto"/>
          <w:sz w:val="24"/>
          <w:szCs w:val="24"/>
          <w:highlight w:val="none"/>
        </w:rPr>
        <w:t>质疑供应商：</w:t>
      </w:r>
    </w:p>
    <w:p w14:paraId="2E3C07B2">
      <w:pPr>
        <w:pStyle w:val="15"/>
        <w:pageBreakBefore w:val="0"/>
        <w:kinsoku/>
        <w:topLinePunct w:val="0"/>
        <w:bidi w:val="0"/>
        <w:spacing w:before="60" w:after="60"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 xml:space="preserve">：         </w:t>
      </w:r>
      <w:r>
        <w:rPr>
          <w:rFonts w:hAnsi="宋体"/>
          <w:bCs/>
          <w:color w:val="auto"/>
          <w:sz w:val="24"/>
          <w:szCs w:val="24"/>
          <w:highlight w:val="none"/>
        </w:rPr>
        <w:t>邮编</w:t>
      </w:r>
      <w:r>
        <w:rPr>
          <w:rFonts w:hint="eastAsia" w:hAnsi="宋体"/>
          <w:bCs/>
          <w:color w:val="auto"/>
          <w:sz w:val="24"/>
          <w:szCs w:val="24"/>
          <w:highlight w:val="none"/>
        </w:rPr>
        <w:t>：</w:t>
      </w:r>
    </w:p>
    <w:p w14:paraId="0B3F2E10">
      <w:pPr>
        <w:pStyle w:val="15"/>
        <w:pageBreakBefore w:val="0"/>
        <w:kinsoku/>
        <w:topLinePunct w:val="0"/>
        <w:bidi w:val="0"/>
        <w:spacing w:before="60" w:after="60"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 xml:space="preserve">：       </w:t>
      </w:r>
      <w:r>
        <w:rPr>
          <w:rFonts w:hAnsi="宋体"/>
          <w:bCs/>
          <w:color w:val="auto"/>
          <w:sz w:val="24"/>
          <w:szCs w:val="24"/>
          <w:highlight w:val="none"/>
        </w:rPr>
        <w:t>联系电话</w:t>
      </w:r>
      <w:r>
        <w:rPr>
          <w:rFonts w:hint="eastAsia" w:hAnsi="宋体"/>
          <w:bCs/>
          <w:color w:val="auto"/>
          <w:sz w:val="24"/>
          <w:szCs w:val="24"/>
          <w:highlight w:val="none"/>
        </w:rPr>
        <w:t>：</w:t>
      </w:r>
    </w:p>
    <w:p w14:paraId="26DFE854">
      <w:pPr>
        <w:pStyle w:val="15"/>
        <w:pageBreakBefore w:val="0"/>
        <w:kinsoku/>
        <w:topLinePunct w:val="0"/>
        <w:bidi w:val="0"/>
        <w:spacing w:before="60" w:after="60" w:line="360" w:lineRule="auto"/>
        <w:ind w:firstLine="480" w:firstLineChars="200"/>
        <w:contextualSpacing/>
        <w:rPr>
          <w:rFonts w:hAnsi="宋体"/>
          <w:bCs/>
          <w:color w:val="auto"/>
          <w:sz w:val="24"/>
          <w:szCs w:val="24"/>
          <w:highlight w:val="none"/>
        </w:rPr>
      </w:pPr>
      <w:r>
        <w:rPr>
          <w:rFonts w:hint="eastAsia" w:hAnsi="宋体"/>
          <w:bCs/>
          <w:color w:val="auto"/>
          <w:sz w:val="24"/>
          <w:szCs w:val="24"/>
          <w:highlight w:val="none"/>
        </w:rPr>
        <w:t>授权代表：</w:t>
      </w:r>
    </w:p>
    <w:p w14:paraId="0CB19C09">
      <w:pPr>
        <w:pStyle w:val="15"/>
        <w:pageBreakBefore w:val="0"/>
        <w:kinsoku/>
        <w:topLinePunct w:val="0"/>
        <w:bidi w:val="0"/>
        <w:spacing w:before="60" w:after="60" w:line="360" w:lineRule="auto"/>
        <w:ind w:firstLine="480" w:firstLineChars="200"/>
        <w:contextualSpacing/>
        <w:rPr>
          <w:rFonts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p>
    <w:p w14:paraId="41691B5C">
      <w:pPr>
        <w:pStyle w:val="15"/>
        <w:pageBreakBefore w:val="0"/>
        <w:kinsoku/>
        <w:topLinePunct w:val="0"/>
        <w:bidi w:val="0"/>
        <w:spacing w:before="60" w:after="60"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 xml:space="preserve">：         </w:t>
      </w:r>
      <w:r>
        <w:rPr>
          <w:rFonts w:hAnsi="宋体"/>
          <w:bCs/>
          <w:color w:val="auto"/>
          <w:sz w:val="24"/>
          <w:szCs w:val="24"/>
          <w:highlight w:val="none"/>
        </w:rPr>
        <w:t>邮编</w:t>
      </w:r>
      <w:r>
        <w:rPr>
          <w:rFonts w:hint="eastAsia" w:hAnsi="宋体"/>
          <w:bCs/>
          <w:color w:val="auto"/>
          <w:sz w:val="24"/>
          <w:szCs w:val="24"/>
          <w:highlight w:val="none"/>
        </w:rPr>
        <w:t>：</w:t>
      </w:r>
    </w:p>
    <w:p w14:paraId="4E6A8BDF">
      <w:pPr>
        <w:pStyle w:val="15"/>
        <w:pageBreakBefore w:val="0"/>
        <w:kinsoku/>
        <w:topLinePunct w:val="0"/>
        <w:bidi w:val="0"/>
        <w:spacing w:before="60" w:after="60"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二、质疑项目基本情况：</w:t>
      </w:r>
    </w:p>
    <w:p w14:paraId="37AE1808">
      <w:pPr>
        <w:pStyle w:val="15"/>
        <w:pageBreakBefore w:val="0"/>
        <w:kinsoku/>
        <w:topLinePunct w:val="0"/>
        <w:bidi w:val="0"/>
        <w:spacing w:before="60" w:after="60"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p>
    <w:p w14:paraId="3787EE0C">
      <w:pPr>
        <w:pStyle w:val="15"/>
        <w:pageBreakBefore w:val="0"/>
        <w:kinsoku/>
        <w:topLinePunct w:val="0"/>
        <w:bidi w:val="0"/>
        <w:spacing w:before="60" w:after="60"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p>
    <w:p w14:paraId="78A7D266">
      <w:pPr>
        <w:pStyle w:val="15"/>
        <w:pageBreakBefore w:val="0"/>
        <w:kinsoku/>
        <w:topLinePunct w:val="0"/>
        <w:bidi w:val="0"/>
        <w:spacing w:before="60" w:after="60"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采购人名称：</w:t>
      </w:r>
    </w:p>
    <w:p w14:paraId="5C2A6A02">
      <w:pPr>
        <w:pStyle w:val="15"/>
        <w:pageBreakBefore w:val="0"/>
        <w:kinsoku/>
        <w:topLinePunct w:val="0"/>
        <w:bidi w:val="0"/>
        <w:spacing w:before="60" w:after="60"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w:t>
      </w:r>
    </w:p>
    <w:p w14:paraId="5120C575">
      <w:pPr>
        <w:pStyle w:val="15"/>
        <w:pageBreakBefore w:val="0"/>
        <w:kinsoku/>
        <w:topLinePunct w:val="0"/>
        <w:bidi w:val="0"/>
        <w:spacing w:before="60" w:after="60"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□采购文件   采购文件获取日期：</w:t>
      </w:r>
    </w:p>
    <w:p w14:paraId="736788DA">
      <w:pPr>
        <w:pStyle w:val="15"/>
        <w:pageBreakBefore w:val="0"/>
        <w:kinsoku/>
        <w:topLinePunct w:val="0"/>
        <w:bidi w:val="0"/>
        <w:spacing w:before="60" w:after="60"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 xml:space="preserve">□采购过程   </w:t>
      </w:r>
    </w:p>
    <w:p w14:paraId="4BCEDDF1">
      <w:pPr>
        <w:pStyle w:val="15"/>
        <w:pageBreakBefore w:val="0"/>
        <w:kinsoku/>
        <w:topLinePunct w:val="0"/>
        <w:bidi w:val="0"/>
        <w:spacing w:before="60" w:after="60" w:line="360" w:lineRule="auto"/>
        <w:ind w:left="25" w:leftChars="12" w:firstLine="352" w:firstLineChars="147"/>
        <w:contextualSpacing/>
        <w:rPr>
          <w:rFonts w:hAnsi="宋体"/>
          <w:bCs/>
          <w:color w:val="auto"/>
          <w:sz w:val="24"/>
          <w:szCs w:val="24"/>
          <w:highlight w:val="none"/>
          <w:u w:val="single"/>
        </w:rPr>
      </w:pPr>
      <w:r>
        <w:rPr>
          <w:rFonts w:hint="eastAsia" w:hAnsi="宋体"/>
          <w:color w:val="auto"/>
          <w:sz w:val="24"/>
          <w:szCs w:val="24"/>
          <w:highlight w:val="none"/>
        </w:rPr>
        <w:t xml:space="preserve">□成交结果   </w:t>
      </w:r>
    </w:p>
    <w:p w14:paraId="0C62B096">
      <w:pPr>
        <w:pStyle w:val="15"/>
        <w:pageBreakBefore w:val="0"/>
        <w:kinsoku/>
        <w:topLinePunct w:val="0"/>
        <w:bidi w:val="0"/>
        <w:spacing w:before="60" w:after="60" w:line="360" w:lineRule="auto"/>
        <w:ind w:left="25" w:leftChars="12" w:firstLine="472" w:firstLineChars="196"/>
        <w:contextualSpacing/>
        <w:rPr>
          <w:rFonts w:hAnsi="宋体"/>
          <w:b/>
          <w:color w:val="auto"/>
          <w:sz w:val="24"/>
          <w:szCs w:val="24"/>
          <w:highlight w:val="none"/>
        </w:rPr>
      </w:pPr>
      <w:r>
        <w:rPr>
          <w:rFonts w:hint="eastAsia" w:hAnsi="宋体"/>
          <w:b/>
          <w:color w:val="auto"/>
          <w:sz w:val="24"/>
          <w:szCs w:val="24"/>
          <w:highlight w:val="none"/>
        </w:rPr>
        <w:t>三、质疑事项具体内容</w:t>
      </w:r>
    </w:p>
    <w:p w14:paraId="6492AD0C">
      <w:pPr>
        <w:pStyle w:val="15"/>
        <w:pageBreakBefore w:val="0"/>
        <w:kinsoku/>
        <w:topLinePunct w:val="0"/>
        <w:bidi w:val="0"/>
        <w:spacing w:before="60" w:after="60"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质疑事项1：</w:t>
      </w:r>
    </w:p>
    <w:p w14:paraId="79C7B5A2">
      <w:pPr>
        <w:pStyle w:val="15"/>
        <w:pageBreakBefore w:val="0"/>
        <w:kinsoku/>
        <w:topLinePunct w:val="0"/>
        <w:bidi w:val="0"/>
        <w:spacing w:before="60" w:after="60"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事实依据：</w:t>
      </w:r>
    </w:p>
    <w:p w14:paraId="16501689">
      <w:pPr>
        <w:pStyle w:val="15"/>
        <w:pageBreakBefore w:val="0"/>
        <w:kinsoku/>
        <w:topLinePunct w:val="0"/>
        <w:bidi w:val="0"/>
        <w:spacing w:before="60" w:after="60"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法律依据：</w:t>
      </w:r>
    </w:p>
    <w:p w14:paraId="2C7A025D">
      <w:pPr>
        <w:pStyle w:val="15"/>
        <w:pageBreakBefore w:val="0"/>
        <w:kinsoku/>
        <w:topLinePunct w:val="0"/>
        <w:bidi w:val="0"/>
        <w:spacing w:before="60" w:after="60"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质疑事项2</w:t>
      </w:r>
    </w:p>
    <w:p w14:paraId="1AF0CC24">
      <w:pPr>
        <w:pStyle w:val="15"/>
        <w:pageBreakBefore w:val="0"/>
        <w:kinsoku/>
        <w:topLinePunct w:val="0"/>
        <w:bidi w:val="0"/>
        <w:spacing w:before="60" w:after="60" w:line="360" w:lineRule="auto"/>
        <w:ind w:left="25" w:leftChars="12" w:firstLine="472" w:firstLineChars="197"/>
        <w:contextualSpacing/>
        <w:rPr>
          <w:rFonts w:hAnsi="宋体"/>
          <w:color w:val="auto"/>
          <w:sz w:val="24"/>
          <w:szCs w:val="24"/>
          <w:highlight w:val="none"/>
        </w:rPr>
      </w:pPr>
      <w:r>
        <w:rPr>
          <w:rFonts w:hAnsi="宋体"/>
          <w:color w:val="auto"/>
          <w:sz w:val="24"/>
          <w:szCs w:val="24"/>
          <w:highlight w:val="none"/>
        </w:rPr>
        <w:t>……</w:t>
      </w:r>
    </w:p>
    <w:p w14:paraId="7771E13C">
      <w:pPr>
        <w:pStyle w:val="15"/>
        <w:pageBreakBefore w:val="0"/>
        <w:kinsoku/>
        <w:topLinePunct w:val="0"/>
        <w:bidi w:val="0"/>
        <w:spacing w:before="60" w:after="60"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四、与质疑事项相关的质疑请求：</w:t>
      </w:r>
    </w:p>
    <w:p w14:paraId="4CD83C8D">
      <w:pPr>
        <w:pStyle w:val="15"/>
        <w:pageBreakBefore w:val="0"/>
        <w:kinsoku/>
        <w:topLinePunct w:val="0"/>
        <w:bidi w:val="0"/>
        <w:spacing w:before="60" w:after="60"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请求：</w:t>
      </w:r>
    </w:p>
    <w:p w14:paraId="747991D1">
      <w:pPr>
        <w:pStyle w:val="15"/>
        <w:pageBreakBefore w:val="0"/>
        <w:kinsoku/>
        <w:topLinePunct w:val="0"/>
        <w:bidi w:val="0"/>
        <w:spacing w:before="60" w:after="60" w:line="360" w:lineRule="auto"/>
        <w:ind w:left="25" w:leftChars="12" w:firstLine="352" w:firstLineChars="147"/>
        <w:contextualSpacing/>
        <w:rPr>
          <w:rFonts w:hAnsi="宋体"/>
          <w:color w:val="auto"/>
          <w:sz w:val="24"/>
          <w:szCs w:val="24"/>
          <w:highlight w:val="none"/>
        </w:rPr>
      </w:pPr>
    </w:p>
    <w:p w14:paraId="5168D9B8">
      <w:pPr>
        <w:pStyle w:val="15"/>
        <w:pageBreakBefore w:val="0"/>
        <w:kinsoku/>
        <w:topLinePunct w:val="0"/>
        <w:bidi w:val="0"/>
        <w:spacing w:before="60" w:after="60"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签字（签章）：                                       公章：</w:t>
      </w:r>
    </w:p>
    <w:p w14:paraId="721052ED">
      <w:pPr>
        <w:pStyle w:val="15"/>
        <w:pageBreakBefore w:val="0"/>
        <w:kinsoku/>
        <w:topLinePunct w:val="0"/>
        <w:bidi w:val="0"/>
        <w:spacing w:before="60" w:after="60" w:line="360" w:lineRule="auto"/>
        <w:ind w:firstLine="480" w:firstLineChars="200"/>
        <w:contextualSpacing/>
        <w:rPr>
          <w:rFonts w:hAnsi="宋体"/>
          <w:b/>
          <w:color w:val="auto"/>
          <w:sz w:val="24"/>
          <w:szCs w:val="24"/>
          <w:highlight w:val="none"/>
        </w:rPr>
      </w:pPr>
      <w:r>
        <w:rPr>
          <w:rFonts w:hint="eastAsia" w:hAnsi="宋体"/>
          <w:color w:val="auto"/>
          <w:sz w:val="24"/>
          <w:szCs w:val="24"/>
          <w:highlight w:val="none"/>
        </w:rPr>
        <w:t>日期：</w:t>
      </w:r>
    </w:p>
    <w:p w14:paraId="7344526D">
      <w:pPr>
        <w:pStyle w:val="15"/>
        <w:pageBreakBefore w:val="0"/>
        <w:kinsoku/>
        <w:topLinePunct w:val="0"/>
        <w:bidi w:val="0"/>
        <w:spacing w:before="60" w:after="60" w:line="360" w:lineRule="auto"/>
        <w:contextualSpacing/>
        <w:rPr>
          <w:rFonts w:hAnsi="宋体"/>
          <w:b/>
          <w:color w:val="auto"/>
          <w:sz w:val="24"/>
          <w:szCs w:val="24"/>
          <w:highlight w:val="none"/>
        </w:rPr>
      </w:pPr>
      <w:r>
        <w:rPr>
          <w:rFonts w:hint="eastAsia" w:hAnsi="宋体"/>
          <w:b/>
          <w:color w:val="auto"/>
          <w:sz w:val="24"/>
          <w:szCs w:val="24"/>
          <w:highlight w:val="none"/>
        </w:rPr>
        <w:t>说明：</w:t>
      </w:r>
    </w:p>
    <w:p w14:paraId="626FFE9C">
      <w:pPr>
        <w:pStyle w:val="15"/>
        <w:pageBreakBefore w:val="0"/>
        <w:kinsoku/>
        <w:topLinePunct w:val="0"/>
        <w:bidi w:val="0"/>
        <w:spacing w:before="60" w:after="60" w:line="360" w:lineRule="auto"/>
        <w:ind w:left="25" w:leftChars="12" w:firstLine="354" w:firstLineChars="147"/>
        <w:contextualSpacing/>
        <w:rPr>
          <w:rFonts w:hAnsi="宋体"/>
          <w:b/>
          <w:bCs/>
          <w:color w:val="auto"/>
          <w:sz w:val="24"/>
          <w:szCs w:val="24"/>
          <w:highlight w:val="none"/>
        </w:rPr>
      </w:pPr>
      <w:r>
        <w:rPr>
          <w:rFonts w:hint="eastAsia" w:hAnsi="宋体"/>
          <w:b/>
          <w:color w:val="auto"/>
          <w:sz w:val="24"/>
          <w:szCs w:val="24"/>
          <w:highlight w:val="none"/>
        </w:rPr>
        <w:t>1</w:t>
      </w:r>
      <w:r>
        <w:rPr>
          <w:rFonts w:hint="eastAsia" w:hAnsi="宋体"/>
          <w:b/>
          <w:color w:val="auto"/>
          <w:sz w:val="24"/>
          <w:szCs w:val="24"/>
          <w:highlight w:val="none"/>
          <w:lang w:eastAsia="zh-CN"/>
        </w:rPr>
        <w:t>.</w:t>
      </w:r>
      <w:r>
        <w:rPr>
          <w:rFonts w:hint="eastAsia" w:hAnsi="宋体"/>
          <w:b/>
          <w:color w:val="auto"/>
          <w:sz w:val="24"/>
          <w:szCs w:val="24"/>
          <w:highlight w:val="none"/>
        </w:rPr>
        <w:t>供应商提出质疑时，应提交质疑函和必要的证明材料</w:t>
      </w:r>
      <w:r>
        <w:rPr>
          <w:rFonts w:hint="eastAsia" w:hAnsi="宋体"/>
          <w:b/>
          <w:bCs/>
          <w:color w:val="auto"/>
          <w:sz w:val="24"/>
          <w:szCs w:val="24"/>
          <w:highlight w:val="none"/>
        </w:rPr>
        <w:t>。</w:t>
      </w:r>
    </w:p>
    <w:p w14:paraId="2E329B38">
      <w:pPr>
        <w:pStyle w:val="15"/>
        <w:pageBreakBefore w:val="0"/>
        <w:kinsoku/>
        <w:topLinePunct w:val="0"/>
        <w:bidi w:val="0"/>
        <w:spacing w:before="60" w:after="60"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2</w:t>
      </w:r>
      <w:r>
        <w:rPr>
          <w:rFonts w:hint="eastAsia" w:hAnsi="宋体"/>
          <w:b/>
          <w:color w:val="auto"/>
          <w:sz w:val="24"/>
          <w:szCs w:val="24"/>
          <w:highlight w:val="none"/>
          <w:lang w:eastAsia="zh-CN"/>
        </w:rPr>
        <w:t>.</w:t>
      </w:r>
      <w:r>
        <w:rPr>
          <w:rFonts w:hint="eastAsia" w:hAnsi="宋体"/>
          <w:b/>
          <w:color w:val="auto"/>
          <w:sz w:val="24"/>
          <w:szCs w:val="24"/>
          <w:highlight w:val="none"/>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3378D21">
      <w:pPr>
        <w:pStyle w:val="15"/>
        <w:pageBreakBefore w:val="0"/>
        <w:kinsoku/>
        <w:topLinePunct w:val="0"/>
        <w:bidi w:val="0"/>
        <w:spacing w:before="60" w:after="60"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3</w:t>
      </w:r>
      <w:r>
        <w:rPr>
          <w:rFonts w:hint="eastAsia" w:hAnsi="宋体"/>
          <w:b/>
          <w:color w:val="auto"/>
          <w:sz w:val="24"/>
          <w:szCs w:val="24"/>
          <w:highlight w:val="none"/>
          <w:lang w:eastAsia="zh-CN"/>
        </w:rPr>
        <w:t>.</w:t>
      </w:r>
      <w:r>
        <w:rPr>
          <w:rFonts w:hint="eastAsia" w:hAnsi="宋体"/>
          <w:b/>
          <w:color w:val="auto"/>
          <w:sz w:val="24"/>
          <w:szCs w:val="24"/>
          <w:highlight w:val="none"/>
        </w:rPr>
        <w:t>质疑函的质疑事项应具体、明确，并有必要的事实依据和法律依据。</w:t>
      </w:r>
    </w:p>
    <w:p w14:paraId="2EB44453">
      <w:pPr>
        <w:pStyle w:val="15"/>
        <w:pageBreakBefore w:val="0"/>
        <w:kinsoku/>
        <w:topLinePunct w:val="0"/>
        <w:bidi w:val="0"/>
        <w:spacing w:before="60" w:after="60"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4</w:t>
      </w:r>
      <w:r>
        <w:rPr>
          <w:rFonts w:hint="eastAsia" w:hAnsi="宋体"/>
          <w:b/>
          <w:color w:val="auto"/>
          <w:sz w:val="24"/>
          <w:szCs w:val="24"/>
          <w:highlight w:val="none"/>
          <w:lang w:eastAsia="zh-CN"/>
        </w:rPr>
        <w:t>.</w:t>
      </w:r>
      <w:r>
        <w:rPr>
          <w:rFonts w:hint="eastAsia" w:hAnsi="宋体"/>
          <w:b/>
          <w:color w:val="auto"/>
          <w:sz w:val="24"/>
          <w:szCs w:val="24"/>
          <w:highlight w:val="none"/>
        </w:rPr>
        <w:t>质疑函的质疑请求应与质疑事项相关。</w:t>
      </w:r>
    </w:p>
    <w:p w14:paraId="5DAE622D">
      <w:pPr>
        <w:pStyle w:val="15"/>
        <w:pageBreakBefore w:val="0"/>
        <w:kinsoku/>
        <w:topLinePunct w:val="0"/>
        <w:bidi w:val="0"/>
        <w:spacing w:before="60" w:after="60" w:line="360" w:lineRule="auto"/>
        <w:ind w:left="25" w:leftChars="12" w:firstLine="354" w:firstLineChars="147"/>
        <w:contextualSpacing/>
        <w:rPr>
          <w:rFonts w:hAnsi="宋体"/>
          <w:b/>
          <w:color w:val="auto"/>
          <w:highlight w:val="none"/>
        </w:rPr>
      </w:pPr>
      <w:r>
        <w:rPr>
          <w:rFonts w:hint="eastAsia" w:hAnsi="宋体"/>
          <w:b/>
          <w:color w:val="auto"/>
          <w:sz w:val="24"/>
          <w:szCs w:val="24"/>
          <w:highlight w:val="none"/>
        </w:rPr>
        <w:t>5</w:t>
      </w:r>
      <w:r>
        <w:rPr>
          <w:rFonts w:hint="eastAsia" w:hAnsi="宋体"/>
          <w:b/>
          <w:color w:val="auto"/>
          <w:sz w:val="24"/>
          <w:szCs w:val="24"/>
          <w:highlight w:val="none"/>
          <w:lang w:eastAsia="zh-CN"/>
        </w:rPr>
        <w:t>.</w:t>
      </w:r>
      <w:r>
        <w:rPr>
          <w:rFonts w:hint="eastAsia" w:hAnsi="宋体"/>
          <w:b/>
          <w:color w:val="auto"/>
          <w:sz w:val="24"/>
          <w:szCs w:val="24"/>
          <w:highlight w:val="none"/>
        </w:rPr>
        <w:t>质疑供应商为法人或者其他组织的，质疑函应由法定代表人、主要负责人，或者其授权代表签字或者盖章，并加盖公章。</w:t>
      </w:r>
    </w:p>
    <w:p w14:paraId="412250F4">
      <w:pPr>
        <w:pStyle w:val="15"/>
        <w:pageBreakBefore w:val="0"/>
        <w:kinsoku/>
        <w:topLinePunct w:val="0"/>
        <w:bidi w:val="0"/>
        <w:snapToGrid w:val="0"/>
        <w:spacing w:before="60" w:after="60" w:line="360" w:lineRule="auto"/>
        <w:rPr>
          <w:b/>
          <w:color w:val="auto"/>
          <w:sz w:val="24"/>
          <w:szCs w:val="24"/>
          <w:highlight w:val="none"/>
        </w:rPr>
      </w:pPr>
    </w:p>
    <w:p w14:paraId="7E4A66B2">
      <w:pPr>
        <w:pageBreakBefore w:val="0"/>
        <w:kinsoku/>
        <w:topLinePunct w:val="0"/>
        <w:bidi w:val="0"/>
        <w:spacing w:before="60" w:after="60" w:line="360" w:lineRule="auto"/>
        <w:rPr>
          <w:color w:val="auto"/>
          <w:sz w:val="32"/>
          <w:szCs w:val="40"/>
          <w:highlight w:val="none"/>
        </w:rPr>
      </w:pPr>
    </w:p>
    <w:p w14:paraId="17598F37">
      <w:pPr>
        <w:pageBreakBefore w:val="0"/>
        <w:kinsoku/>
        <w:topLinePunct w:val="0"/>
        <w:bidi w:val="0"/>
        <w:spacing w:before="60" w:after="60" w:line="360" w:lineRule="auto"/>
        <w:rPr>
          <w:color w:val="auto"/>
          <w:sz w:val="32"/>
          <w:szCs w:val="40"/>
          <w:highlight w:val="none"/>
        </w:rPr>
      </w:pPr>
    </w:p>
    <w:p w14:paraId="6E787889">
      <w:pPr>
        <w:pageBreakBefore w:val="0"/>
        <w:kinsoku/>
        <w:topLinePunct w:val="0"/>
        <w:bidi w:val="0"/>
        <w:spacing w:before="60" w:after="60" w:line="360" w:lineRule="auto"/>
        <w:rPr>
          <w:color w:val="auto"/>
          <w:sz w:val="32"/>
          <w:szCs w:val="40"/>
          <w:highlight w:val="none"/>
        </w:rPr>
      </w:pPr>
    </w:p>
    <w:p w14:paraId="07EF581E">
      <w:pPr>
        <w:pageBreakBefore w:val="0"/>
        <w:kinsoku/>
        <w:topLinePunct w:val="0"/>
        <w:bidi w:val="0"/>
        <w:spacing w:before="60" w:after="60" w:line="360" w:lineRule="auto"/>
        <w:rPr>
          <w:color w:val="auto"/>
          <w:sz w:val="32"/>
          <w:szCs w:val="40"/>
          <w:highlight w:val="none"/>
        </w:rPr>
      </w:pPr>
    </w:p>
    <w:p w14:paraId="1642C557">
      <w:pPr>
        <w:pageBreakBefore w:val="0"/>
        <w:kinsoku/>
        <w:topLinePunct w:val="0"/>
        <w:bidi w:val="0"/>
        <w:spacing w:before="60" w:after="60" w:line="360" w:lineRule="auto"/>
        <w:rPr>
          <w:color w:val="auto"/>
          <w:sz w:val="32"/>
          <w:szCs w:val="40"/>
          <w:highlight w:val="none"/>
        </w:rPr>
      </w:pPr>
    </w:p>
    <w:p w14:paraId="2AF76738">
      <w:pPr>
        <w:pageBreakBefore w:val="0"/>
        <w:kinsoku/>
        <w:topLinePunct w:val="0"/>
        <w:bidi w:val="0"/>
        <w:spacing w:before="60" w:after="60" w:line="360" w:lineRule="auto"/>
        <w:rPr>
          <w:color w:val="auto"/>
          <w:sz w:val="32"/>
          <w:szCs w:val="40"/>
          <w:highlight w:val="none"/>
        </w:rPr>
      </w:pPr>
    </w:p>
    <w:p w14:paraId="0096C5F7">
      <w:pPr>
        <w:pageBreakBefore w:val="0"/>
        <w:kinsoku/>
        <w:topLinePunct w:val="0"/>
        <w:bidi w:val="0"/>
        <w:spacing w:before="60" w:after="60" w:line="360" w:lineRule="auto"/>
        <w:rPr>
          <w:color w:val="auto"/>
          <w:sz w:val="32"/>
          <w:szCs w:val="40"/>
          <w:highlight w:val="none"/>
        </w:rPr>
      </w:pPr>
    </w:p>
    <w:p w14:paraId="24B303DA">
      <w:pPr>
        <w:pageBreakBefore w:val="0"/>
        <w:kinsoku/>
        <w:topLinePunct w:val="0"/>
        <w:bidi w:val="0"/>
        <w:spacing w:before="60" w:after="60" w:line="360" w:lineRule="auto"/>
        <w:rPr>
          <w:color w:val="auto"/>
          <w:sz w:val="32"/>
          <w:szCs w:val="40"/>
          <w:highlight w:val="none"/>
        </w:rPr>
      </w:pPr>
    </w:p>
    <w:p w14:paraId="1F9AD09E">
      <w:pPr>
        <w:pageBreakBefore w:val="0"/>
        <w:kinsoku/>
        <w:topLinePunct w:val="0"/>
        <w:bidi w:val="0"/>
        <w:spacing w:before="60" w:after="60" w:line="360" w:lineRule="auto"/>
        <w:rPr>
          <w:color w:val="auto"/>
          <w:sz w:val="32"/>
          <w:szCs w:val="40"/>
          <w:highlight w:val="none"/>
        </w:rPr>
      </w:pPr>
    </w:p>
    <w:p w14:paraId="3AC6ECE8">
      <w:pPr>
        <w:pageBreakBefore w:val="0"/>
        <w:kinsoku/>
        <w:topLinePunct w:val="0"/>
        <w:bidi w:val="0"/>
        <w:spacing w:before="60" w:after="60" w:line="360" w:lineRule="auto"/>
        <w:rPr>
          <w:color w:val="auto"/>
          <w:sz w:val="32"/>
          <w:szCs w:val="40"/>
          <w:highlight w:val="none"/>
        </w:rPr>
      </w:pPr>
    </w:p>
    <w:p w14:paraId="0075B9E6">
      <w:pPr>
        <w:pageBreakBefore w:val="0"/>
        <w:kinsoku/>
        <w:topLinePunct w:val="0"/>
        <w:bidi w:val="0"/>
        <w:spacing w:before="60" w:after="60" w:line="360" w:lineRule="auto"/>
        <w:rPr>
          <w:color w:val="auto"/>
          <w:sz w:val="32"/>
          <w:szCs w:val="40"/>
          <w:highlight w:val="none"/>
        </w:rPr>
      </w:pPr>
    </w:p>
    <w:p w14:paraId="40C98E11">
      <w:pPr>
        <w:pageBreakBefore w:val="0"/>
        <w:kinsoku/>
        <w:topLinePunct w:val="0"/>
        <w:bidi w:val="0"/>
        <w:spacing w:before="60" w:after="60" w:line="360" w:lineRule="auto"/>
        <w:rPr>
          <w:color w:val="auto"/>
          <w:sz w:val="32"/>
          <w:szCs w:val="40"/>
          <w:highlight w:val="none"/>
        </w:rPr>
      </w:pPr>
    </w:p>
    <w:p w14:paraId="5C055ED1">
      <w:pPr>
        <w:pageBreakBefore w:val="0"/>
        <w:kinsoku/>
        <w:topLinePunct w:val="0"/>
        <w:bidi w:val="0"/>
        <w:spacing w:before="60" w:after="60" w:line="360" w:lineRule="auto"/>
        <w:rPr>
          <w:color w:val="auto"/>
          <w:sz w:val="32"/>
          <w:szCs w:val="40"/>
          <w:highlight w:val="none"/>
        </w:rPr>
      </w:pPr>
    </w:p>
    <w:p w14:paraId="69E88D90">
      <w:pPr>
        <w:pStyle w:val="28"/>
        <w:pageBreakBefore w:val="0"/>
        <w:kinsoku/>
        <w:topLinePunct w:val="0"/>
        <w:bidi w:val="0"/>
        <w:spacing w:before="60" w:after="60" w:line="360" w:lineRule="auto"/>
        <w:ind w:firstLine="210"/>
        <w:rPr>
          <w:color w:val="auto"/>
          <w:highlight w:val="none"/>
        </w:rPr>
      </w:pPr>
    </w:p>
    <w:p w14:paraId="42B56236">
      <w:pPr>
        <w:pStyle w:val="28"/>
        <w:pageBreakBefore w:val="0"/>
        <w:kinsoku/>
        <w:topLinePunct w:val="0"/>
        <w:bidi w:val="0"/>
        <w:spacing w:before="60" w:after="60" w:line="360" w:lineRule="auto"/>
        <w:ind w:firstLine="210"/>
        <w:rPr>
          <w:color w:val="auto"/>
          <w:highlight w:val="none"/>
        </w:rPr>
      </w:pPr>
    </w:p>
    <w:p w14:paraId="6180627F">
      <w:pPr>
        <w:pageBreakBefore w:val="0"/>
        <w:kinsoku/>
        <w:topLinePunct w:val="0"/>
        <w:bidi w:val="0"/>
        <w:spacing w:before="60" w:after="60" w:line="360" w:lineRule="auto"/>
        <w:jc w:val="center"/>
        <w:rPr>
          <w:rFonts w:cs="方正小标宋简体" w:asciiTheme="minorEastAsia" w:hAnsiTheme="minorEastAsia" w:eastAsiaTheme="minorEastAsia"/>
          <w:color w:val="auto"/>
          <w:sz w:val="36"/>
          <w:szCs w:val="36"/>
          <w:highlight w:val="none"/>
        </w:rPr>
      </w:pPr>
      <w:r>
        <w:rPr>
          <w:rFonts w:hint="eastAsia" w:cs="方正小标宋简体" w:asciiTheme="minorEastAsia" w:hAnsiTheme="minorEastAsia" w:eastAsiaTheme="minorEastAsia"/>
          <w:color w:val="auto"/>
          <w:sz w:val="36"/>
          <w:szCs w:val="36"/>
          <w:highlight w:val="none"/>
        </w:rPr>
        <w:t>投诉书（格式）</w:t>
      </w:r>
    </w:p>
    <w:p w14:paraId="061B4F76">
      <w:pPr>
        <w:pStyle w:val="15"/>
        <w:pageBreakBefore w:val="0"/>
        <w:kinsoku/>
        <w:topLinePunct w:val="0"/>
        <w:bidi w:val="0"/>
        <w:snapToGrid w:val="0"/>
        <w:spacing w:before="60" w:after="60"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5F763730">
      <w:pPr>
        <w:pStyle w:val="15"/>
        <w:pageBreakBefore w:val="0"/>
        <w:kinsoku/>
        <w:topLinePunct w:val="0"/>
        <w:bidi w:val="0"/>
        <w:snapToGrid w:val="0"/>
        <w:spacing w:before="60" w:after="60"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供应商：</w:t>
      </w:r>
    </w:p>
    <w:p w14:paraId="743E9AF5">
      <w:pPr>
        <w:pStyle w:val="15"/>
        <w:pageBreakBefore w:val="0"/>
        <w:kinsoku/>
        <w:topLinePunct w:val="0"/>
        <w:bidi w:val="0"/>
        <w:snapToGrid w:val="0"/>
        <w:spacing w:before="60" w:after="60" w:line="360"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7FF5194C">
      <w:pPr>
        <w:pStyle w:val="15"/>
        <w:pageBreakBefore w:val="0"/>
        <w:kinsoku/>
        <w:topLinePunct w:val="0"/>
        <w:bidi w:val="0"/>
        <w:snapToGrid w:val="0"/>
        <w:spacing w:before="60" w:after="60"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法定代表人/主要负责人：</w:t>
      </w:r>
    </w:p>
    <w:p w14:paraId="50148524">
      <w:pPr>
        <w:pStyle w:val="15"/>
        <w:pageBreakBefore w:val="0"/>
        <w:kinsoku/>
        <w:topLinePunct w:val="0"/>
        <w:bidi w:val="0"/>
        <w:snapToGrid w:val="0"/>
        <w:spacing w:before="60" w:after="60" w:line="360" w:lineRule="auto"/>
        <w:ind w:firstLine="480" w:firstLineChars="200"/>
        <w:rPr>
          <w:rFonts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p>
    <w:p w14:paraId="52FBBC86">
      <w:pPr>
        <w:pStyle w:val="15"/>
        <w:pageBreakBefore w:val="0"/>
        <w:kinsoku/>
        <w:topLinePunct w:val="0"/>
        <w:bidi w:val="0"/>
        <w:snapToGrid w:val="0"/>
        <w:spacing w:before="60" w:after="60"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授权代表：</w:t>
      </w:r>
      <w:r>
        <w:rPr>
          <w:rFonts w:hAnsi="宋体"/>
          <w:bCs/>
          <w:color w:val="auto"/>
          <w:sz w:val="24"/>
          <w:szCs w:val="24"/>
          <w:highlight w:val="none"/>
        </w:rPr>
        <w:t>联系</w:t>
      </w:r>
      <w:r>
        <w:rPr>
          <w:rFonts w:hint="eastAsia" w:hAnsi="宋体"/>
          <w:bCs/>
          <w:color w:val="auto"/>
          <w:sz w:val="24"/>
          <w:szCs w:val="24"/>
          <w:highlight w:val="none"/>
        </w:rPr>
        <w:t>电话：</w:t>
      </w:r>
    </w:p>
    <w:p w14:paraId="599148C2">
      <w:pPr>
        <w:pStyle w:val="15"/>
        <w:pageBreakBefore w:val="0"/>
        <w:kinsoku/>
        <w:topLinePunct w:val="0"/>
        <w:bidi w:val="0"/>
        <w:snapToGrid w:val="0"/>
        <w:spacing w:before="60" w:after="60"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p>
    <w:p w14:paraId="44873F6B">
      <w:pPr>
        <w:pStyle w:val="15"/>
        <w:pageBreakBefore w:val="0"/>
        <w:kinsoku/>
        <w:topLinePunct w:val="0"/>
        <w:bidi w:val="0"/>
        <w:snapToGrid w:val="0"/>
        <w:spacing w:before="60" w:after="60"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p>
    <w:p w14:paraId="74D63C60">
      <w:pPr>
        <w:pStyle w:val="15"/>
        <w:pageBreakBefore w:val="0"/>
        <w:kinsoku/>
        <w:topLinePunct w:val="0"/>
        <w:bidi w:val="0"/>
        <w:snapToGrid w:val="0"/>
        <w:spacing w:before="60" w:after="60"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被投诉人1：</w:t>
      </w:r>
    </w:p>
    <w:p w14:paraId="56F81285">
      <w:pPr>
        <w:pStyle w:val="15"/>
        <w:pageBreakBefore w:val="0"/>
        <w:kinsoku/>
        <w:topLinePunct w:val="0"/>
        <w:bidi w:val="0"/>
        <w:snapToGrid w:val="0"/>
        <w:spacing w:before="60" w:after="60"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地址：</w:t>
      </w:r>
    </w:p>
    <w:p w14:paraId="03C8F48D">
      <w:pPr>
        <w:pStyle w:val="15"/>
        <w:pageBreakBefore w:val="0"/>
        <w:kinsoku/>
        <w:topLinePunct w:val="0"/>
        <w:bidi w:val="0"/>
        <w:snapToGrid w:val="0"/>
        <w:spacing w:before="60" w:after="60"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p>
    <w:p w14:paraId="72E64FB2">
      <w:pPr>
        <w:pStyle w:val="15"/>
        <w:pageBreakBefore w:val="0"/>
        <w:kinsoku/>
        <w:topLinePunct w:val="0"/>
        <w:bidi w:val="0"/>
        <w:snapToGrid w:val="0"/>
        <w:spacing w:before="60" w:after="60"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联系人：</w:t>
      </w:r>
      <w:r>
        <w:rPr>
          <w:rFonts w:hAnsi="宋体"/>
          <w:bCs/>
          <w:color w:val="auto"/>
          <w:sz w:val="24"/>
          <w:szCs w:val="24"/>
          <w:highlight w:val="none"/>
        </w:rPr>
        <w:t>联系</w:t>
      </w:r>
      <w:r>
        <w:rPr>
          <w:rFonts w:hint="eastAsia" w:hAnsi="宋体"/>
          <w:bCs/>
          <w:color w:val="auto"/>
          <w:sz w:val="24"/>
          <w:szCs w:val="24"/>
          <w:highlight w:val="none"/>
        </w:rPr>
        <w:t>电话：</w:t>
      </w:r>
    </w:p>
    <w:p w14:paraId="48CEDB9D">
      <w:pPr>
        <w:pStyle w:val="15"/>
        <w:pageBreakBefore w:val="0"/>
        <w:kinsoku/>
        <w:topLinePunct w:val="0"/>
        <w:bidi w:val="0"/>
        <w:snapToGrid w:val="0"/>
        <w:spacing w:before="60" w:after="60"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被投诉人2：</w:t>
      </w:r>
    </w:p>
    <w:p w14:paraId="1A74710D">
      <w:pPr>
        <w:pStyle w:val="15"/>
        <w:pageBreakBefore w:val="0"/>
        <w:kinsoku/>
        <w:topLinePunct w:val="0"/>
        <w:bidi w:val="0"/>
        <w:snapToGrid w:val="0"/>
        <w:spacing w:before="60" w:after="60" w:line="360" w:lineRule="auto"/>
        <w:ind w:firstLine="480" w:firstLineChars="200"/>
        <w:rPr>
          <w:rFonts w:hAnsi="宋体"/>
          <w:bCs/>
          <w:color w:val="auto"/>
          <w:sz w:val="24"/>
          <w:szCs w:val="24"/>
          <w:highlight w:val="none"/>
        </w:rPr>
      </w:pPr>
      <w:r>
        <w:rPr>
          <w:rFonts w:hAnsi="宋体"/>
          <w:bCs/>
          <w:color w:val="auto"/>
          <w:sz w:val="24"/>
          <w:szCs w:val="24"/>
          <w:highlight w:val="none"/>
        </w:rPr>
        <w:t>……</w:t>
      </w:r>
    </w:p>
    <w:p w14:paraId="4DE18067">
      <w:pPr>
        <w:pStyle w:val="15"/>
        <w:pageBreakBefore w:val="0"/>
        <w:kinsoku/>
        <w:topLinePunct w:val="0"/>
        <w:bidi w:val="0"/>
        <w:snapToGrid w:val="0"/>
        <w:spacing w:before="60" w:after="60"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相关供应商：</w:t>
      </w:r>
    </w:p>
    <w:p w14:paraId="16A86BB4">
      <w:pPr>
        <w:pStyle w:val="15"/>
        <w:pageBreakBefore w:val="0"/>
        <w:kinsoku/>
        <w:topLinePunct w:val="0"/>
        <w:bidi w:val="0"/>
        <w:snapToGrid w:val="0"/>
        <w:spacing w:before="60" w:after="60"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680CDEF3">
      <w:pPr>
        <w:pStyle w:val="15"/>
        <w:pageBreakBefore w:val="0"/>
        <w:kinsoku/>
        <w:topLinePunct w:val="0"/>
        <w:bidi w:val="0"/>
        <w:snapToGrid w:val="0"/>
        <w:spacing w:before="60" w:after="60" w:line="360" w:lineRule="auto"/>
        <w:ind w:firstLine="480" w:firstLineChars="200"/>
        <w:rPr>
          <w:rFonts w:hAnsi="宋体"/>
          <w:bCs/>
          <w:color w:val="auto"/>
          <w:sz w:val="24"/>
          <w:szCs w:val="24"/>
          <w:highlight w:val="none"/>
        </w:rPr>
      </w:pPr>
      <w:r>
        <w:rPr>
          <w:rFonts w:hint="eastAsia" w:hAnsi="宋体"/>
          <w:bCs/>
          <w:color w:val="auto"/>
          <w:sz w:val="24"/>
          <w:szCs w:val="24"/>
          <w:highlight w:val="none"/>
        </w:rPr>
        <w:t>联系人：</w:t>
      </w:r>
      <w:r>
        <w:rPr>
          <w:rFonts w:hAnsi="宋体"/>
          <w:bCs/>
          <w:color w:val="auto"/>
          <w:sz w:val="24"/>
          <w:szCs w:val="24"/>
          <w:highlight w:val="none"/>
        </w:rPr>
        <w:t>联系</w:t>
      </w:r>
      <w:r>
        <w:rPr>
          <w:rFonts w:hint="eastAsia" w:hAnsi="宋体"/>
          <w:bCs/>
          <w:color w:val="auto"/>
          <w:sz w:val="24"/>
          <w:szCs w:val="24"/>
          <w:highlight w:val="none"/>
        </w:rPr>
        <w:t>电话：</w:t>
      </w:r>
    </w:p>
    <w:p w14:paraId="57CD13EF">
      <w:pPr>
        <w:pStyle w:val="15"/>
        <w:pageBreakBefore w:val="0"/>
        <w:kinsoku/>
        <w:topLinePunct w:val="0"/>
        <w:bidi w:val="0"/>
        <w:snapToGrid w:val="0"/>
        <w:spacing w:before="60" w:after="60"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二、投诉项目基本情况：</w:t>
      </w:r>
    </w:p>
    <w:p w14:paraId="3A2C03FA">
      <w:pPr>
        <w:pStyle w:val="15"/>
        <w:pageBreakBefore w:val="0"/>
        <w:kinsoku/>
        <w:topLinePunct w:val="0"/>
        <w:bidi w:val="0"/>
        <w:spacing w:before="60" w:after="60"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p>
    <w:p w14:paraId="2688E793">
      <w:pPr>
        <w:pStyle w:val="15"/>
        <w:pageBreakBefore w:val="0"/>
        <w:kinsoku/>
        <w:topLinePunct w:val="0"/>
        <w:bidi w:val="0"/>
        <w:spacing w:before="60" w:after="60"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p>
    <w:p w14:paraId="67227FC1">
      <w:pPr>
        <w:pStyle w:val="15"/>
        <w:pageBreakBefore w:val="0"/>
        <w:kinsoku/>
        <w:topLinePunct w:val="0"/>
        <w:bidi w:val="0"/>
        <w:spacing w:before="60" w:after="60"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采购人名称：</w:t>
      </w:r>
    </w:p>
    <w:p w14:paraId="13490D8F">
      <w:pPr>
        <w:pStyle w:val="15"/>
        <w:pageBreakBefore w:val="0"/>
        <w:kinsoku/>
        <w:topLinePunct w:val="0"/>
        <w:bidi w:val="0"/>
        <w:spacing w:before="60" w:after="60"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代理机构名称：</w:t>
      </w:r>
    </w:p>
    <w:p w14:paraId="0651A29E">
      <w:pPr>
        <w:pStyle w:val="15"/>
        <w:pageBreakBefore w:val="0"/>
        <w:kinsoku/>
        <w:topLinePunct w:val="0"/>
        <w:bidi w:val="0"/>
        <w:spacing w:before="60" w:after="60" w:line="360" w:lineRule="auto"/>
        <w:ind w:left="25" w:leftChars="12" w:firstLine="472" w:firstLineChars="197"/>
        <w:rPr>
          <w:rFonts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p>
    <w:p w14:paraId="07E66942">
      <w:pPr>
        <w:pStyle w:val="15"/>
        <w:pageBreakBefore w:val="0"/>
        <w:kinsoku/>
        <w:topLinePunct w:val="0"/>
        <w:bidi w:val="0"/>
        <w:spacing w:before="60" w:after="60" w:line="360" w:lineRule="auto"/>
        <w:ind w:left="25" w:leftChars="12" w:firstLine="472" w:firstLineChars="197"/>
        <w:rPr>
          <w:rFonts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p>
    <w:p w14:paraId="2CA8C77C">
      <w:pPr>
        <w:pStyle w:val="15"/>
        <w:pageBreakBefore w:val="0"/>
        <w:kinsoku/>
        <w:topLinePunct w:val="0"/>
        <w:bidi w:val="0"/>
        <w:spacing w:before="60" w:after="60"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三、质疑基本情况</w:t>
      </w:r>
    </w:p>
    <w:p w14:paraId="2CAED117">
      <w:pPr>
        <w:pStyle w:val="15"/>
        <w:pageBreakBefore w:val="0"/>
        <w:kinsoku/>
        <w:topLinePunct w:val="0"/>
        <w:bidi w:val="0"/>
        <w:spacing w:before="60" w:after="60" w:line="360" w:lineRule="auto"/>
        <w:ind w:firstLine="480" w:firstLineChars="200"/>
        <w:rPr>
          <w:rFonts w:hAnsi="宋体"/>
          <w:color w:val="auto"/>
          <w:sz w:val="24"/>
          <w:szCs w:val="24"/>
          <w:highlight w:val="none"/>
        </w:rPr>
      </w:pPr>
      <w:r>
        <w:rPr>
          <w:rFonts w:hint="eastAsia" w:hAnsi="宋体"/>
          <w:color w:val="auto"/>
          <w:sz w:val="24"/>
          <w:szCs w:val="24"/>
          <w:highlight w:val="none"/>
        </w:rPr>
        <w:t>投诉人于年月日，向提出质疑，质疑事项为：</w:t>
      </w:r>
    </w:p>
    <w:p w14:paraId="09D8449D">
      <w:pPr>
        <w:pStyle w:val="15"/>
        <w:pageBreakBefore w:val="0"/>
        <w:kinsoku/>
        <w:topLinePunct w:val="0"/>
        <w:bidi w:val="0"/>
        <w:spacing w:before="60" w:after="60" w:line="360" w:lineRule="auto"/>
        <w:ind w:firstLine="480" w:firstLineChars="200"/>
        <w:rPr>
          <w:rFonts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rPr>
        <w:t>年月日，</w:t>
      </w:r>
      <w:r>
        <w:rPr>
          <w:rFonts w:hint="eastAsia" w:hAnsi="宋体"/>
          <w:bCs/>
          <w:color w:val="auto"/>
          <w:sz w:val="24"/>
          <w:szCs w:val="24"/>
          <w:highlight w:val="none"/>
        </w:rPr>
        <w:t xml:space="preserve">就质疑事项作出了答复/没有在法定期限内作出答复。                                                                                             </w:t>
      </w:r>
    </w:p>
    <w:p w14:paraId="3F63E5A8">
      <w:pPr>
        <w:pStyle w:val="15"/>
        <w:pageBreakBefore w:val="0"/>
        <w:kinsoku/>
        <w:topLinePunct w:val="0"/>
        <w:bidi w:val="0"/>
        <w:spacing w:before="60" w:after="60"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四、投诉事项具体内容</w:t>
      </w:r>
    </w:p>
    <w:p w14:paraId="1A793DE3">
      <w:pPr>
        <w:pStyle w:val="15"/>
        <w:pageBreakBefore w:val="0"/>
        <w:kinsoku/>
        <w:topLinePunct w:val="0"/>
        <w:bidi w:val="0"/>
        <w:spacing w:before="60" w:after="60"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投诉事项1：</w:t>
      </w:r>
    </w:p>
    <w:p w14:paraId="6E41A9D4">
      <w:pPr>
        <w:pStyle w:val="15"/>
        <w:pageBreakBefore w:val="0"/>
        <w:kinsoku/>
        <w:topLinePunct w:val="0"/>
        <w:bidi w:val="0"/>
        <w:spacing w:before="60" w:after="60"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事实依据：</w:t>
      </w:r>
    </w:p>
    <w:p w14:paraId="7D8DBB8A">
      <w:pPr>
        <w:pStyle w:val="15"/>
        <w:pageBreakBefore w:val="0"/>
        <w:kinsoku/>
        <w:topLinePunct w:val="0"/>
        <w:bidi w:val="0"/>
        <w:spacing w:before="60" w:after="60" w:line="360" w:lineRule="auto"/>
        <w:ind w:left="25" w:leftChars="12" w:firstLine="472" w:firstLineChars="197"/>
        <w:rPr>
          <w:rFonts w:hAnsi="宋体"/>
          <w:color w:val="auto"/>
          <w:sz w:val="24"/>
          <w:szCs w:val="24"/>
          <w:highlight w:val="none"/>
        </w:rPr>
      </w:pPr>
    </w:p>
    <w:p w14:paraId="09F1749A">
      <w:pPr>
        <w:pStyle w:val="15"/>
        <w:pageBreakBefore w:val="0"/>
        <w:kinsoku/>
        <w:topLinePunct w:val="0"/>
        <w:bidi w:val="0"/>
        <w:spacing w:before="60" w:after="60"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法律依据：</w:t>
      </w:r>
    </w:p>
    <w:p w14:paraId="6F31065F">
      <w:pPr>
        <w:pStyle w:val="15"/>
        <w:pageBreakBefore w:val="0"/>
        <w:kinsoku/>
        <w:topLinePunct w:val="0"/>
        <w:bidi w:val="0"/>
        <w:spacing w:before="60" w:after="60" w:line="360" w:lineRule="auto"/>
        <w:ind w:left="25" w:leftChars="12" w:firstLine="352" w:firstLineChars="147"/>
        <w:rPr>
          <w:rFonts w:hAnsi="宋体"/>
          <w:bCs/>
          <w:color w:val="auto"/>
          <w:sz w:val="24"/>
          <w:szCs w:val="24"/>
          <w:highlight w:val="none"/>
          <w:u w:val="single"/>
        </w:rPr>
      </w:pPr>
    </w:p>
    <w:p w14:paraId="6C00E398">
      <w:pPr>
        <w:pStyle w:val="15"/>
        <w:pageBreakBefore w:val="0"/>
        <w:kinsoku/>
        <w:topLinePunct w:val="0"/>
        <w:bidi w:val="0"/>
        <w:spacing w:before="60" w:after="60" w:line="360" w:lineRule="auto"/>
        <w:ind w:left="25" w:leftChars="12" w:firstLine="472" w:firstLineChars="197"/>
        <w:rPr>
          <w:rFonts w:hAnsi="宋体"/>
          <w:bCs/>
          <w:color w:val="auto"/>
          <w:sz w:val="24"/>
          <w:szCs w:val="24"/>
          <w:highlight w:val="none"/>
        </w:rPr>
      </w:pPr>
      <w:r>
        <w:rPr>
          <w:rFonts w:hint="eastAsia" w:hAnsi="宋体"/>
          <w:color w:val="auto"/>
          <w:sz w:val="24"/>
          <w:szCs w:val="24"/>
          <w:highlight w:val="none"/>
        </w:rPr>
        <w:t xml:space="preserve">投诉事项2  </w:t>
      </w:r>
    </w:p>
    <w:p w14:paraId="4752DE07">
      <w:pPr>
        <w:pStyle w:val="15"/>
        <w:pageBreakBefore w:val="0"/>
        <w:kinsoku/>
        <w:topLinePunct w:val="0"/>
        <w:bidi w:val="0"/>
        <w:spacing w:before="60" w:after="60" w:line="360" w:lineRule="auto"/>
        <w:ind w:left="25" w:leftChars="12" w:firstLine="472" w:firstLineChars="197"/>
        <w:rPr>
          <w:rFonts w:hAnsi="宋体"/>
          <w:bCs/>
          <w:color w:val="auto"/>
          <w:sz w:val="24"/>
          <w:szCs w:val="24"/>
          <w:highlight w:val="none"/>
        </w:rPr>
      </w:pPr>
      <w:r>
        <w:rPr>
          <w:rFonts w:hAnsi="宋体"/>
          <w:bCs/>
          <w:color w:val="auto"/>
          <w:sz w:val="24"/>
          <w:szCs w:val="24"/>
          <w:highlight w:val="none"/>
        </w:rPr>
        <w:t>……</w:t>
      </w:r>
    </w:p>
    <w:p w14:paraId="370C469A">
      <w:pPr>
        <w:pStyle w:val="15"/>
        <w:pageBreakBefore w:val="0"/>
        <w:kinsoku/>
        <w:topLinePunct w:val="0"/>
        <w:bidi w:val="0"/>
        <w:spacing w:before="60" w:after="60"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五、与投诉事项相关的投诉请求：</w:t>
      </w:r>
    </w:p>
    <w:p w14:paraId="554B6927">
      <w:pPr>
        <w:pStyle w:val="15"/>
        <w:pageBreakBefore w:val="0"/>
        <w:kinsoku/>
        <w:topLinePunct w:val="0"/>
        <w:bidi w:val="0"/>
        <w:spacing w:before="60" w:after="60"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请求：</w:t>
      </w:r>
    </w:p>
    <w:p w14:paraId="0B0AE342">
      <w:pPr>
        <w:pStyle w:val="15"/>
        <w:pageBreakBefore w:val="0"/>
        <w:kinsoku/>
        <w:topLinePunct w:val="0"/>
        <w:bidi w:val="0"/>
        <w:spacing w:before="60" w:after="60" w:line="360" w:lineRule="auto"/>
        <w:ind w:left="25" w:leftChars="12" w:firstLine="352" w:firstLineChars="147"/>
        <w:rPr>
          <w:rFonts w:hAnsi="宋体"/>
          <w:color w:val="auto"/>
          <w:sz w:val="24"/>
          <w:szCs w:val="24"/>
          <w:highlight w:val="none"/>
        </w:rPr>
      </w:pPr>
    </w:p>
    <w:p w14:paraId="3A3103E3">
      <w:pPr>
        <w:pStyle w:val="15"/>
        <w:pageBreakBefore w:val="0"/>
        <w:kinsoku/>
        <w:topLinePunct w:val="0"/>
        <w:bidi w:val="0"/>
        <w:spacing w:before="60" w:after="60"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14:paraId="474B374D">
      <w:pPr>
        <w:pStyle w:val="15"/>
        <w:pageBreakBefore w:val="0"/>
        <w:kinsoku/>
        <w:topLinePunct w:val="0"/>
        <w:bidi w:val="0"/>
        <w:spacing w:before="60" w:after="60" w:line="360" w:lineRule="auto"/>
        <w:ind w:left="25" w:leftChars="12" w:firstLine="352" w:firstLineChars="147"/>
        <w:rPr>
          <w:rFonts w:hAnsi="宋体"/>
          <w:color w:val="auto"/>
          <w:sz w:val="24"/>
          <w:szCs w:val="24"/>
          <w:highlight w:val="none"/>
        </w:rPr>
      </w:pPr>
    </w:p>
    <w:p w14:paraId="296294AF">
      <w:pPr>
        <w:pStyle w:val="15"/>
        <w:pageBreakBefore w:val="0"/>
        <w:kinsoku/>
        <w:topLinePunct w:val="0"/>
        <w:bidi w:val="0"/>
        <w:spacing w:before="60" w:after="60"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3371967A">
      <w:pPr>
        <w:pStyle w:val="15"/>
        <w:pageBreakBefore w:val="0"/>
        <w:kinsoku/>
        <w:topLinePunct w:val="0"/>
        <w:bidi w:val="0"/>
        <w:snapToGrid w:val="0"/>
        <w:spacing w:before="60" w:after="60" w:line="360" w:lineRule="auto"/>
        <w:rPr>
          <w:rFonts w:hAnsi="宋体"/>
          <w:b/>
          <w:color w:val="auto"/>
          <w:sz w:val="24"/>
          <w:szCs w:val="24"/>
          <w:highlight w:val="none"/>
        </w:rPr>
      </w:pPr>
      <w:r>
        <w:rPr>
          <w:rFonts w:hint="eastAsia" w:hAnsi="宋体"/>
          <w:b/>
          <w:color w:val="auto"/>
          <w:sz w:val="24"/>
          <w:szCs w:val="24"/>
          <w:highlight w:val="none"/>
        </w:rPr>
        <w:t>说明：</w:t>
      </w:r>
    </w:p>
    <w:p w14:paraId="03D7256E">
      <w:pPr>
        <w:pStyle w:val="15"/>
        <w:pageBreakBefore w:val="0"/>
        <w:kinsoku/>
        <w:topLinePunct w:val="0"/>
        <w:bidi w:val="0"/>
        <w:spacing w:before="60" w:after="60" w:line="360" w:lineRule="auto"/>
        <w:ind w:left="25" w:leftChars="12" w:firstLine="354" w:firstLineChars="147"/>
        <w:rPr>
          <w:rFonts w:hAnsi="宋体"/>
          <w:b/>
          <w:bCs/>
          <w:color w:val="auto"/>
          <w:sz w:val="24"/>
          <w:szCs w:val="24"/>
          <w:highlight w:val="none"/>
        </w:rPr>
      </w:pPr>
      <w:r>
        <w:rPr>
          <w:rFonts w:hint="eastAsia" w:hAnsi="宋体"/>
          <w:b/>
          <w:color w:val="auto"/>
          <w:sz w:val="24"/>
          <w:szCs w:val="24"/>
          <w:highlight w:val="none"/>
        </w:rPr>
        <w:t>1</w:t>
      </w:r>
      <w:r>
        <w:rPr>
          <w:rFonts w:hint="eastAsia" w:hAnsi="宋体"/>
          <w:b/>
          <w:color w:val="auto"/>
          <w:sz w:val="24"/>
          <w:szCs w:val="24"/>
          <w:highlight w:val="none"/>
          <w:lang w:eastAsia="zh-CN"/>
        </w:rPr>
        <w:t>.</w:t>
      </w:r>
      <w:r>
        <w:rPr>
          <w:rFonts w:hint="eastAsia" w:hAnsi="宋体"/>
          <w:b/>
          <w:color w:val="auto"/>
          <w:sz w:val="24"/>
          <w:szCs w:val="24"/>
          <w:highlight w:val="none"/>
        </w:rPr>
        <w:t>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2ECB0FB8">
      <w:pPr>
        <w:pStyle w:val="15"/>
        <w:pageBreakBefore w:val="0"/>
        <w:kinsoku/>
        <w:topLinePunct w:val="0"/>
        <w:bidi w:val="0"/>
        <w:spacing w:before="60" w:after="60"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2</w:t>
      </w:r>
      <w:r>
        <w:rPr>
          <w:rFonts w:hint="eastAsia" w:hAnsi="宋体"/>
          <w:b/>
          <w:color w:val="auto"/>
          <w:sz w:val="24"/>
          <w:szCs w:val="24"/>
          <w:highlight w:val="none"/>
          <w:lang w:eastAsia="zh-CN"/>
        </w:rPr>
        <w:t>.</w:t>
      </w:r>
      <w:r>
        <w:rPr>
          <w:rFonts w:hint="eastAsia" w:hAnsi="宋体"/>
          <w:b/>
          <w:color w:val="auto"/>
          <w:sz w:val="24"/>
          <w:szCs w:val="24"/>
          <w:highlight w:val="none"/>
        </w:rPr>
        <w:t>投诉人若委托代理人进行投诉的，投诉书应按要求列明“授权代表”的有关内容，并在附件中提交由投诉人签署的授权委托书。授权委托书应当载明代理人的姓名或者名称、代理事项、具体权限、期限和相关事项。</w:t>
      </w:r>
    </w:p>
    <w:p w14:paraId="3F3ACAF3">
      <w:pPr>
        <w:pStyle w:val="15"/>
        <w:pageBreakBefore w:val="0"/>
        <w:kinsoku/>
        <w:topLinePunct w:val="0"/>
        <w:bidi w:val="0"/>
        <w:spacing w:before="60" w:after="60"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3</w:t>
      </w:r>
      <w:r>
        <w:rPr>
          <w:rFonts w:hint="eastAsia" w:hAnsi="宋体"/>
          <w:b/>
          <w:color w:val="auto"/>
          <w:sz w:val="24"/>
          <w:szCs w:val="24"/>
          <w:highlight w:val="none"/>
          <w:lang w:eastAsia="zh-CN"/>
        </w:rPr>
        <w:t>.</w:t>
      </w:r>
      <w:r>
        <w:rPr>
          <w:rFonts w:hint="eastAsia" w:hAnsi="宋体"/>
          <w:b/>
          <w:color w:val="auto"/>
          <w:sz w:val="24"/>
          <w:szCs w:val="24"/>
          <w:highlight w:val="none"/>
        </w:rPr>
        <w:t>投诉书应简要列明质疑事项，质疑函、质疑答复等作为附件材料提供。</w:t>
      </w:r>
    </w:p>
    <w:p w14:paraId="0EBC9378">
      <w:pPr>
        <w:pStyle w:val="15"/>
        <w:pageBreakBefore w:val="0"/>
        <w:kinsoku/>
        <w:topLinePunct w:val="0"/>
        <w:bidi w:val="0"/>
        <w:spacing w:before="60" w:after="60"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4</w:t>
      </w:r>
      <w:r>
        <w:rPr>
          <w:rFonts w:hint="eastAsia" w:hAnsi="宋体"/>
          <w:b/>
          <w:color w:val="auto"/>
          <w:sz w:val="24"/>
          <w:szCs w:val="24"/>
          <w:highlight w:val="none"/>
          <w:lang w:eastAsia="zh-CN"/>
        </w:rPr>
        <w:t>.</w:t>
      </w:r>
      <w:r>
        <w:rPr>
          <w:rFonts w:hint="eastAsia" w:hAnsi="宋体"/>
          <w:b/>
          <w:color w:val="auto"/>
          <w:sz w:val="24"/>
          <w:szCs w:val="24"/>
          <w:highlight w:val="none"/>
        </w:rPr>
        <w:t>投诉书的投诉事项应具体、明确，并有必要的事实依据和法律依据。</w:t>
      </w:r>
    </w:p>
    <w:p w14:paraId="7FC17EC2">
      <w:pPr>
        <w:pStyle w:val="15"/>
        <w:pageBreakBefore w:val="0"/>
        <w:kinsoku/>
        <w:topLinePunct w:val="0"/>
        <w:bidi w:val="0"/>
        <w:spacing w:before="60" w:after="60"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5</w:t>
      </w:r>
      <w:r>
        <w:rPr>
          <w:rFonts w:hint="eastAsia" w:hAnsi="宋体"/>
          <w:b/>
          <w:color w:val="auto"/>
          <w:sz w:val="24"/>
          <w:szCs w:val="24"/>
          <w:highlight w:val="none"/>
          <w:lang w:eastAsia="zh-CN"/>
        </w:rPr>
        <w:t>.</w:t>
      </w:r>
      <w:r>
        <w:rPr>
          <w:rFonts w:hint="eastAsia" w:hAnsi="宋体"/>
          <w:b/>
          <w:color w:val="auto"/>
          <w:sz w:val="24"/>
          <w:szCs w:val="24"/>
          <w:highlight w:val="none"/>
        </w:rPr>
        <w:t>投诉书的投诉请求应与投诉事项相关。</w:t>
      </w:r>
    </w:p>
    <w:p w14:paraId="302B18A4">
      <w:pPr>
        <w:pStyle w:val="15"/>
        <w:pageBreakBefore w:val="0"/>
        <w:kinsoku/>
        <w:topLinePunct w:val="0"/>
        <w:bidi w:val="0"/>
        <w:spacing w:before="60" w:after="60" w:line="360" w:lineRule="auto"/>
        <w:ind w:left="25" w:leftChars="12" w:firstLine="354" w:firstLineChars="147"/>
        <w:rPr>
          <w:rFonts w:hAnsi="宋体"/>
          <w:b/>
          <w:color w:val="auto"/>
          <w:highlight w:val="none"/>
        </w:rPr>
      </w:pPr>
      <w:r>
        <w:rPr>
          <w:rFonts w:hint="eastAsia" w:hAnsi="宋体"/>
          <w:b/>
          <w:color w:val="auto"/>
          <w:sz w:val="24"/>
          <w:szCs w:val="24"/>
          <w:highlight w:val="none"/>
        </w:rPr>
        <w:t>6</w:t>
      </w:r>
      <w:r>
        <w:rPr>
          <w:rFonts w:hint="eastAsia" w:hAnsi="宋体"/>
          <w:b/>
          <w:color w:val="auto"/>
          <w:sz w:val="24"/>
          <w:szCs w:val="24"/>
          <w:highlight w:val="none"/>
          <w:lang w:eastAsia="zh-CN"/>
        </w:rPr>
        <w:t>.</w:t>
      </w:r>
      <w:r>
        <w:rPr>
          <w:rFonts w:hint="eastAsia" w:hAnsi="宋体"/>
          <w:b/>
          <w:color w:val="auto"/>
          <w:sz w:val="24"/>
          <w:szCs w:val="24"/>
          <w:highlight w:val="none"/>
        </w:rPr>
        <w:t>投诉人为法人或者其他组织的，投诉书应由法定代表人、主要负责人，或者其授权代表签字或者盖章，并加盖公章。</w:t>
      </w:r>
    </w:p>
    <w:p w14:paraId="70B40E35">
      <w:pPr>
        <w:pStyle w:val="3"/>
        <w:pageBreakBefore w:val="0"/>
        <w:kinsoku/>
        <w:topLinePunct w:val="0"/>
        <w:bidi w:val="0"/>
        <w:spacing w:before="60" w:after="60" w:line="360" w:lineRule="auto"/>
        <w:jc w:val="center"/>
        <w:rPr>
          <w:rFonts w:hint="eastAsia"/>
          <w:color w:val="auto"/>
          <w:highlight w:val="none"/>
        </w:rPr>
      </w:pPr>
      <w:bookmarkStart w:id="182" w:name="_Toc1964"/>
    </w:p>
    <w:p w14:paraId="1BEDE31C">
      <w:pPr>
        <w:pStyle w:val="3"/>
        <w:pageBreakBefore w:val="0"/>
        <w:kinsoku/>
        <w:topLinePunct w:val="0"/>
        <w:bidi w:val="0"/>
        <w:spacing w:before="60" w:after="60" w:line="360" w:lineRule="auto"/>
        <w:jc w:val="center"/>
        <w:rPr>
          <w:rFonts w:hint="eastAsia"/>
          <w:color w:val="auto"/>
          <w:highlight w:val="none"/>
        </w:rPr>
      </w:pPr>
    </w:p>
    <w:p w14:paraId="78941818">
      <w:pPr>
        <w:pStyle w:val="3"/>
        <w:pageBreakBefore w:val="0"/>
        <w:kinsoku/>
        <w:topLinePunct w:val="0"/>
        <w:bidi w:val="0"/>
        <w:spacing w:before="60" w:after="60" w:line="360" w:lineRule="auto"/>
        <w:jc w:val="center"/>
        <w:rPr>
          <w:rFonts w:hint="eastAsia"/>
          <w:color w:val="auto"/>
          <w:highlight w:val="none"/>
        </w:rPr>
      </w:pPr>
    </w:p>
    <w:p w14:paraId="625F941D">
      <w:pPr>
        <w:pStyle w:val="3"/>
        <w:pageBreakBefore w:val="0"/>
        <w:kinsoku/>
        <w:topLinePunct w:val="0"/>
        <w:bidi w:val="0"/>
        <w:spacing w:before="60" w:after="60" w:line="360" w:lineRule="auto"/>
        <w:jc w:val="center"/>
        <w:rPr>
          <w:rFonts w:hint="eastAsia"/>
          <w:color w:val="auto"/>
          <w:highlight w:val="none"/>
        </w:rPr>
      </w:pPr>
    </w:p>
    <w:p w14:paraId="39F2A934">
      <w:pPr>
        <w:pStyle w:val="3"/>
        <w:pageBreakBefore w:val="0"/>
        <w:kinsoku/>
        <w:topLinePunct w:val="0"/>
        <w:bidi w:val="0"/>
        <w:spacing w:before="60" w:after="60" w:line="360" w:lineRule="auto"/>
        <w:jc w:val="center"/>
        <w:rPr>
          <w:rFonts w:hint="eastAsia"/>
          <w:color w:val="auto"/>
          <w:highlight w:val="none"/>
        </w:rPr>
      </w:pPr>
    </w:p>
    <w:p w14:paraId="41AD217A">
      <w:pPr>
        <w:pStyle w:val="3"/>
        <w:pageBreakBefore w:val="0"/>
        <w:kinsoku/>
        <w:topLinePunct w:val="0"/>
        <w:bidi w:val="0"/>
        <w:spacing w:before="60" w:after="60" w:line="360" w:lineRule="auto"/>
        <w:jc w:val="center"/>
        <w:rPr>
          <w:rFonts w:hint="eastAsia"/>
          <w:color w:val="auto"/>
          <w:highlight w:val="none"/>
        </w:rPr>
      </w:pPr>
    </w:p>
    <w:p w14:paraId="7EEA33FA">
      <w:pPr>
        <w:pStyle w:val="3"/>
        <w:pageBreakBefore w:val="0"/>
        <w:kinsoku/>
        <w:topLinePunct w:val="0"/>
        <w:bidi w:val="0"/>
        <w:spacing w:before="60" w:after="60" w:line="360" w:lineRule="auto"/>
        <w:jc w:val="center"/>
        <w:rPr>
          <w:color w:val="auto"/>
          <w:highlight w:val="none"/>
        </w:rPr>
      </w:pPr>
      <w:r>
        <w:rPr>
          <w:rFonts w:hint="eastAsia"/>
          <w:color w:val="auto"/>
          <w:highlight w:val="none"/>
        </w:rPr>
        <w:t>第六章 合同文本</w:t>
      </w:r>
      <w:bookmarkEnd w:id="182"/>
    </w:p>
    <w:p w14:paraId="63108127">
      <w:pPr>
        <w:pageBreakBefore w:val="0"/>
        <w:kinsoku/>
        <w:topLinePunct w:val="0"/>
        <w:bidi w:val="0"/>
        <w:spacing w:before="60" w:after="60" w:line="360" w:lineRule="auto"/>
        <w:ind w:left="2222"/>
        <w:rPr>
          <w:rFonts w:ascii="宋体" w:hAnsi="宋体" w:eastAsia="宋体" w:cs="宋体"/>
          <w:b/>
          <w:bCs/>
          <w:color w:val="auto"/>
          <w:spacing w:val="6"/>
          <w:sz w:val="31"/>
          <w:szCs w:val="31"/>
          <w:highlight w:val="none"/>
        </w:rPr>
      </w:pPr>
    </w:p>
    <w:p w14:paraId="5DDF90BD">
      <w:pPr>
        <w:pageBreakBefore w:val="0"/>
        <w:kinsoku/>
        <w:topLinePunct w:val="0"/>
        <w:bidi w:val="0"/>
        <w:spacing w:before="60" w:after="60" w:line="360" w:lineRule="auto"/>
        <w:ind w:left="2222"/>
        <w:rPr>
          <w:rFonts w:ascii="宋体" w:hAnsi="宋体" w:eastAsia="宋体" w:cs="宋体"/>
          <w:b/>
          <w:bCs/>
          <w:color w:val="auto"/>
          <w:spacing w:val="6"/>
          <w:sz w:val="31"/>
          <w:szCs w:val="31"/>
          <w:highlight w:val="none"/>
        </w:rPr>
      </w:pPr>
    </w:p>
    <w:p w14:paraId="5CC3E224">
      <w:pPr>
        <w:pageBreakBefore w:val="0"/>
        <w:kinsoku/>
        <w:topLinePunct w:val="0"/>
        <w:bidi w:val="0"/>
        <w:spacing w:before="60" w:after="60" w:line="360" w:lineRule="auto"/>
        <w:ind w:left="2222"/>
        <w:rPr>
          <w:rFonts w:ascii="宋体" w:hAnsi="宋体" w:eastAsia="宋体" w:cs="宋体"/>
          <w:b/>
          <w:bCs/>
          <w:color w:val="auto"/>
          <w:spacing w:val="6"/>
          <w:sz w:val="31"/>
          <w:szCs w:val="31"/>
          <w:highlight w:val="none"/>
        </w:rPr>
      </w:pPr>
    </w:p>
    <w:p w14:paraId="216E283E">
      <w:pPr>
        <w:pageBreakBefore w:val="0"/>
        <w:kinsoku/>
        <w:topLinePunct w:val="0"/>
        <w:bidi w:val="0"/>
        <w:spacing w:before="60" w:after="60" w:line="360" w:lineRule="auto"/>
        <w:ind w:left="2222"/>
        <w:rPr>
          <w:rFonts w:ascii="宋体" w:hAnsi="宋体" w:eastAsia="宋体" w:cs="宋体"/>
          <w:b/>
          <w:bCs/>
          <w:color w:val="auto"/>
          <w:spacing w:val="6"/>
          <w:sz w:val="31"/>
          <w:szCs w:val="31"/>
          <w:highlight w:val="none"/>
        </w:rPr>
      </w:pPr>
    </w:p>
    <w:p w14:paraId="1B66FB4E">
      <w:pPr>
        <w:pageBreakBefore w:val="0"/>
        <w:kinsoku/>
        <w:topLinePunct w:val="0"/>
        <w:bidi w:val="0"/>
        <w:spacing w:before="60" w:after="60" w:line="360" w:lineRule="auto"/>
        <w:ind w:left="2222"/>
        <w:rPr>
          <w:rFonts w:ascii="宋体" w:hAnsi="宋体" w:eastAsia="宋体" w:cs="宋体"/>
          <w:b/>
          <w:bCs/>
          <w:color w:val="auto"/>
          <w:spacing w:val="6"/>
          <w:sz w:val="31"/>
          <w:szCs w:val="31"/>
          <w:highlight w:val="none"/>
        </w:rPr>
      </w:pPr>
    </w:p>
    <w:p w14:paraId="5DEFA391">
      <w:pPr>
        <w:pageBreakBefore w:val="0"/>
        <w:kinsoku/>
        <w:topLinePunct w:val="0"/>
        <w:bidi w:val="0"/>
        <w:spacing w:before="60" w:after="60" w:line="360" w:lineRule="auto"/>
        <w:ind w:left="2222"/>
        <w:rPr>
          <w:rFonts w:ascii="宋体" w:hAnsi="宋体" w:eastAsia="宋体" w:cs="宋体"/>
          <w:b/>
          <w:bCs/>
          <w:color w:val="auto"/>
          <w:spacing w:val="6"/>
          <w:sz w:val="31"/>
          <w:szCs w:val="31"/>
          <w:highlight w:val="none"/>
        </w:rPr>
      </w:pPr>
    </w:p>
    <w:p w14:paraId="41623706">
      <w:pPr>
        <w:pageBreakBefore w:val="0"/>
        <w:kinsoku/>
        <w:topLinePunct w:val="0"/>
        <w:bidi w:val="0"/>
        <w:spacing w:before="60" w:after="60" w:line="360" w:lineRule="auto"/>
        <w:ind w:left="2222"/>
        <w:rPr>
          <w:rFonts w:ascii="宋体" w:hAnsi="宋体" w:eastAsia="宋体" w:cs="宋体"/>
          <w:b/>
          <w:bCs/>
          <w:color w:val="auto"/>
          <w:spacing w:val="6"/>
          <w:sz w:val="31"/>
          <w:szCs w:val="31"/>
          <w:highlight w:val="none"/>
        </w:rPr>
      </w:pPr>
    </w:p>
    <w:p w14:paraId="0E7879ED">
      <w:pPr>
        <w:pageBreakBefore w:val="0"/>
        <w:kinsoku/>
        <w:topLinePunct w:val="0"/>
        <w:bidi w:val="0"/>
        <w:spacing w:before="60" w:after="60" w:line="360" w:lineRule="auto"/>
        <w:ind w:left="2222"/>
        <w:rPr>
          <w:rFonts w:ascii="宋体" w:hAnsi="宋体" w:eastAsia="宋体" w:cs="宋体"/>
          <w:b/>
          <w:bCs/>
          <w:color w:val="auto"/>
          <w:spacing w:val="6"/>
          <w:sz w:val="31"/>
          <w:szCs w:val="31"/>
          <w:highlight w:val="none"/>
        </w:rPr>
      </w:pPr>
    </w:p>
    <w:p w14:paraId="5E402E68">
      <w:pPr>
        <w:pageBreakBefore w:val="0"/>
        <w:kinsoku/>
        <w:topLinePunct w:val="0"/>
        <w:bidi w:val="0"/>
        <w:spacing w:before="60" w:after="60" w:line="360" w:lineRule="auto"/>
        <w:ind w:left="2222"/>
        <w:rPr>
          <w:rFonts w:ascii="宋体" w:hAnsi="宋体" w:eastAsia="宋体" w:cs="宋体"/>
          <w:b/>
          <w:bCs/>
          <w:color w:val="auto"/>
          <w:spacing w:val="6"/>
          <w:sz w:val="31"/>
          <w:szCs w:val="31"/>
          <w:highlight w:val="none"/>
        </w:rPr>
      </w:pPr>
    </w:p>
    <w:p w14:paraId="4F94BB73">
      <w:pPr>
        <w:pageBreakBefore w:val="0"/>
        <w:kinsoku/>
        <w:topLinePunct w:val="0"/>
        <w:bidi w:val="0"/>
        <w:spacing w:before="60" w:after="60" w:line="360" w:lineRule="auto"/>
        <w:ind w:left="2222"/>
        <w:rPr>
          <w:rFonts w:ascii="宋体" w:hAnsi="宋体" w:eastAsia="宋体" w:cs="宋体"/>
          <w:b/>
          <w:bCs/>
          <w:color w:val="auto"/>
          <w:spacing w:val="6"/>
          <w:sz w:val="31"/>
          <w:szCs w:val="31"/>
          <w:highlight w:val="none"/>
        </w:rPr>
      </w:pPr>
    </w:p>
    <w:p w14:paraId="5AF59725">
      <w:pPr>
        <w:pageBreakBefore w:val="0"/>
        <w:kinsoku/>
        <w:topLinePunct w:val="0"/>
        <w:bidi w:val="0"/>
        <w:spacing w:before="60" w:after="60" w:line="360" w:lineRule="auto"/>
        <w:ind w:left="2222"/>
        <w:rPr>
          <w:rFonts w:ascii="宋体" w:hAnsi="宋体" w:eastAsia="宋体" w:cs="宋体"/>
          <w:b/>
          <w:bCs/>
          <w:color w:val="auto"/>
          <w:spacing w:val="6"/>
          <w:sz w:val="31"/>
          <w:szCs w:val="31"/>
          <w:highlight w:val="none"/>
        </w:rPr>
      </w:pPr>
    </w:p>
    <w:p w14:paraId="6BA81932">
      <w:pPr>
        <w:pageBreakBefore w:val="0"/>
        <w:kinsoku/>
        <w:topLinePunct w:val="0"/>
        <w:bidi w:val="0"/>
        <w:spacing w:before="60" w:after="60" w:line="360" w:lineRule="auto"/>
        <w:ind w:left="2222"/>
        <w:rPr>
          <w:rFonts w:ascii="宋体" w:hAnsi="宋体" w:eastAsia="宋体" w:cs="宋体"/>
          <w:b/>
          <w:bCs/>
          <w:color w:val="auto"/>
          <w:spacing w:val="6"/>
          <w:sz w:val="31"/>
          <w:szCs w:val="31"/>
          <w:highlight w:val="none"/>
        </w:rPr>
      </w:pPr>
    </w:p>
    <w:p w14:paraId="1239DBAC">
      <w:pPr>
        <w:pageBreakBefore w:val="0"/>
        <w:kinsoku/>
        <w:topLinePunct w:val="0"/>
        <w:bidi w:val="0"/>
        <w:spacing w:before="60" w:after="60" w:line="360" w:lineRule="auto"/>
        <w:ind w:left="2222"/>
        <w:rPr>
          <w:rFonts w:ascii="宋体" w:hAnsi="宋体" w:eastAsia="宋体" w:cs="宋体"/>
          <w:b/>
          <w:bCs/>
          <w:color w:val="auto"/>
          <w:spacing w:val="6"/>
          <w:sz w:val="31"/>
          <w:szCs w:val="31"/>
          <w:highlight w:val="none"/>
        </w:rPr>
      </w:pPr>
    </w:p>
    <w:p w14:paraId="227BD9AD">
      <w:pPr>
        <w:spacing w:line="360" w:lineRule="auto"/>
        <w:jc w:val="center"/>
        <w:rPr>
          <w:rFonts w:hint="eastAsia" w:ascii="宋体" w:hAnsi="宋体" w:eastAsia="宋体" w:cs="宋体"/>
          <w:b/>
          <w:bCs/>
          <w:color w:val="auto"/>
          <w:sz w:val="44"/>
          <w:highlight w:val="none"/>
        </w:rPr>
      </w:pPr>
      <w:r>
        <w:rPr>
          <w:rFonts w:hint="eastAsia" w:ascii="宋体" w:hAnsi="宋体" w:cs="宋体"/>
          <w:b/>
          <w:bCs/>
          <w:color w:val="auto"/>
          <w:sz w:val="44"/>
          <w:highlight w:val="none"/>
          <w:u w:val="single"/>
          <w:lang w:eastAsia="zh-CN"/>
        </w:rPr>
        <w:t>政府购买服务开展就业公共服务专题活动</w:t>
      </w:r>
      <w:r>
        <w:rPr>
          <w:rFonts w:hint="eastAsia" w:ascii="宋体" w:hAnsi="宋体" w:eastAsia="宋体" w:cs="宋体"/>
          <w:b/>
          <w:bCs/>
          <w:color w:val="auto"/>
          <w:sz w:val="44"/>
          <w:highlight w:val="none"/>
        </w:rPr>
        <w:t>合同</w:t>
      </w:r>
    </w:p>
    <w:p w14:paraId="29C57BC3">
      <w:pPr>
        <w:spacing w:line="360" w:lineRule="auto"/>
        <w:rPr>
          <w:rFonts w:hint="eastAsia" w:ascii="宋体" w:hAnsi="宋体" w:eastAsia="宋体" w:cs="宋体"/>
          <w:b/>
          <w:bCs/>
          <w:color w:val="auto"/>
          <w:sz w:val="44"/>
          <w:highlight w:val="none"/>
        </w:rPr>
      </w:pPr>
    </w:p>
    <w:p w14:paraId="38035F84">
      <w:pPr>
        <w:spacing w:line="360" w:lineRule="auto"/>
        <w:ind w:firstLine="3507" w:firstLineChars="794"/>
        <w:rPr>
          <w:rFonts w:hint="eastAsia" w:ascii="宋体" w:hAnsi="宋体" w:eastAsia="宋体" w:cs="宋体"/>
          <w:b/>
          <w:bCs/>
          <w:color w:val="auto"/>
          <w:sz w:val="44"/>
          <w:highlight w:val="none"/>
        </w:rPr>
      </w:pPr>
    </w:p>
    <w:p w14:paraId="436CDA36">
      <w:pPr>
        <w:ind w:firstLine="1995" w:firstLineChars="552"/>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采购项目编号：</w:t>
      </w:r>
    </w:p>
    <w:p w14:paraId="05BD1EB5">
      <w:pPr>
        <w:ind w:firstLine="1995" w:firstLineChars="552"/>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采购计划编号：</w:t>
      </w:r>
    </w:p>
    <w:p w14:paraId="59CD25A9">
      <w:pPr>
        <w:ind w:firstLine="1308" w:firstLineChars="545"/>
        <w:rPr>
          <w:rFonts w:hint="eastAsia" w:ascii="宋体" w:hAnsi="宋体" w:eastAsia="宋体" w:cs="宋体"/>
          <w:color w:val="auto"/>
          <w:sz w:val="24"/>
          <w:highlight w:val="none"/>
        </w:rPr>
      </w:pPr>
    </w:p>
    <w:p w14:paraId="1A093230">
      <w:pPr>
        <w:ind w:firstLine="1995" w:firstLineChars="552"/>
        <w:rPr>
          <w:rFonts w:hint="eastAsia" w:ascii="宋体" w:hAnsi="宋体" w:eastAsia="宋体" w:cs="宋体"/>
          <w:b/>
          <w:color w:val="auto"/>
          <w:sz w:val="36"/>
          <w:szCs w:val="36"/>
          <w:highlight w:val="none"/>
          <w:u w:val="single"/>
        </w:rPr>
      </w:pPr>
    </w:p>
    <w:p w14:paraId="318532E1">
      <w:pPr>
        <w:ind w:firstLine="1995" w:firstLineChars="552"/>
        <w:rPr>
          <w:rFonts w:hint="eastAsia" w:ascii="宋体" w:hAnsi="宋体" w:eastAsia="宋体" w:cs="宋体"/>
          <w:b/>
          <w:color w:val="auto"/>
          <w:sz w:val="36"/>
          <w:szCs w:val="36"/>
          <w:highlight w:val="none"/>
          <w:u w:val="single"/>
        </w:rPr>
      </w:pPr>
    </w:p>
    <w:p w14:paraId="1DC6DBCB">
      <w:pPr>
        <w:tabs>
          <w:tab w:val="left" w:pos="7200"/>
        </w:tabs>
        <w:spacing w:line="360" w:lineRule="auto"/>
        <w:ind w:firstLine="1995" w:firstLineChars="552"/>
        <w:rPr>
          <w:rFonts w:hint="eastAsia" w:ascii="宋体" w:hAnsi="宋体" w:eastAsia="宋体" w:cs="宋体"/>
          <w:b/>
          <w:color w:val="auto"/>
          <w:sz w:val="36"/>
          <w:szCs w:val="36"/>
          <w:highlight w:val="none"/>
          <w:u w:val="single"/>
          <w:lang w:eastAsia="zh-CN"/>
        </w:rPr>
      </w:pPr>
      <w:r>
        <w:rPr>
          <w:rFonts w:hint="eastAsia" w:ascii="宋体" w:hAnsi="宋体" w:eastAsia="宋体" w:cs="宋体"/>
          <w:b/>
          <w:color w:val="auto"/>
          <w:sz w:val="36"/>
          <w:szCs w:val="36"/>
          <w:highlight w:val="none"/>
        </w:rPr>
        <w:t>采购人：</w:t>
      </w:r>
      <w:r>
        <w:rPr>
          <w:rFonts w:hint="eastAsia" w:ascii="宋体" w:hAnsi="宋体" w:eastAsia="宋体" w:cs="宋体"/>
          <w:b/>
          <w:color w:val="auto"/>
          <w:sz w:val="36"/>
          <w:szCs w:val="36"/>
          <w:highlight w:val="none"/>
          <w:u w:val="single"/>
          <w:lang w:eastAsia="zh-CN"/>
        </w:rPr>
        <w:t>浦北县人力资源和社会保障局</w:t>
      </w:r>
    </w:p>
    <w:p w14:paraId="566DBBF3">
      <w:pPr>
        <w:tabs>
          <w:tab w:val="left" w:pos="7380"/>
        </w:tabs>
        <w:spacing w:line="360" w:lineRule="auto"/>
        <w:ind w:firstLine="1995" w:firstLineChars="552"/>
        <w:rPr>
          <w:rFonts w:hint="eastAsia" w:ascii="宋体" w:hAnsi="宋体" w:eastAsia="宋体" w:cs="宋体"/>
          <w:b/>
          <w:bCs/>
          <w:color w:val="auto"/>
          <w:sz w:val="44"/>
          <w:highlight w:val="none"/>
        </w:rPr>
      </w:pPr>
      <w:r>
        <w:rPr>
          <w:rFonts w:hint="eastAsia" w:ascii="宋体" w:hAnsi="宋体" w:eastAsia="宋体" w:cs="宋体"/>
          <w:b/>
          <w:color w:val="auto"/>
          <w:sz w:val="36"/>
          <w:szCs w:val="36"/>
          <w:highlight w:val="none"/>
        </w:rPr>
        <w:t>供应商：</w:t>
      </w:r>
    </w:p>
    <w:p w14:paraId="5B0A69A0">
      <w:pPr>
        <w:tabs>
          <w:tab w:val="left" w:pos="7380"/>
        </w:tabs>
        <w:spacing w:line="360" w:lineRule="auto"/>
        <w:rPr>
          <w:rFonts w:hint="eastAsia" w:ascii="宋体" w:hAnsi="宋体" w:eastAsia="宋体" w:cs="宋体"/>
          <w:b/>
          <w:bCs/>
          <w:color w:val="auto"/>
          <w:sz w:val="44"/>
          <w:highlight w:val="none"/>
        </w:rPr>
      </w:pPr>
    </w:p>
    <w:p w14:paraId="574BD157">
      <w:pPr>
        <w:tabs>
          <w:tab w:val="left" w:pos="7380"/>
        </w:tabs>
        <w:spacing w:line="360" w:lineRule="auto"/>
        <w:ind w:firstLine="1995" w:firstLineChars="552"/>
        <w:rPr>
          <w:rFonts w:hint="eastAsia" w:ascii="宋体" w:hAnsi="宋体" w:eastAsia="宋体" w:cs="宋体"/>
          <w:b/>
          <w:color w:val="auto"/>
          <w:sz w:val="36"/>
          <w:szCs w:val="36"/>
          <w:highlight w:val="none"/>
          <w:lang w:val="zh-CN"/>
        </w:rPr>
      </w:pPr>
      <w:r>
        <w:rPr>
          <w:rFonts w:hint="eastAsia" w:ascii="宋体" w:hAnsi="宋体" w:eastAsia="宋体" w:cs="宋体"/>
          <w:b/>
          <w:color w:val="auto"/>
          <w:sz w:val="36"/>
          <w:szCs w:val="36"/>
          <w:highlight w:val="none"/>
          <w:lang w:val="zh-CN"/>
        </w:rPr>
        <w:t>签订时间：     年    月    日</w:t>
      </w:r>
    </w:p>
    <w:p w14:paraId="478C1105">
      <w:pPr>
        <w:snapToGrid w:val="0"/>
        <w:spacing w:line="400" w:lineRule="exact"/>
        <w:ind w:right="-62" w:firstLine="10380" w:firstLineChars="2350"/>
        <w:jc w:val="left"/>
        <w:rPr>
          <w:rFonts w:hint="eastAsia" w:ascii="宋体" w:hAnsi="宋体" w:eastAsia="宋体" w:cs="宋体"/>
          <w:bCs/>
          <w:color w:val="auto"/>
          <w:szCs w:val="21"/>
          <w:highlight w:val="none"/>
        </w:rPr>
      </w:pPr>
      <w:r>
        <w:rPr>
          <w:rFonts w:hint="eastAsia" w:ascii="宋体" w:hAnsi="宋体" w:eastAsia="宋体" w:cs="宋体"/>
          <w:b/>
          <w:bCs/>
          <w:color w:val="auto"/>
          <w:sz w:val="44"/>
          <w:highlight w:val="none"/>
        </w:rPr>
        <w:br w:type="page"/>
      </w:r>
      <w:bookmarkStart w:id="183" w:name="_Toc331685783"/>
    </w:p>
    <w:p w14:paraId="3F6AA4EE">
      <w:pPr>
        <w:snapToGrid w:val="0"/>
        <w:spacing w:line="400" w:lineRule="exact"/>
        <w:ind w:right="-62"/>
        <w:rPr>
          <w:rFonts w:hint="eastAsia" w:ascii="宋体" w:hAnsi="宋体" w:eastAsia="宋体" w:cs="宋体"/>
          <w:bCs/>
          <w:color w:val="auto"/>
          <w:szCs w:val="21"/>
          <w:highlight w:val="none"/>
          <w:u w:val="single"/>
          <w:lang w:val="en-US" w:eastAsia="zh-CN"/>
        </w:rPr>
      </w:pPr>
      <w:r>
        <w:rPr>
          <w:rFonts w:hint="eastAsia" w:ascii="宋体" w:hAnsi="宋体" w:eastAsia="宋体" w:cs="宋体"/>
          <w:bCs/>
          <w:color w:val="auto"/>
          <w:szCs w:val="21"/>
          <w:highlight w:val="none"/>
        </w:rPr>
        <w:t>采购计划编号：</w:t>
      </w:r>
      <w:r>
        <w:rPr>
          <w:rFonts w:hint="eastAsia" w:ascii="宋体" w:hAnsi="宋体" w:eastAsia="宋体" w:cs="宋体"/>
          <w:bCs/>
          <w:color w:val="auto"/>
          <w:szCs w:val="21"/>
          <w:highlight w:val="none"/>
          <w:u w:val="single"/>
          <w:lang w:val="en-US" w:eastAsia="zh-CN"/>
        </w:rPr>
        <w:t xml:space="preserve">                  </w:t>
      </w:r>
    </w:p>
    <w:p w14:paraId="556C82A5">
      <w:pPr>
        <w:snapToGrid w:val="0"/>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采购人（甲方）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浦北县人力资源和社会保障局</w:t>
      </w:r>
      <w:r>
        <w:rPr>
          <w:rFonts w:hint="eastAsia" w:ascii="宋体" w:hAnsi="宋体" w:eastAsia="宋体" w:cs="宋体"/>
          <w:color w:val="auto"/>
          <w:szCs w:val="21"/>
          <w:highlight w:val="none"/>
          <w:u w:val="single"/>
        </w:rPr>
        <w:t xml:space="preserve">  </w:t>
      </w:r>
    </w:p>
    <w:p w14:paraId="6D0C0CB0">
      <w:pPr>
        <w:snapToGrid w:val="0"/>
        <w:spacing w:line="40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供应商（乙方）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p>
    <w:p w14:paraId="759F5769">
      <w:pPr>
        <w:snapToGrid w:val="0"/>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续签</w:t>
      </w:r>
      <w:r>
        <w:rPr>
          <w:rFonts w:hint="eastAsia" w:ascii="宋体" w:hAnsi="宋体" w:eastAsia="宋体" w:cs="宋体"/>
          <w:color w:val="auto"/>
          <w:szCs w:val="21"/>
          <w:highlight w:val="none"/>
        </w:rPr>
        <w:t>项目名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659977A4">
      <w:pPr>
        <w:spacing w:line="400" w:lineRule="exact"/>
        <w:rPr>
          <w:rFonts w:hint="eastAsia" w:ascii="宋体" w:hAnsi="宋体" w:eastAsia="宋体" w:cs="宋体"/>
          <w:color w:val="auto"/>
          <w:szCs w:val="21"/>
          <w:highlight w:val="none"/>
        </w:rPr>
      </w:pPr>
    </w:p>
    <w:p w14:paraId="4779880D">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中华人民共和国民典法》等法律、法规规定，按照竞争性磋商文件（以下简称磋商文件）、竞争性磋商响应文件（以下简称响应文件）规定条款和成交供应商的承诺、甲乙双方签订本采购合同。</w:t>
      </w:r>
    </w:p>
    <w:p w14:paraId="5A9C956C">
      <w:pPr>
        <w:numPr>
          <w:ilvl w:val="0"/>
          <w:numId w:val="1"/>
        </w:numPr>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合同标的及合同金额</w:t>
      </w:r>
    </w:p>
    <w:tbl>
      <w:tblPr>
        <w:tblStyle w:val="3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7"/>
        <w:gridCol w:w="2448"/>
        <w:gridCol w:w="1276"/>
        <w:gridCol w:w="1559"/>
        <w:gridCol w:w="2756"/>
      </w:tblGrid>
      <w:tr w14:paraId="5BF119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637" w:type="dxa"/>
            <w:tcBorders>
              <w:top w:val="single" w:color="auto" w:sz="4" w:space="0"/>
              <w:left w:val="single" w:color="auto" w:sz="4" w:space="0"/>
              <w:bottom w:val="single" w:color="auto" w:sz="4" w:space="0"/>
              <w:right w:val="single" w:color="auto" w:sz="4" w:space="0"/>
            </w:tcBorders>
            <w:noWrap w:val="0"/>
            <w:vAlign w:val="center"/>
          </w:tcPr>
          <w:p w14:paraId="106C39C5">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2448" w:type="dxa"/>
            <w:tcBorders>
              <w:top w:val="single" w:color="auto" w:sz="4" w:space="0"/>
              <w:left w:val="single" w:color="auto" w:sz="4" w:space="0"/>
              <w:bottom w:val="single" w:color="auto" w:sz="4" w:space="0"/>
              <w:right w:val="single" w:color="auto" w:sz="4" w:space="0"/>
            </w:tcBorders>
            <w:noWrap w:val="0"/>
            <w:vAlign w:val="center"/>
          </w:tcPr>
          <w:p w14:paraId="7ED22970">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C72797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D35543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2756" w:type="dxa"/>
            <w:tcBorders>
              <w:top w:val="single" w:color="auto" w:sz="4" w:space="0"/>
              <w:left w:val="single" w:color="auto" w:sz="4" w:space="0"/>
              <w:bottom w:val="single" w:color="auto" w:sz="4" w:space="0"/>
            </w:tcBorders>
            <w:noWrap w:val="0"/>
            <w:vAlign w:val="center"/>
          </w:tcPr>
          <w:p w14:paraId="1A0AE0B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成交报价（元）</w:t>
            </w:r>
          </w:p>
        </w:tc>
      </w:tr>
      <w:tr w14:paraId="1A57E3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36" w:hRule="atLeast"/>
        </w:trPr>
        <w:tc>
          <w:tcPr>
            <w:tcW w:w="637" w:type="dxa"/>
            <w:tcBorders>
              <w:top w:val="single" w:color="auto" w:sz="4" w:space="0"/>
              <w:left w:val="single" w:color="auto" w:sz="4" w:space="0"/>
              <w:bottom w:val="single" w:color="auto" w:sz="4" w:space="0"/>
              <w:right w:val="single" w:color="auto" w:sz="4" w:space="0"/>
            </w:tcBorders>
            <w:noWrap w:val="0"/>
            <w:vAlign w:val="center"/>
          </w:tcPr>
          <w:p w14:paraId="482F2C3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2448" w:type="dxa"/>
            <w:tcBorders>
              <w:top w:val="single" w:color="auto" w:sz="4" w:space="0"/>
              <w:left w:val="single" w:color="auto" w:sz="4" w:space="0"/>
              <w:bottom w:val="single" w:color="auto" w:sz="4" w:space="0"/>
              <w:right w:val="single" w:color="auto" w:sz="4" w:space="0"/>
            </w:tcBorders>
            <w:noWrap w:val="0"/>
            <w:vAlign w:val="center"/>
          </w:tcPr>
          <w:p w14:paraId="3A77ECC6">
            <w:pPr>
              <w:pStyle w:val="19"/>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DE7E835">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eastAsia="zh-CN"/>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5858E7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eastAsia="zh-CN"/>
              </w:rPr>
            </w:pPr>
          </w:p>
        </w:tc>
        <w:tc>
          <w:tcPr>
            <w:tcW w:w="2756" w:type="dxa"/>
            <w:tcBorders>
              <w:top w:val="single" w:color="auto" w:sz="4" w:space="0"/>
              <w:left w:val="single" w:color="auto" w:sz="4" w:space="0"/>
              <w:bottom w:val="single" w:color="auto" w:sz="4" w:space="0"/>
            </w:tcBorders>
            <w:noWrap w:val="0"/>
            <w:vAlign w:val="center"/>
          </w:tcPr>
          <w:p w14:paraId="0067CA0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w:t>
            </w:r>
          </w:p>
        </w:tc>
      </w:tr>
      <w:tr w14:paraId="241181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8676" w:type="dxa"/>
            <w:gridSpan w:val="5"/>
            <w:tcBorders>
              <w:top w:val="single" w:color="auto" w:sz="4" w:space="0"/>
              <w:left w:val="single" w:color="auto" w:sz="4" w:space="0"/>
              <w:bottom w:val="single" w:color="auto" w:sz="4" w:space="0"/>
            </w:tcBorders>
            <w:noWrap w:val="0"/>
            <w:vAlign w:val="center"/>
          </w:tcPr>
          <w:p w14:paraId="4D90C69F">
            <w:pPr>
              <w:keepNext w:val="0"/>
              <w:keepLines w:val="0"/>
              <w:suppressLineNumbers w:val="0"/>
              <w:spacing w:before="0" w:beforeAutospacing="0" w:after="0" w:afterAutospacing="0" w:line="400" w:lineRule="exact"/>
              <w:ind w:left="0" w:right="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服务地点：</w:t>
            </w:r>
          </w:p>
        </w:tc>
      </w:tr>
    </w:tbl>
    <w:p w14:paraId="2BD03FC0">
      <w:pPr>
        <w:spacing w:line="400" w:lineRule="exact"/>
        <w:ind w:firstLine="411" w:firstLineChars="196"/>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合同的总金额为：人民币（大写）</w:t>
      </w:r>
      <w:r>
        <w:rPr>
          <w:rFonts w:hint="eastAsia" w:ascii="宋体" w:hAnsi="宋体" w:eastAsia="宋体" w:cs="宋体"/>
          <w:color w:val="auto"/>
          <w:szCs w:val="21"/>
          <w:highlight w:val="none"/>
          <w:lang w:val="en-US" w:eastAsia="zh-CN"/>
        </w:rPr>
        <w:t xml:space="preserve">   </w:t>
      </w:r>
    </w:p>
    <w:p w14:paraId="455B0A4A">
      <w:pPr>
        <w:pStyle w:val="19"/>
        <w:rPr>
          <w:rFonts w:hint="eastAsia" w:ascii="宋体" w:hAnsi="宋体" w:eastAsia="宋体" w:cs="宋体"/>
          <w:color w:val="auto"/>
          <w:highlight w:val="none"/>
        </w:rPr>
      </w:pPr>
    </w:p>
    <w:p w14:paraId="082781E6">
      <w:pPr>
        <w:spacing w:line="400" w:lineRule="exact"/>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第二条  质量保证</w:t>
      </w:r>
    </w:p>
    <w:p w14:paraId="6FAAB6E4">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乙方应按</w:t>
      </w:r>
      <w:r>
        <w:rPr>
          <w:rFonts w:hint="eastAsia" w:ascii="宋体" w:hAnsi="宋体" w:eastAsia="宋体" w:cs="宋体"/>
          <w:color w:val="auto"/>
          <w:szCs w:val="21"/>
          <w:highlight w:val="none"/>
          <w:lang w:val="en-US" w:eastAsia="zh-CN"/>
        </w:rPr>
        <w:t>本合同</w:t>
      </w:r>
      <w:r>
        <w:rPr>
          <w:rFonts w:hint="eastAsia" w:ascii="宋体" w:hAnsi="宋体" w:eastAsia="宋体" w:cs="宋体"/>
          <w:color w:val="auto"/>
          <w:szCs w:val="21"/>
          <w:highlight w:val="none"/>
        </w:rPr>
        <w:t>第六条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服务内容及要求承诺向甲方提供服务。</w:t>
      </w:r>
    </w:p>
    <w:p w14:paraId="327A2D4A">
      <w:pPr>
        <w:spacing w:line="400" w:lineRule="exact"/>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第三条  权</w:t>
      </w:r>
      <w:r>
        <w:rPr>
          <w:rFonts w:hint="eastAsia" w:ascii="宋体" w:hAnsi="宋体" w:cs="宋体"/>
          <w:b/>
          <w:color w:val="auto"/>
          <w:szCs w:val="21"/>
          <w:highlight w:val="none"/>
          <w:lang w:val="en-US" w:eastAsia="zh-CN"/>
        </w:rPr>
        <w:t>利</w:t>
      </w:r>
      <w:r>
        <w:rPr>
          <w:rFonts w:hint="eastAsia" w:ascii="宋体" w:hAnsi="宋体" w:eastAsia="宋体" w:cs="宋体"/>
          <w:b/>
          <w:color w:val="auto"/>
          <w:szCs w:val="21"/>
          <w:highlight w:val="none"/>
        </w:rPr>
        <w:t>保证</w:t>
      </w:r>
    </w:p>
    <w:p w14:paraId="2D7E4CED">
      <w:pPr>
        <w:spacing w:line="40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1.乙方应保证所提供服务在使用时不会侵犯任何第三方的专利权、商标权、工业设计权或其他权利。</w:t>
      </w:r>
    </w:p>
    <w:p w14:paraId="0B123449">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2.乙方应按磋商文件规定的时间向甲方提供服务及有关技术资料。</w:t>
      </w:r>
    </w:p>
    <w:p w14:paraId="500103DA">
      <w:pPr>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3.乙方保证所交付的服务的所有权完全属于乙方且无任何抵押、质押、查封等产权瑕疵。</w:t>
      </w:r>
    </w:p>
    <w:p w14:paraId="582DB7B5">
      <w:pPr>
        <w:spacing w:line="400" w:lineRule="exact"/>
        <w:ind w:firstLine="420" w:firstLineChars="200"/>
        <w:rPr>
          <w:rFonts w:hint="eastAsia"/>
          <w:color w:val="auto"/>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.乙方要依法为员工参加社会保险，并办理有关社会保险手续，并承担相应社会保险义务。</w:t>
      </w:r>
    </w:p>
    <w:p w14:paraId="08EB7603">
      <w:pPr>
        <w:adjustRightInd/>
        <w:spacing w:line="400" w:lineRule="exact"/>
        <w:ind w:firstLine="413" w:firstLineChars="196"/>
        <w:rPr>
          <w:rFonts w:hint="eastAsia" w:ascii="宋体" w:hAnsi="宋体" w:eastAsia="宋体" w:cs="宋体"/>
          <w:color w:val="auto"/>
          <w:kern w:val="0"/>
          <w:szCs w:val="21"/>
          <w:highlight w:val="none"/>
        </w:rPr>
      </w:pPr>
      <w:r>
        <w:rPr>
          <w:rFonts w:hint="eastAsia" w:ascii="宋体" w:hAnsi="宋体" w:eastAsia="宋体" w:cs="宋体"/>
          <w:b/>
          <w:color w:val="auto"/>
          <w:szCs w:val="21"/>
          <w:highlight w:val="none"/>
        </w:rPr>
        <w:t xml:space="preserve">第四条  </w:t>
      </w:r>
      <w:r>
        <w:rPr>
          <w:rFonts w:hint="eastAsia" w:ascii="宋体" w:hAnsi="宋体" w:eastAsia="宋体" w:cs="宋体"/>
          <w:b/>
          <w:bCs/>
          <w:color w:val="auto"/>
          <w:kern w:val="0"/>
          <w:szCs w:val="21"/>
          <w:highlight w:val="none"/>
        </w:rPr>
        <w:t>服务时间</w:t>
      </w:r>
      <w:r>
        <w:rPr>
          <w:rFonts w:hint="eastAsia" w:ascii="宋体" w:hAnsi="宋体" w:eastAsia="宋体" w:cs="宋体"/>
          <w:b/>
          <w:bCs/>
          <w:color w:val="auto"/>
          <w:szCs w:val="21"/>
          <w:highlight w:val="none"/>
        </w:rPr>
        <w:t>及服务</w:t>
      </w:r>
      <w:r>
        <w:rPr>
          <w:rFonts w:hint="eastAsia" w:ascii="宋体" w:hAnsi="宋体" w:cs="宋体"/>
          <w:b/>
          <w:bCs/>
          <w:color w:val="auto"/>
          <w:kern w:val="0"/>
          <w:szCs w:val="21"/>
          <w:highlight w:val="none"/>
          <w:lang w:val="en-US" w:eastAsia="zh-CN"/>
        </w:rPr>
        <w:t>金额、</w:t>
      </w:r>
      <w:r>
        <w:rPr>
          <w:rFonts w:hint="eastAsia" w:ascii="宋体" w:hAnsi="宋体" w:eastAsia="宋体" w:cs="宋体"/>
          <w:b/>
          <w:bCs/>
          <w:color w:val="auto"/>
          <w:szCs w:val="21"/>
          <w:highlight w:val="none"/>
        </w:rPr>
        <w:t>地点</w:t>
      </w:r>
    </w:p>
    <w:p w14:paraId="4C947251">
      <w:pPr>
        <w:adjustRightInd w:val="0"/>
        <w:spacing w:line="400" w:lineRule="exact"/>
        <w:ind w:firstLine="420" w:firstLineChars="200"/>
        <w:rPr>
          <w:rFonts w:hint="eastAsia" w:ascii="宋体" w:hAnsi="宋体" w:cs="宋体"/>
          <w:bCs/>
          <w:color w:val="auto"/>
          <w:sz w:val="21"/>
          <w:szCs w:val="21"/>
          <w:highlight w:val="none"/>
          <w:lang w:val="en-US" w:eastAsia="zh-CN"/>
        </w:rPr>
      </w:pPr>
      <w:r>
        <w:rPr>
          <w:rFonts w:hint="eastAsia" w:ascii="宋体" w:hAnsi="宋体" w:cs="宋体"/>
          <w:color w:val="auto"/>
          <w:kern w:val="0"/>
          <w:sz w:val="21"/>
          <w:szCs w:val="21"/>
          <w:highlight w:val="none"/>
          <w:lang w:val="en-US" w:eastAsia="zh-CN" w:bidi="ar-SA"/>
        </w:rPr>
        <w:t>1.</w:t>
      </w:r>
      <w:r>
        <w:rPr>
          <w:rFonts w:hint="eastAsia" w:ascii="宋体" w:hAnsi="宋体" w:eastAsia="宋体" w:cs="宋体"/>
          <w:color w:val="auto"/>
          <w:kern w:val="0"/>
          <w:sz w:val="21"/>
          <w:szCs w:val="21"/>
          <w:highlight w:val="none"/>
          <w:lang w:val="en-US" w:eastAsia="zh-CN" w:bidi="ar-SA"/>
        </w:rPr>
        <w:t>服务期限：</w:t>
      </w:r>
      <w:r>
        <w:rPr>
          <w:rFonts w:hint="eastAsia" w:ascii="宋体" w:hAnsi="宋体" w:eastAsia="宋体" w:cs="宋体"/>
          <w:bCs/>
          <w:color w:val="auto"/>
          <w:sz w:val="21"/>
          <w:szCs w:val="21"/>
          <w:highlight w:val="none"/>
          <w:lang w:val="en-US" w:eastAsia="zh-CN"/>
        </w:rPr>
        <w:t>活动期3年，实行合同一年一签</w:t>
      </w:r>
      <w:r>
        <w:rPr>
          <w:rFonts w:hint="eastAsia" w:ascii="宋体" w:hAnsi="宋体" w:cs="宋体"/>
          <w:bCs/>
          <w:color w:val="auto"/>
          <w:sz w:val="21"/>
          <w:szCs w:val="21"/>
          <w:highlight w:val="none"/>
          <w:lang w:val="en-US" w:eastAsia="zh-CN"/>
        </w:rPr>
        <w:t>。</w:t>
      </w:r>
    </w:p>
    <w:p w14:paraId="0296B600">
      <w:pPr>
        <w:pageBreakBefore w:val="0"/>
        <w:kinsoku/>
        <w:topLinePunct w:val="0"/>
        <w:bidi w:val="0"/>
        <w:spacing w:before="60" w:after="60" w:line="360" w:lineRule="auto"/>
        <w:ind w:firstLine="420" w:firstLineChars="200"/>
        <w:rPr>
          <w:rFonts w:hint="eastAsia" w:ascii="宋体" w:hAnsi="宋体" w:eastAsia="宋体"/>
          <w:color w:val="auto"/>
          <w:szCs w:val="21"/>
          <w:highlight w:val="none"/>
          <w:lang w:eastAsia="zh-CN"/>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eastAsia="zh-CN"/>
        </w:rPr>
        <w:t>第一年运营费用县城工业园区就业服务工作站预算为伍拾柒万伍仟柒佰元整（¥575,700元）、泉水工业园区就业服务工作站预算为叁拾玖万陆仟零陆拾元整（¥396,060元）；</w:t>
      </w:r>
      <w:r>
        <w:rPr>
          <w:rFonts w:hint="eastAsia" w:ascii="宋体" w:hAnsi="宋体" w:eastAsia="宋体" w:cs="宋体"/>
          <w:color w:val="auto"/>
          <w:sz w:val="21"/>
          <w:szCs w:val="21"/>
          <w:highlight w:val="none"/>
          <w:lang w:val="en-US" w:eastAsia="zh-CN"/>
        </w:rPr>
        <w:t>第二、第三年运营经费、服务内容结合实际进行调整优化，</w:t>
      </w:r>
      <w:r>
        <w:rPr>
          <w:rFonts w:hint="eastAsia" w:ascii="宋体" w:hAnsi="宋体" w:cs="宋体"/>
          <w:color w:val="auto"/>
          <w:sz w:val="21"/>
          <w:szCs w:val="21"/>
          <w:highlight w:val="none"/>
          <w:lang w:val="en-US" w:eastAsia="zh-CN"/>
        </w:rPr>
        <w:t>报县人民政府审批后，</w:t>
      </w:r>
      <w:r>
        <w:rPr>
          <w:rFonts w:hint="eastAsia" w:ascii="宋体" w:hAnsi="宋体" w:eastAsia="宋体" w:cs="宋体"/>
          <w:color w:val="auto"/>
          <w:sz w:val="21"/>
          <w:szCs w:val="21"/>
          <w:highlight w:val="none"/>
          <w:lang w:val="en-US" w:eastAsia="zh-CN"/>
        </w:rPr>
        <w:t>双方再续签合同，如遇上级政策调整，以上级政策为准，可终止实施。如果当年</w:t>
      </w:r>
      <w:r>
        <w:rPr>
          <w:rFonts w:hint="eastAsia" w:ascii="宋体" w:hAnsi="宋体" w:cs="宋体"/>
          <w:color w:val="auto"/>
          <w:sz w:val="21"/>
          <w:szCs w:val="21"/>
          <w:highlight w:val="none"/>
          <w:lang w:val="en-US" w:eastAsia="zh-CN"/>
        </w:rPr>
        <w:t>有2项（含2项）以上</w:t>
      </w:r>
      <w:r>
        <w:rPr>
          <w:rFonts w:hint="eastAsia" w:ascii="宋体" w:hAnsi="宋体" w:eastAsia="宋体" w:cs="宋体"/>
          <w:color w:val="auto"/>
          <w:sz w:val="21"/>
          <w:szCs w:val="21"/>
          <w:highlight w:val="none"/>
          <w:lang w:val="en-US" w:eastAsia="zh-CN"/>
        </w:rPr>
        <w:t>考核指标</w:t>
      </w:r>
      <w:r>
        <w:rPr>
          <w:rFonts w:hint="eastAsia" w:ascii="宋体" w:hAnsi="宋体" w:cs="宋体"/>
          <w:color w:val="auto"/>
          <w:sz w:val="21"/>
          <w:szCs w:val="21"/>
          <w:highlight w:val="none"/>
          <w:lang w:val="en-US" w:eastAsia="zh-CN"/>
        </w:rPr>
        <w:t>低于80%的</w:t>
      </w:r>
      <w:r>
        <w:rPr>
          <w:rFonts w:hint="eastAsia" w:ascii="宋体" w:hAnsi="宋体" w:eastAsia="宋体" w:cs="宋体"/>
          <w:color w:val="auto"/>
          <w:sz w:val="21"/>
          <w:szCs w:val="21"/>
          <w:highlight w:val="none"/>
          <w:lang w:val="en-US" w:eastAsia="zh-CN"/>
        </w:rPr>
        <w:t>，次年可终止实施。</w:t>
      </w:r>
    </w:p>
    <w:p w14:paraId="69A0BF0D">
      <w:pPr>
        <w:pageBreakBefore w:val="0"/>
        <w:kinsoku/>
        <w:topLinePunct w:val="0"/>
        <w:bidi w:val="0"/>
        <w:spacing w:before="60" w:after="60" w:line="360" w:lineRule="auto"/>
        <w:ind w:left="0" w:firstLine="480" w:firstLineChars="200"/>
        <w:jc w:val="left"/>
        <w:rPr>
          <w:rFonts w:hint="eastAsia" w:ascii="宋体" w:hAnsi="宋体" w:eastAsia="宋体" w:cs="宋体"/>
          <w:color w:val="auto"/>
          <w:spacing w:val="10"/>
          <w:sz w:val="22"/>
          <w:szCs w:val="22"/>
          <w:highlight w:val="none"/>
          <w:lang w:val="en-US" w:eastAsia="zh-CN"/>
        </w:rPr>
      </w:pPr>
    </w:p>
    <w:p w14:paraId="3754B55F">
      <w:pPr>
        <w:adjustRightInd w:val="0"/>
        <w:spacing w:line="400" w:lineRule="exact"/>
        <w:ind w:firstLine="480" w:firstLineChars="200"/>
        <w:rPr>
          <w:rFonts w:hint="eastAsia" w:ascii="宋体" w:hAnsi="宋体" w:eastAsia="宋体" w:cs="宋体"/>
          <w:color w:val="auto"/>
          <w:kern w:val="0"/>
          <w:szCs w:val="21"/>
          <w:highlight w:val="none"/>
        </w:rPr>
      </w:pPr>
      <w:r>
        <w:rPr>
          <w:rFonts w:hint="eastAsia" w:ascii="宋体" w:hAnsi="宋体" w:eastAsia="宋体" w:cs="宋体"/>
          <w:i w:val="0"/>
          <w:iCs w:val="0"/>
          <w:caps w:val="0"/>
          <w:color w:val="auto"/>
          <w:spacing w:val="10"/>
          <w:sz w:val="22"/>
          <w:szCs w:val="22"/>
          <w:highlight w:val="none"/>
          <w:shd w:val="clear" w:color="auto" w:fill="auto"/>
        </w:rPr>
        <w:t>如因上级政策重大调整导致项目终止，乙方已完成的服务经核实后，甲方应按实际完成比例支付相应费用；乙方不得主张预期收益赔偿</w:t>
      </w:r>
    </w:p>
    <w:p w14:paraId="2D295178">
      <w:pPr>
        <w:adjustRightInd w:val="0"/>
        <w:spacing w:line="40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服务地点：</w:t>
      </w:r>
      <w:r>
        <w:rPr>
          <w:rFonts w:hint="eastAsia" w:ascii="宋体" w:hAnsi="宋体" w:eastAsia="宋体" w:cs="宋体"/>
          <w:color w:val="auto"/>
          <w:kern w:val="0"/>
          <w:szCs w:val="21"/>
          <w:highlight w:val="none"/>
          <w:lang w:eastAsia="zh-CN"/>
        </w:rPr>
        <w:t>采购单位指定地点。</w:t>
      </w:r>
    </w:p>
    <w:p w14:paraId="73EAABBE">
      <w:pPr>
        <w:spacing w:line="400" w:lineRule="exact"/>
        <w:ind w:firstLine="413" w:firstLineChars="196"/>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第五条  项目验收</w:t>
      </w:r>
    </w:p>
    <w:p w14:paraId="203F34C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甲方依据竞争性磋商文件规定及响应文件的服务承诺对项目进行验收。</w:t>
      </w:r>
    </w:p>
    <w:p w14:paraId="286E6C07">
      <w:pPr>
        <w:keepNext w:val="0"/>
        <w:keepLines w:val="0"/>
        <w:pageBreakBefore w:val="0"/>
        <w:numPr>
          <w:ilvl w:val="0"/>
          <w:numId w:val="2"/>
        </w:numPr>
        <w:kinsoku/>
        <w:wordWrap/>
        <w:overflowPunct/>
        <w:topLinePunct w:val="0"/>
        <w:autoSpaceDE/>
        <w:autoSpaceDN/>
        <w:bidi w:val="0"/>
        <w:adjustRightInd/>
        <w:snapToGrid/>
        <w:spacing w:line="560" w:lineRule="exact"/>
        <w:ind w:left="0" w:leftChars="0" w:right="0" w:rightChars="0" w:firstLine="422" w:firstLineChars="200"/>
        <w:jc w:val="left"/>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b/>
          <w:color w:val="auto"/>
          <w:sz w:val="21"/>
          <w:szCs w:val="21"/>
          <w:highlight w:val="none"/>
        </w:rPr>
        <w:t>服务内容及要求</w:t>
      </w:r>
    </w:p>
    <w:p w14:paraId="3A86E926">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firstLine="630" w:firstLineChars="3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为更好地开展就业</w:t>
      </w:r>
      <w:r>
        <w:rPr>
          <w:rFonts w:hint="eastAsia" w:ascii="宋体" w:hAnsi="宋体" w:eastAsia="宋体" w:cs="宋体"/>
          <w:color w:val="auto"/>
          <w:kern w:val="0"/>
          <w:sz w:val="21"/>
          <w:szCs w:val="21"/>
          <w:highlight w:val="none"/>
          <w:lang w:eastAsia="zh-CN"/>
        </w:rPr>
        <w:t>公共</w:t>
      </w:r>
      <w:r>
        <w:rPr>
          <w:rFonts w:hint="eastAsia" w:ascii="宋体" w:hAnsi="宋体" w:eastAsia="宋体" w:cs="宋体"/>
          <w:color w:val="auto"/>
          <w:kern w:val="0"/>
          <w:sz w:val="21"/>
          <w:szCs w:val="21"/>
          <w:highlight w:val="none"/>
        </w:rPr>
        <w:t>服务工作，更高效地服务我县</w:t>
      </w:r>
      <w:r>
        <w:rPr>
          <w:rFonts w:hint="eastAsia" w:ascii="宋体" w:hAnsi="宋体" w:eastAsia="宋体" w:cs="宋体"/>
          <w:color w:val="auto"/>
          <w:kern w:val="0"/>
          <w:sz w:val="21"/>
          <w:szCs w:val="21"/>
          <w:highlight w:val="none"/>
          <w:lang w:eastAsia="zh-CN"/>
        </w:rPr>
        <w:t>工业</w:t>
      </w:r>
      <w:r>
        <w:rPr>
          <w:rFonts w:hint="eastAsia" w:ascii="宋体" w:hAnsi="宋体" w:eastAsia="宋体" w:cs="宋体"/>
          <w:color w:val="auto"/>
          <w:kern w:val="0"/>
          <w:sz w:val="21"/>
          <w:szCs w:val="21"/>
          <w:highlight w:val="none"/>
        </w:rPr>
        <w:t>园区企业</w:t>
      </w:r>
      <w:r>
        <w:rPr>
          <w:rFonts w:hint="eastAsia" w:ascii="宋体" w:hAnsi="宋体" w:eastAsia="宋体" w:cs="宋体"/>
          <w:color w:val="auto"/>
          <w:kern w:val="0"/>
          <w:sz w:val="21"/>
          <w:szCs w:val="21"/>
          <w:highlight w:val="none"/>
          <w:lang w:val="en-US" w:eastAsia="zh-CN"/>
        </w:rPr>
        <w:t>和</w:t>
      </w:r>
      <w:r>
        <w:rPr>
          <w:rFonts w:hint="eastAsia" w:ascii="宋体" w:hAnsi="宋体" w:eastAsia="宋体" w:cs="宋体"/>
          <w:color w:val="auto"/>
          <w:kern w:val="0"/>
          <w:sz w:val="21"/>
          <w:szCs w:val="21"/>
          <w:highlight w:val="none"/>
        </w:rPr>
        <w:t>重点企业招工</w:t>
      </w:r>
      <w:r>
        <w:rPr>
          <w:rFonts w:hint="eastAsia" w:ascii="宋体" w:hAnsi="宋体" w:eastAsia="宋体" w:cs="宋体"/>
          <w:color w:val="auto"/>
          <w:kern w:val="0"/>
          <w:sz w:val="21"/>
          <w:szCs w:val="21"/>
          <w:highlight w:val="none"/>
          <w:lang w:eastAsia="zh-CN"/>
        </w:rPr>
        <w:t>（含</w:t>
      </w:r>
      <w:r>
        <w:rPr>
          <w:rFonts w:hint="eastAsia" w:ascii="宋体" w:hAnsi="宋体" w:eastAsia="宋体" w:cs="宋体"/>
          <w:color w:val="auto"/>
          <w:kern w:val="0"/>
          <w:sz w:val="21"/>
          <w:szCs w:val="21"/>
          <w:highlight w:val="none"/>
          <w:lang w:val="en-US" w:eastAsia="zh-CN"/>
        </w:rPr>
        <w:t>就业帮扶车间</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eastAsia="zh-CN"/>
        </w:rPr>
        <w:t>“园区</w:t>
      </w:r>
      <w:r>
        <w:rPr>
          <w:rFonts w:hint="eastAsia" w:ascii="宋体" w:hAnsi="宋体" w:eastAsia="宋体" w:cs="宋体"/>
          <w:color w:val="auto"/>
          <w:kern w:val="0"/>
          <w:sz w:val="21"/>
          <w:szCs w:val="21"/>
          <w:highlight w:val="none"/>
          <w:lang w:val="en-US" w:eastAsia="zh-CN"/>
        </w:rPr>
        <w:t>+车间+庭院”模式加工点（公司）</w:t>
      </w:r>
      <w:r>
        <w:rPr>
          <w:rFonts w:hint="eastAsia" w:ascii="宋体" w:hAnsi="宋体" w:cs="宋体"/>
          <w:color w:val="auto"/>
          <w:kern w:val="0"/>
          <w:sz w:val="21"/>
          <w:szCs w:val="21"/>
          <w:highlight w:val="none"/>
          <w:lang w:val="en-US" w:eastAsia="zh-CN"/>
        </w:rPr>
        <w:t>、村（社区）</w:t>
      </w:r>
      <w:r>
        <w:rPr>
          <w:rFonts w:hint="eastAsia" w:ascii="宋体" w:hAnsi="宋体" w:eastAsia="宋体" w:cs="宋体"/>
          <w:color w:val="auto"/>
          <w:kern w:val="0"/>
          <w:sz w:val="21"/>
          <w:szCs w:val="21"/>
          <w:highlight w:val="none"/>
          <w:lang w:val="en-US" w:eastAsia="zh-CN"/>
        </w:rPr>
        <w:t>就业服务等</w:t>
      </w:r>
      <w:r>
        <w:rPr>
          <w:rFonts w:hint="eastAsia" w:ascii="宋体" w:hAnsi="宋体" w:eastAsia="宋体" w:cs="宋体"/>
          <w:color w:val="auto"/>
          <w:kern w:val="0"/>
          <w:sz w:val="21"/>
          <w:szCs w:val="21"/>
          <w:highlight w:val="none"/>
        </w:rPr>
        <w:t>。</w:t>
      </w:r>
    </w:p>
    <w:p w14:paraId="209A10D8">
      <w:pPr>
        <w:keepNext w:val="0"/>
        <w:keepLines w:val="0"/>
        <w:pageBreakBefore w:val="0"/>
        <w:kinsoku/>
        <w:wordWrap/>
        <w:overflowPunct/>
        <w:topLinePunct w:val="0"/>
        <w:autoSpaceDE/>
        <w:autoSpaceDN/>
        <w:bidi w:val="0"/>
        <w:adjustRightInd/>
        <w:snapToGrid/>
        <w:spacing w:line="320" w:lineRule="exact"/>
        <w:ind w:left="0" w:leftChars="0" w:right="0" w:rightChars="0" w:firstLine="422" w:firstLineChars="200"/>
        <w:jc w:val="left"/>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标项一：县城工业园区就业服务工作站就业公共服务</w:t>
      </w:r>
    </w:p>
    <w:p w14:paraId="0F364A02">
      <w:pPr>
        <w:keepNext w:val="0"/>
        <w:keepLines w:val="0"/>
        <w:pageBreakBefore w:val="0"/>
        <w:kinsoku/>
        <w:wordWrap/>
        <w:overflowPunct/>
        <w:topLinePunct w:val="0"/>
        <w:autoSpaceDE/>
        <w:autoSpaceDN/>
        <w:bidi w:val="0"/>
        <w:adjustRightInd/>
        <w:snapToGrid/>
        <w:spacing w:line="320" w:lineRule="exact"/>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一、工作站分布情况</w:t>
      </w:r>
    </w:p>
    <w:p w14:paraId="6FB19B4A">
      <w:pPr>
        <w:keepNext w:val="0"/>
        <w:keepLines w:val="0"/>
        <w:pageBreakBefore w:val="0"/>
        <w:kinsoku/>
        <w:wordWrap/>
        <w:overflowPunct/>
        <w:topLinePunct w:val="0"/>
        <w:autoSpaceDE/>
        <w:autoSpaceDN/>
        <w:bidi w:val="0"/>
        <w:adjustRightInd/>
        <w:snapToGrid/>
        <w:spacing w:line="320" w:lineRule="exact"/>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(一)县城工业园区就业服务工作站，配置</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人。</w:t>
      </w:r>
    </w:p>
    <w:p w14:paraId="344ED311">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20" w:firstLineChars="200"/>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1.负责龙门、县城、福旺、乐民工业园区企业，园区外重点企业招工（</w:t>
      </w:r>
      <w:r>
        <w:rPr>
          <w:rFonts w:hint="eastAsia" w:ascii="宋体" w:hAnsi="宋体" w:eastAsia="宋体" w:cs="宋体"/>
          <w:color w:val="auto"/>
          <w:kern w:val="0"/>
          <w:sz w:val="21"/>
          <w:szCs w:val="21"/>
          <w:highlight w:val="none"/>
          <w:lang w:val="en-US" w:eastAsia="zh-CN"/>
        </w:rPr>
        <w:t>含就业帮扶车间）</w:t>
      </w:r>
      <w:r>
        <w:rPr>
          <w:rFonts w:hint="eastAsia" w:ascii="宋体" w:hAnsi="宋体" w:eastAsia="宋体" w:cs="宋体"/>
          <w:color w:val="auto"/>
          <w:kern w:val="0"/>
          <w:sz w:val="21"/>
          <w:szCs w:val="21"/>
          <w:highlight w:val="none"/>
          <w:lang w:eastAsia="zh-CN"/>
        </w:rPr>
        <w:t>，“园区+车间+庭院”模式加工点（公司）招工</w:t>
      </w:r>
      <w:r>
        <w:rPr>
          <w:rFonts w:hint="eastAsia" w:ascii="宋体" w:hAnsi="宋体" w:cs="宋体"/>
          <w:color w:val="auto"/>
          <w:kern w:val="0"/>
          <w:sz w:val="21"/>
          <w:szCs w:val="21"/>
          <w:highlight w:val="none"/>
          <w:lang w:eastAsia="zh-CN"/>
        </w:rPr>
        <w:t>就业</w:t>
      </w:r>
      <w:r>
        <w:rPr>
          <w:rFonts w:hint="eastAsia" w:ascii="宋体" w:hAnsi="宋体" w:eastAsia="宋体" w:cs="宋体"/>
          <w:color w:val="auto"/>
          <w:kern w:val="0"/>
          <w:sz w:val="21"/>
          <w:szCs w:val="21"/>
          <w:highlight w:val="none"/>
          <w:lang w:eastAsia="zh-CN"/>
        </w:rPr>
        <w:t>服务等工作；</w:t>
      </w:r>
    </w:p>
    <w:p w14:paraId="6742056A">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20" w:firstLineChars="200"/>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2.负责龙门、三合、江城街道、小江街道、福旺、官垌、乐民、平睦、六硍等</w:t>
      </w: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lang w:eastAsia="zh-CN"/>
        </w:rPr>
        <w:t>个镇（街道）的企业（</w:t>
      </w:r>
      <w:r>
        <w:rPr>
          <w:rFonts w:hint="eastAsia" w:ascii="宋体" w:hAnsi="宋体" w:eastAsia="宋体" w:cs="宋体"/>
          <w:color w:val="auto"/>
          <w:kern w:val="0"/>
          <w:sz w:val="21"/>
          <w:szCs w:val="21"/>
          <w:highlight w:val="none"/>
          <w:lang w:val="en-US" w:eastAsia="zh-CN"/>
        </w:rPr>
        <w:t>含就业帮扶车间）</w:t>
      </w:r>
      <w:r>
        <w:rPr>
          <w:rFonts w:hint="eastAsia" w:ascii="宋体" w:hAnsi="宋体" w:eastAsia="宋体" w:cs="宋体"/>
          <w:color w:val="auto"/>
          <w:kern w:val="0"/>
          <w:sz w:val="21"/>
          <w:szCs w:val="21"/>
          <w:highlight w:val="none"/>
          <w:lang w:eastAsia="zh-CN"/>
        </w:rPr>
        <w:t>、村（社区）就业服务指导等服务工作；收集的企业</w:t>
      </w:r>
      <w:r>
        <w:rPr>
          <w:rFonts w:hint="eastAsia" w:ascii="宋体" w:hAnsi="宋体" w:eastAsia="宋体" w:cs="宋体"/>
          <w:color w:val="auto"/>
          <w:kern w:val="0"/>
          <w:sz w:val="21"/>
          <w:szCs w:val="21"/>
          <w:highlight w:val="none"/>
          <w:lang w:val="en-US" w:eastAsia="zh-CN"/>
        </w:rPr>
        <w:t>需招聘的岗位信息</w:t>
      </w:r>
      <w:r>
        <w:rPr>
          <w:rFonts w:hint="eastAsia" w:ascii="宋体" w:hAnsi="宋体" w:eastAsia="宋体" w:cs="宋体"/>
          <w:color w:val="auto"/>
          <w:kern w:val="0"/>
          <w:sz w:val="21"/>
          <w:szCs w:val="21"/>
          <w:highlight w:val="none"/>
          <w:lang w:eastAsia="zh-CN"/>
        </w:rPr>
        <w:t>录入广西“数智人社”系统。</w:t>
      </w:r>
    </w:p>
    <w:p w14:paraId="347F4FA4">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420" w:firstLineChars="200"/>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3.负责</w:t>
      </w:r>
      <w:r>
        <w:rPr>
          <w:rFonts w:hint="eastAsia" w:ascii="宋体" w:hAnsi="宋体" w:eastAsia="宋体" w:cs="宋体"/>
          <w:color w:val="auto"/>
          <w:kern w:val="0"/>
          <w:sz w:val="21"/>
          <w:szCs w:val="21"/>
          <w:highlight w:val="none"/>
          <w:lang w:val="en-US" w:eastAsia="zh-CN"/>
        </w:rPr>
        <w:t>辖区内</w:t>
      </w:r>
      <w:r>
        <w:rPr>
          <w:rFonts w:hint="eastAsia" w:ascii="宋体" w:hAnsi="宋体" w:eastAsia="宋体" w:cs="宋体"/>
          <w:color w:val="auto"/>
          <w:kern w:val="0"/>
          <w:sz w:val="21"/>
          <w:szCs w:val="21"/>
          <w:highlight w:val="none"/>
          <w:lang w:eastAsia="zh-CN"/>
        </w:rPr>
        <w:t>零工市场相关业务工作，零工岗位信息要录入广西“数智人社”系统。</w:t>
      </w:r>
    </w:p>
    <w:p w14:paraId="509C130D">
      <w:pPr>
        <w:keepNext w:val="0"/>
        <w:keepLines w:val="0"/>
        <w:pageBreakBefore w:val="0"/>
        <w:kinsoku/>
        <w:wordWrap/>
        <w:overflowPunct/>
        <w:topLinePunct w:val="0"/>
        <w:autoSpaceDE/>
        <w:autoSpaceDN/>
        <w:bidi w:val="0"/>
        <w:adjustRightInd/>
        <w:snapToGrid/>
        <w:spacing w:line="320" w:lineRule="exact"/>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二、工作站的管理模式</w:t>
      </w:r>
    </w:p>
    <w:p w14:paraId="424B47AB">
      <w:pPr>
        <w:keepNext w:val="0"/>
        <w:keepLines w:val="0"/>
        <w:pageBreakBefore w:val="0"/>
        <w:kinsoku/>
        <w:wordWrap/>
        <w:overflowPunct/>
        <w:topLinePunct w:val="0"/>
        <w:autoSpaceDE/>
        <w:autoSpaceDN/>
        <w:bidi w:val="0"/>
        <w:adjustRightInd/>
        <w:snapToGrid/>
        <w:spacing w:line="320" w:lineRule="exact"/>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(一)严格“五个一”</w:t>
      </w:r>
    </w:p>
    <w:p w14:paraId="1875A024">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就业服务工作站</w:t>
      </w:r>
      <w:r>
        <w:rPr>
          <w:rFonts w:hint="eastAsia" w:ascii="宋体" w:hAnsi="宋体" w:eastAsia="宋体" w:cs="宋体"/>
          <w:color w:val="auto"/>
          <w:kern w:val="0"/>
          <w:sz w:val="21"/>
          <w:szCs w:val="21"/>
          <w:highlight w:val="none"/>
          <w:lang w:eastAsia="zh-CN"/>
        </w:rPr>
        <w:t>必须在县就业服务中心的管理和指导下开展服务工作，按照“五个一”（</w:t>
      </w:r>
      <w:r>
        <w:rPr>
          <w:rFonts w:hint="eastAsia" w:ascii="宋体" w:hAnsi="宋体" w:eastAsia="宋体" w:cs="宋体"/>
          <w:color w:val="auto"/>
          <w:kern w:val="0"/>
          <w:sz w:val="21"/>
          <w:szCs w:val="21"/>
          <w:highlight w:val="none"/>
        </w:rPr>
        <w:t>统一标识、统一制度、统一标准、统一流程、统一队伍</w:t>
      </w:r>
      <w:r>
        <w:rPr>
          <w:rFonts w:hint="eastAsia" w:ascii="宋体" w:hAnsi="宋体" w:eastAsia="宋体" w:cs="宋体"/>
          <w:color w:val="auto"/>
          <w:kern w:val="0"/>
          <w:sz w:val="21"/>
          <w:szCs w:val="21"/>
          <w:highlight w:val="none"/>
          <w:lang w:eastAsia="zh-CN"/>
        </w:rPr>
        <w:t>）的模式进行管理</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确</w:t>
      </w:r>
      <w:r>
        <w:rPr>
          <w:rFonts w:hint="eastAsia" w:ascii="宋体" w:hAnsi="宋体" w:eastAsia="宋体" w:cs="宋体"/>
          <w:color w:val="auto"/>
          <w:kern w:val="0"/>
          <w:sz w:val="21"/>
          <w:szCs w:val="21"/>
          <w:highlight w:val="none"/>
        </w:rPr>
        <w:t>保</w:t>
      </w:r>
      <w:r>
        <w:rPr>
          <w:rFonts w:hint="eastAsia" w:ascii="宋体" w:hAnsi="宋体" w:eastAsia="宋体" w:cs="宋体"/>
          <w:color w:val="auto"/>
          <w:kern w:val="0"/>
          <w:sz w:val="21"/>
          <w:szCs w:val="21"/>
          <w:highlight w:val="none"/>
          <w:lang w:eastAsia="zh-CN"/>
        </w:rPr>
        <w:t>各项</w:t>
      </w:r>
      <w:r>
        <w:rPr>
          <w:rFonts w:hint="eastAsia" w:ascii="宋体" w:hAnsi="宋体" w:eastAsia="宋体" w:cs="宋体"/>
          <w:color w:val="auto"/>
          <w:kern w:val="0"/>
          <w:sz w:val="21"/>
          <w:szCs w:val="21"/>
          <w:highlight w:val="none"/>
        </w:rPr>
        <w:t>工作正常开展，按时按质完成</w:t>
      </w:r>
      <w:r>
        <w:rPr>
          <w:rFonts w:hint="eastAsia" w:ascii="宋体" w:hAnsi="宋体" w:eastAsia="宋体" w:cs="宋体"/>
          <w:color w:val="auto"/>
          <w:kern w:val="0"/>
          <w:sz w:val="21"/>
          <w:szCs w:val="21"/>
          <w:highlight w:val="none"/>
          <w:lang w:eastAsia="zh-CN"/>
        </w:rPr>
        <w:t>各项</w:t>
      </w:r>
      <w:r>
        <w:rPr>
          <w:rFonts w:hint="eastAsia" w:ascii="宋体" w:hAnsi="宋体" w:eastAsia="宋体" w:cs="宋体"/>
          <w:color w:val="auto"/>
          <w:kern w:val="0"/>
          <w:sz w:val="21"/>
          <w:szCs w:val="21"/>
          <w:highlight w:val="none"/>
        </w:rPr>
        <w:t>工作任务。</w:t>
      </w:r>
    </w:p>
    <w:p w14:paraId="3C7FD3BC">
      <w:pPr>
        <w:keepNext w:val="0"/>
        <w:keepLines w:val="0"/>
        <w:pageBreakBefore w:val="0"/>
        <w:kinsoku/>
        <w:wordWrap/>
        <w:overflowPunct/>
        <w:topLinePunct w:val="0"/>
        <w:autoSpaceDE/>
        <w:autoSpaceDN/>
        <w:bidi w:val="0"/>
        <w:adjustRightInd/>
        <w:snapToGrid/>
        <w:spacing w:line="320" w:lineRule="exact"/>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(二)落实“五个有”</w:t>
      </w:r>
    </w:p>
    <w:p w14:paraId="275DB770">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有固定办公场所</w:t>
      </w:r>
      <w:r>
        <w:rPr>
          <w:rFonts w:hint="eastAsia" w:ascii="宋体" w:hAnsi="宋体" w:eastAsia="宋体" w:cs="宋体"/>
          <w:color w:val="auto"/>
          <w:kern w:val="0"/>
          <w:sz w:val="21"/>
          <w:szCs w:val="21"/>
          <w:highlight w:val="none"/>
          <w:lang w:eastAsia="zh-CN"/>
        </w:rPr>
        <w:t>（原则上分设服务大厅、洽谈室、会议室）；</w:t>
      </w:r>
    </w:p>
    <w:p w14:paraId="1DB56E68">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2.有办公设备（服务大厅</w:t>
      </w:r>
      <w:r>
        <w:rPr>
          <w:rFonts w:hint="eastAsia" w:ascii="宋体" w:hAnsi="宋体" w:eastAsia="宋体" w:cs="宋体"/>
          <w:color w:val="auto"/>
          <w:kern w:val="0"/>
          <w:sz w:val="21"/>
          <w:szCs w:val="21"/>
          <w:highlight w:val="none"/>
        </w:rPr>
        <w:t>配备办公桌椅、电脑、打印机、空调、饮水机、档案柜、复印机</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群众座椅、窗口座椅</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会议室</w:t>
      </w:r>
      <w:r>
        <w:rPr>
          <w:rFonts w:hint="eastAsia" w:ascii="宋体" w:hAnsi="宋体" w:eastAsia="宋体" w:cs="宋体"/>
          <w:color w:val="auto"/>
          <w:kern w:val="0"/>
          <w:sz w:val="21"/>
          <w:szCs w:val="21"/>
          <w:highlight w:val="none"/>
          <w:lang w:eastAsia="zh-CN"/>
        </w:rPr>
        <w:t>配备会议</w:t>
      </w:r>
      <w:r>
        <w:rPr>
          <w:rFonts w:hint="eastAsia" w:ascii="宋体" w:hAnsi="宋体" w:eastAsia="宋体" w:cs="宋体"/>
          <w:color w:val="auto"/>
          <w:kern w:val="0"/>
          <w:sz w:val="21"/>
          <w:szCs w:val="21"/>
          <w:highlight w:val="none"/>
        </w:rPr>
        <w:t>台、椅，洽谈室</w:t>
      </w:r>
      <w:r>
        <w:rPr>
          <w:rFonts w:hint="eastAsia" w:ascii="宋体" w:hAnsi="宋体" w:eastAsia="宋体" w:cs="宋体"/>
          <w:color w:val="auto"/>
          <w:kern w:val="0"/>
          <w:sz w:val="21"/>
          <w:szCs w:val="21"/>
          <w:highlight w:val="none"/>
          <w:lang w:eastAsia="zh-CN"/>
        </w:rPr>
        <w:t>配备</w:t>
      </w:r>
      <w:r>
        <w:rPr>
          <w:rFonts w:hint="eastAsia" w:ascii="宋体" w:hAnsi="宋体" w:eastAsia="宋体" w:cs="宋体"/>
          <w:color w:val="auto"/>
          <w:kern w:val="0"/>
          <w:sz w:val="21"/>
          <w:szCs w:val="21"/>
          <w:highlight w:val="none"/>
        </w:rPr>
        <w:t>沙发、茶几，拉通网络及安装摄</w:t>
      </w:r>
      <w:r>
        <w:rPr>
          <w:rFonts w:hint="eastAsia" w:ascii="宋体" w:hAnsi="宋体" w:cs="宋体"/>
          <w:color w:val="auto"/>
          <w:kern w:val="0"/>
          <w:sz w:val="21"/>
          <w:szCs w:val="21"/>
          <w:highlight w:val="none"/>
          <w:lang w:val="en-US" w:eastAsia="zh-CN"/>
        </w:rPr>
        <w:t>像</w:t>
      </w:r>
      <w:r>
        <w:rPr>
          <w:rFonts w:hint="eastAsia" w:ascii="宋体" w:hAnsi="宋体" w:eastAsia="宋体" w:cs="宋体"/>
          <w:color w:val="auto"/>
          <w:kern w:val="0"/>
          <w:sz w:val="21"/>
          <w:szCs w:val="21"/>
          <w:highlight w:val="none"/>
        </w:rPr>
        <w:t>头，开通固定电话</w:t>
      </w:r>
      <w:r>
        <w:rPr>
          <w:rFonts w:hint="eastAsia" w:ascii="宋体" w:hAnsi="宋体" w:eastAsia="宋体" w:cs="宋体"/>
          <w:color w:val="auto"/>
          <w:kern w:val="0"/>
          <w:sz w:val="21"/>
          <w:szCs w:val="21"/>
          <w:highlight w:val="none"/>
          <w:lang w:eastAsia="zh-CN"/>
        </w:rPr>
        <w:t>等</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w:t>
      </w:r>
    </w:p>
    <w:p w14:paraId="243D6B3F">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eastAsia="zh-CN"/>
        </w:rPr>
        <w:t>有专职工作人员（工作</w:t>
      </w:r>
      <w:r>
        <w:rPr>
          <w:rFonts w:hint="eastAsia" w:ascii="宋体" w:hAnsi="宋体" w:eastAsia="宋体" w:cs="宋体"/>
          <w:color w:val="auto"/>
          <w:kern w:val="0"/>
          <w:sz w:val="21"/>
          <w:szCs w:val="21"/>
          <w:highlight w:val="none"/>
        </w:rPr>
        <w:t>人员</w:t>
      </w:r>
      <w:r>
        <w:rPr>
          <w:rFonts w:hint="eastAsia" w:ascii="宋体" w:hAnsi="宋体" w:eastAsia="宋体" w:cs="宋体"/>
          <w:color w:val="auto"/>
          <w:kern w:val="0"/>
          <w:sz w:val="21"/>
          <w:szCs w:val="21"/>
          <w:highlight w:val="none"/>
          <w:lang w:eastAsia="zh-CN"/>
        </w:rPr>
        <w:t>统一</w:t>
      </w:r>
      <w:r>
        <w:rPr>
          <w:rFonts w:hint="eastAsia" w:ascii="宋体" w:hAnsi="宋体" w:eastAsia="宋体" w:cs="宋体"/>
          <w:color w:val="auto"/>
          <w:kern w:val="0"/>
          <w:sz w:val="21"/>
          <w:szCs w:val="21"/>
          <w:highlight w:val="none"/>
        </w:rPr>
        <w:t>工作服</w:t>
      </w:r>
      <w:r>
        <w:rPr>
          <w:rFonts w:hint="eastAsia" w:ascii="宋体" w:hAnsi="宋体" w:eastAsia="宋体" w:cs="宋体"/>
          <w:color w:val="auto"/>
          <w:kern w:val="0"/>
          <w:sz w:val="21"/>
          <w:szCs w:val="21"/>
          <w:highlight w:val="none"/>
          <w:lang w:eastAsia="zh-CN"/>
        </w:rPr>
        <w:t>，佩带工作</w:t>
      </w:r>
      <w:r>
        <w:rPr>
          <w:rFonts w:hint="eastAsia" w:ascii="宋体" w:hAnsi="宋体" w:eastAsia="宋体" w:cs="宋体"/>
          <w:color w:val="auto"/>
          <w:kern w:val="0"/>
          <w:sz w:val="21"/>
          <w:szCs w:val="21"/>
          <w:highlight w:val="none"/>
        </w:rPr>
        <w:t>牌</w:t>
      </w:r>
      <w:r>
        <w:rPr>
          <w:rFonts w:hint="eastAsia" w:ascii="宋体" w:hAnsi="宋体" w:eastAsia="宋体" w:cs="宋体"/>
          <w:color w:val="auto"/>
          <w:kern w:val="0"/>
          <w:sz w:val="21"/>
          <w:szCs w:val="21"/>
          <w:highlight w:val="none"/>
          <w:lang w:eastAsia="zh-CN"/>
        </w:rPr>
        <w:t>上岗）；</w:t>
      </w:r>
    </w:p>
    <w:p w14:paraId="00A0D67C">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4.有</w:t>
      </w:r>
      <w:r>
        <w:rPr>
          <w:rFonts w:hint="eastAsia" w:ascii="宋体" w:hAnsi="宋体" w:eastAsia="宋体" w:cs="宋体"/>
          <w:color w:val="auto"/>
          <w:kern w:val="0"/>
          <w:sz w:val="21"/>
          <w:szCs w:val="21"/>
          <w:highlight w:val="none"/>
        </w:rPr>
        <w:t>宣传</w:t>
      </w:r>
      <w:r>
        <w:rPr>
          <w:rFonts w:hint="eastAsia" w:ascii="宋体" w:hAnsi="宋体" w:eastAsia="宋体" w:cs="宋体"/>
          <w:color w:val="auto"/>
          <w:kern w:val="0"/>
          <w:sz w:val="21"/>
          <w:szCs w:val="21"/>
          <w:highlight w:val="none"/>
          <w:lang w:eastAsia="zh-CN"/>
        </w:rPr>
        <w:t>阵地（安装显示屏，设立宣传牌，印</w:t>
      </w:r>
      <w:r>
        <w:rPr>
          <w:rFonts w:hint="eastAsia" w:ascii="宋体" w:hAnsi="宋体" w:eastAsia="宋体" w:cs="宋体"/>
          <w:color w:val="auto"/>
          <w:kern w:val="0"/>
          <w:sz w:val="21"/>
          <w:szCs w:val="21"/>
          <w:highlight w:val="none"/>
        </w:rPr>
        <w:t>制</w:t>
      </w:r>
      <w:r>
        <w:rPr>
          <w:rFonts w:hint="eastAsia" w:ascii="宋体" w:hAnsi="宋体" w:eastAsia="宋体" w:cs="宋体"/>
          <w:color w:val="auto"/>
          <w:kern w:val="0"/>
          <w:sz w:val="21"/>
          <w:szCs w:val="21"/>
          <w:highlight w:val="none"/>
          <w:lang w:eastAsia="zh-CN"/>
        </w:rPr>
        <w:t>宣传资料等）；</w:t>
      </w:r>
    </w:p>
    <w:p w14:paraId="23FAD4E6">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5.有工作要求</w:t>
      </w:r>
      <w:r>
        <w:rPr>
          <w:rFonts w:hint="eastAsia" w:ascii="宋体" w:hAnsi="宋体" w:eastAsia="宋体" w:cs="宋体"/>
          <w:color w:val="auto"/>
          <w:kern w:val="0"/>
          <w:sz w:val="21"/>
          <w:szCs w:val="21"/>
          <w:highlight w:val="none"/>
          <w:lang w:eastAsia="zh-CN"/>
        </w:rPr>
        <w:t>（做到工作有制度、服务有标准、操作有流程）；</w:t>
      </w:r>
    </w:p>
    <w:p w14:paraId="33CFD3CF">
      <w:pPr>
        <w:keepNext w:val="0"/>
        <w:keepLines w:val="0"/>
        <w:pageBreakBefore w:val="0"/>
        <w:kinsoku/>
        <w:wordWrap/>
        <w:overflowPunct/>
        <w:topLinePunct w:val="0"/>
        <w:autoSpaceDE/>
        <w:autoSpaceDN/>
        <w:bidi w:val="0"/>
        <w:adjustRightInd/>
        <w:snapToGrid/>
        <w:spacing w:line="320" w:lineRule="exact"/>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三、服务内容</w:t>
      </w:r>
    </w:p>
    <w:p w14:paraId="632CF752">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以工业园区企业、园区外重点企业</w:t>
      </w:r>
      <w:r>
        <w:rPr>
          <w:rFonts w:hint="eastAsia" w:ascii="宋体" w:hAnsi="宋体" w:eastAsia="宋体" w:cs="宋体"/>
          <w:color w:val="auto"/>
          <w:kern w:val="0"/>
          <w:sz w:val="21"/>
          <w:szCs w:val="21"/>
          <w:highlight w:val="none"/>
          <w:lang w:eastAsia="zh-CN"/>
        </w:rPr>
        <w:t>（含</w:t>
      </w:r>
      <w:r>
        <w:rPr>
          <w:rFonts w:hint="eastAsia" w:ascii="宋体" w:hAnsi="宋体" w:eastAsia="宋体" w:cs="宋体"/>
          <w:color w:val="auto"/>
          <w:kern w:val="0"/>
          <w:sz w:val="21"/>
          <w:szCs w:val="21"/>
          <w:highlight w:val="none"/>
        </w:rPr>
        <w:t>就业帮扶车间</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“园区</w:t>
      </w:r>
      <w:r>
        <w:rPr>
          <w:rFonts w:hint="eastAsia" w:ascii="宋体" w:hAnsi="宋体" w:eastAsia="宋体" w:cs="宋体"/>
          <w:color w:val="auto"/>
          <w:kern w:val="0"/>
          <w:sz w:val="21"/>
          <w:szCs w:val="21"/>
          <w:highlight w:val="none"/>
          <w:lang w:val="en-US" w:eastAsia="zh-CN"/>
        </w:rPr>
        <w:t>+车间+庭院”模式加工点（公司）、</w:t>
      </w:r>
      <w:r>
        <w:rPr>
          <w:rFonts w:hint="eastAsia" w:ascii="宋体" w:hAnsi="宋体" w:eastAsia="宋体" w:cs="宋体"/>
          <w:color w:val="auto"/>
          <w:kern w:val="0"/>
          <w:sz w:val="21"/>
          <w:szCs w:val="21"/>
          <w:highlight w:val="none"/>
        </w:rPr>
        <w:t>零工市场、村（社区）为</w:t>
      </w:r>
      <w:r>
        <w:rPr>
          <w:rFonts w:hint="eastAsia" w:ascii="宋体" w:hAnsi="宋体" w:eastAsia="宋体" w:cs="宋体"/>
          <w:color w:val="auto"/>
          <w:kern w:val="0"/>
          <w:sz w:val="21"/>
          <w:szCs w:val="21"/>
          <w:highlight w:val="none"/>
          <w:lang w:eastAsia="zh-CN"/>
        </w:rPr>
        <w:t>服务</w:t>
      </w:r>
      <w:r>
        <w:rPr>
          <w:rFonts w:hint="eastAsia" w:ascii="宋体" w:hAnsi="宋体" w:eastAsia="宋体" w:cs="宋体"/>
          <w:color w:val="auto"/>
          <w:kern w:val="0"/>
          <w:sz w:val="21"/>
          <w:szCs w:val="21"/>
          <w:highlight w:val="none"/>
        </w:rPr>
        <w:t>主体，</w:t>
      </w:r>
      <w:r>
        <w:rPr>
          <w:rFonts w:hint="eastAsia" w:ascii="宋体" w:hAnsi="宋体" w:eastAsia="宋体" w:cs="宋体"/>
          <w:color w:val="auto"/>
          <w:kern w:val="0"/>
          <w:sz w:val="21"/>
          <w:szCs w:val="21"/>
          <w:highlight w:val="none"/>
          <w:lang w:eastAsia="zh-CN"/>
        </w:rPr>
        <w:t>在县人社局的指导下</w:t>
      </w:r>
      <w:r>
        <w:rPr>
          <w:rFonts w:hint="eastAsia" w:ascii="宋体" w:hAnsi="宋体" w:eastAsia="宋体" w:cs="宋体"/>
          <w:color w:val="auto"/>
          <w:kern w:val="0"/>
          <w:sz w:val="21"/>
          <w:szCs w:val="21"/>
          <w:highlight w:val="none"/>
        </w:rPr>
        <w:t>开展基本信息调查、招工、政策宣传等相关</w:t>
      </w:r>
      <w:r>
        <w:rPr>
          <w:rFonts w:hint="eastAsia" w:ascii="宋体" w:hAnsi="宋体" w:eastAsia="宋体" w:cs="宋体"/>
          <w:color w:val="auto"/>
          <w:kern w:val="0"/>
          <w:sz w:val="21"/>
          <w:szCs w:val="21"/>
          <w:highlight w:val="none"/>
          <w:lang w:eastAsia="zh-CN"/>
        </w:rPr>
        <w:t>就业</w:t>
      </w:r>
      <w:r>
        <w:rPr>
          <w:rFonts w:hint="eastAsia" w:ascii="宋体" w:hAnsi="宋体" w:eastAsia="宋体" w:cs="宋体"/>
          <w:color w:val="auto"/>
          <w:kern w:val="0"/>
          <w:sz w:val="21"/>
          <w:szCs w:val="21"/>
          <w:highlight w:val="none"/>
        </w:rPr>
        <w:t xml:space="preserve">服务工作。 </w:t>
      </w:r>
    </w:p>
    <w:p w14:paraId="401271A1">
      <w:pPr>
        <w:keepNext w:val="0"/>
        <w:keepLines w:val="0"/>
        <w:pageBreakBefore w:val="0"/>
        <w:numPr>
          <w:ilvl w:val="0"/>
          <w:numId w:val="3"/>
        </w:numPr>
        <w:tabs>
          <w:tab w:val="left" w:pos="665"/>
        </w:tabs>
        <w:kinsoku/>
        <w:wordWrap/>
        <w:overflowPunct/>
        <w:topLinePunct w:val="0"/>
        <w:autoSpaceDE/>
        <w:autoSpaceDN/>
        <w:bidi w:val="0"/>
        <w:adjustRightInd/>
        <w:snapToGrid/>
        <w:spacing w:line="32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上门</w:t>
      </w:r>
      <w:r>
        <w:rPr>
          <w:rFonts w:hint="eastAsia" w:ascii="宋体" w:hAnsi="宋体" w:eastAsia="宋体" w:cs="宋体"/>
          <w:bCs/>
          <w:color w:val="auto"/>
          <w:sz w:val="21"/>
          <w:szCs w:val="21"/>
          <w:highlight w:val="none"/>
        </w:rPr>
        <w:t>实地服务</w:t>
      </w:r>
    </w:p>
    <w:p w14:paraId="622054F7">
      <w:pPr>
        <w:keepNext w:val="0"/>
        <w:keepLines w:val="0"/>
        <w:pageBreakBefore w:val="0"/>
        <w:numPr>
          <w:ilvl w:val="0"/>
          <w:numId w:val="4"/>
        </w:numPr>
        <w:tabs>
          <w:tab w:val="left" w:pos="665"/>
          <w:tab w:val="clear" w:pos="312"/>
        </w:tabs>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每月到相关企业（含就业帮扶车间）根据服务清单内容开展服务1次，填写服务企业清单一览表，并将每月企业需招聘的岗位信息录入广西“数智人社”系统。及时向企业宣传有关法律法规、惠企政策，并确保企业知晓了解，动员、指导就业帮扶车间申请带动就业补贴、了解吸纳脱贫人口就业情况等。</w:t>
      </w:r>
    </w:p>
    <w:p w14:paraId="221C7D46">
      <w:pPr>
        <w:keepNext w:val="0"/>
        <w:keepLines w:val="0"/>
        <w:pageBreakBefore w:val="0"/>
        <w:numPr>
          <w:ilvl w:val="0"/>
          <w:numId w:val="4"/>
        </w:numPr>
        <w:tabs>
          <w:tab w:val="left" w:pos="665"/>
          <w:tab w:val="clear" w:pos="312"/>
        </w:tabs>
        <w:kinsoku/>
        <w:wordWrap/>
        <w:overflowPunct/>
        <w:topLinePunct w:val="0"/>
        <w:autoSpaceDE/>
        <w:autoSpaceDN/>
        <w:bidi w:val="0"/>
        <w:adjustRightInd/>
        <w:snapToGrid/>
        <w:spacing w:line="320" w:lineRule="exact"/>
        <w:ind w:left="0" w:leftChars="0"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每月收集“园区+车间+庭院”模式加工点（公司）用工需求1次，对有招工需求的不定期上门服务，并将收集到的加工点（公司）需招聘的岗位信息在线上平台发布。</w:t>
      </w:r>
    </w:p>
    <w:p w14:paraId="39D2C7F7">
      <w:pPr>
        <w:keepNext w:val="0"/>
        <w:keepLines w:val="0"/>
        <w:pageBreakBefore w:val="0"/>
        <w:numPr>
          <w:ilvl w:val="0"/>
          <w:numId w:val="0"/>
        </w:numPr>
        <w:tabs>
          <w:tab w:val="left" w:pos="665"/>
        </w:tabs>
        <w:kinsoku/>
        <w:wordWrap/>
        <w:overflowPunct/>
        <w:topLinePunct w:val="0"/>
        <w:autoSpaceDE/>
        <w:autoSpaceDN/>
        <w:bidi w:val="0"/>
        <w:adjustRightInd/>
        <w:snapToGrid/>
        <w:spacing w:line="320" w:lineRule="exact"/>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3.每月到村（社区）开展招工宣传、职业技能培训宣传、人社政策宣传各1次。依托宣传车流动宣传、巡回播报、移动宣传点等灵活的模式深入村社区开展招工岗位推介、人社惠民政策宣传等。</w:t>
      </w:r>
    </w:p>
    <w:p w14:paraId="41AD1C5E">
      <w:pPr>
        <w:keepNext w:val="0"/>
        <w:keepLines w:val="0"/>
        <w:pageBreakBefore w:val="0"/>
        <w:tabs>
          <w:tab w:val="left" w:pos="665"/>
        </w:tabs>
        <w:kinsoku/>
        <w:wordWrap/>
        <w:overflowPunct/>
        <w:topLinePunct w:val="0"/>
        <w:autoSpaceDE/>
        <w:autoSpaceDN/>
        <w:bidi w:val="0"/>
        <w:adjustRightInd/>
        <w:snapToGrid/>
        <w:spacing w:line="32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（二）发布招聘信息</w:t>
      </w:r>
    </w:p>
    <w:p w14:paraId="5B2B410E">
      <w:pPr>
        <w:keepNext w:val="0"/>
        <w:keepLines w:val="0"/>
        <w:pageBreakBefore w:val="0"/>
        <w:tabs>
          <w:tab w:val="left" w:pos="665"/>
        </w:tabs>
        <w:kinsoku/>
        <w:wordWrap/>
        <w:overflowPunct/>
        <w:topLinePunct w:val="0"/>
        <w:autoSpaceDE/>
        <w:autoSpaceDN/>
        <w:bidi w:val="0"/>
        <w:adjustRightInd/>
        <w:snapToGrid/>
        <w:spacing w:line="320" w:lineRule="exact"/>
        <w:ind w:left="0" w:leftChars="0" w:firstLine="422"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1.</w:t>
      </w:r>
      <w:r>
        <w:rPr>
          <w:rFonts w:hint="eastAsia" w:ascii="宋体" w:hAnsi="宋体" w:eastAsia="宋体" w:cs="宋体"/>
          <w:b/>
          <w:bCs/>
          <w:color w:val="auto"/>
          <w:kern w:val="0"/>
          <w:sz w:val="21"/>
          <w:szCs w:val="21"/>
          <w:highlight w:val="none"/>
        </w:rPr>
        <w:t>线上招聘信息发布。</w:t>
      </w:r>
      <w:r>
        <w:rPr>
          <w:rFonts w:hint="eastAsia" w:ascii="宋体" w:hAnsi="宋体" w:eastAsia="宋体" w:cs="宋体"/>
          <w:b/>
          <w:bCs/>
          <w:color w:val="auto"/>
          <w:kern w:val="0"/>
          <w:sz w:val="21"/>
          <w:szCs w:val="21"/>
          <w:highlight w:val="none"/>
          <w:lang w:eastAsia="zh-CN"/>
        </w:rPr>
        <w:t>一是在</w:t>
      </w:r>
      <w:r>
        <w:rPr>
          <w:rFonts w:hint="eastAsia" w:ascii="宋体" w:hAnsi="宋体" w:eastAsia="宋体" w:cs="宋体"/>
          <w:b/>
          <w:bCs/>
          <w:color w:val="auto"/>
          <w:kern w:val="0"/>
          <w:sz w:val="21"/>
          <w:szCs w:val="21"/>
          <w:highlight w:val="none"/>
        </w:rPr>
        <w:t>网站平台</w:t>
      </w:r>
      <w:r>
        <w:rPr>
          <w:rFonts w:hint="eastAsia" w:ascii="宋体" w:hAnsi="宋体" w:eastAsia="宋体" w:cs="宋体"/>
          <w:b/>
          <w:bCs/>
          <w:color w:val="auto"/>
          <w:kern w:val="0"/>
          <w:sz w:val="21"/>
          <w:szCs w:val="21"/>
          <w:highlight w:val="none"/>
          <w:lang w:eastAsia="zh-CN"/>
        </w:rPr>
        <w:t>发布</w:t>
      </w:r>
      <w:r>
        <w:rPr>
          <w:rFonts w:hint="eastAsia" w:ascii="宋体" w:hAnsi="宋体" w:eastAsia="宋体" w:cs="宋体"/>
          <w:b/>
          <w:bCs/>
          <w:color w:val="auto"/>
          <w:kern w:val="0"/>
          <w:sz w:val="21"/>
          <w:szCs w:val="21"/>
          <w:highlight w:val="none"/>
        </w:rPr>
        <w:t>：</w:t>
      </w:r>
      <w:r>
        <w:rPr>
          <w:rFonts w:hint="eastAsia" w:ascii="宋体" w:hAnsi="宋体" w:eastAsia="宋体" w:cs="宋体"/>
          <w:color w:val="auto"/>
          <w:kern w:val="0"/>
          <w:sz w:val="21"/>
          <w:szCs w:val="21"/>
          <w:highlight w:val="none"/>
        </w:rPr>
        <w:t>每月要在</w:t>
      </w:r>
      <w:r>
        <w:rPr>
          <w:rFonts w:hint="eastAsia" w:ascii="宋体" w:hAnsi="宋体" w:eastAsia="宋体" w:cs="宋体"/>
          <w:color w:val="auto"/>
          <w:kern w:val="0"/>
          <w:sz w:val="21"/>
          <w:szCs w:val="21"/>
          <w:highlight w:val="none"/>
          <w:lang w:eastAsia="zh-CN"/>
        </w:rPr>
        <w:t>浦北就业、</w:t>
      </w:r>
      <w:r>
        <w:rPr>
          <w:rFonts w:hint="eastAsia" w:ascii="宋体" w:hAnsi="宋体" w:cs="宋体"/>
          <w:color w:val="auto"/>
          <w:kern w:val="0"/>
          <w:sz w:val="21"/>
          <w:szCs w:val="21"/>
          <w:highlight w:val="none"/>
          <w:lang w:eastAsia="zh-CN"/>
        </w:rPr>
        <w:t>就在浦北</w:t>
      </w:r>
      <w:r>
        <w:rPr>
          <w:rFonts w:hint="eastAsia" w:ascii="宋体" w:hAnsi="宋体" w:cs="宋体"/>
          <w:color w:val="auto"/>
          <w:kern w:val="0"/>
          <w:sz w:val="21"/>
          <w:szCs w:val="21"/>
          <w:highlight w:val="none"/>
          <w:lang w:val="en-US" w:eastAsia="zh-CN" w:bidi="ar-SA"/>
        </w:rPr>
        <w:t>、浦北招聘网</w:t>
      </w:r>
      <w:r>
        <w:rPr>
          <w:rFonts w:hint="eastAsia" w:ascii="宋体" w:hAnsi="宋体" w:eastAsia="宋体" w:cs="宋体"/>
          <w:color w:val="auto"/>
          <w:kern w:val="0"/>
          <w:sz w:val="21"/>
          <w:szCs w:val="21"/>
          <w:highlight w:val="none"/>
        </w:rPr>
        <w:t>等相关网站发布2次招聘信息。县就业</w:t>
      </w:r>
      <w:r>
        <w:rPr>
          <w:rFonts w:hint="eastAsia" w:ascii="宋体" w:hAnsi="宋体" w:eastAsia="宋体" w:cs="宋体"/>
          <w:color w:val="auto"/>
          <w:kern w:val="0"/>
          <w:sz w:val="21"/>
          <w:szCs w:val="21"/>
          <w:highlight w:val="none"/>
          <w:lang w:eastAsia="zh-CN"/>
        </w:rPr>
        <w:t>服务</w:t>
      </w:r>
      <w:r>
        <w:rPr>
          <w:rFonts w:hint="eastAsia" w:ascii="宋体" w:hAnsi="宋体" w:eastAsia="宋体" w:cs="宋体"/>
          <w:color w:val="auto"/>
          <w:kern w:val="0"/>
          <w:sz w:val="21"/>
          <w:szCs w:val="21"/>
          <w:highlight w:val="none"/>
        </w:rPr>
        <w:t>中心</w:t>
      </w:r>
      <w:r>
        <w:rPr>
          <w:rFonts w:hint="eastAsia" w:ascii="宋体" w:hAnsi="宋体" w:eastAsia="宋体" w:cs="宋体"/>
          <w:color w:val="auto"/>
          <w:kern w:val="0"/>
          <w:sz w:val="21"/>
          <w:szCs w:val="21"/>
          <w:highlight w:val="none"/>
          <w:lang w:eastAsia="zh-CN"/>
        </w:rPr>
        <w:t>再</w:t>
      </w:r>
      <w:r>
        <w:rPr>
          <w:rFonts w:hint="eastAsia" w:ascii="宋体" w:hAnsi="宋体" w:eastAsia="宋体" w:cs="宋体"/>
          <w:color w:val="auto"/>
          <w:kern w:val="0"/>
          <w:sz w:val="21"/>
          <w:szCs w:val="21"/>
          <w:highlight w:val="none"/>
        </w:rPr>
        <w:t>协调其他网络平台机构发布。</w:t>
      </w:r>
      <w:r>
        <w:rPr>
          <w:rFonts w:hint="eastAsia" w:ascii="宋体" w:hAnsi="宋体" w:eastAsia="宋体" w:cs="宋体"/>
          <w:b/>
          <w:bCs/>
          <w:color w:val="auto"/>
          <w:kern w:val="0"/>
          <w:sz w:val="21"/>
          <w:szCs w:val="21"/>
          <w:highlight w:val="none"/>
          <w:lang w:eastAsia="zh-CN"/>
        </w:rPr>
        <w:t>二是在</w:t>
      </w:r>
      <w:r>
        <w:rPr>
          <w:rFonts w:hint="eastAsia" w:ascii="宋体" w:hAnsi="宋体" w:eastAsia="宋体" w:cs="宋体"/>
          <w:b/>
          <w:bCs/>
          <w:color w:val="auto"/>
          <w:kern w:val="0"/>
          <w:sz w:val="21"/>
          <w:szCs w:val="21"/>
          <w:highlight w:val="none"/>
        </w:rPr>
        <w:t>微信群</w:t>
      </w:r>
      <w:r>
        <w:rPr>
          <w:rFonts w:hint="eastAsia" w:ascii="宋体" w:hAnsi="宋体" w:eastAsia="宋体" w:cs="宋体"/>
          <w:b/>
          <w:bCs/>
          <w:color w:val="auto"/>
          <w:kern w:val="0"/>
          <w:sz w:val="21"/>
          <w:szCs w:val="21"/>
          <w:highlight w:val="none"/>
          <w:lang w:eastAsia="zh-CN"/>
        </w:rPr>
        <w:t>发布</w:t>
      </w:r>
      <w:r>
        <w:rPr>
          <w:rFonts w:hint="eastAsia" w:ascii="宋体" w:hAnsi="宋体" w:eastAsia="宋体" w:cs="宋体"/>
          <w:b/>
          <w:bCs/>
          <w:color w:val="auto"/>
          <w:kern w:val="0"/>
          <w:sz w:val="21"/>
          <w:szCs w:val="21"/>
          <w:highlight w:val="none"/>
        </w:rPr>
        <w:t>：</w:t>
      </w:r>
      <w:r>
        <w:rPr>
          <w:rFonts w:hint="eastAsia" w:ascii="宋体" w:hAnsi="宋体" w:eastAsia="宋体" w:cs="宋体"/>
          <w:color w:val="auto"/>
          <w:kern w:val="0"/>
          <w:sz w:val="21"/>
          <w:szCs w:val="21"/>
          <w:highlight w:val="none"/>
        </w:rPr>
        <w:t>每站要建立服务企业招工工作微信群，要覆</w:t>
      </w:r>
      <w:r>
        <w:rPr>
          <w:rFonts w:hint="eastAsia" w:ascii="宋体" w:hAnsi="宋体" w:eastAsia="宋体" w:cs="宋体"/>
          <w:color w:val="auto"/>
          <w:kern w:val="0"/>
          <w:sz w:val="21"/>
          <w:szCs w:val="21"/>
          <w:highlight w:val="none"/>
          <w:lang w:eastAsia="zh-CN"/>
        </w:rPr>
        <w:t>盖</w:t>
      </w:r>
      <w:r>
        <w:rPr>
          <w:rFonts w:hint="eastAsia" w:ascii="宋体" w:hAnsi="宋体" w:eastAsia="宋体" w:cs="宋体"/>
          <w:color w:val="auto"/>
          <w:kern w:val="0"/>
          <w:sz w:val="21"/>
          <w:szCs w:val="21"/>
          <w:highlight w:val="none"/>
        </w:rPr>
        <w:t>所在镇（街道）各村（社区）网格群，每月至少推送2次招工信息。</w:t>
      </w:r>
    </w:p>
    <w:p w14:paraId="32FECA1A">
      <w:pPr>
        <w:keepNext w:val="0"/>
        <w:keepLines w:val="0"/>
        <w:pageBreakBefore w:val="0"/>
        <w:tabs>
          <w:tab w:val="left" w:pos="665"/>
        </w:tabs>
        <w:kinsoku/>
        <w:wordWrap/>
        <w:overflowPunct/>
        <w:topLinePunct w:val="0"/>
        <w:autoSpaceDE/>
        <w:autoSpaceDN/>
        <w:bidi w:val="0"/>
        <w:adjustRightInd/>
        <w:snapToGrid/>
        <w:spacing w:line="320" w:lineRule="exact"/>
        <w:ind w:left="0" w:leftChars="0" w:firstLine="422"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rPr>
        <w:t>线下招聘信息发布。</w:t>
      </w:r>
      <w:r>
        <w:rPr>
          <w:rFonts w:hint="eastAsia" w:ascii="宋体" w:hAnsi="宋体" w:eastAsia="宋体" w:cs="宋体"/>
          <w:color w:val="auto"/>
          <w:kern w:val="0"/>
          <w:sz w:val="21"/>
          <w:szCs w:val="21"/>
          <w:highlight w:val="none"/>
        </w:rPr>
        <w:t>要在片区镇</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街道</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、村委（社区）、人流量大的超市、车站宣传栏张贴企业招聘信息，每月更新一次。每月要到片区所有村委（社区）实地现场宣传1次。</w:t>
      </w:r>
    </w:p>
    <w:p w14:paraId="11D8C84F">
      <w:pPr>
        <w:keepNext w:val="0"/>
        <w:keepLines w:val="0"/>
        <w:pageBreakBefore w:val="0"/>
        <w:kinsoku/>
        <w:wordWrap/>
        <w:overflowPunct/>
        <w:topLinePunct w:val="0"/>
        <w:autoSpaceDE/>
        <w:autoSpaceDN/>
        <w:bidi w:val="0"/>
        <w:adjustRightInd/>
        <w:snapToGrid/>
        <w:spacing w:line="32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w:t>
      </w:r>
      <w:r>
        <w:rPr>
          <w:rFonts w:hint="eastAsia" w:ascii="宋体" w:hAnsi="宋体" w:eastAsia="宋体" w:cs="宋体"/>
          <w:bCs/>
          <w:color w:val="auto"/>
          <w:sz w:val="21"/>
          <w:szCs w:val="21"/>
          <w:highlight w:val="none"/>
          <w:lang w:eastAsia="zh-CN"/>
        </w:rPr>
        <w:t>开拓</w:t>
      </w:r>
      <w:r>
        <w:rPr>
          <w:rFonts w:hint="eastAsia" w:ascii="宋体" w:hAnsi="宋体" w:eastAsia="宋体" w:cs="宋体"/>
          <w:bCs/>
          <w:color w:val="auto"/>
          <w:sz w:val="21"/>
          <w:szCs w:val="21"/>
          <w:highlight w:val="none"/>
        </w:rPr>
        <w:t>零工市场</w:t>
      </w:r>
    </w:p>
    <w:p w14:paraId="2493556A">
      <w:pPr>
        <w:keepNext w:val="0"/>
        <w:keepLines w:val="0"/>
        <w:pageBreakBefore w:val="0"/>
        <w:kinsoku/>
        <w:wordWrap/>
        <w:overflowPunct/>
        <w:topLinePunct w:val="0"/>
        <w:autoSpaceDE/>
        <w:autoSpaceDN/>
        <w:bidi w:val="0"/>
        <w:adjustRightInd/>
        <w:snapToGrid/>
        <w:spacing w:line="32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color w:val="auto"/>
          <w:kern w:val="0"/>
          <w:sz w:val="21"/>
          <w:szCs w:val="21"/>
          <w:highlight w:val="none"/>
        </w:rPr>
        <w:t>收集相关零工信息（如提供空调、洗衣机、油烟机清洗、搬运工、家政等短工服务项目人员的信息），录入</w:t>
      </w:r>
      <w:r>
        <w:rPr>
          <w:rFonts w:hint="eastAsia" w:ascii="宋体" w:hAnsi="宋体" w:cs="宋体"/>
          <w:color w:val="auto"/>
          <w:kern w:val="0"/>
          <w:sz w:val="21"/>
          <w:szCs w:val="21"/>
          <w:highlight w:val="none"/>
          <w:lang w:eastAsia="zh-CN"/>
        </w:rPr>
        <w:t>广西“数智人社”系统，并在浦北就业平台、网站、自然村网格群发布，海报张贴宣传</w:t>
      </w:r>
      <w:r>
        <w:rPr>
          <w:rFonts w:hint="eastAsia" w:ascii="宋体" w:hAnsi="宋体" w:eastAsia="宋体" w:cs="宋体"/>
          <w:color w:val="auto"/>
          <w:kern w:val="0"/>
          <w:sz w:val="21"/>
          <w:szCs w:val="21"/>
          <w:highlight w:val="none"/>
        </w:rPr>
        <w:t>。</w:t>
      </w:r>
    </w:p>
    <w:p w14:paraId="26C56AA5">
      <w:pPr>
        <w:keepNext w:val="0"/>
        <w:keepLines w:val="0"/>
        <w:pageBreakBefore w:val="0"/>
        <w:kinsoku/>
        <w:wordWrap/>
        <w:overflowPunct/>
        <w:topLinePunct w:val="0"/>
        <w:autoSpaceDE/>
        <w:autoSpaceDN/>
        <w:bidi w:val="0"/>
        <w:adjustRightInd/>
        <w:snapToGrid/>
        <w:spacing w:line="32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做好就业需求人员来访求职登记，</w:t>
      </w:r>
      <w:r>
        <w:rPr>
          <w:rFonts w:hint="eastAsia" w:ascii="宋体" w:hAnsi="宋体" w:eastAsia="宋体" w:cs="宋体"/>
          <w:color w:val="auto"/>
          <w:kern w:val="0"/>
          <w:sz w:val="21"/>
          <w:szCs w:val="21"/>
          <w:highlight w:val="none"/>
          <w:lang w:eastAsia="zh-CN"/>
        </w:rPr>
        <w:t>进行</w:t>
      </w:r>
      <w:r>
        <w:rPr>
          <w:rFonts w:hint="eastAsia" w:ascii="宋体" w:hAnsi="宋体" w:eastAsia="宋体" w:cs="宋体"/>
          <w:color w:val="auto"/>
          <w:kern w:val="0"/>
          <w:sz w:val="21"/>
          <w:szCs w:val="21"/>
          <w:highlight w:val="none"/>
        </w:rPr>
        <w:t>就业岗位</w:t>
      </w:r>
      <w:r>
        <w:rPr>
          <w:rFonts w:hint="eastAsia" w:ascii="宋体" w:hAnsi="宋体" w:eastAsia="宋体" w:cs="宋体"/>
          <w:color w:val="auto"/>
          <w:kern w:val="0"/>
          <w:sz w:val="21"/>
          <w:szCs w:val="21"/>
          <w:highlight w:val="none"/>
          <w:lang w:eastAsia="zh-CN"/>
        </w:rPr>
        <w:t>匹配</w:t>
      </w:r>
      <w:r>
        <w:rPr>
          <w:rFonts w:hint="eastAsia" w:ascii="宋体" w:hAnsi="宋体" w:eastAsia="宋体" w:cs="宋体"/>
          <w:color w:val="auto"/>
          <w:kern w:val="0"/>
          <w:sz w:val="21"/>
          <w:szCs w:val="21"/>
          <w:highlight w:val="none"/>
        </w:rPr>
        <w:t>推荐等工作。</w:t>
      </w:r>
    </w:p>
    <w:p w14:paraId="27BBF9B4">
      <w:pPr>
        <w:keepNext w:val="0"/>
        <w:keepLines w:val="0"/>
        <w:pageBreakBefore w:val="0"/>
        <w:kinsoku/>
        <w:wordWrap/>
        <w:overflowPunct/>
        <w:topLinePunct w:val="0"/>
        <w:autoSpaceDE/>
        <w:autoSpaceDN/>
        <w:bidi w:val="0"/>
        <w:adjustRightInd/>
        <w:snapToGrid/>
        <w:spacing w:line="320" w:lineRule="exact"/>
        <w:ind w:left="0" w:leftChars="0" w:right="0" w:rightChars="0" w:firstLine="420" w:firstLineChars="200"/>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（四）举办招聘会</w:t>
      </w:r>
    </w:p>
    <w:p w14:paraId="36219B83">
      <w:pPr>
        <w:keepNext w:val="0"/>
        <w:keepLines w:val="0"/>
        <w:pageBreakBefore w:val="0"/>
        <w:kinsoku/>
        <w:wordWrap/>
        <w:overflowPunct/>
        <w:topLinePunct w:val="0"/>
        <w:autoSpaceDE/>
        <w:autoSpaceDN/>
        <w:bidi w:val="0"/>
        <w:adjustRightInd/>
        <w:snapToGrid/>
        <w:spacing w:line="320" w:lineRule="exact"/>
        <w:ind w:left="0" w:leftChars="0" w:firstLine="422" w:firstLineChars="200"/>
        <w:textAlignment w:val="auto"/>
        <w:rPr>
          <w:rFonts w:hint="eastAsia" w:ascii="宋体" w:hAnsi="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1.</w:t>
      </w:r>
      <w:r>
        <w:rPr>
          <w:rFonts w:hint="eastAsia" w:ascii="宋体" w:hAnsi="宋体" w:eastAsia="宋体" w:cs="宋体"/>
          <w:b/>
          <w:bCs/>
          <w:color w:val="auto"/>
          <w:kern w:val="0"/>
          <w:sz w:val="21"/>
          <w:szCs w:val="21"/>
          <w:highlight w:val="none"/>
        </w:rPr>
        <w:t>线上招聘会。</w:t>
      </w:r>
      <w:r>
        <w:rPr>
          <w:rFonts w:hint="eastAsia" w:ascii="宋体" w:hAnsi="宋体" w:eastAsia="宋体" w:cs="宋体"/>
          <w:color w:val="auto"/>
          <w:kern w:val="0"/>
          <w:sz w:val="21"/>
          <w:szCs w:val="21"/>
          <w:highlight w:val="none"/>
        </w:rPr>
        <w:t>每月要通过网络</w:t>
      </w:r>
      <w:r>
        <w:rPr>
          <w:rFonts w:hint="eastAsia" w:ascii="宋体" w:hAnsi="宋体" w:eastAsia="宋体" w:cs="宋体"/>
          <w:color w:val="auto"/>
          <w:kern w:val="0"/>
          <w:sz w:val="21"/>
          <w:szCs w:val="21"/>
          <w:highlight w:val="none"/>
          <w:lang w:eastAsia="zh-CN"/>
        </w:rPr>
        <w:t>平台</w:t>
      </w:r>
      <w:r>
        <w:rPr>
          <w:rFonts w:hint="eastAsia" w:ascii="宋体" w:hAnsi="宋体" w:eastAsia="宋体" w:cs="宋体"/>
          <w:color w:val="auto"/>
          <w:kern w:val="0"/>
          <w:sz w:val="21"/>
          <w:szCs w:val="21"/>
          <w:highlight w:val="none"/>
        </w:rPr>
        <w:t>举办线上招聘会1场，由县</w:t>
      </w:r>
      <w:r>
        <w:rPr>
          <w:rFonts w:hint="eastAsia" w:ascii="宋体" w:hAnsi="宋体" w:eastAsia="宋体" w:cs="宋体"/>
          <w:color w:val="auto"/>
          <w:kern w:val="0"/>
          <w:sz w:val="21"/>
          <w:szCs w:val="21"/>
          <w:highlight w:val="none"/>
          <w:lang w:eastAsia="zh-CN"/>
        </w:rPr>
        <w:t>人社局</w:t>
      </w:r>
      <w:r>
        <w:rPr>
          <w:rFonts w:hint="eastAsia" w:ascii="宋体" w:hAnsi="宋体" w:eastAsia="宋体" w:cs="宋体"/>
          <w:color w:val="auto"/>
          <w:kern w:val="0"/>
          <w:sz w:val="21"/>
          <w:szCs w:val="21"/>
          <w:highlight w:val="none"/>
        </w:rPr>
        <w:t>协调其他网络平台机构举办，</w:t>
      </w:r>
      <w:r>
        <w:rPr>
          <w:rFonts w:hint="eastAsia" w:ascii="宋体" w:hAnsi="宋体" w:eastAsia="宋体" w:cs="宋体"/>
          <w:color w:val="auto"/>
          <w:kern w:val="0"/>
          <w:sz w:val="21"/>
          <w:szCs w:val="21"/>
          <w:highlight w:val="none"/>
          <w:lang w:eastAsia="zh-CN"/>
        </w:rPr>
        <w:t>就业服务工作站负责</w:t>
      </w:r>
      <w:r>
        <w:rPr>
          <w:rFonts w:hint="eastAsia" w:ascii="宋体" w:hAnsi="宋体" w:eastAsia="宋体" w:cs="宋体"/>
          <w:color w:val="auto"/>
          <w:kern w:val="0"/>
          <w:sz w:val="21"/>
          <w:szCs w:val="21"/>
          <w:highlight w:val="none"/>
        </w:rPr>
        <w:t>企业协调</w:t>
      </w:r>
      <w:r>
        <w:rPr>
          <w:rFonts w:hint="eastAsia" w:ascii="宋体" w:hAnsi="宋体" w:eastAsia="宋体" w:cs="宋体"/>
          <w:color w:val="auto"/>
          <w:kern w:val="0"/>
          <w:sz w:val="21"/>
          <w:szCs w:val="21"/>
          <w:highlight w:val="none"/>
          <w:lang w:eastAsia="zh-CN"/>
        </w:rPr>
        <w:t>工作以及</w:t>
      </w:r>
      <w:r>
        <w:rPr>
          <w:rFonts w:hint="eastAsia" w:ascii="宋体" w:hAnsi="宋体" w:eastAsia="宋体" w:cs="宋体"/>
          <w:color w:val="auto"/>
          <w:kern w:val="0"/>
          <w:sz w:val="21"/>
          <w:szCs w:val="21"/>
          <w:highlight w:val="none"/>
        </w:rPr>
        <w:t>企业宣传短视频拍摄</w:t>
      </w:r>
      <w:r>
        <w:rPr>
          <w:rFonts w:hint="eastAsia" w:ascii="宋体" w:hAnsi="宋体" w:eastAsia="宋体" w:cs="宋体"/>
          <w:color w:val="auto"/>
          <w:kern w:val="0"/>
          <w:sz w:val="21"/>
          <w:szCs w:val="21"/>
          <w:highlight w:val="none"/>
          <w:lang w:eastAsia="zh-CN"/>
        </w:rPr>
        <w:t>工作</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 xml:space="preserve">  </w:t>
      </w:r>
    </w:p>
    <w:p w14:paraId="306FAB63">
      <w:pPr>
        <w:keepNext w:val="0"/>
        <w:keepLines w:val="0"/>
        <w:pageBreakBefore w:val="0"/>
        <w:kinsoku/>
        <w:wordWrap/>
        <w:overflowPunct/>
        <w:topLinePunct w:val="0"/>
        <w:autoSpaceDE/>
        <w:autoSpaceDN/>
        <w:bidi w:val="0"/>
        <w:adjustRightInd/>
        <w:snapToGrid/>
        <w:spacing w:line="320" w:lineRule="exact"/>
        <w:ind w:left="0" w:leftChars="0" w:right="0" w:rightChars="0" w:firstLine="422" w:firstLineChars="200"/>
        <w:jc w:val="left"/>
        <w:textAlignment w:val="auto"/>
        <w:outlineLvl w:val="9"/>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rPr>
        <w:t>线下招聘会。</w:t>
      </w:r>
      <w:r>
        <w:rPr>
          <w:rFonts w:hint="eastAsia" w:ascii="宋体" w:hAnsi="宋体" w:eastAsia="宋体" w:cs="宋体"/>
          <w:b w:val="0"/>
          <w:bCs w:val="0"/>
          <w:color w:val="auto"/>
          <w:kern w:val="0"/>
          <w:sz w:val="21"/>
          <w:szCs w:val="21"/>
          <w:highlight w:val="none"/>
        </w:rPr>
        <w:t>按县</w:t>
      </w:r>
      <w:r>
        <w:rPr>
          <w:rFonts w:hint="eastAsia" w:ascii="宋体" w:hAnsi="宋体" w:eastAsia="宋体" w:cs="宋体"/>
          <w:b w:val="0"/>
          <w:bCs w:val="0"/>
          <w:color w:val="auto"/>
          <w:kern w:val="0"/>
          <w:sz w:val="21"/>
          <w:szCs w:val="21"/>
          <w:highlight w:val="none"/>
          <w:lang w:eastAsia="zh-CN"/>
        </w:rPr>
        <w:t>人社局</w:t>
      </w:r>
      <w:r>
        <w:rPr>
          <w:rFonts w:hint="eastAsia" w:ascii="宋体" w:hAnsi="宋体" w:eastAsia="宋体" w:cs="宋体"/>
          <w:b w:val="0"/>
          <w:bCs w:val="0"/>
          <w:color w:val="auto"/>
          <w:kern w:val="0"/>
          <w:sz w:val="21"/>
          <w:szCs w:val="21"/>
          <w:highlight w:val="none"/>
        </w:rPr>
        <w:t>要求组织举办</w:t>
      </w:r>
      <w:r>
        <w:rPr>
          <w:rFonts w:hint="eastAsia" w:ascii="宋体" w:hAnsi="宋体" w:eastAsia="宋体" w:cs="宋体"/>
          <w:b w:val="0"/>
          <w:bCs w:val="0"/>
          <w:color w:val="auto"/>
          <w:kern w:val="0"/>
          <w:sz w:val="21"/>
          <w:szCs w:val="21"/>
          <w:highlight w:val="none"/>
          <w:lang w:eastAsia="zh-CN"/>
        </w:rPr>
        <w:t>招聘会，</w:t>
      </w:r>
      <w:r>
        <w:rPr>
          <w:rFonts w:hint="eastAsia" w:ascii="宋体" w:hAnsi="宋体" w:eastAsia="宋体" w:cs="宋体"/>
          <w:b w:val="0"/>
          <w:bCs w:val="0"/>
          <w:color w:val="auto"/>
          <w:kern w:val="0"/>
          <w:sz w:val="21"/>
          <w:szCs w:val="21"/>
          <w:highlight w:val="none"/>
          <w:lang w:val="en-US" w:eastAsia="zh-CN"/>
        </w:rPr>
        <w:t>每个</w:t>
      </w:r>
      <w:r>
        <w:rPr>
          <w:rFonts w:hint="eastAsia" w:ascii="宋体" w:hAnsi="宋体" w:eastAsia="宋体" w:cs="宋体"/>
          <w:b w:val="0"/>
          <w:bCs w:val="0"/>
          <w:color w:val="auto"/>
          <w:kern w:val="0"/>
          <w:sz w:val="21"/>
          <w:szCs w:val="21"/>
          <w:highlight w:val="none"/>
          <w:lang w:eastAsia="zh-CN"/>
        </w:rPr>
        <w:t>镇（街道）</w:t>
      </w:r>
      <w:r>
        <w:rPr>
          <w:rFonts w:hint="eastAsia" w:ascii="宋体" w:hAnsi="宋体" w:eastAsia="宋体" w:cs="宋体"/>
          <w:b w:val="0"/>
          <w:bCs w:val="0"/>
          <w:color w:val="auto"/>
          <w:kern w:val="0"/>
          <w:sz w:val="21"/>
          <w:szCs w:val="21"/>
          <w:highlight w:val="none"/>
          <w:lang w:val="en-US" w:eastAsia="zh-CN"/>
        </w:rPr>
        <w:t>每季度</w:t>
      </w:r>
      <w:r>
        <w:rPr>
          <w:rFonts w:hint="eastAsia" w:ascii="宋体" w:hAnsi="宋体" w:eastAsia="宋体" w:cs="宋体"/>
          <w:b w:val="0"/>
          <w:bCs w:val="0"/>
          <w:color w:val="auto"/>
          <w:kern w:val="0"/>
          <w:sz w:val="21"/>
          <w:szCs w:val="21"/>
          <w:highlight w:val="none"/>
          <w:lang w:eastAsia="zh-CN"/>
        </w:rPr>
        <w:t>举办</w:t>
      </w: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lang w:eastAsia="zh-CN"/>
        </w:rPr>
        <w:t>场</w:t>
      </w:r>
      <w:r>
        <w:rPr>
          <w:rFonts w:hint="eastAsia" w:ascii="宋体" w:hAnsi="宋体" w:eastAsia="宋体" w:cs="宋体"/>
          <w:b w:val="0"/>
          <w:bCs w:val="0"/>
          <w:color w:val="auto"/>
          <w:kern w:val="0"/>
          <w:sz w:val="21"/>
          <w:szCs w:val="21"/>
          <w:highlight w:val="none"/>
          <w:lang w:val="en-US" w:eastAsia="zh-CN"/>
        </w:rPr>
        <w:t>招聘会</w:t>
      </w:r>
      <w:r>
        <w:rPr>
          <w:rFonts w:hint="eastAsia" w:ascii="宋体" w:hAnsi="宋体" w:eastAsia="宋体" w:cs="宋体"/>
          <w:b w:val="0"/>
          <w:bCs w:val="0"/>
          <w:color w:val="auto"/>
          <w:kern w:val="0"/>
          <w:sz w:val="21"/>
          <w:szCs w:val="21"/>
          <w:highlight w:val="none"/>
          <w:lang w:eastAsia="zh-CN"/>
        </w:rPr>
        <w:t>。线上、线下的招聘会安排信息要录入广西“数智人社”系统（根据上级工作的安排调整）</w:t>
      </w:r>
    </w:p>
    <w:p w14:paraId="4A4F377F">
      <w:pPr>
        <w:keepNext w:val="0"/>
        <w:keepLines w:val="0"/>
        <w:pageBreakBefore w:val="0"/>
        <w:kinsoku/>
        <w:wordWrap/>
        <w:overflowPunct/>
        <w:topLinePunct w:val="0"/>
        <w:autoSpaceDE/>
        <w:autoSpaceDN/>
        <w:bidi w:val="0"/>
        <w:adjustRightInd/>
        <w:snapToGrid/>
        <w:spacing w:line="320" w:lineRule="exact"/>
        <w:ind w:left="0" w:leftChars="0" w:right="0" w:rightChars="0" w:firstLine="420" w:firstLineChars="200"/>
        <w:jc w:val="left"/>
        <w:textAlignment w:val="auto"/>
        <w:outlineLvl w:val="9"/>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（五）就业服务指导清单。</w:t>
      </w:r>
    </w:p>
    <w:tbl>
      <w:tblPr>
        <w:tblStyle w:val="31"/>
        <w:tblW w:w="9162"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2195"/>
        <w:gridCol w:w="6132"/>
      </w:tblGrid>
      <w:tr w14:paraId="48356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35" w:type="dxa"/>
            <w:noWrap w:val="0"/>
            <w:vAlign w:val="top"/>
          </w:tcPr>
          <w:p w14:paraId="02B23B8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rightChars="0"/>
              <w:jc w:val="left"/>
              <w:textAlignment w:val="auto"/>
              <w:outlineLvl w:val="9"/>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序号</w:t>
            </w:r>
          </w:p>
        </w:tc>
        <w:tc>
          <w:tcPr>
            <w:tcW w:w="2195" w:type="dxa"/>
            <w:noWrap w:val="0"/>
            <w:vAlign w:val="top"/>
          </w:tcPr>
          <w:p w14:paraId="37BD8D8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0" w:firstLineChars="200"/>
              <w:jc w:val="left"/>
              <w:textAlignment w:val="auto"/>
              <w:outlineLvl w:val="9"/>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服务事项</w:t>
            </w:r>
          </w:p>
        </w:tc>
        <w:tc>
          <w:tcPr>
            <w:tcW w:w="6132" w:type="dxa"/>
            <w:noWrap w:val="0"/>
            <w:vAlign w:val="top"/>
          </w:tcPr>
          <w:p w14:paraId="542F88A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0" w:firstLineChars="200"/>
              <w:jc w:val="left"/>
              <w:textAlignment w:val="auto"/>
              <w:outlineLvl w:val="9"/>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服务内容</w:t>
            </w:r>
          </w:p>
        </w:tc>
      </w:tr>
      <w:tr w14:paraId="5A5C0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835" w:type="dxa"/>
            <w:noWrap w:val="0"/>
            <w:vAlign w:val="top"/>
          </w:tcPr>
          <w:p w14:paraId="5F7AA18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0" w:firstLineChars="200"/>
              <w:jc w:val="left"/>
              <w:textAlignment w:val="auto"/>
              <w:outlineLvl w:val="9"/>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w:t>
            </w:r>
          </w:p>
        </w:tc>
        <w:tc>
          <w:tcPr>
            <w:tcW w:w="2195" w:type="dxa"/>
            <w:noWrap w:val="0"/>
            <w:vAlign w:val="top"/>
          </w:tcPr>
          <w:p w14:paraId="7BF4804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0" w:firstLineChars="200"/>
              <w:jc w:val="left"/>
              <w:textAlignment w:val="auto"/>
              <w:outlineLvl w:val="9"/>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咨询服务</w:t>
            </w:r>
          </w:p>
        </w:tc>
        <w:tc>
          <w:tcPr>
            <w:tcW w:w="6132" w:type="dxa"/>
            <w:noWrap w:val="0"/>
            <w:vAlign w:val="top"/>
          </w:tcPr>
          <w:p w14:paraId="103C2C7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0" w:firstLineChars="200"/>
              <w:jc w:val="left"/>
              <w:textAlignment w:val="auto"/>
              <w:outlineLvl w:val="9"/>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提供人社相关政策或对接人社部门相关股室（单位），为各类重点求职人群提供招聘、求职、培训、就业援助、政策咨询、创业指导、劳动者权益保障等就业“一条龙”服务。</w:t>
            </w:r>
          </w:p>
          <w:p w14:paraId="564265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0" w:firstLineChars="200"/>
              <w:jc w:val="left"/>
              <w:textAlignment w:val="auto"/>
              <w:outlineLvl w:val="9"/>
              <w:rPr>
                <w:rFonts w:hint="eastAsia" w:ascii="宋体" w:hAnsi="宋体" w:cs="宋体"/>
                <w:b w:val="0"/>
                <w:bCs w:val="0"/>
                <w:color w:val="auto"/>
                <w:kern w:val="0"/>
                <w:sz w:val="21"/>
                <w:szCs w:val="21"/>
                <w:highlight w:val="none"/>
                <w:lang w:val="en-US" w:eastAsia="zh-CN"/>
              </w:rPr>
            </w:pPr>
          </w:p>
        </w:tc>
      </w:tr>
      <w:tr w14:paraId="24199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35" w:type="dxa"/>
            <w:noWrap w:val="0"/>
            <w:vAlign w:val="top"/>
          </w:tcPr>
          <w:p w14:paraId="75620E5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0" w:firstLineChars="200"/>
              <w:jc w:val="left"/>
              <w:textAlignment w:val="auto"/>
              <w:outlineLvl w:val="9"/>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2</w:t>
            </w:r>
          </w:p>
        </w:tc>
        <w:tc>
          <w:tcPr>
            <w:tcW w:w="2195" w:type="dxa"/>
            <w:noWrap w:val="0"/>
            <w:vAlign w:val="top"/>
          </w:tcPr>
          <w:p w14:paraId="044C4DC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0" w:firstLineChars="200"/>
              <w:jc w:val="left"/>
              <w:textAlignment w:val="auto"/>
              <w:outlineLvl w:val="9"/>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就业和失业管理服务</w:t>
            </w:r>
          </w:p>
        </w:tc>
        <w:tc>
          <w:tcPr>
            <w:tcW w:w="6132" w:type="dxa"/>
            <w:noWrap w:val="0"/>
            <w:vAlign w:val="top"/>
          </w:tcPr>
          <w:p w14:paraId="3384022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0" w:firstLineChars="200"/>
              <w:jc w:val="left"/>
              <w:textAlignment w:val="auto"/>
              <w:outlineLvl w:val="9"/>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做好辖区劳动年龄范围内有劳动能力且登记失业的残疾人员、城镇大龄失业人员、低保家庭人员、城镇零就业家庭人员、长期失业人员、失地人员办理就业困难人员认定指导及辖区登记失业人员就业跟踪帮扶。</w:t>
            </w:r>
          </w:p>
        </w:tc>
      </w:tr>
      <w:tr w14:paraId="5A52C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835" w:type="dxa"/>
            <w:noWrap w:val="0"/>
            <w:vAlign w:val="top"/>
          </w:tcPr>
          <w:p w14:paraId="0EC754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0" w:firstLineChars="200"/>
              <w:jc w:val="left"/>
              <w:textAlignment w:val="auto"/>
              <w:outlineLvl w:val="9"/>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3</w:t>
            </w:r>
          </w:p>
        </w:tc>
        <w:tc>
          <w:tcPr>
            <w:tcW w:w="2195" w:type="dxa"/>
            <w:noWrap w:val="0"/>
            <w:vAlign w:val="top"/>
          </w:tcPr>
          <w:p w14:paraId="04FCD18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0" w:firstLineChars="200"/>
              <w:jc w:val="left"/>
              <w:textAlignment w:val="auto"/>
              <w:outlineLvl w:val="9"/>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职业指导和职业介绍</w:t>
            </w:r>
          </w:p>
        </w:tc>
        <w:tc>
          <w:tcPr>
            <w:tcW w:w="6132" w:type="dxa"/>
            <w:noWrap w:val="0"/>
            <w:vAlign w:val="top"/>
          </w:tcPr>
          <w:p w14:paraId="080D14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0" w:firstLineChars="200"/>
              <w:jc w:val="left"/>
              <w:textAlignment w:val="auto"/>
              <w:outlineLvl w:val="9"/>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 xml:space="preserve">登记、引导、指导有求职需求的群众到服务站侯工、求职，积极对接辖区内各企业、收集用工需求、用工条件、福利待遇等用工信息，每季度收集发布招工岗位信息并录入“数智人社”广西就业平台不少于1000个，促进求职成功率达到60%。 </w:t>
            </w:r>
          </w:p>
        </w:tc>
      </w:tr>
      <w:tr w14:paraId="6E23F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835" w:type="dxa"/>
            <w:noWrap w:val="0"/>
            <w:vAlign w:val="top"/>
          </w:tcPr>
          <w:p w14:paraId="4A2FEA4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0" w:firstLineChars="200"/>
              <w:jc w:val="left"/>
              <w:textAlignment w:val="auto"/>
              <w:outlineLvl w:val="9"/>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4</w:t>
            </w:r>
          </w:p>
        </w:tc>
        <w:tc>
          <w:tcPr>
            <w:tcW w:w="2195" w:type="dxa"/>
            <w:noWrap w:val="0"/>
            <w:vAlign w:val="top"/>
          </w:tcPr>
          <w:p w14:paraId="67CC40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0" w:firstLineChars="200"/>
              <w:jc w:val="left"/>
              <w:textAlignment w:val="auto"/>
              <w:outlineLvl w:val="9"/>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职业技能培训</w:t>
            </w:r>
          </w:p>
        </w:tc>
        <w:tc>
          <w:tcPr>
            <w:tcW w:w="6132" w:type="dxa"/>
            <w:noWrap w:val="0"/>
            <w:vAlign w:val="top"/>
          </w:tcPr>
          <w:p w14:paraId="52AFD39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0" w:firstLineChars="200"/>
              <w:jc w:val="left"/>
              <w:textAlignment w:val="auto"/>
              <w:outlineLvl w:val="9"/>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采集、发布县级就业培训信息，推荐培训项目。</w:t>
            </w:r>
          </w:p>
        </w:tc>
      </w:tr>
      <w:tr w14:paraId="09920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35" w:type="dxa"/>
            <w:noWrap w:val="0"/>
            <w:vAlign w:val="top"/>
          </w:tcPr>
          <w:p w14:paraId="57690A8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0" w:firstLineChars="200"/>
              <w:jc w:val="left"/>
              <w:textAlignment w:val="auto"/>
              <w:outlineLvl w:val="9"/>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5</w:t>
            </w:r>
          </w:p>
        </w:tc>
        <w:tc>
          <w:tcPr>
            <w:tcW w:w="2195" w:type="dxa"/>
            <w:noWrap w:val="0"/>
            <w:vAlign w:val="top"/>
          </w:tcPr>
          <w:p w14:paraId="529EF4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0" w:firstLineChars="200"/>
              <w:jc w:val="left"/>
              <w:textAlignment w:val="auto"/>
              <w:outlineLvl w:val="9"/>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创业服务</w:t>
            </w:r>
          </w:p>
        </w:tc>
        <w:tc>
          <w:tcPr>
            <w:tcW w:w="6132" w:type="dxa"/>
            <w:noWrap w:val="0"/>
            <w:vAlign w:val="top"/>
          </w:tcPr>
          <w:p w14:paraId="0A8CC9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0" w:firstLineChars="200"/>
              <w:jc w:val="left"/>
              <w:textAlignment w:val="auto"/>
              <w:outlineLvl w:val="9"/>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提供创业咨询服务，采集、发布创业培训信息，宣传创业担保贷款政策。</w:t>
            </w:r>
          </w:p>
        </w:tc>
      </w:tr>
      <w:tr w14:paraId="34AC0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835" w:type="dxa"/>
            <w:noWrap w:val="0"/>
            <w:vAlign w:val="top"/>
          </w:tcPr>
          <w:p w14:paraId="09939AE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0" w:firstLineChars="200"/>
              <w:jc w:val="left"/>
              <w:textAlignment w:val="auto"/>
              <w:outlineLvl w:val="9"/>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6</w:t>
            </w:r>
          </w:p>
        </w:tc>
        <w:tc>
          <w:tcPr>
            <w:tcW w:w="2195" w:type="dxa"/>
            <w:noWrap w:val="0"/>
            <w:vAlign w:val="top"/>
          </w:tcPr>
          <w:p w14:paraId="39BCDF7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0" w:firstLineChars="200"/>
              <w:jc w:val="left"/>
              <w:textAlignment w:val="auto"/>
              <w:outlineLvl w:val="9"/>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离校未就业高校毕业生就业服务</w:t>
            </w:r>
          </w:p>
        </w:tc>
        <w:tc>
          <w:tcPr>
            <w:tcW w:w="6132" w:type="dxa"/>
            <w:noWrap w:val="0"/>
            <w:vAlign w:val="top"/>
          </w:tcPr>
          <w:p w14:paraId="6D68C8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0" w:firstLineChars="200"/>
              <w:jc w:val="left"/>
              <w:textAlignment w:val="auto"/>
              <w:outlineLvl w:val="9"/>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收集辖区内离校未就业高校毕业生信息，并进行就业回访、开展就业帮扶。</w:t>
            </w:r>
          </w:p>
        </w:tc>
      </w:tr>
      <w:tr w14:paraId="39E0F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835" w:type="dxa"/>
            <w:noWrap w:val="0"/>
            <w:vAlign w:val="top"/>
          </w:tcPr>
          <w:p w14:paraId="30ADB4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0" w:firstLineChars="200"/>
              <w:jc w:val="left"/>
              <w:textAlignment w:val="auto"/>
              <w:outlineLvl w:val="9"/>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7</w:t>
            </w:r>
          </w:p>
        </w:tc>
        <w:tc>
          <w:tcPr>
            <w:tcW w:w="2195" w:type="dxa"/>
            <w:noWrap w:val="0"/>
            <w:vAlign w:val="top"/>
          </w:tcPr>
          <w:p w14:paraId="5557B68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0" w:firstLineChars="200"/>
              <w:jc w:val="left"/>
              <w:textAlignment w:val="auto"/>
              <w:outlineLvl w:val="9"/>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就业补贴服务指导</w:t>
            </w:r>
          </w:p>
        </w:tc>
        <w:tc>
          <w:tcPr>
            <w:tcW w:w="6132" w:type="dxa"/>
            <w:noWrap w:val="0"/>
            <w:vAlign w:val="top"/>
          </w:tcPr>
          <w:p w14:paraId="1BD0751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0" w:firstLineChars="200"/>
              <w:jc w:val="left"/>
              <w:textAlignment w:val="auto"/>
              <w:outlineLvl w:val="9"/>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根据稳就业政策的各项补贴一次性告知单，在辖区内开展稳就业政策落实、宣传，为辖区企业、群众提供申请各项就业补贴的指导</w:t>
            </w:r>
          </w:p>
        </w:tc>
      </w:tr>
      <w:tr w14:paraId="35800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835" w:type="dxa"/>
            <w:noWrap w:val="0"/>
            <w:vAlign w:val="top"/>
          </w:tcPr>
          <w:p w14:paraId="553AD22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0" w:firstLineChars="200"/>
              <w:jc w:val="left"/>
              <w:textAlignment w:val="auto"/>
              <w:outlineLvl w:val="9"/>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8</w:t>
            </w:r>
          </w:p>
        </w:tc>
        <w:tc>
          <w:tcPr>
            <w:tcW w:w="2195" w:type="dxa"/>
            <w:noWrap w:val="0"/>
            <w:vAlign w:val="top"/>
          </w:tcPr>
          <w:p w14:paraId="344BFD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0" w:firstLineChars="200"/>
              <w:jc w:val="left"/>
              <w:textAlignment w:val="auto"/>
              <w:outlineLvl w:val="9"/>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劳动维权服务</w:t>
            </w:r>
          </w:p>
        </w:tc>
        <w:tc>
          <w:tcPr>
            <w:tcW w:w="6132" w:type="dxa"/>
            <w:noWrap w:val="0"/>
            <w:vAlign w:val="top"/>
          </w:tcPr>
          <w:p w14:paraId="0ADE9F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0" w:firstLineChars="200"/>
              <w:jc w:val="left"/>
              <w:textAlignment w:val="auto"/>
              <w:outlineLvl w:val="9"/>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 xml:space="preserve">劳动者工资、社保等维权指导，企业用工指导 </w:t>
            </w:r>
          </w:p>
        </w:tc>
      </w:tr>
    </w:tbl>
    <w:p w14:paraId="26DE1073">
      <w:pPr>
        <w:keepNext w:val="0"/>
        <w:keepLines w:val="0"/>
        <w:pageBreakBefore w:val="0"/>
        <w:kinsoku/>
        <w:wordWrap/>
        <w:overflowPunct/>
        <w:topLinePunct w:val="0"/>
        <w:autoSpaceDE/>
        <w:autoSpaceDN/>
        <w:bidi w:val="0"/>
        <w:adjustRightInd/>
        <w:snapToGrid/>
        <w:spacing w:line="320" w:lineRule="exact"/>
        <w:ind w:right="0" w:rightChars="0"/>
        <w:jc w:val="left"/>
        <w:textAlignment w:val="auto"/>
        <w:outlineLvl w:val="9"/>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 xml:space="preserve">  </w:t>
      </w:r>
    </w:p>
    <w:p w14:paraId="0168CD25">
      <w:pPr>
        <w:keepNext w:val="0"/>
        <w:keepLines w:val="0"/>
        <w:pageBreakBefore w:val="0"/>
        <w:kinsoku/>
        <w:wordWrap/>
        <w:overflowPunct/>
        <w:topLinePunct w:val="0"/>
        <w:autoSpaceDE/>
        <w:autoSpaceDN/>
        <w:bidi w:val="0"/>
        <w:adjustRightInd/>
        <w:snapToGrid/>
        <w:spacing w:line="320" w:lineRule="exact"/>
        <w:ind w:left="0" w:leftChars="0" w:right="0" w:rightChars="0" w:firstLine="420" w:firstLineChars="20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四、服务方式及年限</w:t>
      </w:r>
    </w:p>
    <w:p w14:paraId="223CAE36">
      <w:pPr>
        <w:pageBreakBefore w:val="0"/>
        <w:kinsoku/>
        <w:topLinePunct w:val="0"/>
        <w:bidi w:val="0"/>
        <w:spacing w:before="60" w:after="60" w:line="360" w:lineRule="auto"/>
        <w:ind w:firstLine="420" w:firstLineChars="200"/>
        <w:rPr>
          <w:rFonts w:hint="eastAsia" w:ascii="宋体" w:hAnsi="宋体" w:eastAsia="宋体"/>
          <w:color w:val="auto"/>
          <w:szCs w:val="21"/>
          <w:highlight w:val="none"/>
          <w:lang w:eastAsia="zh-CN"/>
        </w:rPr>
      </w:pPr>
      <w:r>
        <w:rPr>
          <w:rFonts w:hint="eastAsia" w:ascii="宋体" w:hAnsi="宋体" w:eastAsia="宋体" w:cs="宋体"/>
          <w:color w:val="auto"/>
          <w:sz w:val="21"/>
          <w:szCs w:val="21"/>
          <w:highlight w:val="none"/>
          <w:lang w:val="en-US" w:eastAsia="zh-CN"/>
        </w:rPr>
        <w:t>通过采取政府购买服务方式实施，活动期3年，实行合同一年一签，第一年运营费用县城工业园区就业服务工作站预算为伍拾柒万伍仟柒佰元整（¥575,700元）；第二、第三年运营经费、服务内容结合实际进行调整优化，</w:t>
      </w:r>
      <w:r>
        <w:rPr>
          <w:rFonts w:hint="eastAsia" w:ascii="宋体" w:hAnsi="宋体" w:cs="宋体"/>
          <w:color w:val="auto"/>
          <w:sz w:val="21"/>
          <w:szCs w:val="21"/>
          <w:highlight w:val="none"/>
          <w:lang w:val="en-US" w:eastAsia="zh-CN"/>
        </w:rPr>
        <w:t>报县人民政府审批后，</w:t>
      </w:r>
      <w:r>
        <w:rPr>
          <w:rFonts w:hint="eastAsia" w:ascii="宋体" w:hAnsi="宋体" w:eastAsia="宋体" w:cs="宋体"/>
          <w:color w:val="auto"/>
          <w:sz w:val="21"/>
          <w:szCs w:val="21"/>
          <w:highlight w:val="none"/>
          <w:lang w:val="en-US" w:eastAsia="zh-CN"/>
        </w:rPr>
        <w:t>双方再续签合同，如遇上级政策调整，以上级政策为准，可终止实施。如果当年</w:t>
      </w:r>
      <w:r>
        <w:rPr>
          <w:rFonts w:hint="eastAsia" w:ascii="宋体" w:hAnsi="宋体" w:cs="宋体"/>
          <w:color w:val="auto"/>
          <w:sz w:val="21"/>
          <w:szCs w:val="21"/>
          <w:highlight w:val="none"/>
          <w:lang w:val="en-US" w:eastAsia="zh-CN"/>
        </w:rPr>
        <w:t>有2项（含2项）以上</w:t>
      </w:r>
      <w:r>
        <w:rPr>
          <w:rFonts w:hint="eastAsia" w:ascii="宋体" w:hAnsi="宋体" w:eastAsia="宋体" w:cs="宋体"/>
          <w:color w:val="auto"/>
          <w:sz w:val="21"/>
          <w:szCs w:val="21"/>
          <w:highlight w:val="none"/>
          <w:lang w:val="en-US" w:eastAsia="zh-CN"/>
        </w:rPr>
        <w:t>考核指标</w:t>
      </w:r>
      <w:r>
        <w:rPr>
          <w:rFonts w:hint="eastAsia" w:ascii="宋体" w:hAnsi="宋体" w:cs="宋体"/>
          <w:color w:val="auto"/>
          <w:sz w:val="21"/>
          <w:szCs w:val="21"/>
          <w:highlight w:val="none"/>
          <w:lang w:val="en-US" w:eastAsia="zh-CN"/>
        </w:rPr>
        <w:t>低于80%的</w:t>
      </w:r>
      <w:r>
        <w:rPr>
          <w:rFonts w:hint="eastAsia" w:ascii="宋体" w:hAnsi="宋体" w:eastAsia="宋体" w:cs="宋体"/>
          <w:color w:val="auto"/>
          <w:sz w:val="21"/>
          <w:szCs w:val="21"/>
          <w:highlight w:val="none"/>
          <w:lang w:val="en-US" w:eastAsia="zh-CN"/>
        </w:rPr>
        <w:t>，次年可终止实施。</w:t>
      </w:r>
    </w:p>
    <w:p w14:paraId="40C19887">
      <w:pPr>
        <w:pageBreakBefore w:val="0"/>
        <w:kinsoku/>
        <w:topLinePunct w:val="0"/>
        <w:bidi w:val="0"/>
        <w:spacing w:before="60" w:after="60" w:line="360" w:lineRule="auto"/>
        <w:ind w:left="0" w:firstLine="420" w:firstLineChars="200"/>
        <w:jc w:val="left"/>
        <w:rPr>
          <w:rFonts w:hint="eastAsia" w:ascii="宋体" w:hAnsi="宋体" w:eastAsia="宋体" w:cs="宋体"/>
          <w:color w:val="auto"/>
          <w:spacing w:val="0"/>
          <w:sz w:val="21"/>
          <w:szCs w:val="21"/>
          <w:highlight w:val="none"/>
          <w:lang w:val="en-US" w:eastAsia="zh-CN"/>
        </w:rPr>
      </w:pPr>
    </w:p>
    <w:p w14:paraId="32C783D7">
      <w:pPr>
        <w:keepNext w:val="0"/>
        <w:keepLines w:val="0"/>
        <w:pageBreakBefore w:val="0"/>
        <w:kinsoku/>
        <w:wordWrap/>
        <w:overflowPunct/>
        <w:topLinePunct w:val="0"/>
        <w:autoSpaceDE/>
        <w:autoSpaceDN/>
        <w:bidi w:val="0"/>
        <w:adjustRightInd/>
        <w:snapToGrid/>
        <w:spacing w:before="60" w:after="60"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highlight w:val="none"/>
          <w:shd w:val="clear" w:color="auto" w:fill="auto"/>
        </w:rPr>
        <w:t>如因上级政策重大调整导致项目终止，乙方已完成的服务经核实后，甲方应按实际完成比例支付相应费用；乙方不得主张预期收益赔偿</w:t>
      </w:r>
      <w:r>
        <w:rPr>
          <w:rFonts w:hint="eastAsia" w:ascii="宋体" w:hAnsi="宋体" w:cs="宋体"/>
          <w:i w:val="0"/>
          <w:iCs w:val="0"/>
          <w:caps w:val="0"/>
          <w:color w:val="auto"/>
          <w:spacing w:val="0"/>
          <w:sz w:val="21"/>
          <w:szCs w:val="21"/>
          <w:highlight w:val="none"/>
          <w:shd w:val="clear" w:color="auto" w:fill="auto"/>
          <w:lang w:eastAsia="zh-CN"/>
        </w:rPr>
        <w:t>。</w:t>
      </w:r>
    </w:p>
    <w:p w14:paraId="1D910315">
      <w:pPr>
        <w:keepNext w:val="0"/>
        <w:keepLines w:val="0"/>
        <w:pageBreakBefore w:val="0"/>
        <w:kinsoku/>
        <w:wordWrap/>
        <w:overflowPunct/>
        <w:topLinePunct w:val="0"/>
        <w:autoSpaceDE/>
        <w:autoSpaceDN/>
        <w:bidi w:val="0"/>
        <w:adjustRightInd/>
        <w:snapToGrid/>
        <w:spacing w:line="320" w:lineRule="exact"/>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五、固定资产权属</w:t>
      </w:r>
    </w:p>
    <w:p w14:paraId="2CA4519F">
      <w:pPr>
        <w:pageBreakBefore w:val="0"/>
        <w:kinsoku/>
        <w:topLinePunct w:val="0"/>
        <w:bidi w:val="0"/>
        <w:spacing w:before="60" w:after="60" w:line="360" w:lineRule="auto"/>
        <w:ind w:left="419" w:firstLine="420" w:firstLineChars="200"/>
        <w:jc w:val="left"/>
        <w:rPr>
          <w:rFonts w:hint="eastAsia" w:ascii="宋体" w:hAnsi="宋体" w:eastAsia="宋体" w:cs="宋体"/>
          <w:bCs/>
          <w:color w:val="auto"/>
          <w:spacing w:val="0"/>
          <w:sz w:val="21"/>
          <w:szCs w:val="21"/>
          <w:highlight w:val="none"/>
        </w:rPr>
      </w:pPr>
      <w:r>
        <w:rPr>
          <w:rFonts w:hint="eastAsia" w:ascii="宋体" w:hAnsi="宋体" w:eastAsia="宋体" w:cs="宋体"/>
          <w:bCs/>
          <w:i w:val="0"/>
          <w:iCs w:val="0"/>
          <w:caps w:val="0"/>
          <w:color w:val="auto"/>
          <w:spacing w:val="0"/>
          <w:sz w:val="21"/>
          <w:szCs w:val="21"/>
          <w:highlight w:val="none"/>
          <w:shd w:val="clear" w:color="auto" w:fill="auto"/>
        </w:rPr>
        <w:t>本项目购置、装修形成的全部固定资产（含设备、信息终端、装修等）所有权归甲方，合同期满或终止后，乙方10个工作日内完成资产清点移交，损毁、遗失需照价赔偿。</w:t>
      </w:r>
    </w:p>
    <w:p w14:paraId="280B024E">
      <w:pPr>
        <w:keepNext w:val="0"/>
        <w:keepLines w:val="0"/>
        <w:pageBreakBefore w:val="0"/>
        <w:kinsoku/>
        <w:wordWrap/>
        <w:overflowPunct/>
        <w:topLinePunct w:val="0"/>
        <w:autoSpaceDE/>
        <w:autoSpaceDN/>
        <w:bidi w:val="0"/>
        <w:adjustRightInd/>
        <w:snapToGrid/>
        <w:spacing w:line="320" w:lineRule="exact"/>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六、工作站考核要求</w:t>
      </w:r>
    </w:p>
    <w:p w14:paraId="4268F997">
      <w:pPr>
        <w:pStyle w:val="87"/>
        <w:keepNext w:val="0"/>
        <w:keepLines w:val="0"/>
        <w:pageBreakBefore w:val="0"/>
        <w:kinsoku/>
        <w:wordWrap/>
        <w:overflowPunct/>
        <w:topLinePunct w:val="0"/>
        <w:autoSpaceDE/>
        <w:autoSpaceDN/>
        <w:bidi w:val="0"/>
        <w:adjustRightInd/>
        <w:snapToGrid/>
        <w:spacing w:before="0" w:after="0" w:line="320" w:lineRule="exact"/>
        <w:ind w:left="0" w:leftChars="0" w:firstLine="420" w:firstLineChars="200"/>
        <w:textAlignment w:val="auto"/>
        <w:rPr>
          <w:rFonts w:hint="eastAsia" w:ascii="宋体" w:hAnsi="宋体" w:eastAsia="宋体" w:cs="宋体"/>
          <w:color w:val="auto"/>
          <w:spacing w:val="0"/>
          <w:kern w:val="2"/>
          <w:sz w:val="21"/>
          <w:szCs w:val="21"/>
          <w:highlight w:val="none"/>
          <w:lang w:eastAsia="zh-CN"/>
        </w:rPr>
      </w:pPr>
      <w:r>
        <w:rPr>
          <w:rFonts w:hint="eastAsia" w:ascii="宋体" w:hAnsi="宋体" w:eastAsia="宋体" w:cs="宋体"/>
          <w:color w:val="auto"/>
          <w:spacing w:val="0"/>
          <w:kern w:val="2"/>
          <w:sz w:val="21"/>
          <w:szCs w:val="21"/>
          <w:highlight w:val="none"/>
        </w:rPr>
        <w:t>（一）指标要求。</w:t>
      </w:r>
      <w:r>
        <w:rPr>
          <w:rFonts w:hint="eastAsia" w:ascii="宋体" w:hAnsi="宋体" w:eastAsia="宋体" w:cs="宋体"/>
          <w:color w:val="auto"/>
          <w:spacing w:val="0"/>
          <w:kern w:val="2"/>
          <w:sz w:val="21"/>
          <w:szCs w:val="21"/>
          <w:highlight w:val="none"/>
          <w:lang w:eastAsia="zh-CN"/>
        </w:rPr>
        <w:t>收集岗位信息并录入广西</w:t>
      </w:r>
      <w:r>
        <w:rPr>
          <w:rFonts w:hint="eastAsia" w:ascii="宋体" w:hAnsi="宋体" w:eastAsia="宋体" w:cs="宋体"/>
          <w:color w:val="auto"/>
          <w:spacing w:val="0"/>
          <w:kern w:val="2"/>
          <w:sz w:val="21"/>
          <w:szCs w:val="21"/>
          <w:highlight w:val="none"/>
          <w:lang w:val="en-US" w:eastAsia="zh-CN"/>
        </w:rPr>
        <w:t>“数智人社”信息系统广西就业平台大于或等于4000条，每个季度大于或等于1000条</w:t>
      </w:r>
      <w:r>
        <w:rPr>
          <w:rFonts w:hint="eastAsia" w:ascii="宋体" w:hAnsi="宋体" w:eastAsia="宋体" w:cs="宋体"/>
          <w:color w:val="auto"/>
          <w:spacing w:val="0"/>
          <w:kern w:val="2"/>
          <w:sz w:val="21"/>
          <w:szCs w:val="21"/>
          <w:highlight w:val="none"/>
        </w:rPr>
        <w:t>。线上、线下各项服务项目必须达100%；上门服务企业率100%</w:t>
      </w:r>
      <w:r>
        <w:rPr>
          <w:rFonts w:hint="eastAsia" w:ascii="宋体" w:hAnsi="宋体" w:eastAsia="宋体" w:cs="宋体"/>
          <w:color w:val="auto"/>
          <w:spacing w:val="0"/>
          <w:kern w:val="2"/>
          <w:sz w:val="21"/>
          <w:szCs w:val="21"/>
          <w:highlight w:val="none"/>
          <w:lang w:eastAsia="zh-CN"/>
        </w:rPr>
        <w:t>，</w:t>
      </w:r>
      <w:r>
        <w:rPr>
          <w:rFonts w:hint="eastAsia" w:ascii="宋体" w:hAnsi="宋体" w:eastAsia="宋体" w:cs="宋体"/>
          <w:color w:val="auto"/>
          <w:spacing w:val="0"/>
          <w:kern w:val="2"/>
          <w:sz w:val="21"/>
          <w:szCs w:val="21"/>
          <w:highlight w:val="none"/>
        </w:rPr>
        <w:t>企业知晓率</w:t>
      </w:r>
      <w:r>
        <w:rPr>
          <w:rFonts w:hint="eastAsia" w:ascii="宋体" w:hAnsi="宋体" w:eastAsia="宋体" w:cs="宋体"/>
          <w:color w:val="auto"/>
          <w:spacing w:val="0"/>
          <w:kern w:val="2"/>
          <w:sz w:val="21"/>
          <w:szCs w:val="21"/>
          <w:highlight w:val="none"/>
          <w:lang w:val="en-US" w:eastAsia="zh-CN"/>
        </w:rPr>
        <w:t>100</w:t>
      </w:r>
      <w:r>
        <w:rPr>
          <w:rFonts w:hint="eastAsia" w:ascii="宋体" w:hAnsi="宋体" w:eastAsia="宋体" w:cs="宋体"/>
          <w:color w:val="auto"/>
          <w:spacing w:val="0"/>
          <w:kern w:val="2"/>
          <w:sz w:val="21"/>
          <w:szCs w:val="21"/>
          <w:highlight w:val="none"/>
        </w:rPr>
        <w:t>%，企业满意率95%；</w:t>
      </w:r>
      <w:r>
        <w:rPr>
          <w:rFonts w:hint="eastAsia" w:ascii="宋体" w:hAnsi="宋体" w:eastAsia="宋体" w:cs="宋体"/>
          <w:color w:val="auto"/>
          <w:spacing w:val="0"/>
          <w:kern w:val="2"/>
          <w:sz w:val="21"/>
          <w:szCs w:val="21"/>
          <w:highlight w:val="none"/>
          <w:lang w:eastAsia="zh-CN"/>
        </w:rPr>
        <w:t>就业、用工推荐匹配率达</w:t>
      </w:r>
      <w:r>
        <w:rPr>
          <w:rFonts w:hint="eastAsia" w:ascii="宋体" w:hAnsi="宋体" w:eastAsia="宋体" w:cs="宋体"/>
          <w:color w:val="auto"/>
          <w:spacing w:val="0"/>
          <w:kern w:val="2"/>
          <w:sz w:val="21"/>
          <w:szCs w:val="21"/>
          <w:highlight w:val="none"/>
          <w:lang w:val="en-US" w:eastAsia="zh-CN"/>
        </w:rPr>
        <w:t>100%，</w:t>
      </w:r>
      <w:r>
        <w:rPr>
          <w:rFonts w:hint="eastAsia" w:ascii="宋体" w:hAnsi="宋体" w:eastAsia="宋体" w:cs="宋体"/>
          <w:color w:val="auto"/>
          <w:spacing w:val="0"/>
          <w:kern w:val="2"/>
          <w:sz w:val="21"/>
          <w:szCs w:val="21"/>
          <w:highlight w:val="none"/>
          <w:lang w:eastAsia="zh-CN"/>
        </w:rPr>
        <w:t>成功率达</w:t>
      </w:r>
      <w:r>
        <w:rPr>
          <w:rFonts w:hint="eastAsia" w:ascii="宋体" w:hAnsi="宋体" w:eastAsia="宋体" w:cs="宋体"/>
          <w:color w:val="auto"/>
          <w:spacing w:val="0"/>
          <w:kern w:val="2"/>
          <w:sz w:val="21"/>
          <w:szCs w:val="21"/>
          <w:highlight w:val="none"/>
          <w:lang w:val="en-US" w:eastAsia="zh-CN"/>
        </w:rPr>
        <w:t>60%；</w:t>
      </w:r>
      <w:r>
        <w:rPr>
          <w:rFonts w:hint="eastAsia" w:ascii="宋体" w:hAnsi="宋体" w:eastAsia="宋体" w:cs="宋体"/>
          <w:color w:val="auto"/>
          <w:spacing w:val="0"/>
          <w:kern w:val="2"/>
          <w:sz w:val="21"/>
          <w:szCs w:val="21"/>
          <w:highlight w:val="none"/>
        </w:rPr>
        <w:t>材料报送</w:t>
      </w:r>
      <w:r>
        <w:rPr>
          <w:rFonts w:hint="eastAsia" w:ascii="宋体" w:hAnsi="宋体" w:eastAsia="宋体" w:cs="宋体"/>
          <w:color w:val="auto"/>
          <w:spacing w:val="0"/>
          <w:kern w:val="2"/>
          <w:sz w:val="21"/>
          <w:szCs w:val="21"/>
          <w:highlight w:val="none"/>
          <w:lang w:eastAsia="zh-CN"/>
        </w:rPr>
        <w:t>按时、完整</w:t>
      </w:r>
      <w:r>
        <w:rPr>
          <w:rFonts w:hint="eastAsia" w:ascii="宋体" w:hAnsi="宋体" w:eastAsia="宋体" w:cs="宋体"/>
          <w:color w:val="auto"/>
          <w:spacing w:val="0"/>
          <w:kern w:val="2"/>
          <w:sz w:val="21"/>
          <w:szCs w:val="21"/>
          <w:highlight w:val="none"/>
        </w:rPr>
        <w:t>率</w:t>
      </w:r>
      <w:r>
        <w:rPr>
          <w:rFonts w:hint="eastAsia" w:ascii="宋体" w:hAnsi="宋体" w:eastAsia="宋体" w:cs="宋体"/>
          <w:color w:val="auto"/>
          <w:spacing w:val="0"/>
          <w:kern w:val="2"/>
          <w:sz w:val="21"/>
          <w:szCs w:val="21"/>
          <w:highlight w:val="none"/>
          <w:lang w:val="en-US" w:eastAsia="zh-CN"/>
        </w:rPr>
        <w:t>100</w:t>
      </w:r>
      <w:r>
        <w:rPr>
          <w:rFonts w:hint="eastAsia" w:ascii="宋体" w:hAnsi="宋体" w:eastAsia="宋体" w:cs="宋体"/>
          <w:color w:val="auto"/>
          <w:spacing w:val="0"/>
          <w:kern w:val="2"/>
          <w:sz w:val="21"/>
          <w:szCs w:val="21"/>
          <w:highlight w:val="none"/>
        </w:rPr>
        <w:t>%</w:t>
      </w:r>
      <w:r>
        <w:rPr>
          <w:rFonts w:hint="eastAsia" w:ascii="宋体" w:hAnsi="宋体" w:eastAsia="宋体" w:cs="宋体"/>
          <w:color w:val="auto"/>
          <w:spacing w:val="0"/>
          <w:kern w:val="2"/>
          <w:sz w:val="21"/>
          <w:szCs w:val="21"/>
          <w:highlight w:val="none"/>
          <w:lang w:eastAsia="zh-CN"/>
        </w:rPr>
        <w:t>；</w:t>
      </w:r>
      <w:r>
        <w:rPr>
          <w:rFonts w:hint="eastAsia" w:ascii="宋体" w:hAnsi="宋体" w:eastAsia="宋体" w:cs="宋体"/>
          <w:color w:val="auto"/>
          <w:spacing w:val="0"/>
          <w:kern w:val="2"/>
          <w:sz w:val="21"/>
          <w:szCs w:val="21"/>
          <w:highlight w:val="none"/>
        </w:rPr>
        <w:t>村委（社区）干部知晓率100%</w:t>
      </w:r>
      <w:r>
        <w:rPr>
          <w:rFonts w:hint="eastAsia" w:ascii="宋体" w:hAnsi="宋体" w:eastAsia="宋体" w:cs="宋体"/>
          <w:color w:val="auto"/>
          <w:spacing w:val="0"/>
          <w:kern w:val="2"/>
          <w:sz w:val="21"/>
          <w:szCs w:val="21"/>
          <w:highlight w:val="none"/>
          <w:lang w:eastAsia="zh-CN"/>
        </w:rPr>
        <w:t>，群众</w:t>
      </w:r>
      <w:r>
        <w:rPr>
          <w:rFonts w:hint="eastAsia" w:ascii="宋体" w:hAnsi="宋体" w:eastAsia="宋体" w:cs="宋体"/>
          <w:color w:val="auto"/>
          <w:spacing w:val="0"/>
          <w:kern w:val="2"/>
          <w:sz w:val="21"/>
          <w:szCs w:val="21"/>
          <w:highlight w:val="none"/>
        </w:rPr>
        <w:t>知晓率</w:t>
      </w:r>
      <w:r>
        <w:rPr>
          <w:rFonts w:hint="eastAsia" w:ascii="宋体" w:hAnsi="宋体" w:eastAsia="宋体" w:cs="宋体"/>
          <w:color w:val="auto"/>
          <w:spacing w:val="0"/>
          <w:kern w:val="2"/>
          <w:sz w:val="21"/>
          <w:szCs w:val="21"/>
          <w:highlight w:val="none"/>
          <w:lang w:val="en-US" w:eastAsia="zh-CN"/>
        </w:rPr>
        <w:t>80</w:t>
      </w:r>
      <w:r>
        <w:rPr>
          <w:rFonts w:hint="eastAsia" w:ascii="宋体" w:hAnsi="宋体" w:eastAsia="宋体" w:cs="宋体"/>
          <w:color w:val="auto"/>
          <w:spacing w:val="0"/>
          <w:kern w:val="2"/>
          <w:sz w:val="21"/>
          <w:szCs w:val="21"/>
          <w:highlight w:val="none"/>
        </w:rPr>
        <w:t>%</w:t>
      </w:r>
      <w:r>
        <w:rPr>
          <w:rFonts w:hint="eastAsia" w:ascii="宋体" w:hAnsi="宋体" w:eastAsia="宋体" w:cs="宋体"/>
          <w:color w:val="auto"/>
          <w:spacing w:val="0"/>
          <w:kern w:val="2"/>
          <w:sz w:val="21"/>
          <w:szCs w:val="21"/>
          <w:highlight w:val="none"/>
          <w:lang w:eastAsia="zh-CN"/>
        </w:rPr>
        <w:t>，</w:t>
      </w:r>
      <w:r>
        <w:rPr>
          <w:rFonts w:hint="eastAsia" w:ascii="宋体" w:hAnsi="宋体" w:eastAsia="宋体" w:cs="宋体"/>
          <w:color w:val="auto"/>
          <w:spacing w:val="0"/>
          <w:kern w:val="2"/>
          <w:sz w:val="21"/>
          <w:szCs w:val="21"/>
          <w:highlight w:val="none"/>
        </w:rPr>
        <w:t>服务</w:t>
      </w:r>
      <w:r>
        <w:rPr>
          <w:rFonts w:hint="eastAsia" w:ascii="宋体" w:hAnsi="宋体" w:eastAsia="宋体" w:cs="宋体"/>
          <w:color w:val="auto"/>
          <w:spacing w:val="0"/>
          <w:kern w:val="2"/>
          <w:sz w:val="21"/>
          <w:szCs w:val="21"/>
          <w:highlight w:val="none"/>
          <w:lang w:eastAsia="zh-CN"/>
        </w:rPr>
        <w:t>群众满意</w:t>
      </w:r>
      <w:r>
        <w:rPr>
          <w:rFonts w:hint="eastAsia" w:ascii="宋体" w:hAnsi="宋体" w:eastAsia="宋体" w:cs="宋体"/>
          <w:color w:val="auto"/>
          <w:spacing w:val="0"/>
          <w:kern w:val="2"/>
          <w:sz w:val="21"/>
          <w:szCs w:val="21"/>
          <w:highlight w:val="none"/>
        </w:rPr>
        <w:t>率</w:t>
      </w:r>
      <w:r>
        <w:rPr>
          <w:rFonts w:hint="eastAsia" w:ascii="宋体" w:hAnsi="宋体" w:eastAsia="宋体" w:cs="宋体"/>
          <w:color w:val="auto"/>
          <w:spacing w:val="0"/>
          <w:kern w:val="2"/>
          <w:sz w:val="21"/>
          <w:szCs w:val="21"/>
          <w:highlight w:val="none"/>
          <w:lang w:val="en-US" w:eastAsia="zh-CN"/>
        </w:rPr>
        <w:t>9</w:t>
      </w:r>
      <w:r>
        <w:rPr>
          <w:rFonts w:hint="eastAsia" w:ascii="宋体" w:hAnsi="宋体" w:eastAsia="宋体" w:cs="宋体"/>
          <w:color w:val="auto"/>
          <w:spacing w:val="0"/>
          <w:kern w:val="2"/>
          <w:sz w:val="21"/>
          <w:szCs w:val="21"/>
          <w:highlight w:val="none"/>
        </w:rPr>
        <w:t>0%</w:t>
      </w:r>
      <w:r>
        <w:rPr>
          <w:rFonts w:hint="eastAsia" w:ascii="宋体" w:hAnsi="宋体" w:eastAsia="宋体" w:cs="宋体"/>
          <w:color w:val="auto"/>
          <w:spacing w:val="0"/>
          <w:kern w:val="2"/>
          <w:sz w:val="21"/>
          <w:szCs w:val="21"/>
          <w:highlight w:val="none"/>
          <w:lang w:eastAsia="zh-CN"/>
        </w:rPr>
        <w:t>。</w:t>
      </w:r>
    </w:p>
    <w:p w14:paraId="260C4220">
      <w:pPr>
        <w:pStyle w:val="87"/>
        <w:keepNext w:val="0"/>
        <w:keepLines w:val="0"/>
        <w:pageBreakBefore w:val="0"/>
        <w:kinsoku/>
        <w:wordWrap/>
        <w:overflowPunct/>
        <w:topLinePunct w:val="0"/>
        <w:autoSpaceDE/>
        <w:autoSpaceDN/>
        <w:bidi w:val="0"/>
        <w:adjustRightInd/>
        <w:snapToGrid/>
        <w:spacing w:before="0" w:after="0" w:line="320" w:lineRule="exact"/>
        <w:ind w:left="0" w:leftChars="0" w:firstLine="420" w:firstLineChars="200"/>
        <w:textAlignment w:val="auto"/>
        <w:rPr>
          <w:rFonts w:hint="eastAsia" w:ascii="宋体" w:hAnsi="宋体" w:eastAsia="宋体" w:cs="宋体"/>
          <w:bCs w:val="0"/>
          <w:color w:val="auto"/>
          <w:spacing w:val="0"/>
          <w:sz w:val="21"/>
          <w:szCs w:val="21"/>
          <w:highlight w:val="none"/>
        </w:rPr>
      </w:pPr>
      <w:r>
        <w:rPr>
          <w:rFonts w:hint="eastAsia" w:ascii="宋体" w:hAnsi="宋体" w:eastAsia="宋体" w:cs="宋体"/>
          <w:color w:val="auto"/>
          <w:spacing w:val="0"/>
          <w:kern w:val="2"/>
          <w:sz w:val="21"/>
          <w:szCs w:val="21"/>
          <w:highlight w:val="none"/>
        </w:rPr>
        <w:t>（二）考核方式。</w:t>
      </w:r>
      <w:r>
        <w:rPr>
          <w:rFonts w:hint="eastAsia" w:ascii="宋体" w:hAnsi="宋体" w:eastAsia="宋体" w:cs="宋体"/>
          <w:color w:val="auto"/>
          <w:spacing w:val="0"/>
          <w:kern w:val="2"/>
          <w:sz w:val="21"/>
          <w:szCs w:val="21"/>
          <w:highlight w:val="none"/>
          <w:lang w:val="en-US" w:eastAsia="zh-CN"/>
        </w:rPr>
        <w:t>实行一季度一考核，年终大考核，</w:t>
      </w:r>
      <w:r>
        <w:rPr>
          <w:rFonts w:hint="eastAsia" w:ascii="宋体" w:hAnsi="宋体" w:eastAsia="宋体" w:cs="宋体"/>
          <w:color w:val="auto"/>
          <w:spacing w:val="0"/>
          <w:kern w:val="2"/>
          <w:sz w:val="21"/>
          <w:szCs w:val="21"/>
          <w:highlight w:val="none"/>
        </w:rPr>
        <w:t>村委（社区）干部知晓率</w:t>
      </w:r>
      <w:r>
        <w:rPr>
          <w:rFonts w:hint="eastAsia" w:ascii="宋体" w:hAnsi="宋体" w:eastAsia="宋体" w:cs="宋体"/>
          <w:color w:val="auto"/>
          <w:spacing w:val="0"/>
          <w:kern w:val="2"/>
          <w:sz w:val="21"/>
          <w:szCs w:val="21"/>
          <w:highlight w:val="none"/>
          <w:lang w:eastAsia="zh-CN"/>
        </w:rPr>
        <w:t>、群众</w:t>
      </w:r>
      <w:r>
        <w:rPr>
          <w:rFonts w:hint="eastAsia" w:ascii="宋体" w:hAnsi="宋体" w:eastAsia="宋体" w:cs="宋体"/>
          <w:color w:val="auto"/>
          <w:spacing w:val="0"/>
          <w:kern w:val="2"/>
          <w:sz w:val="21"/>
          <w:szCs w:val="21"/>
          <w:highlight w:val="none"/>
        </w:rPr>
        <w:t>知晓率</w:t>
      </w:r>
      <w:r>
        <w:rPr>
          <w:rFonts w:hint="eastAsia" w:ascii="宋体" w:hAnsi="宋体" w:eastAsia="宋体" w:cs="宋体"/>
          <w:color w:val="auto"/>
          <w:spacing w:val="0"/>
          <w:kern w:val="2"/>
          <w:sz w:val="21"/>
          <w:szCs w:val="21"/>
          <w:highlight w:val="none"/>
          <w:lang w:val="en-US" w:eastAsia="zh-CN"/>
        </w:rPr>
        <w:t>、</w:t>
      </w:r>
      <w:r>
        <w:rPr>
          <w:rFonts w:hint="eastAsia" w:ascii="宋体" w:hAnsi="宋体" w:eastAsia="宋体" w:cs="宋体"/>
          <w:color w:val="auto"/>
          <w:spacing w:val="0"/>
          <w:kern w:val="2"/>
          <w:sz w:val="21"/>
          <w:szCs w:val="21"/>
          <w:highlight w:val="none"/>
        </w:rPr>
        <w:t>服务</w:t>
      </w:r>
      <w:r>
        <w:rPr>
          <w:rFonts w:hint="eastAsia" w:ascii="宋体" w:hAnsi="宋体" w:eastAsia="宋体" w:cs="宋体"/>
          <w:color w:val="auto"/>
          <w:spacing w:val="0"/>
          <w:kern w:val="2"/>
          <w:sz w:val="21"/>
          <w:szCs w:val="21"/>
          <w:highlight w:val="none"/>
          <w:lang w:eastAsia="zh-CN"/>
        </w:rPr>
        <w:t>群众满意</w:t>
      </w:r>
      <w:r>
        <w:rPr>
          <w:rFonts w:hint="eastAsia" w:ascii="宋体" w:hAnsi="宋体" w:eastAsia="宋体" w:cs="宋体"/>
          <w:color w:val="auto"/>
          <w:spacing w:val="0"/>
          <w:kern w:val="2"/>
          <w:sz w:val="21"/>
          <w:szCs w:val="21"/>
          <w:highlight w:val="none"/>
        </w:rPr>
        <w:t>率</w:t>
      </w:r>
      <w:r>
        <w:rPr>
          <w:rFonts w:hint="eastAsia" w:ascii="宋体" w:hAnsi="宋体" w:eastAsia="宋体" w:cs="宋体"/>
          <w:color w:val="auto"/>
          <w:spacing w:val="0"/>
          <w:kern w:val="2"/>
          <w:sz w:val="21"/>
          <w:szCs w:val="21"/>
          <w:highlight w:val="none"/>
          <w:lang w:eastAsia="zh-CN"/>
        </w:rPr>
        <w:t>年终考核一次，其余指标每季度考核一次。根据第</w:t>
      </w:r>
      <w:r>
        <w:rPr>
          <w:rFonts w:hint="eastAsia" w:ascii="宋体" w:hAnsi="宋体" w:eastAsia="宋体" w:cs="宋体"/>
          <w:color w:val="auto"/>
          <w:spacing w:val="0"/>
          <w:kern w:val="2"/>
          <w:sz w:val="21"/>
          <w:szCs w:val="21"/>
          <w:highlight w:val="none"/>
        </w:rPr>
        <w:t>三方提供佐证材料</w:t>
      </w:r>
      <w:r>
        <w:rPr>
          <w:rFonts w:hint="eastAsia" w:ascii="宋体" w:hAnsi="宋体" w:eastAsia="宋体" w:cs="宋体"/>
          <w:color w:val="auto"/>
          <w:spacing w:val="0"/>
          <w:kern w:val="2"/>
          <w:sz w:val="21"/>
          <w:szCs w:val="21"/>
          <w:highlight w:val="none"/>
          <w:lang w:eastAsia="zh-CN"/>
        </w:rPr>
        <w:t>，由县人社局通过</w:t>
      </w:r>
      <w:r>
        <w:rPr>
          <w:rFonts w:hint="eastAsia" w:ascii="宋体" w:hAnsi="宋体" w:eastAsia="宋体" w:cs="宋体"/>
          <w:color w:val="auto"/>
          <w:spacing w:val="0"/>
          <w:kern w:val="2"/>
          <w:sz w:val="21"/>
          <w:szCs w:val="21"/>
          <w:highlight w:val="none"/>
        </w:rPr>
        <w:t>调查问卷、电话抽查</w:t>
      </w:r>
      <w:r>
        <w:rPr>
          <w:rFonts w:hint="eastAsia" w:ascii="宋体" w:hAnsi="宋体" w:eastAsia="宋体" w:cs="宋体"/>
          <w:color w:val="auto"/>
          <w:spacing w:val="0"/>
          <w:kern w:val="2"/>
          <w:sz w:val="21"/>
          <w:szCs w:val="21"/>
          <w:highlight w:val="none"/>
          <w:lang w:val="en-US" w:eastAsia="zh-CN"/>
        </w:rPr>
        <w:t>和现场核查</w:t>
      </w:r>
      <w:r>
        <w:rPr>
          <w:rFonts w:hint="eastAsia" w:ascii="宋体" w:hAnsi="宋体" w:eastAsia="宋体" w:cs="宋体"/>
          <w:color w:val="auto"/>
          <w:spacing w:val="0"/>
          <w:kern w:val="2"/>
          <w:sz w:val="21"/>
          <w:szCs w:val="21"/>
          <w:highlight w:val="none"/>
        </w:rPr>
        <w:t>等</w:t>
      </w:r>
      <w:r>
        <w:rPr>
          <w:rFonts w:hint="eastAsia" w:ascii="宋体" w:hAnsi="宋体" w:eastAsia="宋体" w:cs="宋体"/>
          <w:color w:val="auto"/>
          <w:spacing w:val="0"/>
          <w:kern w:val="2"/>
          <w:sz w:val="21"/>
          <w:szCs w:val="21"/>
          <w:highlight w:val="none"/>
          <w:lang w:eastAsia="zh-CN"/>
        </w:rPr>
        <w:t>方式进行考核</w:t>
      </w:r>
      <w:r>
        <w:rPr>
          <w:rFonts w:hint="eastAsia" w:ascii="宋体" w:hAnsi="宋体" w:eastAsia="宋体" w:cs="宋体"/>
          <w:color w:val="auto"/>
          <w:spacing w:val="0"/>
          <w:kern w:val="2"/>
          <w:sz w:val="21"/>
          <w:szCs w:val="21"/>
          <w:highlight w:val="none"/>
        </w:rPr>
        <w:t>。</w:t>
      </w:r>
    </w:p>
    <w:p w14:paraId="4B200EBA">
      <w:pPr>
        <w:keepNext w:val="0"/>
        <w:keepLines w:val="0"/>
        <w:pageBreakBefore w:val="0"/>
        <w:kinsoku/>
        <w:wordWrap/>
        <w:overflowPunct/>
        <w:topLinePunct w:val="0"/>
        <w:autoSpaceDE/>
        <w:autoSpaceDN/>
        <w:bidi w:val="0"/>
        <w:adjustRightInd/>
        <w:snapToGrid/>
        <w:spacing w:line="320" w:lineRule="exact"/>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七、考核结果运用</w:t>
      </w:r>
    </w:p>
    <w:p w14:paraId="217B0BAA">
      <w:pPr>
        <w:pStyle w:val="12"/>
        <w:keepNext w:val="0"/>
        <w:keepLines w:val="0"/>
        <w:pageBreakBefore w:val="0"/>
        <w:kinsoku/>
        <w:wordWrap/>
        <w:overflowPunct/>
        <w:topLinePunct w:val="0"/>
        <w:autoSpaceDE/>
        <w:autoSpaceDN/>
        <w:bidi w:val="0"/>
        <w:adjustRightInd/>
        <w:snapToGrid/>
        <w:spacing w:after="0" w:line="320" w:lineRule="exact"/>
        <w:ind w:left="0" w:leftChars="0" w:right="0" w:righ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（一）指标不达标的，每少1个百分点，扣减经费0.1万元。</w:t>
      </w:r>
    </w:p>
    <w:p w14:paraId="3B13C733">
      <w:pPr>
        <w:pStyle w:val="12"/>
        <w:keepNext w:val="0"/>
        <w:keepLines w:val="0"/>
        <w:pageBreakBefore w:val="0"/>
        <w:kinsoku/>
        <w:wordWrap/>
        <w:overflowPunct/>
        <w:topLinePunct w:val="0"/>
        <w:autoSpaceDE/>
        <w:autoSpaceDN/>
        <w:bidi w:val="0"/>
        <w:adjustRightInd/>
        <w:snapToGrid/>
        <w:spacing w:after="0" w:line="320" w:lineRule="exact"/>
        <w:ind w:left="0" w:leftChars="0" w:right="0" w:righ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（二）不按时间要求报送报表、名册等相关材料的，每次扣减经费0.2万元；不报送报表、名册等相关材料的，每次扣减经费0.5万元；发现虚报、瞒报、编造假数据、假材料的，每次扣减经费2万元。</w:t>
      </w:r>
    </w:p>
    <w:p w14:paraId="588A2D86">
      <w:pPr>
        <w:pStyle w:val="12"/>
        <w:keepNext w:val="0"/>
        <w:keepLines w:val="0"/>
        <w:pageBreakBefore w:val="0"/>
        <w:kinsoku/>
        <w:wordWrap/>
        <w:overflowPunct/>
        <w:topLinePunct w:val="0"/>
        <w:autoSpaceDE/>
        <w:autoSpaceDN/>
        <w:bidi w:val="0"/>
        <w:adjustRightInd/>
        <w:snapToGrid/>
        <w:spacing w:after="0" w:line="320" w:lineRule="exact"/>
        <w:ind w:left="0" w:leftChars="0" w:right="0" w:righ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（三）不开展约定服务项目的，每少1个，扣减经费3万元；开展服务项目次数达不到约定次数的，每少1次扣减经费1万元。（客观原因造成或者服务项目有冲突的除外）。</w:t>
      </w:r>
    </w:p>
    <w:p w14:paraId="6CE790E2">
      <w:pPr>
        <w:pStyle w:val="12"/>
        <w:keepNext w:val="0"/>
        <w:keepLines w:val="0"/>
        <w:pageBreakBefore w:val="0"/>
        <w:kinsoku/>
        <w:wordWrap/>
        <w:overflowPunct/>
        <w:topLinePunct w:val="0"/>
        <w:autoSpaceDE/>
        <w:autoSpaceDN/>
        <w:bidi w:val="0"/>
        <w:adjustRightInd/>
        <w:snapToGrid/>
        <w:spacing w:after="0" w:line="320" w:lineRule="exact"/>
        <w:ind w:left="0" w:leftChars="0" w:right="0" w:righ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（四）收集岗位信息并录入广西“数智人社”信息系统广西就业平台每季度小于1000条的，每少1个百分点，扣减经费0.1万元。</w:t>
      </w:r>
    </w:p>
    <w:p w14:paraId="5F15C844">
      <w:pPr>
        <w:pStyle w:val="12"/>
        <w:keepNext w:val="0"/>
        <w:keepLines w:val="0"/>
        <w:pageBreakBefore w:val="0"/>
        <w:kinsoku/>
        <w:wordWrap/>
        <w:overflowPunct/>
        <w:topLinePunct w:val="0"/>
        <w:autoSpaceDE/>
        <w:autoSpaceDN/>
        <w:bidi w:val="0"/>
        <w:adjustRightInd/>
        <w:snapToGrid/>
        <w:spacing w:after="0" w:line="320" w:lineRule="exact"/>
        <w:ind w:left="0" w:leftChars="0" w:right="0" w:righ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（五）</w:t>
      </w:r>
      <w:r>
        <w:rPr>
          <w:rFonts w:hint="eastAsia" w:ascii="宋体" w:hAnsi="宋体" w:eastAsia="宋体" w:cs="宋体"/>
          <w:color w:val="auto"/>
          <w:sz w:val="21"/>
          <w:szCs w:val="21"/>
          <w:highlight w:val="none"/>
          <w:lang w:val="en-US" w:eastAsia="zh-CN"/>
        </w:rPr>
        <w:t>在开展服务工作中，第三方运营机构不得利用县人社局名义谋取相关利益；不得以县人社局名义、就业平台名义向企业、群众收取服务费；一经查实，每项每次扣减经费3万元。</w:t>
      </w:r>
    </w:p>
    <w:p w14:paraId="56B5A341">
      <w:pPr>
        <w:pStyle w:val="12"/>
        <w:keepNext w:val="0"/>
        <w:keepLines w:val="0"/>
        <w:pageBreakBefore w:val="0"/>
        <w:kinsoku/>
        <w:wordWrap/>
        <w:overflowPunct/>
        <w:topLinePunct w:val="0"/>
        <w:autoSpaceDE/>
        <w:autoSpaceDN/>
        <w:bidi w:val="0"/>
        <w:adjustRightInd/>
        <w:snapToGrid/>
        <w:spacing w:after="0" w:line="320" w:lineRule="exact"/>
        <w:ind w:left="0" w:leftChars="0" w:right="0" w:righ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（六）在开展服务工作中，有不良行为被群众投诉的，一经查实，每次扣减经费0.1万元。</w:t>
      </w:r>
    </w:p>
    <w:p w14:paraId="35600741">
      <w:pPr>
        <w:pStyle w:val="12"/>
        <w:keepNext w:val="0"/>
        <w:keepLines w:val="0"/>
        <w:pageBreakBefore w:val="0"/>
        <w:kinsoku/>
        <w:wordWrap/>
        <w:overflowPunct/>
        <w:topLinePunct w:val="0"/>
        <w:autoSpaceDE/>
        <w:autoSpaceDN/>
        <w:bidi w:val="0"/>
        <w:adjustRightInd/>
        <w:snapToGrid/>
        <w:spacing w:after="0" w:line="320" w:lineRule="exact"/>
        <w:ind w:right="0" w:rightChars="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（七）各项指标均按时按质完成的，且成效明显的，同等条件下，可优先推荐为下一轮该项目服务机构。</w:t>
      </w:r>
    </w:p>
    <w:p w14:paraId="3E782AEA">
      <w:pPr>
        <w:pStyle w:val="12"/>
        <w:keepNext w:val="0"/>
        <w:keepLines w:val="0"/>
        <w:pageBreakBefore w:val="0"/>
        <w:kinsoku/>
        <w:wordWrap/>
        <w:overflowPunct/>
        <w:topLinePunct w:val="0"/>
        <w:autoSpaceDE/>
        <w:autoSpaceDN/>
        <w:bidi w:val="0"/>
        <w:adjustRightInd/>
        <w:snapToGrid/>
        <w:spacing w:after="0" w:line="320" w:lineRule="exact"/>
        <w:ind w:left="0" w:leftChars="0" w:right="0" w:rightChars="0"/>
        <w:textAlignment w:val="auto"/>
        <w:outlineLvl w:val="9"/>
        <w:rPr>
          <w:rFonts w:hint="eastAsia" w:ascii="宋体" w:hAnsi="宋体" w:eastAsia="宋体" w:cs="宋体"/>
          <w:color w:val="auto"/>
          <w:sz w:val="21"/>
          <w:szCs w:val="21"/>
          <w:highlight w:val="none"/>
          <w:lang w:val="en-US" w:eastAsia="zh-CN"/>
        </w:rPr>
      </w:pPr>
    </w:p>
    <w:p w14:paraId="59F723C9">
      <w:pPr>
        <w:pStyle w:val="12"/>
        <w:keepNext w:val="0"/>
        <w:keepLines w:val="0"/>
        <w:pageBreakBefore w:val="0"/>
        <w:kinsoku/>
        <w:wordWrap/>
        <w:overflowPunct/>
        <w:topLinePunct w:val="0"/>
        <w:autoSpaceDE/>
        <w:autoSpaceDN/>
        <w:bidi w:val="0"/>
        <w:adjustRightInd/>
        <w:snapToGrid/>
        <w:spacing w:after="0" w:line="320" w:lineRule="exact"/>
        <w:ind w:left="0" w:leftChars="0" w:right="0" w:rightChars="0" w:firstLine="422" w:firstLineChars="20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标项二：泉水工业园区就业服务工作站就业公共服务</w:t>
      </w:r>
    </w:p>
    <w:p w14:paraId="02148E95">
      <w:pPr>
        <w:keepNext w:val="0"/>
        <w:keepLines w:val="0"/>
        <w:pageBreakBefore w:val="0"/>
        <w:kinsoku/>
        <w:wordWrap/>
        <w:overflowPunct/>
        <w:topLinePunct w:val="0"/>
        <w:autoSpaceDE/>
        <w:autoSpaceDN/>
        <w:bidi w:val="0"/>
        <w:adjustRightInd/>
        <w:snapToGrid/>
        <w:spacing w:line="320" w:lineRule="exact"/>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一、工作站分布情况</w:t>
      </w:r>
    </w:p>
    <w:p w14:paraId="178FFFD5">
      <w:pPr>
        <w:keepNext w:val="0"/>
        <w:keepLines w:val="0"/>
        <w:pageBreakBefore w:val="0"/>
        <w:kinsoku/>
        <w:wordWrap/>
        <w:overflowPunct/>
        <w:topLinePunct w:val="0"/>
        <w:autoSpaceDE/>
        <w:autoSpaceDN/>
        <w:bidi w:val="0"/>
        <w:adjustRightInd/>
        <w:snapToGrid/>
        <w:spacing w:line="320" w:lineRule="exact"/>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w:t>
      </w:r>
      <w:r>
        <w:rPr>
          <w:rFonts w:hint="eastAsia" w:ascii="宋体" w:hAnsi="宋体" w:cs="宋体"/>
          <w:color w:val="auto"/>
          <w:sz w:val="21"/>
          <w:szCs w:val="21"/>
          <w:highlight w:val="none"/>
          <w:lang w:val="en-US" w:eastAsia="zh-CN"/>
        </w:rPr>
        <w:t>泉水</w:t>
      </w:r>
      <w:r>
        <w:rPr>
          <w:rFonts w:hint="eastAsia" w:ascii="宋体" w:hAnsi="宋体" w:eastAsia="宋体" w:cs="宋体"/>
          <w:color w:val="auto"/>
          <w:sz w:val="21"/>
          <w:szCs w:val="21"/>
          <w:highlight w:val="none"/>
          <w:lang w:val="en-US" w:eastAsia="zh-CN"/>
        </w:rPr>
        <w:t>工业园区就业服务工作站，配置</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人。</w:t>
      </w:r>
    </w:p>
    <w:p w14:paraId="3031D809">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1.负责泉水、张黄工业园区企业</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园区外重点企业招工</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含就业帮扶车间）</w:t>
      </w:r>
      <w:r>
        <w:rPr>
          <w:rFonts w:hint="eastAsia" w:ascii="宋体" w:hAnsi="宋体" w:eastAsia="宋体" w:cs="宋体"/>
          <w:color w:val="auto"/>
          <w:kern w:val="0"/>
          <w:sz w:val="21"/>
          <w:szCs w:val="21"/>
          <w:highlight w:val="none"/>
          <w:lang w:eastAsia="zh-CN"/>
        </w:rPr>
        <w:t>，“园区+车间+庭院”模式加工点（公司）招工</w:t>
      </w:r>
      <w:r>
        <w:rPr>
          <w:rFonts w:hint="eastAsia" w:ascii="宋体" w:hAnsi="宋体" w:cs="宋体"/>
          <w:color w:val="auto"/>
          <w:kern w:val="0"/>
          <w:sz w:val="21"/>
          <w:szCs w:val="21"/>
          <w:highlight w:val="none"/>
          <w:lang w:eastAsia="zh-CN"/>
        </w:rPr>
        <w:t>就业</w:t>
      </w:r>
      <w:r>
        <w:rPr>
          <w:rFonts w:hint="eastAsia" w:ascii="宋体" w:hAnsi="宋体" w:eastAsia="宋体" w:cs="宋体"/>
          <w:color w:val="auto"/>
          <w:kern w:val="0"/>
          <w:sz w:val="21"/>
          <w:szCs w:val="21"/>
          <w:highlight w:val="none"/>
          <w:lang w:eastAsia="zh-CN"/>
        </w:rPr>
        <w:t>服务等工作</w:t>
      </w:r>
      <w:r>
        <w:rPr>
          <w:rFonts w:hint="eastAsia" w:ascii="宋体" w:hAnsi="宋体" w:eastAsia="宋体" w:cs="宋体"/>
          <w:color w:val="auto"/>
          <w:kern w:val="0"/>
          <w:sz w:val="21"/>
          <w:szCs w:val="21"/>
          <w:highlight w:val="none"/>
        </w:rPr>
        <w:t>；</w:t>
      </w:r>
    </w:p>
    <w:p w14:paraId="71841BDD">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2.负责泉水、石埇、安石、张黄、大成、白石水、北通等7个镇的</w:t>
      </w:r>
      <w:r>
        <w:rPr>
          <w:rFonts w:hint="eastAsia" w:ascii="宋体" w:hAnsi="宋体" w:eastAsia="宋体" w:cs="宋体"/>
          <w:color w:val="auto"/>
          <w:kern w:val="0"/>
          <w:sz w:val="21"/>
          <w:szCs w:val="21"/>
          <w:highlight w:val="none"/>
          <w:lang w:eastAsia="zh-CN"/>
        </w:rPr>
        <w:t>企业（</w:t>
      </w:r>
      <w:r>
        <w:rPr>
          <w:rFonts w:hint="eastAsia" w:ascii="宋体" w:hAnsi="宋体" w:eastAsia="宋体" w:cs="宋体"/>
          <w:color w:val="auto"/>
          <w:kern w:val="0"/>
          <w:sz w:val="21"/>
          <w:szCs w:val="21"/>
          <w:highlight w:val="none"/>
          <w:lang w:val="en-US" w:eastAsia="zh-CN"/>
        </w:rPr>
        <w:t>含就业帮扶车间）</w:t>
      </w:r>
      <w:r>
        <w:rPr>
          <w:rFonts w:hint="eastAsia" w:ascii="宋体" w:hAnsi="宋体" w:eastAsia="宋体" w:cs="宋体"/>
          <w:color w:val="auto"/>
          <w:kern w:val="0"/>
          <w:sz w:val="21"/>
          <w:szCs w:val="21"/>
          <w:highlight w:val="none"/>
        </w:rPr>
        <w:t>、村（社区）</w:t>
      </w:r>
      <w:r>
        <w:rPr>
          <w:rFonts w:hint="eastAsia" w:ascii="宋体" w:hAnsi="宋体" w:eastAsia="宋体" w:cs="宋体"/>
          <w:color w:val="auto"/>
          <w:kern w:val="0"/>
          <w:sz w:val="21"/>
          <w:szCs w:val="21"/>
          <w:highlight w:val="none"/>
          <w:lang w:eastAsia="zh-CN"/>
        </w:rPr>
        <w:t>就业服务</w:t>
      </w:r>
      <w:r>
        <w:rPr>
          <w:rFonts w:hint="eastAsia" w:ascii="宋体" w:hAnsi="宋体" w:eastAsia="宋体" w:cs="宋体"/>
          <w:color w:val="auto"/>
          <w:kern w:val="0"/>
          <w:sz w:val="21"/>
          <w:szCs w:val="21"/>
          <w:highlight w:val="none"/>
        </w:rPr>
        <w:t>指导</w:t>
      </w:r>
      <w:r>
        <w:rPr>
          <w:rFonts w:hint="eastAsia" w:ascii="宋体" w:hAnsi="宋体" w:eastAsia="宋体" w:cs="宋体"/>
          <w:color w:val="auto"/>
          <w:kern w:val="0"/>
          <w:sz w:val="21"/>
          <w:szCs w:val="21"/>
          <w:highlight w:val="none"/>
          <w:lang w:eastAsia="zh-CN"/>
        </w:rPr>
        <w:t>等</w:t>
      </w:r>
      <w:r>
        <w:rPr>
          <w:rFonts w:hint="eastAsia" w:ascii="宋体" w:hAnsi="宋体" w:eastAsia="宋体" w:cs="宋体"/>
          <w:color w:val="auto"/>
          <w:kern w:val="0"/>
          <w:sz w:val="21"/>
          <w:szCs w:val="21"/>
          <w:highlight w:val="none"/>
        </w:rPr>
        <w:t>工作；</w:t>
      </w:r>
      <w:r>
        <w:rPr>
          <w:rFonts w:hint="eastAsia" w:ascii="宋体" w:hAnsi="宋体" w:eastAsia="宋体" w:cs="宋体"/>
          <w:color w:val="auto"/>
          <w:kern w:val="0"/>
          <w:sz w:val="21"/>
          <w:szCs w:val="21"/>
          <w:highlight w:val="none"/>
          <w:lang w:eastAsia="zh-CN"/>
        </w:rPr>
        <w:t>收集的企业</w:t>
      </w:r>
      <w:r>
        <w:rPr>
          <w:rFonts w:hint="eastAsia" w:ascii="宋体" w:hAnsi="宋体" w:eastAsia="宋体" w:cs="宋体"/>
          <w:color w:val="auto"/>
          <w:kern w:val="0"/>
          <w:sz w:val="21"/>
          <w:szCs w:val="21"/>
          <w:highlight w:val="none"/>
          <w:lang w:val="en-US" w:eastAsia="zh-CN"/>
        </w:rPr>
        <w:t>需招聘的岗位信息</w:t>
      </w:r>
      <w:r>
        <w:rPr>
          <w:rFonts w:hint="eastAsia" w:ascii="宋体" w:hAnsi="宋体" w:eastAsia="宋体" w:cs="宋体"/>
          <w:color w:val="auto"/>
          <w:kern w:val="0"/>
          <w:sz w:val="21"/>
          <w:szCs w:val="21"/>
          <w:highlight w:val="none"/>
          <w:lang w:eastAsia="zh-CN"/>
        </w:rPr>
        <w:t>录入广西“数智人社”系统。</w:t>
      </w:r>
    </w:p>
    <w:p w14:paraId="13A28C58">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3.负责</w:t>
      </w:r>
      <w:r>
        <w:rPr>
          <w:rFonts w:hint="eastAsia" w:ascii="宋体" w:hAnsi="宋体" w:eastAsia="宋体" w:cs="宋体"/>
          <w:color w:val="auto"/>
          <w:kern w:val="0"/>
          <w:sz w:val="21"/>
          <w:szCs w:val="21"/>
          <w:highlight w:val="none"/>
          <w:lang w:val="en-US" w:eastAsia="zh-CN"/>
        </w:rPr>
        <w:t>辖区内</w:t>
      </w:r>
      <w:r>
        <w:rPr>
          <w:rFonts w:hint="eastAsia" w:ascii="宋体" w:hAnsi="宋体" w:eastAsia="宋体" w:cs="宋体"/>
          <w:color w:val="auto"/>
          <w:kern w:val="0"/>
          <w:sz w:val="21"/>
          <w:szCs w:val="21"/>
          <w:highlight w:val="none"/>
        </w:rPr>
        <w:t>零工市场相关业务工作</w:t>
      </w:r>
      <w:r>
        <w:rPr>
          <w:rFonts w:hint="eastAsia" w:ascii="宋体" w:hAnsi="宋体" w:eastAsia="宋体" w:cs="宋体"/>
          <w:color w:val="auto"/>
          <w:kern w:val="0"/>
          <w:sz w:val="21"/>
          <w:szCs w:val="21"/>
          <w:highlight w:val="none"/>
          <w:lang w:eastAsia="zh-CN"/>
        </w:rPr>
        <w:t>，零工岗位信息要录入广西“数智人社”系统</w:t>
      </w:r>
      <w:r>
        <w:rPr>
          <w:rFonts w:hint="eastAsia" w:ascii="宋体" w:hAnsi="宋体" w:eastAsia="宋体" w:cs="宋体"/>
          <w:color w:val="auto"/>
          <w:kern w:val="0"/>
          <w:sz w:val="21"/>
          <w:szCs w:val="21"/>
          <w:highlight w:val="none"/>
        </w:rPr>
        <w:t>。</w:t>
      </w:r>
    </w:p>
    <w:p w14:paraId="0DC1C5C6">
      <w:pPr>
        <w:keepNext w:val="0"/>
        <w:keepLines w:val="0"/>
        <w:pageBreakBefore w:val="0"/>
        <w:kinsoku/>
        <w:wordWrap/>
        <w:overflowPunct/>
        <w:topLinePunct w:val="0"/>
        <w:autoSpaceDE/>
        <w:autoSpaceDN/>
        <w:bidi w:val="0"/>
        <w:adjustRightInd/>
        <w:snapToGrid/>
        <w:spacing w:line="320" w:lineRule="exact"/>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二、工作站的管理模式</w:t>
      </w:r>
    </w:p>
    <w:p w14:paraId="069BCD0E">
      <w:pPr>
        <w:keepNext w:val="0"/>
        <w:keepLines w:val="0"/>
        <w:pageBreakBefore w:val="0"/>
        <w:kinsoku/>
        <w:wordWrap/>
        <w:overflowPunct/>
        <w:topLinePunct w:val="0"/>
        <w:autoSpaceDE/>
        <w:autoSpaceDN/>
        <w:bidi w:val="0"/>
        <w:adjustRightInd/>
        <w:snapToGrid/>
        <w:spacing w:line="320" w:lineRule="exact"/>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(一)严格“五个一”</w:t>
      </w:r>
    </w:p>
    <w:p w14:paraId="4152AA9B">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就业服务工作站</w:t>
      </w:r>
      <w:r>
        <w:rPr>
          <w:rFonts w:hint="eastAsia" w:ascii="宋体" w:hAnsi="宋体" w:eastAsia="宋体" w:cs="宋体"/>
          <w:color w:val="auto"/>
          <w:kern w:val="0"/>
          <w:sz w:val="21"/>
          <w:szCs w:val="21"/>
          <w:highlight w:val="none"/>
          <w:lang w:eastAsia="zh-CN"/>
        </w:rPr>
        <w:t>必须在县就业服务中心的管理和指导下开展服务工作，按照“五个一”（</w:t>
      </w:r>
      <w:r>
        <w:rPr>
          <w:rFonts w:hint="eastAsia" w:ascii="宋体" w:hAnsi="宋体" w:eastAsia="宋体" w:cs="宋体"/>
          <w:color w:val="auto"/>
          <w:kern w:val="0"/>
          <w:sz w:val="21"/>
          <w:szCs w:val="21"/>
          <w:highlight w:val="none"/>
        </w:rPr>
        <w:t>统一标识、统一制度、统一标准、统一流程、统一队伍</w:t>
      </w:r>
      <w:r>
        <w:rPr>
          <w:rFonts w:hint="eastAsia" w:ascii="宋体" w:hAnsi="宋体" w:eastAsia="宋体" w:cs="宋体"/>
          <w:color w:val="auto"/>
          <w:kern w:val="0"/>
          <w:sz w:val="21"/>
          <w:szCs w:val="21"/>
          <w:highlight w:val="none"/>
          <w:lang w:eastAsia="zh-CN"/>
        </w:rPr>
        <w:t>）的模式进行管理</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确</w:t>
      </w:r>
      <w:r>
        <w:rPr>
          <w:rFonts w:hint="eastAsia" w:ascii="宋体" w:hAnsi="宋体" w:eastAsia="宋体" w:cs="宋体"/>
          <w:color w:val="auto"/>
          <w:kern w:val="0"/>
          <w:sz w:val="21"/>
          <w:szCs w:val="21"/>
          <w:highlight w:val="none"/>
        </w:rPr>
        <w:t>保</w:t>
      </w:r>
      <w:r>
        <w:rPr>
          <w:rFonts w:hint="eastAsia" w:ascii="宋体" w:hAnsi="宋体" w:eastAsia="宋体" w:cs="宋体"/>
          <w:color w:val="auto"/>
          <w:kern w:val="0"/>
          <w:sz w:val="21"/>
          <w:szCs w:val="21"/>
          <w:highlight w:val="none"/>
          <w:lang w:eastAsia="zh-CN"/>
        </w:rPr>
        <w:t>各项</w:t>
      </w:r>
      <w:r>
        <w:rPr>
          <w:rFonts w:hint="eastAsia" w:ascii="宋体" w:hAnsi="宋体" w:eastAsia="宋体" w:cs="宋体"/>
          <w:color w:val="auto"/>
          <w:kern w:val="0"/>
          <w:sz w:val="21"/>
          <w:szCs w:val="21"/>
          <w:highlight w:val="none"/>
        </w:rPr>
        <w:t>工作正常开展，按时按质完成</w:t>
      </w:r>
      <w:r>
        <w:rPr>
          <w:rFonts w:hint="eastAsia" w:ascii="宋体" w:hAnsi="宋体" w:eastAsia="宋体" w:cs="宋体"/>
          <w:color w:val="auto"/>
          <w:kern w:val="0"/>
          <w:sz w:val="21"/>
          <w:szCs w:val="21"/>
          <w:highlight w:val="none"/>
          <w:lang w:eastAsia="zh-CN"/>
        </w:rPr>
        <w:t>各项</w:t>
      </w:r>
      <w:r>
        <w:rPr>
          <w:rFonts w:hint="eastAsia" w:ascii="宋体" w:hAnsi="宋体" w:eastAsia="宋体" w:cs="宋体"/>
          <w:color w:val="auto"/>
          <w:kern w:val="0"/>
          <w:sz w:val="21"/>
          <w:szCs w:val="21"/>
          <w:highlight w:val="none"/>
        </w:rPr>
        <w:t>工作任务。</w:t>
      </w:r>
    </w:p>
    <w:p w14:paraId="252E7A4F">
      <w:pPr>
        <w:keepNext w:val="0"/>
        <w:keepLines w:val="0"/>
        <w:pageBreakBefore w:val="0"/>
        <w:kinsoku/>
        <w:wordWrap/>
        <w:overflowPunct/>
        <w:topLinePunct w:val="0"/>
        <w:autoSpaceDE/>
        <w:autoSpaceDN/>
        <w:bidi w:val="0"/>
        <w:adjustRightInd/>
        <w:snapToGrid/>
        <w:spacing w:line="320" w:lineRule="exact"/>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(二)落实“五个有”</w:t>
      </w:r>
    </w:p>
    <w:p w14:paraId="289D7E84">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有固定办公场所</w:t>
      </w:r>
      <w:r>
        <w:rPr>
          <w:rFonts w:hint="eastAsia" w:ascii="宋体" w:hAnsi="宋体" w:eastAsia="宋体" w:cs="宋体"/>
          <w:color w:val="auto"/>
          <w:kern w:val="0"/>
          <w:sz w:val="21"/>
          <w:szCs w:val="21"/>
          <w:highlight w:val="none"/>
          <w:lang w:eastAsia="zh-CN"/>
        </w:rPr>
        <w:t>（原则上分设服务大厅、洽谈室、会议室）；</w:t>
      </w:r>
    </w:p>
    <w:p w14:paraId="0553650D">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2.有办公设备（服务大厅</w:t>
      </w:r>
      <w:r>
        <w:rPr>
          <w:rFonts w:hint="eastAsia" w:ascii="宋体" w:hAnsi="宋体" w:eastAsia="宋体" w:cs="宋体"/>
          <w:color w:val="auto"/>
          <w:kern w:val="0"/>
          <w:sz w:val="21"/>
          <w:szCs w:val="21"/>
          <w:highlight w:val="none"/>
        </w:rPr>
        <w:t>配备办公桌椅、电脑、打印机、空调、饮水机、档案柜、复印机</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群众座椅、窗口座椅</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会议室</w:t>
      </w:r>
      <w:r>
        <w:rPr>
          <w:rFonts w:hint="eastAsia" w:ascii="宋体" w:hAnsi="宋体" w:eastAsia="宋体" w:cs="宋体"/>
          <w:color w:val="auto"/>
          <w:kern w:val="0"/>
          <w:sz w:val="21"/>
          <w:szCs w:val="21"/>
          <w:highlight w:val="none"/>
          <w:lang w:eastAsia="zh-CN"/>
        </w:rPr>
        <w:t>配备会议</w:t>
      </w:r>
      <w:r>
        <w:rPr>
          <w:rFonts w:hint="eastAsia" w:ascii="宋体" w:hAnsi="宋体" w:eastAsia="宋体" w:cs="宋体"/>
          <w:color w:val="auto"/>
          <w:kern w:val="0"/>
          <w:sz w:val="21"/>
          <w:szCs w:val="21"/>
          <w:highlight w:val="none"/>
        </w:rPr>
        <w:t>台、椅，洽谈室</w:t>
      </w:r>
      <w:r>
        <w:rPr>
          <w:rFonts w:hint="eastAsia" w:ascii="宋体" w:hAnsi="宋体" w:eastAsia="宋体" w:cs="宋体"/>
          <w:color w:val="auto"/>
          <w:kern w:val="0"/>
          <w:sz w:val="21"/>
          <w:szCs w:val="21"/>
          <w:highlight w:val="none"/>
          <w:lang w:eastAsia="zh-CN"/>
        </w:rPr>
        <w:t>配备</w:t>
      </w:r>
      <w:r>
        <w:rPr>
          <w:rFonts w:hint="eastAsia" w:ascii="宋体" w:hAnsi="宋体" w:eastAsia="宋体" w:cs="宋体"/>
          <w:color w:val="auto"/>
          <w:kern w:val="0"/>
          <w:sz w:val="21"/>
          <w:szCs w:val="21"/>
          <w:highlight w:val="none"/>
        </w:rPr>
        <w:t>沙发、茶几，拉通网络及安装摄</w:t>
      </w:r>
      <w:r>
        <w:rPr>
          <w:rFonts w:hint="eastAsia" w:ascii="宋体" w:hAnsi="宋体" w:cs="宋体"/>
          <w:color w:val="auto"/>
          <w:kern w:val="0"/>
          <w:sz w:val="21"/>
          <w:szCs w:val="21"/>
          <w:highlight w:val="none"/>
          <w:lang w:val="en-US" w:eastAsia="zh-CN"/>
        </w:rPr>
        <w:t>像</w:t>
      </w:r>
      <w:r>
        <w:rPr>
          <w:rFonts w:hint="eastAsia" w:ascii="宋体" w:hAnsi="宋体" w:eastAsia="宋体" w:cs="宋体"/>
          <w:color w:val="auto"/>
          <w:kern w:val="0"/>
          <w:sz w:val="21"/>
          <w:szCs w:val="21"/>
          <w:highlight w:val="none"/>
        </w:rPr>
        <w:t>头，开通固定电话</w:t>
      </w:r>
      <w:r>
        <w:rPr>
          <w:rFonts w:hint="eastAsia" w:ascii="宋体" w:hAnsi="宋体" w:eastAsia="宋体" w:cs="宋体"/>
          <w:color w:val="auto"/>
          <w:kern w:val="0"/>
          <w:sz w:val="21"/>
          <w:szCs w:val="21"/>
          <w:highlight w:val="none"/>
          <w:lang w:eastAsia="zh-CN"/>
        </w:rPr>
        <w:t>等</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w:t>
      </w:r>
    </w:p>
    <w:p w14:paraId="7008F800">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eastAsia="zh-CN"/>
        </w:rPr>
        <w:t>有专职工作人员（工作</w:t>
      </w:r>
      <w:r>
        <w:rPr>
          <w:rFonts w:hint="eastAsia" w:ascii="宋体" w:hAnsi="宋体" w:eastAsia="宋体" w:cs="宋体"/>
          <w:color w:val="auto"/>
          <w:kern w:val="0"/>
          <w:sz w:val="21"/>
          <w:szCs w:val="21"/>
          <w:highlight w:val="none"/>
        </w:rPr>
        <w:t>人员</w:t>
      </w:r>
      <w:r>
        <w:rPr>
          <w:rFonts w:hint="eastAsia" w:ascii="宋体" w:hAnsi="宋体" w:eastAsia="宋体" w:cs="宋体"/>
          <w:color w:val="auto"/>
          <w:kern w:val="0"/>
          <w:sz w:val="21"/>
          <w:szCs w:val="21"/>
          <w:highlight w:val="none"/>
          <w:lang w:eastAsia="zh-CN"/>
        </w:rPr>
        <w:t>统一</w:t>
      </w:r>
      <w:r>
        <w:rPr>
          <w:rFonts w:hint="eastAsia" w:ascii="宋体" w:hAnsi="宋体" w:eastAsia="宋体" w:cs="宋体"/>
          <w:color w:val="auto"/>
          <w:kern w:val="0"/>
          <w:sz w:val="21"/>
          <w:szCs w:val="21"/>
          <w:highlight w:val="none"/>
        </w:rPr>
        <w:t>工作服</w:t>
      </w:r>
      <w:r>
        <w:rPr>
          <w:rFonts w:hint="eastAsia" w:ascii="宋体" w:hAnsi="宋体" w:eastAsia="宋体" w:cs="宋体"/>
          <w:color w:val="auto"/>
          <w:kern w:val="0"/>
          <w:sz w:val="21"/>
          <w:szCs w:val="21"/>
          <w:highlight w:val="none"/>
          <w:lang w:eastAsia="zh-CN"/>
        </w:rPr>
        <w:t>，佩带工作</w:t>
      </w:r>
      <w:r>
        <w:rPr>
          <w:rFonts w:hint="eastAsia" w:ascii="宋体" w:hAnsi="宋体" w:eastAsia="宋体" w:cs="宋体"/>
          <w:color w:val="auto"/>
          <w:kern w:val="0"/>
          <w:sz w:val="21"/>
          <w:szCs w:val="21"/>
          <w:highlight w:val="none"/>
        </w:rPr>
        <w:t>牌</w:t>
      </w:r>
      <w:r>
        <w:rPr>
          <w:rFonts w:hint="eastAsia" w:ascii="宋体" w:hAnsi="宋体" w:eastAsia="宋体" w:cs="宋体"/>
          <w:color w:val="auto"/>
          <w:kern w:val="0"/>
          <w:sz w:val="21"/>
          <w:szCs w:val="21"/>
          <w:highlight w:val="none"/>
          <w:lang w:eastAsia="zh-CN"/>
        </w:rPr>
        <w:t>上岗）；</w:t>
      </w:r>
    </w:p>
    <w:p w14:paraId="1435DAEB">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4.有</w:t>
      </w:r>
      <w:r>
        <w:rPr>
          <w:rFonts w:hint="eastAsia" w:ascii="宋体" w:hAnsi="宋体" w:eastAsia="宋体" w:cs="宋体"/>
          <w:color w:val="auto"/>
          <w:kern w:val="0"/>
          <w:sz w:val="21"/>
          <w:szCs w:val="21"/>
          <w:highlight w:val="none"/>
        </w:rPr>
        <w:t>宣传</w:t>
      </w:r>
      <w:r>
        <w:rPr>
          <w:rFonts w:hint="eastAsia" w:ascii="宋体" w:hAnsi="宋体" w:eastAsia="宋体" w:cs="宋体"/>
          <w:color w:val="auto"/>
          <w:kern w:val="0"/>
          <w:sz w:val="21"/>
          <w:szCs w:val="21"/>
          <w:highlight w:val="none"/>
          <w:lang w:eastAsia="zh-CN"/>
        </w:rPr>
        <w:t>阵地（安装显示屏，设立宣传牌，印</w:t>
      </w:r>
      <w:r>
        <w:rPr>
          <w:rFonts w:hint="eastAsia" w:ascii="宋体" w:hAnsi="宋体" w:eastAsia="宋体" w:cs="宋体"/>
          <w:color w:val="auto"/>
          <w:kern w:val="0"/>
          <w:sz w:val="21"/>
          <w:szCs w:val="21"/>
          <w:highlight w:val="none"/>
        </w:rPr>
        <w:t>制</w:t>
      </w:r>
      <w:r>
        <w:rPr>
          <w:rFonts w:hint="eastAsia" w:ascii="宋体" w:hAnsi="宋体" w:eastAsia="宋体" w:cs="宋体"/>
          <w:color w:val="auto"/>
          <w:kern w:val="0"/>
          <w:sz w:val="21"/>
          <w:szCs w:val="21"/>
          <w:highlight w:val="none"/>
          <w:lang w:eastAsia="zh-CN"/>
        </w:rPr>
        <w:t>宣传资料等）；</w:t>
      </w:r>
    </w:p>
    <w:p w14:paraId="093BA891">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5.有工作要求</w:t>
      </w:r>
      <w:r>
        <w:rPr>
          <w:rFonts w:hint="eastAsia" w:ascii="宋体" w:hAnsi="宋体" w:eastAsia="宋体" w:cs="宋体"/>
          <w:color w:val="auto"/>
          <w:kern w:val="0"/>
          <w:sz w:val="21"/>
          <w:szCs w:val="21"/>
          <w:highlight w:val="none"/>
          <w:lang w:eastAsia="zh-CN"/>
        </w:rPr>
        <w:t>（做到工作有制度、服务有标准、操作有流程）；</w:t>
      </w:r>
    </w:p>
    <w:p w14:paraId="5153AF3A">
      <w:pPr>
        <w:keepNext w:val="0"/>
        <w:keepLines w:val="0"/>
        <w:pageBreakBefore w:val="0"/>
        <w:kinsoku/>
        <w:wordWrap/>
        <w:overflowPunct/>
        <w:topLinePunct w:val="0"/>
        <w:autoSpaceDE/>
        <w:autoSpaceDN/>
        <w:bidi w:val="0"/>
        <w:adjustRightInd/>
        <w:snapToGrid/>
        <w:spacing w:line="320" w:lineRule="exact"/>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三、服务内容</w:t>
      </w:r>
    </w:p>
    <w:p w14:paraId="57EBCB5D">
      <w:pPr>
        <w:keepNext w:val="0"/>
        <w:keepLines w:val="0"/>
        <w:pageBreakBefore w:val="0"/>
        <w:widowControl/>
        <w:kinsoku/>
        <w:wordWrap/>
        <w:overflowPunct/>
        <w:topLinePunct w:val="0"/>
        <w:autoSpaceDE/>
        <w:autoSpaceDN/>
        <w:bidi w:val="0"/>
        <w:adjustRightInd/>
        <w:snapToGrid/>
        <w:spacing w:line="32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以工业园区企业、园区外重点企业</w:t>
      </w:r>
      <w:r>
        <w:rPr>
          <w:rFonts w:hint="eastAsia" w:ascii="宋体" w:hAnsi="宋体" w:eastAsia="宋体" w:cs="宋体"/>
          <w:color w:val="auto"/>
          <w:kern w:val="0"/>
          <w:sz w:val="21"/>
          <w:szCs w:val="21"/>
          <w:highlight w:val="none"/>
          <w:lang w:eastAsia="zh-CN"/>
        </w:rPr>
        <w:t>（含</w:t>
      </w:r>
      <w:r>
        <w:rPr>
          <w:rFonts w:hint="eastAsia" w:ascii="宋体" w:hAnsi="宋体" w:eastAsia="宋体" w:cs="宋体"/>
          <w:color w:val="auto"/>
          <w:kern w:val="0"/>
          <w:sz w:val="21"/>
          <w:szCs w:val="21"/>
          <w:highlight w:val="none"/>
        </w:rPr>
        <w:t>就业帮扶车间</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“园区</w:t>
      </w:r>
      <w:r>
        <w:rPr>
          <w:rFonts w:hint="eastAsia" w:ascii="宋体" w:hAnsi="宋体" w:eastAsia="宋体" w:cs="宋体"/>
          <w:color w:val="auto"/>
          <w:kern w:val="0"/>
          <w:sz w:val="21"/>
          <w:szCs w:val="21"/>
          <w:highlight w:val="none"/>
          <w:lang w:val="en-US" w:eastAsia="zh-CN"/>
        </w:rPr>
        <w:t>+车间+庭院”模式加工点（公司）、</w:t>
      </w:r>
      <w:r>
        <w:rPr>
          <w:rFonts w:hint="eastAsia" w:ascii="宋体" w:hAnsi="宋体" w:eastAsia="宋体" w:cs="宋体"/>
          <w:color w:val="auto"/>
          <w:kern w:val="0"/>
          <w:sz w:val="21"/>
          <w:szCs w:val="21"/>
          <w:highlight w:val="none"/>
        </w:rPr>
        <w:t>零工市场、村（社区）为</w:t>
      </w:r>
      <w:r>
        <w:rPr>
          <w:rFonts w:hint="eastAsia" w:ascii="宋体" w:hAnsi="宋体" w:eastAsia="宋体" w:cs="宋体"/>
          <w:color w:val="auto"/>
          <w:kern w:val="0"/>
          <w:sz w:val="21"/>
          <w:szCs w:val="21"/>
          <w:highlight w:val="none"/>
          <w:lang w:eastAsia="zh-CN"/>
        </w:rPr>
        <w:t>服务</w:t>
      </w:r>
      <w:r>
        <w:rPr>
          <w:rFonts w:hint="eastAsia" w:ascii="宋体" w:hAnsi="宋体" w:eastAsia="宋体" w:cs="宋体"/>
          <w:color w:val="auto"/>
          <w:kern w:val="0"/>
          <w:sz w:val="21"/>
          <w:szCs w:val="21"/>
          <w:highlight w:val="none"/>
        </w:rPr>
        <w:t>主体，</w:t>
      </w:r>
      <w:r>
        <w:rPr>
          <w:rFonts w:hint="eastAsia" w:ascii="宋体" w:hAnsi="宋体" w:eastAsia="宋体" w:cs="宋体"/>
          <w:color w:val="auto"/>
          <w:kern w:val="0"/>
          <w:sz w:val="21"/>
          <w:szCs w:val="21"/>
          <w:highlight w:val="none"/>
          <w:lang w:eastAsia="zh-CN"/>
        </w:rPr>
        <w:t>在县人社局的指导下</w:t>
      </w:r>
      <w:r>
        <w:rPr>
          <w:rFonts w:hint="eastAsia" w:ascii="宋体" w:hAnsi="宋体" w:eastAsia="宋体" w:cs="宋体"/>
          <w:color w:val="auto"/>
          <w:kern w:val="0"/>
          <w:sz w:val="21"/>
          <w:szCs w:val="21"/>
          <w:highlight w:val="none"/>
        </w:rPr>
        <w:t>开展基本信息调查、招工、政策宣传等相关</w:t>
      </w:r>
      <w:r>
        <w:rPr>
          <w:rFonts w:hint="eastAsia" w:ascii="宋体" w:hAnsi="宋体" w:eastAsia="宋体" w:cs="宋体"/>
          <w:color w:val="auto"/>
          <w:kern w:val="0"/>
          <w:sz w:val="21"/>
          <w:szCs w:val="21"/>
          <w:highlight w:val="none"/>
          <w:lang w:eastAsia="zh-CN"/>
        </w:rPr>
        <w:t>就业</w:t>
      </w:r>
      <w:r>
        <w:rPr>
          <w:rFonts w:hint="eastAsia" w:ascii="宋体" w:hAnsi="宋体" w:eastAsia="宋体" w:cs="宋体"/>
          <w:color w:val="auto"/>
          <w:kern w:val="0"/>
          <w:sz w:val="21"/>
          <w:szCs w:val="21"/>
          <w:highlight w:val="none"/>
        </w:rPr>
        <w:t>服务工作。</w:t>
      </w:r>
    </w:p>
    <w:p w14:paraId="6DC5CB43">
      <w:pPr>
        <w:keepNext w:val="0"/>
        <w:keepLines w:val="0"/>
        <w:pageBreakBefore w:val="0"/>
        <w:tabs>
          <w:tab w:val="left" w:pos="665"/>
        </w:tabs>
        <w:kinsoku/>
        <w:wordWrap/>
        <w:overflowPunct/>
        <w:topLinePunct w:val="0"/>
        <w:autoSpaceDE/>
        <w:autoSpaceDN/>
        <w:bidi w:val="0"/>
        <w:adjustRightInd/>
        <w:snapToGrid/>
        <w:spacing w:line="32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w:t>
      </w:r>
      <w:r>
        <w:rPr>
          <w:rFonts w:hint="eastAsia" w:ascii="宋体" w:hAnsi="宋体" w:eastAsia="宋体" w:cs="宋体"/>
          <w:bCs/>
          <w:color w:val="auto"/>
          <w:sz w:val="21"/>
          <w:szCs w:val="21"/>
          <w:highlight w:val="none"/>
          <w:lang w:eastAsia="zh-CN"/>
        </w:rPr>
        <w:t>上门</w:t>
      </w:r>
      <w:r>
        <w:rPr>
          <w:rFonts w:hint="eastAsia" w:ascii="宋体" w:hAnsi="宋体" w:eastAsia="宋体" w:cs="宋体"/>
          <w:bCs/>
          <w:color w:val="auto"/>
          <w:sz w:val="21"/>
          <w:szCs w:val="21"/>
          <w:highlight w:val="none"/>
        </w:rPr>
        <w:t>实地服务</w:t>
      </w:r>
    </w:p>
    <w:p w14:paraId="4BF237AD">
      <w:pPr>
        <w:keepNext w:val="0"/>
        <w:keepLines w:val="0"/>
        <w:pageBreakBefore w:val="0"/>
        <w:tabs>
          <w:tab w:val="left" w:pos="665"/>
        </w:tabs>
        <w:kinsoku/>
        <w:wordWrap/>
        <w:overflowPunct/>
        <w:topLinePunct w:val="0"/>
        <w:autoSpaceDE/>
        <w:autoSpaceDN/>
        <w:bidi w:val="0"/>
        <w:adjustRightInd/>
        <w:snapToGrid/>
        <w:spacing w:line="320" w:lineRule="exact"/>
        <w:ind w:left="0" w:leftChars="0" w:firstLine="420" w:firstLineChars="200"/>
        <w:jc w:val="lef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每月到相关企业</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含就业帮扶车间）根据服务清单内容开展</w:t>
      </w:r>
      <w:r>
        <w:rPr>
          <w:rFonts w:hint="eastAsia" w:ascii="宋体" w:hAnsi="宋体" w:eastAsia="宋体" w:cs="宋体"/>
          <w:bCs/>
          <w:color w:val="auto"/>
          <w:sz w:val="21"/>
          <w:szCs w:val="21"/>
          <w:highlight w:val="none"/>
        </w:rPr>
        <w:t>服务</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次，</w:t>
      </w:r>
      <w:r>
        <w:rPr>
          <w:rFonts w:hint="eastAsia" w:ascii="宋体" w:hAnsi="宋体" w:eastAsia="宋体" w:cs="宋体"/>
          <w:bCs/>
          <w:color w:val="auto"/>
          <w:sz w:val="21"/>
          <w:szCs w:val="21"/>
          <w:highlight w:val="none"/>
          <w:lang w:val="en-US" w:eastAsia="zh-CN"/>
        </w:rPr>
        <w:t>填写服务企业清单一览表</w:t>
      </w:r>
      <w:r>
        <w:rPr>
          <w:rFonts w:hint="eastAsia" w:ascii="宋体" w:hAnsi="宋体" w:eastAsia="宋体" w:cs="宋体"/>
          <w:bCs/>
          <w:color w:val="auto"/>
          <w:sz w:val="21"/>
          <w:szCs w:val="21"/>
          <w:highlight w:val="none"/>
          <w:lang w:eastAsia="zh-CN"/>
        </w:rPr>
        <w:t>，并将每月企业</w:t>
      </w:r>
      <w:r>
        <w:rPr>
          <w:rFonts w:hint="eastAsia" w:ascii="宋体" w:hAnsi="宋体" w:eastAsia="宋体" w:cs="宋体"/>
          <w:bCs/>
          <w:color w:val="auto"/>
          <w:sz w:val="21"/>
          <w:szCs w:val="21"/>
          <w:highlight w:val="none"/>
          <w:lang w:val="en-US" w:eastAsia="zh-CN"/>
        </w:rPr>
        <w:t>需招聘的岗位信息</w:t>
      </w:r>
      <w:r>
        <w:rPr>
          <w:rFonts w:hint="eastAsia" w:ascii="宋体" w:hAnsi="宋体" w:eastAsia="宋体" w:cs="宋体"/>
          <w:bCs/>
          <w:color w:val="auto"/>
          <w:sz w:val="21"/>
          <w:szCs w:val="21"/>
          <w:highlight w:val="none"/>
          <w:lang w:eastAsia="zh-CN"/>
        </w:rPr>
        <w:t>录入广西“数智人社”系统</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eastAsia="zh-CN"/>
        </w:rPr>
        <w:t>及时</w:t>
      </w:r>
      <w:r>
        <w:rPr>
          <w:rFonts w:hint="eastAsia" w:ascii="宋体" w:hAnsi="宋体" w:eastAsia="宋体" w:cs="宋体"/>
          <w:bCs/>
          <w:color w:val="auto"/>
          <w:sz w:val="21"/>
          <w:szCs w:val="21"/>
          <w:highlight w:val="none"/>
        </w:rPr>
        <w:t>向企业宣传有关</w:t>
      </w:r>
      <w:r>
        <w:rPr>
          <w:rFonts w:hint="eastAsia" w:ascii="宋体" w:hAnsi="宋体" w:eastAsia="宋体" w:cs="宋体"/>
          <w:bCs/>
          <w:color w:val="auto"/>
          <w:sz w:val="21"/>
          <w:szCs w:val="21"/>
          <w:highlight w:val="none"/>
          <w:lang w:eastAsia="zh-CN"/>
        </w:rPr>
        <w:t>法律法规、</w:t>
      </w:r>
      <w:r>
        <w:rPr>
          <w:rFonts w:hint="eastAsia" w:ascii="宋体" w:hAnsi="宋体" w:eastAsia="宋体" w:cs="宋体"/>
          <w:bCs/>
          <w:color w:val="auto"/>
          <w:sz w:val="21"/>
          <w:szCs w:val="21"/>
          <w:highlight w:val="none"/>
        </w:rPr>
        <w:t>惠企政策，并确保企业知晓</w:t>
      </w:r>
      <w:r>
        <w:rPr>
          <w:rFonts w:hint="eastAsia" w:ascii="宋体" w:hAnsi="宋体" w:eastAsia="宋体" w:cs="宋体"/>
          <w:bCs/>
          <w:color w:val="auto"/>
          <w:sz w:val="21"/>
          <w:szCs w:val="21"/>
          <w:highlight w:val="none"/>
          <w:lang w:eastAsia="zh-CN"/>
        </w:rPr>
        <w:t>了解，</w:t>
      </w:r>
      <w:r>
        <w:rPr>
          <w:rFonts w:hint="eastAsia" w:ascii="宋体" w:hAnsi="宋体" w:eastAsia="宋体" w:cs="宋体"/>
          <w:bCs/>
          <w:color w:val="auto"/>
          <w:sz w:val="21"/>
          <w:szCs w:val="21"/>
          <w:highlight w:val="none"/>
        </w:rPr>
        <w:t>动员、指导就业帮扶车间申请带动就业补贴</w:t>
      </w:r>
      <w:r>
        <w:rPr>
          <w:rFonts w:hint="eastAsia" w:ascii="宋体" w:hAnsi="宋体" w:eastAsia="宋体" w:cs="宋体"/>
          <w:bCs/>
          <w:color w:val="auto"/>
          <w:sz w:val="21"/>
          <w:szCs w:val="21"/>
          <w:highlight w:val="none"/>
          <w:lang w:eastAsia="zh-CN"/>
        </w:rPr>
        <w:t>、了解</w:t>
      </w:r>
      <w:r>
        <w:rPr>
          <w:rFonts w:hint="eastAsia" w:ascii="宋体" w:hAnsi="宋体" w:eastAsia="宋体" w:cs="宋体"/>
          <w:bCs/>
          <w:color w:val="auto"/>
          <w:sz w:val="21"/>
          <w:szCs w:val="21"/>
          <w:highlight w:val="none"/>
        </w:rPr>
        <w:t>吸纳脱贫人口</w:t>
      </w:r>
      <w:r>
        <w:rPr>
          <w:rFonts w:hint="eastAsia" w:ascii="宋体" w:hAnsi="宋体" w:eastAsia="宋体" w:cs="宋体"/>
          <w:bCs/>
          <w:color w:val="auto"/>
          <w:sz w:val="21"/>
          <w:szCs w:val="21"/>
          <w:highlight w:val="none"/>
          <w:lang w:val="en-US" w:eastAsia="zh-CN"/>
        </w:rPr>
        <w:t>就业</w:t>
      </w:r>
      <w:r>
        <w:rPr>
          <w:rFonts w:hint="eastAsia" w:ascii="宋体" w:hAnsi="宋体" w:eastAsia="宋体" w:cs="宋体"/>
          <w:bCs/>
          <w:color w:val="auto"/>
          <w:sz w:val="21"/>
          <w:szCs w:val="21"/>
          <w:highlight w:val="none"/>
          <w:lang w:eastAsia="zh-CN"/>
        </w:rPr>
        <w:t>情况</w:t>
      </w:r>
      <w:r>
        <w:rPr>
          <w:rFonts w:hint="eastAsia" w:ascii="宋体" w:hAnsi="宋体" w:eastAsia="宋体" w:cs="宋体"/>
          <w:bCs/>
          <w:color w:val="auto"/>
          <w:sz w:val="21"/>
          <w:szCs w:val="21"/>
          <w:highlight w:val="none"/>
        </w:rPr>
        <w:t>等</w:t>
      </w:r>
      <w:r>
        <w:rPr>
          <w:rFonts w:hint="eastAsia" w:ascii="宋体" w:hAnsi="宋体" w:eastAsia="宋体" w:cs="宋体"/>
          <w:bCs/>
          <w:color w:val="auto"/>
          <w:sz w:val="21"/>
          <w:szCs w:val="21"/>
          <w:highlight w:val="none"/>
          <w:lang w:eastAsia="zh-CN"/>
        </w:rPr>
        <w:t>。</w:t>
      </w:r>
    </w:p>
    <w:p w14:paraId="4B3633CB">
      <w:pPr>
        <w:keepNext w:val="0"/>
        <w:keepLines w:val="0"/>
        <w:pageBreakBefore w:val="0"/>
        <w:tabs>
          <w:tab w:val="left" w:pos="665"/>
        </w:tabs>
        <w:kinsoku/>
        <w:wordWrap/>
        <w:overflowPunct/>
        <w:topLinePunct w:val="0"/>
        <w:autoSpaceDE/>
        <w:autoSpaceDN/>
        <w:bidi w:val="0"/>
        <w:adjustRightInd/>
        <w:snapToGrid/>
        <w:spacing w:line="32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2.每月收集</w:t>
      </w:r>
      <w:r>
        <w:rPr>
          <w:rFonts w:hint="eastAsia" w:ascii="宋体" w:hAnsi="宋体" w:eastAsia="宋体" w:cs="宋体"/>
          <w:bCs/>
          <w:color w:val="auto"/>
          <w:sz w:val="21"/>
          <w:szCs w:val="21"/>
          <w:highlight w:val="none"/>
          <w:lang w:eastAsia="zh-CN"/>
        </w:rPr>
        <w:t>“园区</w:t>
      </w:r>
      <w:r>
        <w:rPr>
          <w:rFonts w:hint="eastAsia" w:ascii="宋体" w:hAnsi="宋体" w:eastAsia="宋体" w:cs="宋体"/>
          <w:bCs/>
          <w:color w:val="auto"/>
          <w:sz w:val="21"/>
          <w:szCs w:val="21"/>
          <w:highlight w:val="none"/>
          <w:lang w:val="en-US" w:eastAsia="zh-CN"/>
        </w:rPr>
        <w:t>+车间+庭院”模式加工点（公司）用工需求1次，对有招工需求的不定期上门</w:t>
      </w:r>
      <w:r>
        <w:rPr>
          <w:rFonts w:hint="eastAsia" w:ascii="宋体" w:hAnsi="宋体" w:eastAsia="宋体" w:cs="宋体"/>
          <w:bCs/>
          <w:color w:val="auto"/>
          <w:sz w:val="21"/>
          <w:szCs w:val="21"/>
          <w:highlight w:val="none"/>
          <w:lang w:eastAsia="zh-CN"/>
        </w:rPr>
        <w:t>服务</w:t>
      </w:r>
      <w:r>
        <w:rPr>
          <w:rFonts w:hint="eastAsia" w:ascii="宋体" w:hAnsi="宋体" w:eastAsia="宋体" w:cs="宋体"/>
          <w:bCs/>
          <w:color w:val="auto"/>
          <w:sz w:val="21"/>
          <w:szCs w:val="21"/>
          <w:highlight w:val="none"/>
          <w:lang w:val="en-US" w:eastAsia="zh-CN"/>
        </w:rPr>
        <w:t>，并将收集到的加工点（公司）需招聘的岗位信息在线上平台发布</w:t>
      </w:r>
      <w:r>
        <w:rPr>
          <w:rFonts w:hint="eastAsia" w:ascii="宋体" w:hAnsi="宋体" w:eastAsia="宋体" w:cs="宋体"/>
          <w:bCs/>
          <w:color w:val="auto"/>
          <w:sz w:val="21"/>
          <w:szCs w:val="21"/>
          <w:highlight w:val="none"/>
        </w:rPr>
        <w:t>。</w:t>
      </w:r>
    </w:p>
    <w:p w14:paraId="11C4C7AF">
      <w:pPr>
        <w:keepNext w:val="0"/>
        <w:keepLines w:val="0"/>
        <w:pageBreakBefore w:val="0"/>
        <w:tabs>
          <w:tab w:val="left" w:pos="665"/>
        </w:tabs>
        <w:kinsoku/>
        <w:wordWrap/>
        <w:overflowPunct/>
        <w:topLinePunct w:val="0"/>
        <w:autoSpaceDE/>
        <w:autoSpaceDN/>
        <w:bidi w:val="0"/>
        <w:adjustRightInd/>
        <w:snapToGrid/>
        <w:spacing w:line="320" w:lineRule="exact"/>
        <w:ind w:left="0" w:leftChars="0" w:firstLine="420" w:firstLineChars="200"/>
        <w:jc w:val="lef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每月到村（社区）</w:t>
      </w:r>
      <w:r>
        <w:rPr>
          <w:rFonts w:hint="eastAsia" w:ascii="宋体" w:hAnsi="宋体" w:eastAsia="宋体" w:cs="宋体"/>
          <w:bCs/>
          <w:color w:val="auto"/>
          <w:sz w:val="21"/>
          <w:szCs w:val="21"/>
          <w:highlight w:val="none"/>
          <w:lang w:val="en-US" w:eastAsia="zh-CN"/>
        </w:rPr>
        <w:t>开展招工宣传、职业技能培训宣传、人社政策宣传各1</w:t>
      </w:r>
      <w:r>
        <w:rPr>
          <w:rFonts w:hint="eastAsia" w:ascii="宋体" w:hAnsi="宋体" w:eastAsia="宋体" w:cs="宋体"/>
          <w:bCs/>
          <w:color w:val="auto"/>
          <w:sz w:val="21"/>
          <w:szCs w:val="21"/>
          <w:highlight w:val="none"/>
        </w:rPr>
        <w:t>次</w:t>
      </w:r>
      <w:r>
        <w:rPr>
          <w:rFonts w:hint="eastAsia" w:ascii="宋体" w:hAnsi="宋体" w:eastAsia="宋体" w:cs="宋体"/>
          <w:bCs/>
          <w:color w:val="auto"/>
          <w:sz w:val="21"/>
          <w:szCs w:val="21"/>
          <w:highlight w:val="none"/>
          <w:lang w:eastAsia="zh-CN"/>
        </w:rPr>
        <w:t>。依托宣传车流动宣传、巡回播报、移动宣传点等灵活的模式深入村社区开展招工岗位推介、人社惠民政策宣传等。</w:t>
      </w:r>
    </w:p>
    <w:p w14:paraId="5674D761">
      <w:pPr>
        <w:keepNext w:val="0"/>
        <w:keepLines w:val="0"/>
        <w:pageBreakBefore w:val="0"/>
        <w:tabs>
          <w:tab w:val="left" w:pos="665"/>
        </w:tabs>
        <w:kinsoku/>
        <w:wordWrap/>
        <w:overflowPunct/>
        <w:topLinePunct w:val="0"/>
        <w:autoSpaceDE/>
        <w:autoSpaceDN/>
        <w:bidi w:val="0"/>
        <w:adjustRightInd/>
        <w:snapToGrid/>
        <w:spacing w:line="32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（二）发布招聘信息</w:t>
      </w:r>
    </w:p>
    <w:p w14:paraId="5F041DE2">
      <w:pPr>
        <w:keepNext w:val="0"/>
        <w:keepLines w:val="0"/>
        <w:pageBreakBefore w:val="0"/>
        <w:tabs>
          <w:tab w:val="left" w:pos="665"/>
        </w:tabs>
        <w:kinsoku/>
        <w:wordWrap/>
        <w:overflowPunct/>
        <w:topLinePunct w:val="0"/>
        <w:autoSpaceDE/>
        <w:autoSpaceDN/>
        <w:bidi w:val="0"/>
        <w:adjustRightInd/>
        <w:snapToGrid/>
        <w:spacing w:line="320" w:lineRule="exact"/>
        <w:ind w:left="0" w:leftChars="0" w:firstLine="422"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1.</w:t>
      </w:r>
      <w:r>
        <w:rPr>
          <w:rFonts w:hint="eastAsia" w:ascii="宋体" w:hAnsi="宋体" w:eastAsia="宋体" w:cs="宋体"/>
          <w:b/>
          <w:bCs/>
          <w:color w:val="auto"/>
          <w:kern w:val="0"/>
          <w:sz w:val="21"/>
          <w:szCs w:val="21"/>
          <w:highlight w:val="none"/>
        </w:rPr>
        <w:t>线上招聘信息发布。</w:t>
      </w:r>
      <w:r>
        <w:rPr>
          <w:rFonts w:hint="eastAsia" w:ascii="宋体" w:hAnsi="宋体" w:eastAsia="宋体" w:cs="宋体"/>
          <w:b w:val="0"/>
          <w:bCs w:val="0"/>
          <w:color w:val="auto"/>
          <w:kern w:val="0"/>
          <w:sz w:val="21"/>
          <w:szCs w:val="21"/>
          <w:highlight w:val="none"/>
          <w:lang w:eastAsia="zh-CN"/>
        </w:rPr>
        <w:t>一是在</w:t>
      </w:r>
      <w:r>
        <w:rPr>
          <w:rFonts w:hint="eastAsia" w:ascii="宋体" w:hAnsi="宋体" w:eastAsia="宋体" w:cs="宋体"/>
          <w:b w:val="0"/>
          <w:bCs w:val="0"/>
          <w:color w:val="auto"/>
          <w:kern w:val="0"/>
          <w:sz w:val="21"/>
          <w:szCs w:val="21"/>
          <w:highlight w:val="none"/>
        </w:rPr>
        <w:t>网站平台</w:t>
      </w:r>
      <w:r>
        <w:rPr>
          <w:rFonts w:hint="eastAsia" w:ascii="宋体" w:hAnsi="宋体" w:eastAsia="宋体" w:cs="宋体"/>
          <w:b w:val="0"/>
          <w:bCs w:val="0"/>
          <w:color w:val="auto"/>
          <w:kern w:val="0"/>
          <w:sz w:val="21"/>
          <w:szCs w:val="21"/>
          <w:highlight w:val="none"/>
          <w:lang w:eastAsia="zh-CN"/>
        </w:rPr>
        <w:t>发布</w:t>
      </w:r>
      <w:r>
        <w:rPr>
          <w:rFonts w:hint="eastAsia" w:ascii="宋体" w:hAnsi="宋体" w:eastAsia="宋体" w:cs="宋体"/>
          <w:b w:val="0"/>
          <w:bCs w:val="0"/>
          <w:color w:val="auto"/>
          <w:kern w:val="0"/>
          <w:sz w:val="21"/>
          <w:szCs w:val="21"/>
          <w:highlight w:val="none"/>
        </w:rPr>
        <w:t>：每月要在</w:t>
      </w:r>
      <w:r>
        <w:rPr>
          <w:rFonts w:hint="eastAsia" w:ascii="宋体" w:hAnsi="宋体" w:eastAsia="宋体" w:cs="宋体"/>
          <w:b w:val="0"/>
          <w:bCs w:val="0"/>
          <w:color w:val="auto"/>
          <w:kern w:val="0"/>
          <w:sz w:val="21"/>
          <w:szCs w:val="21"/>
          <w:highlight w:val="none"/>
          <w:lang w:eastAsia="zh-CN"/>
        </w:rPr>
        <w:t>浦北就业、就在浦北</w:t>
      </w:r>
      <w:r>
        <w:rPr>
          <w:rFonts w:hint="eastAsia" w:ascii="宋体" w:hAnsi="宋体" w:cs="宋体"/>
          <w:b w:val="0"/>
          <w:bCs w:val="0"/>
          <w:color w:val="auto"/>
          <w:kern w:val="0"/>
          <w:sz w:val="21"/>
          <w:szCs w:val="21"/>
          <w:highlight w:val="none"/>
          <w:lang w:eastAsia="zh-CN"/>
        </w:rPr>
        <w:t>、</w:t>
      </w:r>
      <w:r>
        <w:rPr>
          <w:rFonts w:hint="eastAsia" w:ascii="宋体" w:hAnsi="宋体" w:cs="宋体"/>
          <w:color w:val="auto"/>
          <w:kern w:val="0"/>
          <w:sz w:val="21"/>
          <w:szCs w:val="21"/>
          <w:highlight w:val="none"/>
          <w:lang w:val="en-US" w:eastAsia="zh-CN" w:bidi="ar-SA"/>
        </w:rPr>
        <w:t>浦北招聘网</w:t>
      </w:r>
      <w:r>
        <w:rPr>
          <w:rFonts w:hint="eastAsia" w:ascii="宋体" w:hAnsi="宋体" w:eastAsia="宋体" w:cs="宋体"/>
          <w:b w:val="0"/>
          <w:bCs w:val="0"/>
          <w:color w:val="auto"/>
          <w:kern w:val="0"/>
          <w:sz w:val="21"/>
          <w:szCs w:val="21"/>
          <w:highlight w:val="none"/>
        </w:rPr>
        <w:t>等相关网站发布2次招聘信息</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县就业</w:t>
      </w:r>
      <w:r>
        <w:rPr>
          <w:rFonts w:hint="eastAsia" w:ascii="宋体" w:hAnsi="宋体" w:eastAsia="宋体" w:cs="宋体"/>
          <w:b w:val="0"/>
          <w:bCs w:val="0"/>
          <w:color w:val="auto"/>
          <w:kern w:val="0"/>
          <w:sz w:val="21"/>
          <w:szCs w:val="21"/>
          <w:highlight w:val="none"/>
          <w:lang w:eastAsia="zh-CN"/>
        </w:rPr>
        <w:t>服务</w:t>
      </w:r>
      <w:r>
        <w:rPr>
          <w:rFonts w:hint="eastAsia" w:ascii="宋体" w:hAnsi="宋体" w:eastAsia="宋体" w:cs="宋体"/>
          <w:b w:val="0"/>
          <w:bCs w:val="0"/>
          <w:color w:val="auto"/>
          <w:kern w:val="0"/>
          <w:sz w:val="21"/>
          <w:szCs w:val="21"/>
          <w:highlight w:val="none"/>
        </w:rPr>
        <w:t>中心</w:t>
      </w:r>
      <w:r>
        <w:rPr>
          <w:rFonts w:hint="eastAsia" w:ascii="宋体" w:hAnsi="宋体" w:eastAsia="宋体" w:cs="宋体"/>
          <w:b w:val="0"/>
          <w:bCs w:val="0"/>
          <w:color w:val="auto"/>
          <w:kern w:val="0"/>
          <w:sz w:val="21"/>
          <w:szCs w:val="21"/>
          <w:highlight w:val="none"/>
          <w:lang w:eastAsia="zh-CN"/>
        </w:rPr>
        <w:t>再</w:t>
      </w:r>
      <w:r>
        <w:rPr>
          <w:rFonts w:hint="eastAsia" w:ascii="宋体" w:hAnsi="宋体" w:eastAsia="宋体" w:cs="宋体"/>
          <w:b w:val="0"/>
          <w:bCs w:val="0"/>
          <w:color w:val="auto"/>
          <w:kern w:val="0"/>
          <w:sz w:val="21"/>
          <w:szCs w:val="21"/>
          <w:highlight w:val="none"/>
        </w:rPr>
        <w:t>协调其他网络平台机构发布。</w:t>
      </w:r>
      <w:r>
        <w:rPr>
          <w:rFonts w:hint="eastAsia" w:ascii="宋体" w:hAnsi="宋体" w:eastAsia="宋体" w:cs="宋体"/>
          <w:b w:val="0"/>
          <w:bCs w:val="0"/>
          <w:color w:val="auto"/>
          <w:kern w:val="0"/>
          <w:sz w:val="21"/>
          <w:szCs w:val="21"/>
          <w:highlight w:val="none"/>
          <w:lang w:eastAsia="zh-CN"/>
        </w:rPr>
        <w:t>二是在</w:t>
      </w:r>
      <w:r>
        <w:rPr>
          <w:rFonts w:hint="eastAsia" w:ascii="宋体" w:hAnsi="宋体" w:eastAsia="宋体" w:cs="宋体"/>
          <w:b w:val="0"/>
          <w:bCs w:val="0"/>
          <w:color w:val="auto"/>
          <w:kern w:val="0"/>
          <w:sz w:val="21"/>
          <w:szCs w:val="21"/>
          <w:highlight w:val="none"/>
        </w:rPr>
        <w:t>微信群</w:t>
      </w:r>
      <w:r>
        <w:rPr>
          <w:rFonts w:hint="eastAsia" w:ascii="宋体" w:hAnsi="宋体" w:eastAsia="宋体" w:cs="宋体"/>
          <w:b w:val="0"/>
          <w:bCs w:val="0"/>
          <w:color w:val="auto"/>
          <w:kern w:val="0"/>
          <w:sz w:val="21"/>
          <w:szCs w:val="21"/>
          <w:highlight w:val="none"/>
          <w:lang w:eastAsia="zh-CN"/>
        </w:rPr>
        <w:t>发布</w:t>
      </w:r>
      <w:r>
        <w:rPr>
          <w:rFonts w:hint="eastAsia" w:ascii="宋体" w:hAnsi="宋体" w:eastAsia="宋体" w:cs="宋体"/>
          <w:b w:val="0"/>
          <w:bCs w:val="0"/>
          <w:color w:val="auto"/>
          <w:kern w:val="0"/>
          <w:sz w:val="21"/>
          <w:szCs w:val="21"/>
          <w:highlight w:val="none"/>
        </w:rPr>
        <w:t>：要建立服务企业招工工作微信群，要覆</w:t>
      </w:r>
      <w:r>
        <w:rPr>
          <w:rFonts w:hint="eastAsia" w:ascii="宋体" w:hAnsi="宋体" w:eastAsia="宋体" w:cs="宋体"/>
          <w:b w:val="0"/>
          <w:bCs w:val="0"/>
          <w:color w:val="auto"/>
          <w:kern w:val="0"/>
          <w:sz w:val="21"/>
          <w:szCs w:val="21"/>
          <w:highlight w:val="none"/>
          <w:lang w:eastAsia="zh-CN"/>
        </w:rPr>
        <w:t>盖</w:t>
      </w:r>
      <w:r>
        <w:rPr>
          <w:rFonts w:hint="eastAsia" w:ascii="宋体" w:hAnsi="宋体" w:eastAsia="宋体" w:cs="宋体"/>
          <w:b w:val="0"/>
          <w:bCs w:val="0"/>
          <w:color w:val="auto"/>
          <w:kern w:val="0"/>
          <w:sz w:val="21"/>
          <w:szCs w:val="21"/>
          <w:highlight w:val="none"/>
        </w:rPr>
        <w:t>所在镇（街道）各村（社区）网格群，每月至少推送2次招工信息。</w:t>
      </w:r>
    </w:p>
    <w:p w14:paraId="6633FF4A">
      <w:pPr>
        <w:keepNext w:val="0"/>
        <w:keepLines w:val="0"/>
        <w:pageBreakBefore w:val="0"/>
        <w:kinsoku/>
        <w:wordWrap/>
        <w:overflowPunct/>
        <w:topLinePunct w:val="0"/>
        <w:autoSpaceDE/>
        <w:autoSpaceDN/>
        <w:bidi w:val="0"/>
        <w:adjustRightInd/>
        <w:snapToGrid/>
        <w:spacing w:line="320" w:lineRule="exact"/>
        <w:ind w:left="0" w:leftChars="0" w:firstLine="422"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rPr>
        <w:t>线下招聘信息发布。</w:t>
      </w:r>
      <w:r>
        <w:rPr>
          <w:rFonts w:hint="eastAsia" w:ascii="宋体" w:hAnsi="宋体" w:eastAsia="宋体" w:cs="宋体"/>
          <w:b w:val="0"/>
          <w:bCs w:val="0"/>
          <w:color w:val="auto"/>
          <w:kern w:val="0"/>
          <w:sz w:val="21"/>
          <w:szCs w:val="21"/>
          <w:highlight w:val="none"/>
        </w:rPr>
        <w:t>要在片区镇</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街道</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、村委（社区）、人流量大的超市、车站宣传栏张贴企业招聘信息，每月更新一次。每月要到片区所有村委（社区）实地现场宣传1次。</w:t>
      </w:r>
    </w:p>
    <w:p w14:paraId="59101A56">
      <w:pPr>
        <w:keepNext w:val="0"/>
        <w:keepLines w:val="0"/>
        <w:pageBreakBefore w:val="0"/>
        <w:kinsoku/>
        <w:wordWrap/>
        <w:overflowPunct/>
        <w:topLinePunct w:val="0"/>
        <w:autoSpaceDE/>
        <w:autoSpaceDN/>
        <w:bidi w:val="0"/>
        <w:adjustRightInd/>
        <w:snapToGrid/>
        <w:spacing w:line="32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w:t>
      </w:r>
      <w:r>
        <w:rPr>
          <w:rFonts w:hint="eastAsia" w:ascii="宋体" w:hAnsi="宋体" w:eastAsia="宋体" w:cs="宋体"/>
          <w:bCs/>
          <w:color w:val="auto"/>
          <w:sz w:val="21"/>
          <w:szCs w:val="21"/>
          <w:highlight w:val="none"/>
          <w:lang w:eastAsia="zh-CN"/>
        </w:rPr>
        <w:t>开拓</w:t>
      </w:r>
      <w:r>
        <w:rPr>
          <w:rFonts w:hint="eastAsia" w:ascii="宋体" w:hAnsi="宋体" w:eastAsia="宋体" w:cs="宋体"/>
          <w:bCs/>
          <w:color w:val="auto"/>
          <w:sz w:val="21"/>
          <w:szCs w:val="21"/>
          <w:highlight w:val="none"/>
        </w:rPr>
        <w:t>零工市场</w:t>
      </w:r>
    </w:p>
    <w:p w14:paraId="6EF6A2E1">
      <w:pPr>
        <w:keepNext w:val="0"/>
        <w:keepLines w:val="0"/>
        <w:pageBreakBefore w:val="0"/>
        <w:kinsoku/>
        <w:wordWrap/>
        <w:overflowPunct/>
        <w:topLinePunct w:val="0"/>
        <w:autoSpaceDE/>
        <w:autoSpaceDN/>
        <w:bidi w:val="0"/>
        <w:adjustRightInd/>
        <w:snapToGrid/>
        <w:spacing w:line="320" w:lineRule="exact"/>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1.收集相关零工信息（如提供空调、洗衣机、油烟机清洗、搬运工、家政等短工服务项目人员的信息），录入广西“数智人社”系统，并在浦北就业平台、网站、自然村网格群发布，海报张贴宣传。</w:t>
      </w:r>
    </w:p>
    <w:p w14:paraId="118BB6D5">
      <w:pPr>
        <w:keepNext w:val="0"/>
        <w:keepLines w:val="0"/>
        <w:pageBreakBefore w:val="0"/>
        <w:kinsoku/>
        <w:wordWrap/>
        <w:overflowPunct/>
        <w:topLinePunct w:val="0"/>
        <w:autoSpaceDE/>
        <w:autoSpaceDN/>
        <w:bidi w:val="0"/>
        <w:adjustRightInd/>
        <w:snapToGrid/>
        <w:spacing w:line="32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做好就业需求人员来访求职登记，</w:t>
      </w:r>
      <w:r>
        <w:rPr>
          <w:rFonts w:hint="eastAsia" w:ascii="宋体" w:hAnsi="宋体" w:eastAsia="宋体" w:cs="宋体"/>
          <w:color w:val="auto"/>
          <w:kern w:val="0"/>
          <w:sz w:val="21"/>
          <w:szCs w:val="21"/>
          <w:highlight w:val="none"/>
          <w:lang w:eastAsia="zh-CN"/>
        </w:rPr>
        <w:t>进行</w:t>
      </w:r>
      <w:r>
        <w:rPr>
          <w:rFonts w:hint="eastAsia" w:ascii="宋体" w:hAnsi="宋体" w:eastAsia="宋体" w:cs="宋体"/>
          <w:color w:val="auto"/>
          <w:kern w:val="0"/>
          <w:sz w:val="21"/>
          <w:szCs w:val="21"/>
          <w:highlight w:val="none"/>
        </w:rPr>
        <w:t>就业岗位</w:t>
      </w:r>
      <w:r>
        <w:rPr>
          <w:rFonts w:hint="eastAsia" w:ascii="宋体" w:hAnsi="宋体" w:eastAsia="宋体" w:cs="宋体"/>
          <w:color w:val="auto"/>
          <w:kern w:val="0"/>
          <w:sz w:val="21"/>
          <w:szCs w:val="21"/>
          <w:highlight w:val="none"/>
          <w:lang w:eastAsia="zh-CN"/>
        </w:rPr>
        <w:t>匹配</w:t>
      </w:r>
      <w:r>
        <w:rPr>
          <w:rFonts w:hint="eastAsia" w:ascii="宋体" w:hAnsi="宋体" w:eastAsia="宋体" w:cs="宋体"/>
          <w:color w:val="auto"/>
          <w:kern w:val="0"/>
          <w:sz w:val="21"/>
          <w:szCs w:val="21"/>
          <w:highlight w:val="none"/>
        </w:rPr>
        <w:t>推荐等工作。</w:t>
      </w:r>
    </w:p>
    <w:p w14:paraId="149399E0">
      <w:pPr>
        <w:keepNext w:val="0"/>
        <w:keepLines w:val="0"/>
        <w:pageBreakBefore w:val="0"/>
        <w:kinsoku/>
        <w:wordWrap/>
        <w:overflowPunct/>
        <w:topLinePunct w:val="0"/>
        <w:autoSpaceDE/>
        <w:autoSpaceDN/>
        <w:bidi w:val="0"/>
        <w:adjustRightInd/>
        <w:snapToGrid/>
        <w:spacing w:line="320" w:lineRule="exact"/>
        <w:ind w:left="0" w:leftChars="0" w:right="0" w:rightChars="0" w:firstLine="420" w:firstLineChars="200"/>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（四）举办招聘会</w:t>
      </w:r>
    </w:p>
    <w:p w14:paraId="3917D02F">
      <w:pPr>
        <w:keepNext w:val="0"/>
        <w:keepLines w:val="0"/>
        <w:pageBreakBefore w:val="0"/>
        <w:kinsoku/>
        <w:wordWrap/>
        <w:overflowPunct/>
        <w:topLinePunct w:val="0"/>
        <w:autoSpaceDE/>
        <w:autoSpaceDN/>
        <w:bidi w:val="0"/>
        <w:adjustRightInd/>
        <w:snapToGrid/>
        <w:spacing w:line="320" w:lineRule="exact"/>
        <w:ind w:left="0" w:leftChars="0" w:firstLine="422" w:firstLineChars="200"/>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1.</w:t>
      </w:r>
      <w:r>
        <w:rPr>
          <w:rFonts w:hint="eastAsia" w:ascii="宋体" w:hAnsi="宋体" w:eastAsia="宋体" w:cs="宋体"/>
          <w:b/>
          <w:bCs/>
          <w:color w:val="auto"/>
          <w:kern w:val="0"/>
          <w:sz w:val="21"/>
          <w:szCs w:val="21"/>
          <w:highlight w:val="none"/>
        </w:rPr>
        <w:t>线上招聘会。</w:t>
      </w:r>
      <w:r>
        <w:rPr>
          <w:rFonts w:hint="eastAsia" w:ascii="宋体" w:hAnsi="宋体" w:eastAsia="宋体" w:cs="宋体"/>
          <w:b w:val="0"/>
          <w:bCs w:val="0"/>
          <w:color w:val="auto"/>
          <w:kern w:val="0"/>
          <w:sz w:val="21"/>
          <w:szCs w:val="21"/>
          <w:highlight w:val="none"/>
          <w:lang w:val="en-US" w:eastAsia="zh-CN"/>
        </w:rPr>
        <w:t>每月要通过网络平台举办线上招聘会1场，由县人社局协调其他网络平台机构举办，就业服务工作站负责企业协调工作以及企业宣传短视频拍摄工作。</w:t>
      </w:r>
    </w:p>
    <w:p w14:paraId="4CA3D96A">
      <w:pPr>
        <w:keepNext w:val="0"/>
        <w:keepLines w:val="0"/>
        <w:pageBreakBefore w:val="0"/>
        <w:kinsoku/>
        <w:wordWrap/>
        <w:overflowPunct/>
        <w:topLinePunct w:val="0"/>
        <w:autoSpaceDE/>
        <w:autoSpaceDN/>
        <w:bidi w:val="0"/>
        <w:adjustRightInd/>
        <w:snapToGrid/>
        <w:spacing w:line="320" w:lineRule="exact"/>
        <w:ind w:left="0" w:leftChars="0" w:right="0" w:rightChars="0" w:firstLine="422" w:firstLineChars="200"/>
        <w:jc w:val="left"/>
        <w:textAlignment w:val="auto"/>
        <w:outlineLvl w:val="9"/>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rPr>
        <w:t>线下招聘会。</w:t>
      </w:r>
      <w:r>
        <w:rPr>
          <w:rFonts w:hint="eastAsia" w:ascii="宋体" w:hAnsi="宋体" w:eastAsia="宋体" w:cs="宋体"/>
          <w:b w:val="0"/>
          <w:bCs w:val="0"/>
          <w:color w:val="auto"/>
          <w:kern w:val="0"/>
          <w:sz w:val="21"/>
          <w:szCs w:val="21"/>
          <w:highlight w:val="none"/>
        </w:rPr>
        <w:t>按县</w:t>
      </w:r>
      <w:r>
        <w:rPr>
          <w:rFonts w:hint="eastAsia" w:ascii="宋体" w:hAnsi="宋体" w:eastAsia="宋体" w:cs="宋体"/>
          <w:b w:val="0"/>
          <w:bCs w:val="0"/>
          <w:color w:val="auto"/>
          <w:kern w:val="0"/>
          <w:sz w:val="21"/>
          <w:szCs w:val="21"/>
          <w:highlight w:val="none"/>
          <w:lang w:eastAsia="zh-CN"/>
        </w:rPr>
        <w:t>人社局</w:t>
      </w:r>
      <w:r>
        <w:rPr>
          <w:rFonts w:hint="eastAsia" w:ascii="宋体" w:hAnsi="宋体" w:eastAsia="宋体" w:cs="宋体"/>
          <w:b w:val="0"/>
          <w:bCs w:val="0"/>
          <w:color w:val="auto"/>
          <w:kern w:val="0"/>
          <w:sz w:val="21"/>
          <w:szCs w:val="21"/>
          <w:highlight w:val="none"/>
        </w:rPr>
        <w:t>要求组织举办</w:t>
      </w:r>
      <w:r>
        <w:rPr>
          <w:rFonts w:hint="eastAsia" w:ascii="宋体" w:hAnsi="宋体" w:eastAsia="宋体" w:cs="宋体"/>
          <w:b w:val="0"/>
          <w:bCs w:val="0"/>
          <w:color w:val="auto"/>
          <w:kern w:val="0"/>
          <w:sz w:val="21"/>
          <w:szCs w:val="21"/>
          <w:highlight w:val="none"/>
          <w:lang w:eastAsia="zh-CN"/>
        </w:rPr>
        <w:t>招聘会，</w:t>
      </w:r>
      <w:r>
        <w:rPr>
          <w:rFonts w:hint="eastAsia" w:ascii="宋体" w:hAnsi="宋体" w:eastAsia="宋体" w:cs="宋体"/>
          <w:b w:val="0"/>
          <w:bCs w:val="0"/>
          <w:color w:val="auto"/>
          <w:kern w:val="0"/>
          <w:sz w:val="21"/>
          <w:szCs w:val="21"/>
          <w:highlight w:val="none"/>
          <w:lang w:val="en-US" w:eastAsia="zh-CN"/>
        </w:rPr>
        <w:t>每个</w:t>
      </w:r>
      <w:r>
        <w:rPr>
          <w:rFonts w:hint="eastAsia" w:ascii="宋体" w:hAnsi="宋体" w:eastAsia="宋体" w:cs="宋体"/>
          <w:b w:val="0"/>
          <w:bCs w:val="0"/>
          <w:color w:val="auto"/>
          <w:kern w:val="0"/>
          <w:sz w:val="21"/>
          <w:szCs w:val="21"/>
          <w:highlight w:val="none"/>
          <w:lang w:eastAsia="zh-CN"/>
        </w:rPr>
        <w:t>镇（街道）</w:t>
      </w:r>
      <w:r>
        <w:rPr>
          <w:rFonts w:hint="eastAsia" w:ascii="宋体" w:hAnsi="宋体" w:eastAsia="宋体" w:cs="宋体"/>
          <w:b w:val="0"/>
          <w:bCs w:val="0"/>
          <w:color w:val="auto"/>
          <w:kern w:val="0"/>
          <w:sz w:val="21"/>
          <w:szCs w:val="21"/>
          <w:highlight w:val="none"/>
          <w:lang w:val="en-US" w:eastAsia="zh-CN"/>
        </w:rPr>
        <w:t>每季度</w:t>
      </w:r>
      <w:r>
        <w:rPr>
          <w:rFonts w:hint="eastAsia" w:ascii="宋体" w:hAnsi="宋体" w:eastAsia="宋体" w:cs="宋体"/>
          <w:b w:val="0"/>
          <w:bCs w:val="0"/>
          <w:color w:val="auto"/>
          <w:kern w:val="0"/>
          <w:sz w:val="21"/>
          <w:szCs w:val="21"/>
          <w:highlight w:val="none"/>
          <w:lang w:eastAsia="zh-CN"/>
        </w:rPr>
        <w:t>举办</w:t>
      </w: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lang w:eastAsia="zh-CN"/>
        </w:rPr>
        <w:t>场</w:t>
      </w:r>
      <w:r>
        <w:rPr>
          <w:rFonts w:hint="eastAsia" w:ascii="宋体" w:hAnsi="宋体" w:eastAsia="宋体" w:cs="宋体"/>
          <w:b w:val="0"/>
          <w:bCs w:val="0"/>
          <w:color w:val="auto"/>
          <w:kern w:val="0"/>
          <w:sz w:val="21"/>
          <w:szCs w:val="21"/>
          <w:highlight w:val="none"/>
          <w:lang w:val="en-US" w:eastAsia="zh-CN"/>
        </w:rPr>
        <w:t>招聘会</w:t>
      </w:r>
      <w:r>
        <w:rPr>
          <w:rFonts w:hint="eastAsia" w:ascii="宋体" w:hAnsi="宋体" w:eastAsia="宋体" w:cs="宋体"/>
          <w:b w:val="0"/>
          <w:bCs w:val="0"/>
          <w:color w:val="auto"/>
          <w:kern w:val="0"/>
          <w:sz w:val="21"/>
          <w:szCs w:val="21"/>
          <w:highlight w:val="none"/>
          <w:lang w:eastAsia="zh-CN"/>
        </w:rPr>
        <w:t>。</w:t>
      </w:r>
    </w:p>
    <w:p w14:paraId="0182A482">
      <w:pPr>
        <w:keepNext w:val="0"/>
        <w:keepLines w:val="0"/>
        <w:pageBreakBefore w:val="0"/>
        <w:kinsoku/>
        <w:wordWrap/>
        <w:overflowPunct/>
        <w:topLinePunct w:val="0"/>
        <w:autoSpaceDE/>
        <w:autoSpaceDN/>
        <w:bidi w:val="0"/>
        <w:adjustRightInd/>
        <w:snapToGrid/>
        <w:spacing w:line="320" w:lineRule="exact"/>
        <w:ind w:left="420" w:leftChars="200" w:right="0" w:rightChars="0" w:firstLine="0" w:firstLineChars="0"/>
        <w:jc w:val="left"/>
        <w:textAlignment w:val="auto"/>
        <w:outlineLvl w:val="9"/>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线上、线下的招聘会安排信息要录入广西“数智人社”系统（根据上级工作的安排调整）。</w:t>
      </w:r>
    </w:p>
    <w:p w14:paraId="0339D75D">
      <w:pPr>
        <w:keepNext w:val="0"/>
        <w:keepLines w:val="0"/>
        <w:pageBreakBefore w:val="0"/>
        <w:kinsoku/>
        <w:wordWrap/>
        <w:overflowPunct/>
        <w:topLinePunct w:val="0"/>
        <w:autoSpaceDE/>
        <w:autoSpaceDN/>
        <w:bidi w:val="0"/>
        <w:adjustRightInd/>
        <w:snapToGrid/>
        <w:spacing w:line="320" w:lineRule="exact"/>
        <w:ind w:left="420" w:leftChars="200" w:right="0" w:righ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（五）就业服务指导清单。</w:t>
      </w:r>
    </w:p>
    <w:tbl>
      <w:tblPr>
        <w:tblStyle w:val="31"/>
        <w:tblW w:w="9162"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2195"/>
        <w:gridCol w:w="6132"/>
      </w:tblGrid>
      <w:tr w14:paraId="638DC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35" w:type="dxa"/>
            <w:noWrap w:val="0"/>
            <w:vAlign w:val="top"/>
          </w:tcPr>
          <w:p w14:paraId="7EE35F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rightChars="0"/>
              <w:jc w:val="left"/>
              <w:textAlignment w:val="auto"/>
              <w:outlineLvl w:val="9"/>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序号</w:t>
            </w:r>
          </w:p>
        </w:tc>
        <w:tc>
          <w:tcPr>
            <w:tcW w:w="2195" w:type="dxa"/>
            <w:noWrap w:val="0"/>
            <w:vAlign w:val="top"/>
          </w:tcPr>
          <w:p w14:paraId="571539F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420" w:leftChars="200" w:right="0" w:rightChars="0" w:firstLine="0" w:firstLineChars="0"/>
              <w:jc w:val="left"/>
              <w:textAlignment w:val="auto"/>
              <w:outlineLvl w:val="9"/>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服务事项</w:t>
            </w:r>
          </w:p>
        </w:tc>
        <w:tc>
          <w:tcPr>
            <w:tcW w:w="6132" w:type="dxa"/>
            <w:noWrap w:val="0"/>
            <w:vAlign w:val="top"/>
          </w:tcPr>
          <w:p w14:paraId="1007B16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420" w:leftChars="200" w:right="0" w:rightChars="0" w:firstLine="0" w:firstLineChars="0"/>
              <w:jc w:val="left"/>
              <w:textAlignment w:val="auto"/>
              <w:outlineLvl w:val="9"/>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服务内容</w:t>
            </w:r>
          </w:p>
        </w:tc>
      </w:tr>
      <w:tr w14:paraId="48146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835" w:type="dxa"/>
            <w:noWrap w:val="0"/>
            <w:vAlign w:val="top"/>
          </w:tcPr>
          <w:p w14:paraId="23AF944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420" w:leftChars="200" w:right="0" w:righ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w:t>
            </w:r>
          </w:p>
        </w:tc>
        <w:tc>
          <w:tcPr>
            <w:tcW w:w="2195" w:type="dxa"/>
            <w:noWrap w:val="0"/>
            <w:vAlign w:val="top"/>
          </w:tcPr>
          <w:p w14:paraId="487ED13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420" w:leftChars="200" w:right="0" w:rightChars="0" w:firstLine="0" w:firstLineChars="0"/>
              <w:jc w:val="left"/>
              <w:textAlignment w:val="auto"/>
              <w:outlineLvl w:val="9"/>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咨询服务</w:t>
            </w:r>
          </w:p>
        </w:tc>
        <w:tc>
          <w:tcPr>
            <w:tcW w:w="6132" w:type="dxa"/>
            <w:noWrap w:val="0"/>
            <w:vAlign w:val="top"/>
          </w:tcPr>
          <w:p w14:paraId="09FE808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420" w:leftChars="200" w:right="0" w:righ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提供人社相关政策或对接人社部门相关股室（单位），为各类重点求职人群提供</w:t>
            </w:r>
            <w:r>
              <w:rPr>
                <w:rFonts w:hint="eastAsia" w:ascii="宋体" w:hAnsi="宋体" w:eastAsia="宋体" w:cs="宋体"/>
                <w:b w:val="0"/>
                <w:bCs w:val="0"/>
                <w:color w:val="auto"/>
                <w:kern w:val="0"/>
                <w:sz w:val="21"/>
                <w:szCs w:val="21"/>
                <w:highlight w:val="none"/>
                <w:lang w:eastAsia="zh-CN"/>
              </w:rPr>
              <w:t>招聘、求职、培训、就业援助、政策咨询、创业指导、劳动者权益保障等</w:t>
            </w:r>
            <w:r>
              <w:rPr>
                <w:rFonts w:hint="eastAsia" w:ascii="宋体" w:hAnsi="宋体" w:eastAsia="宋体" w:cs="宋体"/>
                <w:b w:val="0"/>
                <w:bCs w:val="0"/>
                <w:color w:val="auto"/>
                <w:kern w:val="0"/>
                <w:sz w:val="21"/>
                <w:szCs w:val="21"/>
                <w:highlight w:val="none"/>
                <w:lang w:val="en-US" w:eastAsia="zh-CN"/>
              </w:rPr>
              <w:t>就业</w:t>
            </w:r>
            <w:r>
              <w:rPr>
                <w:rFonts w:hint="eastAsia" w:ascii="宋体" w:hAnsi="宋体" w:eastAsia="宋体" w:cs="宋体"/>
                <w:b w:val="0"/>
                <w:bCs w:val="0"/>
                <w:color w:val="auto"/>
                <w:kern w:val="0"/>
                <w:sz w:val="21"/>
                <w:szCs w:val="21"/>
                <w:highlight w:val="none"/>
                <w:lang w:eastAsia="zh-CN"/>
              </w:rPr>
              <w:t>“一条龙”服务。</w:t>
            </w:r>
          </w:p>
          <w:p w14:paraId="4E6CFA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420" w:leftChars="200" w:right="0" w:rightChars="0" w:firstLine="0" w:firstLineChars="0"/>
              <w:jc w:val="left"/>
              <w:textAlignment w:val="auto"/>
              <w:outlineLvl w:val="9"/>
              <w:rPr>
                <w:rFonts w:hint="eastAsia" w:ascii="宋体" w:hAnsi="宋体" w:eastAsia="宋体" w:cs="宋体"/>
                <w:b w:val="0"/>
                <w:bCs w:val="0"/>
                <w:color w:val="auto"/>
                <w:kern w:val="0"/>
                <w:sz w:val="21"/>
                <w:szCs w:val="21"/>
                <w:highlight w:val="none"/>
                <w:lang w:eastAsia="zh-CN"/>
              </w:rPr>
            </w:pPr>
          </w:p>
        </w:tc>
      </w:tr>
      <w:tr w14:paraId="40822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35" w:type="dxa"/>
            <w:noWrap w:val="0"/>
            <w:vAlign w:val="top"/>
          </w:tcPr>
          <w:p w14:paraId="66161F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420" w:leftChars="200" w:right="0" w:righ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w:t>
            </w:r>
          </w:p>
        </w:tc>
        <w:tc>
          <w:tcPr>
            <w:tcW w:w="2195" w:type="dxa"/>
            <w:noWrap w:val="0"/>
            <w:vAlign w:val="top"/>
          </w:tcPr>
          <w:p w14:paraId="2EA8E38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420" w:leftChars="200" w:right="0" w:rightChars="0" w:firstLine="0" w:firstLineChars="0"/>
              <w:jc w:val="left"/>
              <w:textAlignment w:val="auto"/>
              <w:outlineLvl w:val="9"/>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val="en-US" w:eastAsia="zh-CN"/>
              </w:rPr>
              <w:t>就业和失业管理服务</w:t>
            </w:r>
          </w:p>
        </w:tc>
        <w:tc>
          <w:tcPr>
            <w:tcW w:w="6132" w:type="dxa"/>
            <w:noWrap w:val="0"/>
            <w:vAlign w:val="top"/>
          </w:tcPr>
          <w:p w14:paraId="1C41AD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420" w:leftChars="200" w:right="0" w:rightChars="0" w:firstLine="0" w:firstLineChars="0"/>
              <w:jc w:val="left"/>
              <w:textAlignment w:val="auto"/>
              <w:outlineLvl w:val="9"/>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val="en-US" w:eastAsia="zh-CN"/>
              </w:rPr>
              <w:t>做好</w:t>
            </w:r>
            <w:r>
              <w:rPr>
                <w:rFonts w:hint="eastAsia" w:ascii="宋体" w:hAnsi="宋体" w:eastAsia="宋体" w:cs="宋体"/>
                <w:b w:val="0"/>
                <w:bCs w:val="0"/>
                <w:color w:val="auto"/>
                <w:kern w:val="0"/>
                <w:sz w:val="21"/>
                <w:szCs w:val="21"/>
                <w:highlight w:val="none"/>
                <w:lang w:eastAsia="zh-CN"/>
              </w:rPr>
              <w:t>辖区劳动年龄范围内有劳动能力且登记失业的残疾人员、城镇大龄失业人员、低保家庭人员、城镇零就业家庭人员、长期失业人员、失地人员办理就业困难人员认定指导</w:t>
            </w:r>
            <w:r>
              <w:rPr>
                <w:rFonts w:hint="eastAsia" w:ascii="宋体" w:hAnsi="宋体" w:eastAsia="宋体" w:cs="宋体"/>
                <w:b w:val="0"/>
                <w:bCs w:val="0"/>
                <w:color w:val="auto"/>
                <w:kern w:val="0"/>
                <w:sz w:val="21"/>
                <w:szCs w:val="21"/>
                <w:highlight w:val="none"/>
                <w:lang w:val="en-US" w:eastAsia="zh-CN"/>
              </w:rPr>
              <w:t>及辖区登记失业人员</w:t>
            </w:r>
            <w:r>
              <w:rPr>
                <w:rFonts w:hint="eastAsia" w:ascii="宋体" w:hAnsi="宋体" w:eastAsia="宋体" w:cs="宋体"/>
                <w:b w:val="0"/>
                <w:bCs w:val="0"/>
                <w:color w:val="auto"/>
                <w:kern w:val="0"/>
                <w:sz w:val="21"/>
                <w:szCs w:val="21"/>
                <w:highlight w:val="none"/>
                <w:lang w:eastAsia="zh-CN"/>
              </w:rPr>
              <w:t>就业跟踪帮扶。</w:t>
            </w:r>
          </w:p>
        </w:tc>
      </w:tr>
      <w:tr w14:paraId="5DF49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835" w:type="dxa"/>
            <w:noWrap w:val="0"/>
            <w:vAlign w:val="top"/>
          </w:tcPr>
          <w:p w14:paraId="28FDA7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420" w:leftChars="200" w:right="0" w:righ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w:t>
            </w:r>
          </w:p>
        </w:tc>
        <w:tc>
          <w:tcPr>
            <w:tcW w:w="2195" w:type="dxa"/>
            <w:noWrap w:val="0"/>
            <w:vAlign w:val="top"/>
          </w:tcPr>
          <w:p w14:paraId="7393F83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420" w:leftChars="200" w:right="0" w:rightChars="0" w:firstLine="0" w:firstLineChars="0"/>
              <w:jc w:val="left"/>
              <w:textAlignment w:val="auto"/>
              <w:outlineLvl w:val="9"/>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val="en-US" w:eastAsia="zh-CN"/>
              </w:rPr>
              <w:t>职业指导和职业介绍</w:t>
            </w:r>
          </w:p>
        </w:tc>
        <w:tc>
          <w:tcPr>
            <w:tcW w:w="6132" w:type="dxa"/>
            <w:noWrap w:val="0"/>
            <w:vAlign w:val="top"/>
          </w:tcPr>
          <w:p w14:paraId="4C1E4D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420" w:leftChars="200" w:right="0" w:rightChars="0" w:firstLine="0" w:firstLineChars="0"/>
              <w:jc w:val="left"/>
              <w:textAlignment w:val="auto"/>
              <w:outlineLvl w:val="9"/>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val="en-US" w:eastAsia="zh-CN"/>
              </w:rPr>
              <w:t>登记、引导、指导有求职需求的群众到服务站侯工、求职，积极对接辖区内</w:t>
            </w:r>
            <w:r>
              <w:rPr>
                <w:rFonts w:hint="eastAsia" w:ascii="宋体" w:hAnsi="宋体" w:eastAsia="宋体" w:cs="宋体"/>
                <w:b w:val="0"/>
                <w:bCs w:val="0"/>
                <w:color w:val="auto"/>
                <w:kern w:val="0"/>
                <w:sz w:val="21"/>
                <w:szCs w:val="21"/>
                <w:highlight w:val="none"/>
                <w:lang w:eastAsia="zh-CN"/>
              </w:rPr>
              <w:t>各企业、</w:t>
            </w:r>
            <w:r>
              <w:rPr>
                <w:rFonts w:hint="eastAsia" w:ascii="宋体" w:hAnsi="宋体" w:eastAsia="宋体" w:cs="宋体"/>
                <w:b w:val="0"/>
                <w:bCs w:val="0"/>
                <w:color w:val="auto"/>
                <w:kern w:val="0"/>
                <w:sz w:val="21"/>
                <w:szCs w:val="21"/>
                <w:highlight w:val="none"/>
                <w:lang w:val="en-US" w:eastAsia="zh-CN"/>
              </w:rPr>
              <w:t>收集用工需求、</w:t>
            </w:r>
            <w:r>
              <w:rPr>
                <w:rFonts w:hint="eastAsia" w:ascii="宋体" w:hAnsi="宋体" w:eastAsia="宋体" w:cs="宋体"/>
                <w:b w:val="0"/>
                <w:bCs w:val="0"/>
                <w:color w:val="auto"/>
                <w:kern w:val="0"/>
                <w:sz w:val="21"/>
                <w:szCs w:val="21"/>
                <w:highlight w:val="none"/>
                <w:lang w:eastAsia="zh-CN"/>
              </w:rPr>
              <w:t>用工条件、福利待遇等用工信息</w:t>
            </w:r>
            <w:r>
              <w:rPr>
                <w:rFonts w:hint="eastAsia" w:ascii="宋体" w:hAnsi="宋体" w:eastAsia="宋体" w:cs="宋体"/>
                <w:b w:val="0"/>
                <w:bCs w:val="0"/>
                <w:color w:val="auto"/>
                <w:kern w:val="0"/>
                <w:sz w:val="21"/>
                <w:szCs w:val="21"/>
                <w:highlight w:val="none"/>
                <w:lang w:val="en-US" w:eastAsia="zh-CN"/>
              </w:rPr>
              <w:t>，每季度收集</w:t>
            </w:r>
            <w:r>
              <w:rPr>
                <w:rFonts w:hint="eastAsia" w:ascii="宋体" w:hAnsi="宋体" w:eastAsia="宋体" w:cs="宋体"/>
                <w:b w:val="0"/>
                <w:bCs w:val="0"/>
                <w:color w:val="auto"/>
                <w:kern w:val="0"/>
                <w:sz w:val="21"/>
                <w:szCs w:val="21"/>
                <w:highlight w:val="none"/>
                <w:lang w:eastAsia="zh-CN"/>
              </w:rPr>
              <w:t>发布</w:t>
            </w:r>
            <w:r>
              <w:rPr>
                <w:rFonts w:hint="eastAsia" w:ascii="宋体" w:hAnsi="宋体" w:eastAsia="宋体" w:cs="宋体"/>
                <w:b w:val="0"/>
                <w:bCs w:val="0"/>
                <w:color w:val="auto"/>
                <w:kern w:val="0"/>
                <w:sz w:val="21"/>
                <w:szCs w:val="21"/>
                <w:highlight w:val="none"/>
                <w:lang w:val="en-US" w:eastAsia="zh-CN"/>
              </w:rPr>
              <w:t>招工岗位信息并录入</w:t>
            </w:r>
            <w:r>
              <w:rPr>
                <w:rFonts w:hint="eastAsia" w:ascii="宋体" w:hAnsi="宋体" w:eastAsia="宋体" w:cs="宋体"/>
                <w:b w:val="0"/>
                <w:bCs w:val="0"/>
                <w:color w:val="auto"/>
                <w:kern w:val="0"/>
                <w:sz w:val="21"/>
                <w:szCs w:val="21"/>
                <w:highlight w:val="none"/>
                <w:lang w:eastAsia="zh-CN"/>
              </w:rPr>
              <w:t>“数智人社”广西就业平台不少于</w:t>
            </w:r>
            <w:r>
              <w:rPr>
                <w:rFonts w:hint="eastAsia" w:ascii="宋体" w:hAnsi="宋体" w:eastAsia="宋体" w:cs="宋体"/>
                <w:b w:val="0"/>
                <w:bCs w:val="0"/>
                <w:color w:val="auto"/>
                <w:kern w:val="0"/>
                <w:sz w:val="21"/>
                <w:szCs w:val="21"/>
                <w:highlight w:val="none"/>
                <w:lang w:val="en-US" w:eastAsia="zh-CN"/>
              </w:rPr>
              <w:t>1000个，促进</w:t>
            </w:r>
            <w:r>
              <w:rPr>
                <w:rFonts w:hint="eastAsia" w:ascii="宋体" w:hAnsi="宋体" w:eastAsia="宋体" w:cs="宋体"/>
                <w:b w:val="0"/>
                <w:bCs w:val="0"/>
                <w:color w:val="auto"/>
                <w:kern w:val="0"/>
                <w:sz w:val="21"/>
                <w:szCs w:val="21"/>
                <w:highlight w:val="none"/>
                <w:lang w:eastAsia="zh-CN"/>
              </w:rPr>
              <w:t>求职成功率达到</w:t>
            </w:r>
            <w:r>
              <w:rPr>
                <w:rFonts w:hint="eastAsia" w:ascii="宋体" w:hAnsi="宋体" w:eastAsia="宋体" w:cs="宋体"/>
                <w:b w:val="0"/>
                <w:bCs w:val="0"/>
                <w:color w:val="auto"/>
                <w:kern w:val="0"/>
                <w:sz w:val="21"/>
                <w:szCs w:val="21"/>
                <w:highlight w:val="none"/>
                <w:lang w:val="en-US" w:eastAsia="zh-CN"/>
              </w:rPr>
              <w:t>60%</w:t>
            </w:r>
            <w:r>
              <w:rPr>
                <w:rFonts w:hint="eastAsia" w:ascii="宋体" w:hAnsi="宋体" w:eastAsia="宋体" w:cs="宋体"/>
                <w:b w:val="0"/>
                <w:bCs w:val="0"/>
                <w:color w:val="auto"/>
                <w:kern w:val="0"/>
                <w:sz w:val="21"/>
                <w:szCs w:val="21"/>
                <w:highlight w:val="none"/>
                <w:lang w:eastAsia="zh-CN"/>
              </w:rPr>
              <w:t xml:space="preserve">。 </w:t>
            </w:r>
          </w:p>
        </w:tc>
      </w:tr>
      <w:tr w14:paraId="3484D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835" w:type="dxa"/>
            <w:noWrap w:val="0"/>
            <w:vAlign w:val="top"/>
          </w:tcPr>
          <w:p w14:paraId="711E0A2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420" w:leftChars="200" w:right="0" w:righ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w:t>
            </w:r>
          </w:p>
        </w:tc>
        <w:tc>
          <w:tcPr>
            <w:tcW w:w="2195" w:type="dxa"/>
            <w:noWrap w:val="0"/>
            <w:vAlign w:val="top"/>
          </w:tcPr>
          <w:p w14:paraId="5CDACDD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420" w:leftChars="200" w:right="0" w:rightChars="0" w:firstLine="0" w:firstLineChars="0"/>
              <w:jc w:val="left"/>
              <w:textAlignment w:val="auto"/>
              <w:outlineLvl w:val="9"/>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val="en-US" w:eastAsia="zh-CN"/>
              </w:rPr>
              <w:t>职业技能培训</w:t>
            </w:r>
          </w:p>
        </w:tc>
        <w:tc>
          <w:tcPr>
            <w:tcW w:w="6132" w:type="dxa"/>
            <w:noWrap w:val="0"/>
            <w:vAlign w:val="top"/>
          </w:tcPr>
          <w:p w14:paraId="6540A33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420" w:leftChars="200" w:right="0" w:rightChars="0" w:firstLine="0" w:firstLineChars="0"/>
              <w:jc w:val="left"/>
              <w:textAlignment w:val="auto"/>
              <w:outlineLvl w:val="9"/>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val="en-US" w:eastAsia="zh-CN"/>
              </w:rPr>
              <w:t>采集、发布县级就业培训信息，推荐培训项目。</w:t>
            </w:r>
          </w:p>
        </w:tc>
      </w:tr>
      <w:tr w14:paraId="6F62C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35" w:type="dxa"/>
            <w:noWrap w:val="0"/>
            <w:vAlign w:val="top"/>
          </w:tcPr>
          <w:p w14:paraId="36DA5AA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420" w:leftChars="200" w:right="0" w:righ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5</w:t>
            </w:r>
          </w:p>
        </w:tc>
        <w:tc>
          <w:tcPr>
            <w:tcW w:w="2195" w:type="dxa"/>
            <w:noWrap w:val="0"/>
            <w:vAlign w:val="top"/>
          </w:tcPr>
          <w:p w14:paraId="5DB9CEF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420" w:leftChars="200" w:right="0" w:rightChars="0" w:firstLine="0" w:firstLineChars="0"/>
              <w:jc w:val="left"/>
              <w:textAlignment w:val="auto"/>
              <w:outlineLvl w:val="9"/>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val="en-US" w:eastAsia="zh-CN"/>
              </w:rPr>
              <w:t>创业服务</w:t>
            </w:r>
          </w:p>
        </w:tc>
        <w:tc>
          <w:tcPr>
            <w:tcW w:w="6132" w:type="dxa"/>
            <w:noWrap w:val="0"/>
            <w:vAlign w:val="top"/>
          </w:tcPr>
          <w:p w14:paraId="65D473C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420" w:leftChars="200" w:right="0" w:rightChars="0" w:firstLine="0" w:firstLineChars="0"/>
              <w:jc w:val="left"/>
              <w:textAlignment w:val="auto"/>
              <w:outlineLvl w:val="9"/>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val="en-US" w:eastAsia="zh-CN"/>
              </w:rPr>
              <w:t>提供创业咨询服务，采集、发布创业培训信息，宣传创业担保贷款政策。</w:t>
            </w:r>
          </w:p>
        </w:tc>
      </w:tr>
      <w:tr w14:paraId="47529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835" w:type="dxa"/>
            <w:noWrap w:val="0"/>
            <w:vAlign w:val="top"/>
          </w:tcPr>
          <w:p w14:paraId="6091027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420" w:leftChars="200" w:right="0" w:righ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6</w:t>
            </w:r>
          </w:p>
        </w:tc>
        <w:tc>
          <w:tcPr>
            <w:tcW w:w="2195" w:type="dxa"/>
            <w:noWrap w:val="0"/>
            <w:vAlign w:val="top"/>
          </w:tcPr>
          <w:p w14:paraId="5CFAEF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420" w:leftChars="200" w:right="0" w:rightChars="0" w:firstLine="0" w:firstLineChars="0"/>
              <w:jc w:val="left"/>
              <w:textAlignment w:val="auto"/>
              <w:outlineLvl w:val="9"/>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离校未就业高校毕业生就业服务</w:t>
            </w:r>
          </w:p>
        </w:tc>
        <w:tc>
          <w:tcPr>
            <w:tcW w:w="6132" w:type="dxa"/>
            <w:noWrap w:val="0"/>
            <w:vAlign w:val="top"/>
          </w:tcPr>
          <w:p w14:paraId="3ADB968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420" w:leftChars="200" w:right="0" w:rightChars="0" w:firstLine="0" w:firstLineChars="0"/>
              <w:jc w:val="left"/>
              <w:textAlignment w:val="auto"/>
              <w:outlineLvl w:val="9"/>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收集辖区内离校未就业高校毕业生信息，并进行就业回访、开展就业帮扶。</w:t>
            </w:r>
          </w:p>
        </w:tc>
      </w:tr>
      <w:tr w14:paraId="11D2D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835" w:type="dxa"/>
            <w:noWrap w:val="0"/>
            <w:vAlign w:val="top"/>
          </w:tcPr>
          <w:p w14:paraId="724CAB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420" w:leftChars="200" w:right="0" w:righ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7</w:t>
            </w:r>
          </w:p>
        </w:tc>
        <w:tc>
          <w:tcPr>
            <w:tcW w:w="2195" w:type="dxa"/>
            <w:noWrap w:val="0"/>
            <w:vAlign w:val="top"/>
          </w:tcPr>
          <w:p w14:paraId="30ECD12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420" w:leftChars="200" w:right="0" w:rightChars="0" w:firstLine="0" w:firstLineChars="0"/>
              <w:jc w:val="left"/>
              <w:textAlignment w:val="auto"/>
              <w:outlineLvl w:val="9"/>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就业补贴服务指导</w:t>
            </w:r>
          </w:p>
        </w:tc>
        <w:tc>
          <w:tcPr>
            <w:tcW w:w="6132" w:type="dxa"/>
            <w:noWrap w:val="0"/>
            <w:vAlign w:val="top"/>
          </w:tcPr>
          <w:p w14:paraId="0FB0EDD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420" w:leftChars="200" w:right="0" w:rightChars="0" w:firstLine="0" w:firstLineChars="0"/>
              <w:jc w:val="left"/>
              <w:textAlignment w:val="auto"/>
              <w:outlineLvl w:val="9"/>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根据稳就业政策的各项补贴一次性告知单，在辖区内开展稳就业政策落实、宣传，为辖区企业、群众提供申请各项就业补贴的指导</w:t>
            </w:r>
          </w:p>
        </w:tc>
      </w:tr>
      <w:tr w14:paraId="624AB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835" w:type="dxa"/>
            <w:noWrap w:val="0"/>
            <w:vAlign w:val="top"/>
          </w:tcPr>
          <w:p w14:paraId="57DE982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420" w:leftChars="200" w:right="0" w:righ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8</w:t>
            </w:r>
          </w:p>
        </w:tc>
        <w:tc>
          <w:tcPr>
            <w:tcW w:w="2195" w:type="dxa"/>
            <w:noWrap w:val="0"/>
            <w:vAlign w:val="top"/>
          </w:tcPr>
          <w:p w14:paraId="0D008EF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420" w:leftChars="200" w:right="0" w:rightChars="0" w:firstLine="0" w:firstLineChars="0"/>
              <w:jc w:val="left"/>
              <w:textAlignment w:val="auto"/>
              <w:outlineLvl w:val="9"/>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劳动维权服务</w:t>
            </w:r>
          </w:p>
        </w:tc>
        <w:tc>
          <w:tcPr>
            <w:tcW w:w="6132" w:type="dxa"/>
            <w:noWrap w:val="0"/>
            <w:vAlign w:val="top"/>
          </w:tcPr>
          <w:p w14:paraId="31FB1ED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420" w:leftChars="200" w:right="0" w:rightChars="0" w:firstLine="0" w:firstLineChars="0"/>
              <w:jc w:val="left"/>
              <w:textAlignment w:val="auto"/>
              <w:outlineLvl w:val="9"/>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 xml:space="preserve">劳动者工资、社保等维权指导，企业用工指导 </w:t>
            </w:r>
          </w:p>
        </w:tc>
      </w:tr>
    </w:tbl>
    <w:p w14:paraId="3F430E65">
      <w:pPr>
        <w:keepNext w:val="0"/>
        <w:keepLines w:val="0"/>
        <w:pageBreakBefore w:val="0"/>
        <w:kinsoku/>
        <w:wordWrap/>
        <w:overflowPunct/>
        <w:topLinePunct w:val="0"/>
        <w:autoSpaceDE/>
        <w:autoSpaceDN/>
        <w:bidi w:val="0"/>
        <w:adjustRightInd/>
        <w:snapToGrid/>
        <w:spacing w:line="320" w:lineRule="exact"/>
        <w:ind w:right="0" w:rightChars="0"/>
        <w:jc w:val="left"/>
        <w:textAlignment w:val="auto"/>
        <w:outlineLvl w:val="9"/>
        <w:rPr>
          <w:rFonts w:hint="eastAsia" w:ascii="宋体" w:hAnsi="宋体" w:eastAsia="宋体" w:cs="宋体"/>
          <w:b w:val="0"/>
          <w:bCs w:val="0"/>
          <w:color w:val="auto"/>
          <w:kern w:val="0"/>
          <w:sz w:val="21"/>
          <w:szCs w:val="21"/>
          <w:highlight w:val="none"/>
          <w:lang w:eastAsia="zh-CN"/>
        </w:rPr>
      </w:pPr>
    </w:p>
    <w:p w14:paraId="1DC06505">
      <w:pPr>
        <w:keepNext w:val="0"/>
        <w:keepLines w:val="0"/>
        <w:pageBreakBefore w:val="0"/>
        <w:kinsoku/>
        <w:wordWrap/>
        <w:overflowPunct/>
        <w:topLinePunct w:val="0"/>
        <w:autoSpaceDE/>
        <w:autoSpaceDN/>
        <w:bidi w:val="0"/>
        <w:adjustRightInd/>
        <w:snapToGrid/>
        <w:spacing w:line="320" w:lineRule="exact"/>
        <w:ind w:left="420" w:leftChars="200" w:right="0" w:rightChars="0" w:firstLine="0"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四、服务方式及年限</w:t>
      </w:r>
    </w:p>
    <w:p w14:paraId="081DED00">
      <w:pPr>
        <w:pageBreakBefore w:val="0"/>
        <w:kinsoku/>
        <w:topLinePunct w:val="0"/>
        <w:bidi w:val="0"/>
        <w:spacing w:before="60" w:after="60" w:line="360" w:lineRule="auto"/>
        <w:ind w:firstLine="420" w:firstLineChars="200"/>
        <w:rPr>
          <w:rFonts w:hint="eastAsia" w:ascii="宋体" w:hAnsi="宋体" w:eastAsia="宋体"/>
          <w:color w:val="auto"/>
          <w:szCs w:val="21"/>
          <w:highlight w:val="none"/>
          <w:lang w:eastAsia="zh-CN"/>
        </w:rPr>
      </w:pPr>
      <w:r>
        <w:rPr>
          <w:rFonts w:hint="eastAsia" w:ascii="宋体" w:hAnsi="宋体" w:eastAsia="宋体" w:cs="宋体"/>
          <w:color w:val="auto"/>
          <w:sz w:val="21"/>
          <w:szCs w:val="21"/>
          <w:highlight w:val="none"/>
          <w:lang w:val="en-US" w:eastAsia="zh-CN"/>
        </w:rPr>
        <w:t>通过采取政府购买服务方式实施，活动期3年，实行合同一年一签，第一年运营费用泉水工业园区就业服务工作站预算为叁拾玖万陆仟零陆拾元整（¥396,060元）；第二、第三年运营经费、服务内容结合实际进行调整优化，</w:t>
      </w:r>
      <w:r>
        <w:rPr>
          <w:rFonts w:hint="eastAsia" w:ascii="宋体" w:hAnsi="宋体" w:cs="宋体"/>
          <w:color w:val="auto"/>
          <w:sz w:val="21"/>
          <w:szCs w:val="21"/>
          <w:highlight w:val="none"/>
          <w:lang w:val="en-US" w:eastAsia="zh-CN"/>
        </w:rPr>
        <w:t>报县人民政府审批后，</w:t>
      </w:r>
      <w:r>
        <w:rPr>
          <w:rFonts w:hint="eastAsia" w:ascii="宋体" w:hAnsi="宋体" w:eastAsia="宋体" w:cs="宋体"/>
          <w:color w:val="auto"/>
          <w:sz w:val="21"/>
          <w:szCs w:val="21"/>
          <w:highlight w:val="none"/>
          <w:lang w:val="en-US" w:eastAsia="zh-CN"/>
        </w:rPr>
        <w:t>双方再续签合同，如遇上级政策调整，以上级政策为准，可终止实施。如果当年</w:t>
      </w:r>
      <w:r>
        <w:rPr>
          <w:rFonts w:hint="eastAsia" w:ascii="宋体" w:hAnsi="宋体" w:cs="宋体"/>
          <w:color w:val="auto"/>
          <w:sz w:val="21"/>
          <w:szCs w:val="21"/>
          <w:highlight w:val="none"/>
          <w:lang w:val="en-US" w:eastAsia="zh-CN"/>
        </w:rPr>
        <w:t>有2项（含2项）以上</w:t>
      </w:r>
      <w:r>
        <w:rPr>
          <w:rFonts w:hint="eastAsia" w:ascii="宋体" w:hAnsi="宋体" w:eastAsia="宋体" w:cs="宋体"/>
          <w:color w:val="auto"/>
          <w:sz w:val="21"/>
          <w:szCs w:val="21"/>
          <w:highlight w:val="none"/>
          <w:lang w:val="en-US" w:eastAsia="zh-CN"/>
        </w:rPr>
        <w:t>考核指标</w:t>
      </w:r>
      <w:r>
        <w:rPr>
          <w:rFonts w:hint="eastAsia" w:ascii="宋体" w:hAnsi="宋体" w:cs="宋体"/>
          <w:color w:val="auto"/>
          <w:sz w:val="21"/>
          <w:szCs w:val="21"/>
          <w:highlight w:val="none"/>
          <w:lang w:val="en-US" w:eastAsia="zh-CN"/>
        </w:rPr>
        <w:t>低于80%的</w:t>
      </w:r>
      <w:r>
        <w:rPr>
          <w:rFonts w:hint="eastAsia" w:ascii="宋体" w:hAnsi="宋体" w:eastAsia="宋体" w:cs="宋体"/>
          <w:color w:val="auto"/>
          <w:sz w:val="21"/>
          <w:szCs w:val="21"/>
          <w:highlight w:val="none"/>
          <w:lang w:val="en-US" w:eastAsia="zh-CN"/>
        </w:rPr>
        <w:t>，次年可终止实施。</w:t>
      </w:r>
    </w:p>
    <w:p w14:paraId="7329E078">
      <w:pPr>
        <w:pageBreakBefore w:val="0"/>
        <w:kinsoku/>
        <w:topLinePunct w:val="0"/>
        <w:bidi w:val="0"/>
        <w:spacing w:before="60" w:after="60" w:line="360" w:lineRule="auto"/>
        <w:ind w:left="0" w:firstLine="420" w:firstLineChars="200"/>
        <w:jc w:val="left"/>
        <w:rPr>
          <w:rFonts w:hint="eastAsia" w:ascii="宋体" w:hAnsi="宋体" w:eastAsia="宋体" w:cs="宋体"/>
          <w:color w:val="auto"/>
          <w:spacing w:val="0"/>
          <w:sz w:val="21"/>
          <w:szCs w:val="21"/>
          <w:highlight w:val="none"/>
          <w:lang w:val="en-US" w:eastAsia="zh-CN"/>
        </w:rPr>
      </w:pPr>
    </w:p>
    <w:p w14:paraId="2E62A9F9">
      <w:pPr>
        <w:keepNext w:val="0"/>
        <w:keepLines w:val="0"/>
        <w:pageBreakBefore w:val="0"/>
        <w:kinsoku/>
        <w:wordWrap/>
        <w:overflowPunct/>
        <w:topLinePunct w:val="0"/>
        <w:autoSpaceDE/>
        <w:autoSpaceDN/>
        <w:bidi w:val="0"/>
        <w:adjustRightInd/>
        <w:snapToGrid/>
        <w:spacing w:before="60" w:after="60" w:line="360" w:lineRule="auto"/>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highlight w:val="none"/>
          <w:shd w:val="clear" w:color="auto" w:fill="auto"/>
        </w:rPr>
        <w:t>如因上级政策重大调整导致项目终止，乙方已完成的服务经核实后，甲方应按实际完成比例支付相应费用；乙方不得主张预期收益赔偿</w:t>
      </w:r>
      <w:r>
        <w:rPr>
          <w:rFonts w:hint="eastAsia" w:ascii="宋体" w:hAnsi="宋体" w:cs="宋体"/>
          <w:i w:val="0"/>
          <w:iCs w:val="0"/>
          <w:caps w:val="0"/>
          <w:color w:val="auto"/>
          <w:spacing w:val="0"/>
          <w:sz w:val="21"/>
          <w:szCs w:val="21"/>
          <w:highlight w:val="none"/>
          <w:shd w:val="clear" w:color="auto" w:fill="auto"/>
          <w:lang w:eastAsia="zh-CN"/>
        </w:rPr>
        <w:t>。</w:t>
      </w:r>
    </w:p>
    <w:p w14:paraId="1F486888">
      <w:pPr>
        <w:keepNext w:val="0"/>
        <w:keepLines w:val="0"/>
        <w:pageBreakBefore w:val="0"/>
        <w:widowControl/>
        <w:kinsoku/>
        <w:wordWrap/>
        <w:overflowPunct/>
        <w:topLinePunct w:val="0"/>
        <w:autoSpaceDE/>
        <w:autoSpaceDN/>
        <w:bidi w:val="0"/>
        <w:adjustRightInd/>
        <w:snapToGrid/>
        <w:spacing w:before="0" w:after="0" w:line="320" w:lineRule="exact"/>
        <w:ind w:left="0" w:firstLine="420" w:firstLineChars="200"/>
        <w:jc w:val="left"/>
        <w:textAlignment w:val="auto"/>
        <w:rPr>
          <w:rFonts w:hint="eastAsia" w:ascii="宋体" w:hAnsi="宋体" w:eastAsia="宋体" w:cs="宋体"/>
          <w:bCs/>
          <w:i w:val="0"/>
          <w:iCs w:val="0"/>
          <w:caps w:val="0"/>
          <w:color w:val="auto"/>
          <w:spacing w:val="0"/>
          <w:sz w:val="21"/>
          <w:szCs w:val="21"/>
          <w:highlight w:val="none"/>
          <w:shd w:val="clear" w:color="auto" w:fill="auto"/>
        </w:rPr>
      </w:pPr>
      <w:r>
        <w:rPr>
          <w:rFonts w:hint="eastAsia" w:ascii="宋体" w:hAnsi="宋体" w:eastAsia="宋体" w:cs="宋体"/>
          <w:color w:val="auto"/>
          <w:sz w:val="21"/>
          <w:szCs w:val="21"/>
          <w:highlight w:val="none"/>
          <w:lang w:val="en-US" w:eastAsia="zh-CN"/>
        </w:rPr>
        <w:t>五、固定资产权属</w:t>
      </w:r>
    </w:p>
    <w:p w14:paraId="09142E6D">
      <w:pPr>
        <w:pageBreakBefore w:val="0"/>
        <w:kinsoku/>
        <w:topLinePunct w:val="0"/>
        <w:bidi w:val="0"/>
        <w:spacing w:before="60" w:after="60" w:line="360" w:lineRule="auto"/>
        <w:ind w:left="0" w:firstLine="420" w:firstLineChars="200"/>
        <w:jc w:val="left"/>
        <w:rPr>
          <w:rFonts w:hint="eastAsia" w:ascii="宋体" w:hAnsi="宋体" w:eastAsia="宋体" w:cs="宋体"/>
          <w:bCs/>
          <w:color w:val="auto"/>
          <w:spacing w:val="0"/>
          <w:sz w:val="21"/>
          <w:szCs w:val="21"/>
          <w:highlight w:val="none"/>
        </w:rPr>
      </w:pPr>
      <w:r>
        <w:rPr>
          <w:rFonts w:hint="eastAsia" w:ascii="宋体" w:hAnsi="宋体" w:eastAsia="宋体" w:cs="宋体"/>
          <w:bCs/>
          <w:i w:val="0"/>
          <w:iCs w:val="0"/>
          <w:caps w:val="0"/>
          <w:color w:val="auto"/>
          <w:spacing w:val="0"/>
          <w:sz w:val="21"/>
          <w:szCs w:val="21"/>
          <w:highlight w:val="none"/>
          <w:shd w:val="clear" w:color="auto" w:fill="auto"/>
        </w:rPr>
        <w:t>本项目购置、装修形成的全部固定资产（含设备、信息终端、装修等）所有权归甲方，合同期满或终止后，乙方10个工作日内完成资产清点移交，损毁、遗失需照价赔偿。</w:t>
      </w:r>
    </w:p>
    <w:p w14:paraId="0C5E080C">
      <w:pPr>
        <w:keepNext w:val="0"/>
        <w:keepLines w:val="0"/>
        <w:pageBreakBefore w:val="0"/>
        <w:kinsoku/>
        <w:wordWrap/>
        <w:overflowPunct/>
        <w:topLinePunct w:val="0"/>
        <w:autoSpaceDE/>
        <w:autoSpaceDN/>
        <w:bidi w:val="0"/>
        <w:adjustRightInd/>
        <w:snapToGrid/>
        <w:spacing w:line="320" w:lineRule="exact"/>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六、工作站考核要求</w:t>
      </w:r>
    </w:p>
    <w:p w14:paraId="6873EB55">
      <w:pPr>
        <w:pStyle w:val="87"/>
        <w:keepNext w:val="0"/>
        <w:keepLines w:val="0"/>
        <w:pageBreakBefore w:val="0"/>
        <w:kinsoku/>
        <w:wordWrap/>
        <w:overflowPunct/>
        <w:topLinePunct w:val="0"/>
        <w:autoSpaceDE/>
        <w:autoSpaceDN/>
        <w:bidi w:val="0"/>
        <w:adjustRightInd/>
        <w:snapToGrid/>
        <w:spacing w:before="0" w:after="0" w:line="320" w:lineRule="exact"/>
        <w:ind w:left="0" w:leftChars="0" w:firstLine="420" w:firstLineChars="200"/>
        <w:textAlignment w:val="auto"/>
        <w:rPr>
          <w:rFonts w:hint="eastAsia" w:ascii="宋体" w:hAnsi="宋体" w:eastAsia="宋体" w:cs="宋体"/>
          <w:bCs w:val="0"/>
          <w:color w:val="auto"/>
          <w:spacing w:val="0"/>
          <w:sz w:val="21"/>
          <w:szCs w:val="21"/>
          <w:highlight w:val="none"/>
        </w:rPr>
      </w:pPr>
      <w:r>
        <w:rPr>
          <w:rFonts w:hint="eastAsia" w:ascii="宋体" w:hAnsi="宋体" w:eastAsia="宋体" w:cs="宋体"/>
          <w:color w:val="auto"/>
          <w:spacing w:val="0"/>
          <w:kern w:val="2"/>
          <w:sz w:val="21"/>
          <w:szCs w:val="21"/>
          <w:highlight w:val="none"/>
        </w:rPr>
        <w:t>（一）指标要求。</w:t>
      </w:r>
      <w:r>
        <w:rPr>
          <w:rFonts w:hint="eastAsia" w:ascii="宋体" w:hAnsi="宋体" w:eastAsia="宋体" w:cs="宋体"/>
          <w:color w:val="auto"/>
          <w:spacing w:val="0"/>
          <w:kern w:val="2"/>
          <w:sz w:val="21"/>
          <w:szCs w:val="21"/>
          <w:highlight w:val="none"/>
          <w:lang w:eastAsia="zh-CN"/>
        </w:rPr>
        <w:t>收集岗位信息并录入广西</w:t>
      </w:r>
      <w:r>
        <w:rPr>
          <w:rFonts w:hint="eastAsia" w:ascii="宋体" w:hAnsi="宋体" w:eastAsia="宋体" w:cs="宋体"/>
          <w:color w:val="auto"/>
          <w:spacing w:val="0"/>
          <w:kern w:val="2"/>
          <w:sz w:val="21"/>
          <w:szCs w:val="21"/>
          <w:highlight w:val="none"/>
          <w:lang w:val="en-US" w:eastAsia="zh-CN"/>
        </w:rPr>
        <w:t>“数智人社”信息系统广西就业平台大于或等于4000条，每个季度大于或等于1000条</w:t>
      </w:r>
      <w:r>
        <w:rPr>
          <w:rFonts w:hint="eastAsia" w:ascii="宋体" w:hAnsi="宋体" w:eastAsia="宋体" w:cs="宋体"/>
          <w:color w:val="auto"/>
          <w:spacing w:val="0"/>
          <w:kern w:val="2"/>
          <w:sz w:val="21"/>
          <w:szCs w:val="21"/>
          <w:highlight w:val="none"/>
        </w:rPr>
        <w:t>。线上、线下各项服务项目必须达100%；上门服务企业率100%</w:t>
      </w:r>
      <w:r>
        <w:rPr>
          <w:rFonts w:hint="eastAsia" w:ascii="宋体" w:hAnsi="宋体" w:eastAsia="宋体" w:cs="宋体"/>
          <w:color w:val="auto"/>
          <w:spacing w:val="0"/>
          <w:kern w:val="2"/>
          <w:sz w:val="21"/>
          <w:szCs w:val="21"/>
          <w:highlight w:val="none"/>
          <w:lang w:eastAsia="zh-CN"/>
        </w:rPr>
        <w:t>，</w:t>
      </w:r>
      <w:r>
        <w:rPr>
          <w:rFonts w:hint="eastAsia" w:ascii="宋体" w:hAnsi="宋体" w:eastAsia="宋体" w:cs="宋体"/>
          <w:color w:val="auto"/>
          <w:spacing w:val="0"/>
          <w:kern w:val="2"/>
          <w:sz w:val="21"/>
          <w:szCs w:val="21"/>
          <w:highlight w:val="none"/>
        </w:rPr>
        <w:t>企业知晓率</w:t>
      </w:r>
      <w:r>
        <w:rPr>
          <w:rFonts w:hint="eastAsia" w:ascii="宋体" w:hAnsi="宋体" w:eastAsia="宋体" w:cs="宋体"/>
          <w:color w:val="auto"/>
          <w:spacing w:val="0"/>
          <w:kern w:val="2"/>
          <w:sz w:val="21"/>
          <w:szCs w:val="21"/>
          <w:highlight w:val="none"/>
          <w:lang w:val="en-US" w:eastAsia="zh-CN"/>
        </w:rPr>
        <w:t>100</w:t>
      </w:r>
      <w:r>
        <w:rPr>
          <w:rFonts w:hint="eastAsia" w:ascii="宋体" w:hAnsi="宋体" w:eastAsia="宋体" w:cs="宋体"/>
          <w:color w:val="auto"/>
          <w:spacing w:val="0"/>
          <w:kern w:val="2"/>
          <w:sz w:val="21"/>
          <w:szCs w:val="21"/>
          <w:highlight w:val="none"/>
        </w:rPr>
        <w:t>%，企业满意率95%；</w:t>
      </w:r>
      <w:r>
        <w:rPr>
          <w:rFonts w:hint="eastAsia" w:ascii="宋体" w:hAnsi="宋体" w:eastAsia="宋体" w:cs="宋体"/>
          <w:color w:val="auto"/>
          <w:spacing w:val="0"/>
          <w:kern w:val="2"/>
          <w:sz w:val="21"/>
          <w:szCs w:val="21"/>
          <w:highlight w:val="none"/>
          <w:lang w:eastAsia="zh-CN"/>
        </w:rPr>
        <w:t>就业、用工推荐匹配率达</w:t>
      </w:r>
      <w:r>
        <w:rPr>
          <w:rFonts w:hint="eastAsia" w:ascii="宋体" w:hAnsi="宋体" w:eastAsia="宋体" w:cs="宋体"/>
          <w:color w:val="auto"/>
          <w:spacing w:val="0"/>
          <w:kern w:val="2"/>
          <w:sz w:val="21"/>
          <w:szCs w:val="21"/>
          <w:highlight w:val="none"/>
          <w:lang w:val="en-US" w:eastAsia="zh-CN"/>
        </w:rPr>
        <w:t>100%，</w:t>
      </w:r>
      <w:r>
        <w:rPr>
          <w:rFonts w:hint="eastAsia" w:ascii="宋体" w:hAnsi="宋体" w:eastAsia="宋体" w:cs="宋体"/>
          <w:color w:val="auto"/>
          <w:spacing w:val="0"/>
          <w:kern w:val="2"/>
          <w:sz w:val="21"/>
          <w:szCs w:val="21"/>
          <w:highlight w:val="none"/>
          <w:lang w:eastAsia="zh-CN"/>
        </w:rPr>
        <w:t>成功率达</w:t>
      </w:r>
      <w:r>
        <w:rPr>
          <w:rFonts w:hint="eastAsia" w:ascii="宋体" w:hAnsi="宋体" w:eastAsia="宋体" w:cs="宋体"/>
          <w:color w:val="auto"/>
          <w:spacing w:val="0"/>
          <w:kern w:val="2"/>
          <w:sz w:val="21"/>
          <w:szCs w:val="21"/>
          <w:highlight w:val="none"/>
          <w:lang w:val="en-US" w:eastAsia="zh-CN"/>
        </w:rPr>
        <w:t>60%；</w:t>
      </w:r>
      <w:r>
        <w:rPr>
          <w:rFonts w:hint="eastAsia" w:ascii="宋体" w:hAnsi="宋体" w:eastAsia="宋体" w:cs="宋体"/>
          <w:color w:val="auto"/>
          <w:spacing w:val="0"/>
          <w:kern w:val="2"/>
          <w:sz w:val="21"/>
          <w:szCs w:val="21"/>
          <w:highlight w:val="none"/>
        </w:rPr>
        <w:t>材料报送</w:t>
      </w:r>
      <w:r>
        <w:rPr>
          <w:rFonts w:hint="eastAsia" w:ascii="宋体" w:hAnsi="宋体" w:eastAsia="宋体" w:cs="宋体"/>
          <w:color w:val="auto"/>
          <w:spacing w:val="0"/>
          <w:kern w:val="2"/>
          <w:sz w:val="21"/>
          <w:szCs w:val="21"/>
          <w:highlight w:val="none"/>
          <w:lang w:eastAsia="zh-CN"/>
        </w:rPr>
        <w:t>按时、完整</w:t>
      </w:r>
      <w:r>
        <w:rPr>
          <w:rFonts w:hint="eastAsia" w:ascii="宋体" w:hAnsi="宋体" w:eastAsia="宋体" w:cs="宋体"/>
          <w:color w:val="auto"/>
          <w:spacing w:val="0"/>
          <w:kern w:val="2"/>
          <w:sz w:val="21"/>
          <w:szCs w:val="21"/>
          <w:highlight w:val="none"/>
        </w:rPr>
        <w:t>率</w:t>
      </w:r>
      <w:r>
        <w:rPr>
          <w:rFonts w:hint="eastAsia" w:ascii="宋体" w:hAnsi="宋体" w:eastAsia="宋体" w:cs="宋体"/>
          <w:color w:val="auto"/>
          <w:spacing w:val="0"/>
          <w:kern w:val="2"/>
          <w:sz w:val="21"/>
          <w:szCs w:val="21"/>
          <w:highlight w:val="none"/>
          <w:lang w:val="en-US" w:eastAsia="zh-CN"/>
        </w:rPr>
        <w:t>100</w:t>
      </w:r>
      <w:r>
        <w:rPr>
          <w:rFonts w:hint="eastAsia" w:ascii="宋体" w:hAnsi="宋体" w:eastAsia="宋体" w:cs="宋体"/>
          <w:color w:val="auto"/>
          <w:spacing w:val="0"/>
          <w:kern w:val="2"/>
          <w:sz w:val="21"/>
          <w:szCs w:val="21"/>
          <w:highlight w:val="none"/>
        </w:rPr>
        <w:t>%</w:t>
      </w:r>
      <w:r>
        <w:rPr>
          <w:rFonts w:hint="eastAsia" w:ascii="宋体" w:hAnsi="宋体" w:eastAsia="宋体" w:cs="宋体"/>
          <w:color w:val="auto"/>
          <w:spacing w:val="0"/>
          <w:kern w:val="2"/>
          <w:sz w:val="21"/>
          <w:szCs w:val="21"/>
          <w:highlight w:val="none"/>
          <w:lang w:eastAsia="zh-CN"/>
        </w:rPr>
        <w:t>；</w:t>
      </w:r>
      <w:r>
        <w:rPr>
          <w:rFonts w:hint="eastAsia" w:ascii="宋体" w:hAnsi="宋体" w:eastAsia="宋体" w:cs="宋体"/>
          <w:color w:val="auto"/>
          <w:spacing w:val="0"/>
          <w:kern w:val="2"/>
          <w:sz w:val="21"/>
          <w:szCs w:val="21"/>
          <w:highlight w:val="none"/>
        </w:rPr>
        <w:t>村委（社区）干部知晓率100%</w:t>
      </w:r>
      <w:r>
        <w:rPr>
          <w:rFonts w:hint="eastAsia" w:ascii="宋体" w:hAnsi="宋体" w:eastAsia="宋体" w:cs="宋体"/>
          <w:color w:val="auto"/>
          <w:spacing w:val="0"/>
          <w:kern w:val="2"/>
          <w:sz w:val="21"/>
          <w:szCs w:val="21"/>
          <w:highlight w:val="none"/>
          <w:lang w:eastAsia="zh-CN"/>
        </w:rPr>
        <w:t>，群众</w:t>
      </w:r>
      <w:r>
        <w:rPr>
          <w:rFonts w:hint="eastAsia" w:ascii="宋体" w:hAnsi="宋体" w:eastAsia="宋体" w:cs="宋体"/>
          <w:color w:val="auto"/>
          <w:spacing w:val="0"/>
          <w:kern w:val="2"/>
          <w:sz w:val="21"/>
          <w:szCs w:val="21"/>
          <w:highlight w:val="none"/>
        </w:rPr>
        <w:t>知晓率</w:t>
      </w:r>
      <w:r>
        <w:rPr>
          <w:rFonts w:hint="eastAsia" w:ascii="宋体" w:hAnsi="宋体" w:eastAsia="宋体" w:cs="宋体"/>
          <w:color w:val="auto"/>
          <w:spacing w:val="0"/>
          <w:kern w:val="2"/>
          <w:sz w:val="21"/>
          <w:szCs w:val="21"/>
          <w:highlight w:val="none"/>
          <w:lang w:val="en-US" w:eastAsia="zh-CN"/>
        </w:rPr>
        <w:t>80</w:t>
      </w:r>
      <w:r>
        <w:rPr>
          <w:rFonts w:hint="eastAsia" w:ascii="宋体" w:hAnsi="宋体" w:eastAsia="宋体" w:cs="宋体"/>
          <w:color w:val="auto"/>
          <w:spacing w:val="0"/>
          <w:kern w:val="2"/>
          <w:sz w:val="21"/>
          <w:szCs w:val="21"/>
          <w:highlight w:val="none"/>
        </w:rPr>
        <w:t>%</w:t>
      </w:r>
      <w:r>
        <w:rPr>
          <w:rFonts w:hint="eastAsia" w:ascii="宋体" w:hAnsi="宋体" w:eastAsia="宋体" w:cs="宋体"/>
          <w:color w:val="auto"/>
          <w:spacing w:val="0"/>
          <w:kern w:val="2"/>
          <w:sz w:val="21"/>
          <w:szCs w:val="21"/>
          <w:highlight w:val="none"/>
          <w:lang w:eastAsia="zh-CN"/>
        </w:rPr>
        <w:t>，</w:t>
      </w:r>
      <w:r>
        <w:rPr>
          <w:rFonts w:hint="eastAsia" w:ascii="宋体" w:hAnsi="宋体" w:eastAsia="宋体" w:cs="宋体"/>
          <w:color w:val="auto"/>
          <w:spacing w:val="0"/>
          <w:kern w:val="2"/>
          <w:sz w:val="21"/>
          <w:szCs w:val="21"/>
          <w:highlight w:val="none"/>
        </w:rPr>
        <w:t>服务</w:t>
      </w:r>
      <w:r>
        <w:rPr>
          <w:rFonts w:hint="eastAsia" w:ascii="宋体" w:hAnsi="宋体" w:eastAsia="宋体" w:cs="宋体"/>
          <w:color w:val="auto"/>
          <w:spacing w:val="0"/>
          <w:kern w:val="2"/>
          <w:sz w:val="21"/>
          <w:szCs w:val="21"/>
          <w:highlight w:val="none"/>
          <w:lang w:eastAsia="zh-CN"/>
        </w:rPr>
        <w:t>群众满意</w:t>
      </w:r>
      <w:r>
        <w:rPr>
          <w:rFonts w:hint="eastAsia" w:ascii="宋体" w:hAnsi="宋体" w:eastAsia="宋体" w:cs="宋体"/>
          <w:color w:val="auto"/>
          <w:spacing w:val="0"/>
          <w:kern w:val="2"/>
          <w:sz w:val="21"/>
          <w:szCs w:val="21"/>
          <w:highlight w:val="none"/>
        </w:rPr>
        <w:t>率</w:t>
      </w:r>
      <w:r>
        <w:rPr>
          <w:rFonts w:hint="eastAsia" w:ascii="宋体" w:hAnsi="宋体" w:eastAsia="宋体" w:cs="宋体"/>
          <w:color w:val="auto"/>
          <w:spacing w:val="0"/>
          <w:kern w:val="2"/>
          <w:sz w:val="21"/>
          <w:szCs w:val="21"/>
          <w:highlight w:val="none"/>
          <w:lang w:val="en-US" w:eastAsia="zh-CN"/>
        </w:rPr>
        <w:t>9</w:t>
      </w:r>
      <w:r>
        <w:rPr>
          <w:rFonts w:hint="eastAsia" w:ascii="宋体" w:hAnsi="宋体" w:eastAsia="宋体" w:cs="宋体"/>
          <w:color w:val="auto"/>
          <w:spacing w:val="0"/>
          <w:kern w:val="2"/>
          <w:sz w:val="21"/>
          <w:szCs w:val="21"/>
          <w:highlight w:val="none"/>
        </w:rPr>
        <w:t>0%</w:t>
      </w:r>
      <w:r>
        <w:rPr>
          <w:rFonts w:hint="eastAsia" w:ascii="宋体" w:hAnsi="宋体" w:eastAsia="宋体" w:cs="宋体"/>
          <w:color w:val="auto"/>
          <w:spacing w:val="0"/>
          <w:kern w:val="2"/>
          <w:sz w:val="21"/>
          <w:szCs w:val="21"/>
          <w:highlight w:val="none"/>
          <w:lang w:eastAsia="zh-CN"/>
        </w:rPr>
        <w:t>。</w:t>
      </w:r>
    </w:p>
    <w:p w14:paraId="096F1716">
      <w:pPr>
        <w:keepNext w:val="0"/>
        <w:keepLines w:val="0"/>
        <w:pageBreakBefore w:val="0"/>
        <w:kinsoku/>
        <w:wordWrap/>
        <w:overflowPunct/>
        <w:topLinePunct w:val="0"/>
        <w:autoSpaceDE/>
        <w:autoSpaceDN/>
        <w:bidi w:val="0"/>
        <w:adjustRightInd/>
        <w:snapToGrid/>
        <w:spacing w:line="320" w:lineRule="exact"/>
        <w:ind w:left="0" w:leftChars="0" w:right="0" w:rightChars="0" w:firstLine="420" w:firstLineChars="200"/>
        <w:jc w:val="left"/>
        <w:textAlignment w:val="auto"/>
        <w:outlineLvl w:val="9"/>
        <w:rPr>
          <w:rFonts w:hint="eastAsia" w:ascii="宋体" w:hAnsi="宋体" w:eastAsia="宋体" w:cs="宋体"/>
          <w:color w:val="auto"/>
          <w:spacing w:val="0"/>
          <w:kern w:val="2"/>
          <w:sz w:val="21"/>
          <w:szCs w:val="21"/>
          <w:highlight w:val="none"/>
        </w:rPr>
      </w:pPr>
      <w:r>
        <w:rPr>
          <w:rFonts w:hint="eastAsia" w:ascii="宋体" w:hAnsi="宋体" w:eastAsia="宋体" w:cs="宋体"/>
          <w:color w:val="auto"/>
          <w:spacing w:val="0"/>
          <w:kern w:val="2"/>
          <w:sz w:val="21"/>
          <w:szCs w:val="21"/>
          <w:highlight w:val="none"/>
        </w:rPr>
        <w:t>（二）考核方式。</w:t>
      </w:r>
      <w:r>
        <w:rPr>
          <w:rFonts w:hint="eastAsia" w:ascii="宋体" w:hAnsi="宋体" w:eastAsia="宋体" w:cs="宋体"/>
          <w:color w:val="auto"/>
          <w:spacing w:val="0"/>
          <w:kern w:val="2"/>
          <w:sz w:val="21"/>
          <w:szCs w:val="21"/>
          <w:highlight w:val="none"/>
          <w:lang w:val="en-US" w:eastAsia="zh-CN"/>
        </w:rPr>
        <w:t>实行一季度一考核，年终大考核，</w:t>
      </w:r>
      <w:r>
        <w:rPr>
          <w:rFonts w:hint="eastAsia" w:ascii="宋体" w:hAnsi="宋体" w:eastAsia="宋体" w:cs="宋体"/>
          <w:color w:val="auto"/>
          <w:spacing w:val="0"/>
          <w:kern w:val="2"/>
          <w:sz w:val="21"/>
          <w:szCs w:val="21"/>
          <w:highlight w:val="none"/>
        </w:rPr>
        <w:t>村委（社区）干部知晓率</w:t>
      </w:r>
      <w:r>
        <w:rPr>
          <w:rFonts w:hint="eastAsia" w:ascii="宋体" w:hAnsi="宋体" w:eastAsia="宋体" w:cs="宋体"/>
          <w:color w:val="auto"/>
          <w:spacing w:val="0"/>
          <w:kern w:val="2"/>
          <w:sz w:val="21"/>
          <w:szCs w:val="21"/>
          <w:highlight w:val="none"/>
          <w:lang w:eastAsia="zh-CN"/>
        </w:rPr>
        <w:t>、群众</w:t>
      </w:r>
      <w:r>
        <w:rPr>
          <w:rFonts w:hint="eastAsia" w:ascii="宋体" w:hAnsi="宋体" w:eastAsia="宋体" w:cs="宋体"/>
          <w:color w:val="auto"/>
          <w:spacing w:val="0"/>
          <w:kern w:val="2"/>
          <w:sz w:val="21"/>
          <w:szCs w:val="21"/>
          <w:highlight w:val="none"/>
        </w:rPr>
        <w:t>知晓率</w:t>
      </w:r>
      <w:r>
        <w:rPr>
          <w:rFonts w:hint="eastAsia" w:ascii="宋体" w:hAnsi="宋体" w:eastAsia="宋体" w:cs="宋体"/>
          <w:color w:val="auto"/>
          <w:spacing w:val="0"/>
          <w:kern w:val="2"/>
          <w:sz w:val="21"/>
          <w:szCs w:val="21"/>
          <w:highlight w:val="none"/>
          <w:lang w:val="en-US" w:eastAsia="zh-CN"/>
        </w:rPr>
        <w:t>、</w:t>
      </w:r>
      <w:r>
        <w:rPr>
          <w:rFonts w:hint="eastAsia" w:ascii="宋体" w:hAnsi="宋体" w:eastAsia="宋体" w:cs="宋体"/>
          <w:color w:val="auto"/>
          <w:spacing w:val="0"/>
          <w:kern w:val="2"/>
          <w:sz w:val="21"/>
          <w:szCs w:val="21"/>
          <w:highlight w:val="none"/>
        </w:rPr>
        <w:t>服务</w:t>
      </w:r>
      <w:r>
        <w:rPr>
          <w:rFonts w:hint="eastAsia" w:ascii="宋体" w:hAnsi="宋体" w:eastAsia="宋体" w:cs="宋体"/>
          <w:color w:val="auto"/>
          <w:spacing w:val="0"/>
          <w:kern w:val="2"/>
          <w:sz w:val="21"/>
          <w:szCs w:val="21"/>
          <w:highlight w:val="none"/>
          <w:lang w:eastAsia="zh-CN"/>
        </w:rPr>
        <w:t>群众满意</w:t>
      </w:r>
      <w:r>
        <w:rPr>
          <w:rFonts w:hint="eastAsia" w:ascii="宋体" w:hAnsi="宋体" w:eastAsia="宋体" w:cs="宋体"/>
          <w:color w:val="auto"/>
          <w:spacing w:val="0"/>
          <w:kern w:val="2"/>
          <w:sz w:val="21"/>
          <w:szCs w:val="21"/>
          <w:highlight w:val="none"/>
        </w:rPr>
        <w:t>率</w:t>
      </w:r>
      <w:r>
        <w:rPr>
          <w:rFonts w:hint="eastAsia" w:ascii="宋体" w:hAnsi="宋体" w:eastAsia="宋体" w:cs="宋体"/>
          <w:color w:val="auto"/>
          <w:spacing w:val="0"/>
          <w:kern w:val="2"/>
          <w:sz w:val="21"/>
          <w:szCs w:val="21"/>
          <w:highlight w:val="none"/>
          <w:lang w:eastAsia="zh-CN"/>
        </w:rPr>
        <w:t>年终考核一次，其余指标每季度考核一次。根据第</w:t>
      </w:r>
      <w:r>
        <w:rPr>
          <w:rFonts w:hint="eastAsia" w:ascii="宋体" w:hAnsi="宋体" w:eastAsia="宋体" w:cs="宋体"/>
          <w:color w:val="auto"/>
          <w:spacing w:val="0"/>
          <w:kern w:val="2"/>
          <w:sz w:val="21"/>
          <w:szCs w:val="21"/>
          <w:highlight w:val="none"/>
        </w:rPr>
        <w:t>三方提供佐证材料</w:t>
      </w:r>
      <w:r>
        <w:rPr>
          <w:rFonts w:hint="eastAsia" w:ascii="宋体" w:hAnsi="宋体" w:eastAsia="宋体" w:cs="宋体"/>
          <w:color w:val="auto"/>
          <w:spacing w:val="0"/>
          <w:kern w:val="2"/>
          <w:sz w:val="21"/>
          <w:szCs w:val="21"/>
          <w:highlight w:val="none"/>
          <w:lang w:eastAsia="zh-CN"/>
        </w:rPr>
        <w:t>，由县人社局通过</w:t>
      </w:r>
      <w:r>
        <w:rPr>
          <w:rFonts w:hint="eastAsia" w:ascii="宋体" w:hAnsi="宋体" w:eastAsia="宋体" w:cs="宋体"/>
          <w:color w:val="auto"/>
          <w:spacing w:val="0"/>
          <w:kern w:val="2"/>
          <w:sz w:val="21"/>
          <w:szCs w:val="21"/>
          <w:highlight w:val="none"/>
        </w:rPr>
        <w:t>调查问卷、电话抽查</w:t>
      </w:r>
      <w:r>
        <w:rPr>
          <w:rFonts w:hint="eastAsia" w:ascii="宋体" w:hAnsi="宋体" w:eastAsia="宋体" w:cs="宋体"/>
          <w:color w:val="auto"/>
          <w:spacing w:val="0"/>
          <w:kern w:val="2"/>
          <w:sz w:val="21"/>
          <w:szCs w:val="21"/>
          <w:highlight w:val="none"/>
          <w:lang w:val="en-US" w:eastAsia="zh-CN"/>
        </w:rPr>
        <w:t>和现场核查</w:t>
      </w:r>
      <w:r>
        <w:rPr>
          <w:rFonts w:hint="eastAsia" w:ascii="宋体" w:hAnsi="宋体" w:eastAsia="宋体" w:cs="宋体"/>
          <w:color w:val="auto"/>
          <w:spacing w:val="0"/>
          <w:kern w:val="2"/>
          <w:sz w:val="21"/>
          <w:szCs w:val="21"/>
          <w:highlight w:val="none"/>
        </w:rPr>
        <w:t>等</w:t>
      </w:r>
      <w:r>
        <w:rPr>
          <w:rFonts w:hint="eastAsia" w:ascii="宋体" w:hAnsi="宋体" w:eastAsia="宋体" w:cs="宋体"/>
          <w:color w:val="auto"/>
          <w:spacing w:val="0"/>
          <w:kern w:val="2"/>
          <w:sz w:val="21"/>
          <w:szCs w:val="21"/>
          <w:highlight w:val="none"/>
          <w:lang w:eastAsia="zh-CN"/>
        </w:rPr>
        <w:t>方式进行考核</w:t>
      </w:r>
      <w:r>
        <w:rPr>
          <w:rFonts w:hint="eastAsia" w:ascii="宋体" w:hAnsi="宋体" w:eastAsia="宋体" w:cs="宋体"/>
          <w:color w:val="auto"/>
          <w:spacing w:val="0"/>
          <w:kern w:val="2"/>
          <w:sz w:val="21"/>
          <w:szCs w:val="21"/>
          <w:highlight w:val="none"/>
        </w:rPr>
        <w:t>。</w:t>
      </w:r>
    </w:p>
    <w:p w14:paraId="3F613638">
      <w:pPr>
        <w:keepNext w:val="0"/>
        <w:keepLines w:val="0"/>
        <w:pageBreakBefore w:val="0"/>
        <w:kinsoku/>
        <w:wordWrap/>
        <w:overflowPunct/>
        <w:topLinePunct w:val="0"/>
        <w:autoSpaceDE/>
        <w:autoSpaceDN/>
        <w:bidi w:val="0"/>
        <w:adjustRightInd/>
        <w:snapToGrid/>
        <w:spacing w:line="320" w:lineRule="exact"/>
        <w:ind w:left="0" w:leftChars="0" w:right="0" w:rightChars="0"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七、考核结果运用</w:t>
      </w:r>
    </w:p>
    <w:p w14:paraId="3170A23E">
      <w:pPr>
        <w:spacing w:line="400" w:lineRule="exact"/>
        <w:ind w:firstLine="411" w:firstLineChars="196"/>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（一）指标不达标的，每少1个百分点，扣减经费0.</w:t>
      </w:r>
      <w:r>
        <w:rPr>
          <w:rFonts w:hint="eastAsia" w:ascii="宋体" w:hAnsi="宋体" w:eastAsia="宋体" w:cs="宋体"/>
          <w:b w:val="0"/>
          <w:bCs/>
          <w:color w:val="auto"/>
          <w:szCs w:val="21"/>
          <w:highlight w:val="none"/>
          <w:lang w:val="en-US" w:eastAsia="zh-CN"/>
        </w:rPr>
        <w:t>1</w:t>
      </w:r>
      <w:r>
        <w:rPr>
          <w:rFonts w:hint="eastAsia" w:ascii="宋体" w:hAnsi="宋体" w:eastAsia="宋体" w:cs="宋体"/>
          <w:b w:val="0"/>
          <w:bCs/>
          <w:color w:val="auto"/>
          <w:szCs w:val="21"/>
          <w:highlight w:val="none"/>
        </w:rPr>
        <w:t>万元。</w:t>
      </w:r>
    </w:p>
    <w:p w14:paraId="720F1BA6">
      <w:pPr>
        <w:spacing w:line="400" w:lineRule="exact"/>
        <w:ind w:firstLine="411" w:firstLineChars="196"/>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（二）不按时间要求报送报表、名册等相关材料的，每次扣减经费0.2万元；不报送报表、名册等相关材料的，每次扣减经费0.5万元</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发</w:t>
      </w:r>
      <w:r>
        <w:rPr>
          <w:rFonts w:hint="eastAsia" w:ascii="宋体" w:hAnsi="宋体" w:eastAsia="宋体" w:cs="宋体"/>
          <w:b w:val="0"/>
          <w:bCs/>
          <w:color w:val="auto"/>
          <w:szCs w:val="21"/>
          <w:highlight w:val="none"/>
          <w:lang w:eastAsia="zh-CN"/>
        </w:rPr>
        <w:t>现</w:t>
      </w:r>
      <w:r>
        <w:rPr>
          <w:rFonts w:hint="eastAsia" w:ascii="宋体" w:hAnsi="宋体" w:eastAsia="宋体" w:cs="宋体"/>
          <w:b w:val="0"/>
          <w:bCs/>
          <w:color w:val="auto"/>
          <w:szCs w:val="21"/>
          <w:highlight w:val="none"/>
        </w:rPr>
        <w:t>虚报、瞒报、编造假数据、假材料的，每次扣减经费2万元。</w:t>
      </w:r>
    </w:p>
    <w:p w14:paraId="147719BC">
      <w:pPr>
        <w:spacing w:line="400" w:lineRule="exact"/>
        <w:ind w:firstLine="411" w:firstLineChars="196"/>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（三）不开展约定服务项目的，每少1个，扣减经费</w:t>
      </w:r>
      <w:r>
        <w:rPr>
          <w:rFonts w:hint="eastAsia" w:ascii="宋体" w:hAnsi="宋体" w:eastAsia="宋体" w:cs="宋体"/>
          <w:b w:val="0"/>
          <w:bCs/>
          <w:color w:val="auto"/>
          <w:szCs w:val="21"/>
          <w:highlight w:val="none"/>
          <w:lang w:val="en-US" w:eastAsia="zh-CN"/>
        </w:rPr>
        <w:t>3</w:t>
      </w:r>
      <w:r>
        <w:rPr>
          <w:rFonts w:hint="eastAsia" w:ascii="宋体" w:hAnsi="宋体" w:eastAsia="宋体" w:cs="宋体"/>
          <w:b w:val="0"/>
          <w:bCs/>
          <w:color w:val="auto"/>
          <w:szCs w:val="21"/>
          <w:highlight w:val="none"/>
        </w:rPr>
        <w:t>万元；开展服务项目次数达不到约定次数的，每少1次扣减经费1万元</w:t>
      </w:r>
      <w:r>
        <w:rPr>
          <w:rFonts w:hint="eastAsia" w:ascii="宋体" w:hAnsi="宋体" w:eastAsia="宋体" w:cs="宋体"/>
          <w:b w:val="0"/>
          <w:bCs/>
          <w:color w:val="auto"/>
          <w:szCs w:val="21"/>
          <w:highlight w:val="none"/>
          <w:lang w:eastAsia="zh-CN"/>
        </w:rPr>
        <w:t>。（客观原因造成或者服务项目有冲突的除外）。</w:t>
      </w:r>
    </w:p>
    <w:p w14:paraId="162298A7">
      <w:pPr>
        <w:spacing w:line="400" w:lineRule="exact"/>
        <w:ind w:firstLine="411" w:firstLineChars="196"/>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（四）</w:t>
      </w:r>
      <w:r>
        <w:rPr>
          <w:rFonts w:hint="eastAsia" w:ascii="宋体" w:hAnsi="宋体" w:eastAsia="宋体" w:cs="宋体"/>
          <w:b w:val="0"/>
          <w:bCs/>
          <w:color w:val="auto"/>
          <w:szCs w:val="21"/>
          <w:highlight w:val="none"/>
          <w:lang w:eastAsia="zh-CN"/>
        </w:rPr>
        <w:t>收集岗位信息并录入广西</w:t>
      </w:r>
      <w:r>
        <w:rPr>
          <w:rFonts w:hint="eastAsia" w:ascii="宋体" w:hAnsi="宋体" w:eastAsia="宋体" w:cs="宋体"/>
          <w:b w:val="0"/>
          <w:bCs/>
          <w:color w:val="auto"/>
          <w:szCs w:val="21"/>
          <w:highlight w:val="none"/>
          <w:lang w:val="en-US" w:eastAsia="zh-CN"/>
        </w:rPr>
        <w:t>“数智人社”信息系统广西就业平台每季度小于1000条的，</w:t>
      </w:r>
      <w:r>
        <w:rPr>
          <w:rFonts w:hint="eastAsia" w:ascii="宋体" w:hAnsi="宋体" w:eastAsia="宋体" w:cs="宋体"/>
          <w:b w:val="0"/>
          <w:bCs/>
          <w:color w:val="auto"/>
          <w:szCs w:val="21"/>
          <w:highlight w:val="none"/>
        </w:rPr>
        <w:t>每少1个百分点，扣减经费0.</w:t>
      </w:r>
      <w:r>
        <w:rPr>
          <w:rFonts w:hint="eastAsia" w:ascii="宋体" w:hAnsi="宋体" w:eastAsia="宋体" w:cs="宋体"/>
          <w:b w:val="0"/>
          <w:bCs/>
          <w:color w:val="auto"/>
          <w:szCs w:val="21"/>
          <w:highlight w:val="none"/>
          <w:lang w:val="en-US" w:eastAsia="zh-CN"/>
        </w:rPr>
        <w:t>1</w:t>
      </w:r>
      <w:r>
        <w:rPr>
          <w:rFonts w:hint="eastAsia" w:ascii="宋体" w:hAnsi="宋体" w:eastAsia="宋体" w:cs="宋体"/>
          <w:b w:val="0"/>
          <w:bCs/>
          <w:color w:val="auto"/>
          <w:szCs w:val="21"/>
          <w:highlight w:val="none"/>
        </w:rPr>
        <w:t>万元。</w:t>
      </w:r>
    </w:p>
    <w:p w14:paraId="060CE9E9">
      <w:pPr>
        <w:spacing w:line="400" w:lineRule="exact"/>
        <w:ind w:firstLine="411" w:firstLineChars="196"/>
        <w:rPr>
          <w:rFonts w:hint="eastAsia" w:ascii="宋体" w:hAnsi="宋体" w:eastAsia="宋体" w:cs="宋体"/>
          <w:b w:val="0"/>
          <w:bCs/>
          <w:color w:val="auto"/>
          <w:szCs w:val="21"/>
          <w:highlight w:val="none"/>
          <w:lang w:eastAsia="zh-CN"/>
        </w:rPr>
      </w:pP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五</w:t>
      </w:r>
      <w:r>
        <w:rPr>
          <w:rFonts w:hint="eastAsia" w:ascii="宋体" w:hAnsi="宋体" w:cs="宋体"/>
          <w:b w:val="0"/>
          <w:bCs/>
          <w:color w:val="auto"/>
          <w:szCs w:val="21"/>
          <w:highlight w:val="none"/>
          <w:lang w:eastAsia="zh-CN"/>
        </w:rPr>
        <w:t>）</w:t>
      </w:r>
      <w:r>
        <w:rPr>
          <w:rFonts w:hint="eastAsia" w:ascii="宋体" w:hAnsi="宋体" w:eastAsia="宋体" w:cs="宋体"/>
          <w:b w:val="0"/>
          <w:bCs/>
          <w:color w:val="auto"/>
          <w:szCs w:val="21"/>
          <w:highlight w:val="none"/>
          <w:lang w:eastAsia="zh-CN"/>
        </w:rPr>
        <w:t>在开展服务工作中，第三方运营机构不得利用县人社局名义谋取相关利益；不得以县人社局名义、就业平台名义向企业、群众收取服务费；一经查实，每项每次扣减经费</w:t>
      </w:r>
      <w:r>
        <w:rPr>
          <w:rFonts w:hint="eastAsia" w:ascii="宋体" w:hAnsi="宋体" w:eastAsia="宋体" w:cs="宋体"/>
          <w:b w:val="0"/>
          <w:bCs/>
          <w:color w:val="auto"/>
          <w:szCs w:val="21"/>
          <w:highlight w:val="none"/>
          <w:lang w:val="en-US" w:eastAsia="zh-CN"/>
        </w:rPr>
        <w:t>3</w:t>
      </w:r>
      <w:r>
        <w:rPr>
          <w:rFonts w:hint="eastAsia" w:ascii="宋体" w:hAnsi="宋体" w:eastAsia="宋体" w:cs="宋体"/>
          <w:b w:val="0"/>
          <w:bCs/>
          <w:color w:val="auto"/>
          <w:szCs w:val="21"/>
          <w:highlight w:val="none"/>
          <w:lang w:eastAsia="zh-CN"/>
        </w:rPr>
        <w:t>万元。</w:t>
      </w:r>
    </w:p>
    <w:p w14:paraId="4536399A">
      <w:pPr>
        <w:spacing w:line="400" w:lineRule="exact"/>
        <w:ind w:firstLine="411" w:firstLineChars="196"/>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eastAsia="zh-CN"/>
        </w:rPr>
        <w:t>六</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eastAsia="zh-CN"/>
        </w:rPr>
        <w:t>在</w:t>
      </w:r>
      <w:r>
        <w:rPr>
          <w:rFonts w:hint="eastAsia" w:ascii="宋体" w:hAnsi="宋体" w:eastAsia="宋体" w:cs="宋体"/>
          <w:b w:val="0"/>
          <w:bCs/>
          <w:color w:val="auto"/>
          <w:szCs w:val="21"/>
          <w:highlight w:val="none"/>
        </w:rPr>
        <w:t>开展服务工作中，有不良行为被群众投诉的，一经查实，每次扣减经费0.</w:t>
      </w:r>
      <w:r>
        <w:rPr>
          <w:rFonts w:hint="eastAsia" w:ascii="宋体" w:hAnsi="宋体" w:eastAsia="宋体" w:cs="宋体"/>
          <w:b w:val="0"/>
          <w:bCs/>
          <w:color w:val="auto"/>
          <w:szCs w:val="21"/>
          <w:highlight w:val="none"/>
          <w:lang w:val="en-US" w:eastAsia="zh-CN"/>
        </w:rPr>
        <w:t>1</w:t>
      </w:r>
      <w:r>
        <w:rPr>
          <w:rFonts w:hint="eastAsia" w:ascii="宋体" w:hAnsi="宋体" w:eastAsia="宋体" w:cs="宋体"/>
          <w:b w:val="0"/>
          <w:bCs/>
          <w:color w:val="auto"/>
          <w:szCs w:val="21"/>
          <w:highlight w:val="none"/>
        </w:rPr>
        <w:t>万元。</w:t>
      </w:r>
    </w:p>
    <w:p w14:paraId="7130AC23">
      <w:pPr>
        <w:spacing w:line="400" w:lineRule="exact"/>
        <w:ind w:firstLine="411" w:firstLineChars="196"/>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eastAsia="zh-CN"/>
        </w:rPr>
        <w:t>七</w:t>
      </w:r>
      <w:r>
        <w:rPr>
          <w:rFonts w:hint="eastAsia" w:ascii="宋体" w:hAnsi="宋体" w:eastAsia="宋体" w:cs="宋体"/>
          <w:b w:val="0"/>
          <w:bCs/>
          <w:color w:val="auto"/>
          <w:szCs w:val="21"/>
          <w:highlight w:val="none"/>
        </w:rPr>
        <w:t>）各项指标均按时按质完成的，且成效明显的，同等条件下，可优先推荐为下一轮该项目服务机构。</w:t>
      </w:r>
    </w:p>
    <w:p w14:paraId="3AB447E6">
      <w:pPr>
        <w:spacing w:line="400" w:lineRule="exact"/>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第七条  税费</w:t>
      </w:r>
    </w:p>
    <w:p w14:paraId="5EF800B7">
      <w:pPr>
        <w:spacing w:line="400" w:lineRule="exact"/>
        <w:ind w:firstLine="411" w:firstLineChars="196"/>
        <w:rPr>
          <w:rFonts w:hint="eastAsia" w:ascii="宋体" w:hAnsi="宋体" w:eastAsia="宋体" w:cs="宋体"/>
          <w:bCs/>
          <w:i w:val="0"/>
          <w:iCs w:val="0"/>
          <w:caps w:val="0"/>
          <w:color w:val="auto"/>
          <w:spacing w:val="0"/>
          <w:sz w:val="21"/>
          <w:szCs w:val="21"/>
          <w:highlight w:val="none"/>
          <w:shd w:val="clear" w:color="auto" w:fill="auto"/>
          <w:lang w:eastAsia="zh-CN"/>
        </w:rPr>
      </w:pPr>
      <w:r>
        <w:rPr>
          <w:rFonts w:hint="eastAsia" w:ascii="宋体" w:hAnsi="宋体" w:eastAsia="宋体" w:cs="宋体"/>
          <w:bCs/>
          <w:i w:val="0"/>
          <w:iCs w:val="0"/>
          <w:caps w:val="0"/>
          <w:color w:val="auto"/>
          <w:spacing w:val="0"/>
          <w:sz w:val="21"/>
          <w:szCs w:val="21"/>
          <w:highlight w:val="none"/>
          <w:shd w:val="clear" w:color="auto" w:fill="auto"/>
        </w:rPr>
        <w:t>本合同总价为含税价，乙方应按照国家规定缴纳相关税费，税费已包含在合同总价中</w:t>
      </w:r>
      <w:r>
        <w:rPr>
          <w:rFonts w:hint="eastAsia" w:ascii="宋体" w:hAnsi="宋体" w:cs="宋体"/>
          <w:bCs/>
          <w:i w:val="0"/>
          <w:iCs w:val="0"/>
          <w:caps w:val="0"/>
          <w:color w:val="auto"/>
          <w:spacing w:val="0"/>
          <w:sz w:val="21"/>
          <w:szCs w:val="21"/>
          <w:highlight w:val="none"/>
          <w:shd w:val="clear" w:color="auto" w:fill="auto"/>
          <w:lang w:eastAsia="zh-CN"/>
        </w:rPr>
        <w:t>。</w:t>
      </w:r>
    </w:p>
    <w:p w14:paraId="3D4F64BE">
      <w:pPr>
        <w:spacing w:line="400" w:lineRule="exact"/>
        <w:ind w:firstLine="413" w:firstLineChars="196"/>
        <w:rPr>
          <w:rFonts w:hint="eastAsia" w:ascii="宋体" w:hAnsi="宋体" w:eastAsia="宋体" w:cs="宋体"/>
          <w:b/>
          <w:color w:val="auto"/>
          <w:szCs w:val="21"/>
          <w:highlight w:val="none"/>
        </w:rPr>
      </w:pPr>
      <w:r>
        <w:rPr>
          <w:rFonts w:hint="eastAsia" w:ascii="宋体" w:hAnsi="宋体" w:eastAsia="宋体" w:cs="宋体"/>
          <w:b/>
          <w:bCs w:val="0"/>
          <w:color w:val="auto"/>
          <w:szCs w:val="21"/>
          <w:highlight w:val="none"/>
        </w:rPr>
        <w:t>第</w:t>
      </w:r>
      <w:r>
        <w:rPr>
          <w:rFonts w:hint="eastAsia" w:ascii="宋体" w:hAnsi="宋体" w:eastAsia="宋体" w:cs="宋体"/>
          <w:b/>
          <w:color w:val="auto"/>
          <w:szCs w:val="21"/>
          <w:highlight w:val="none"/>
        </w:rPr>
        <w:t>八条  付款方式</w:t>
      </w:r>
    </w:p>
    <w:p w14:paraId="175F1BAB">
      <w:pPr>
        <w:spacing w:line="400" w:lineRule="exact"/>
        <w:ind w:firstLine="411" w:firstLineChars="196"/>
        <w:rPr>
          <w:rFonts w:hint="eastAsia" w:ascii="宋体" w:hAnsi="宋体" w:eastAsia="宋体" w:cs="宋体"/>
          <w:color w:val="auto"/>
          <w:szCs w:val="21"/>
          <w:highlight w:val="none"/>
        </w:rPr>
      </w:pPr>
      <w:r>
        <w:rPr>
          <w:rFonts w:hint="eastAsia" w:ascii="宋体" w:hAnsi="宋体" w:cs="宋体"/>
          <w:color w:val="auto"/>
          <w:sz w:val="21"/>
          <w:szCs w:val="21"/>
          <w:highlight w:val="none"/>
          <w:lang w:val="en-US" w:eastAsia="zh-CN"/>
        </w:rPr>
        <w:t>各分标的金额</w:t>
      </w:r>
      <w:r>
        <w:rPr>
          <w:rFonts w:hint="eastAsia" w:ascii="宋体" w:hAnsi="宋体" w:eastAsia="宋体" w:cs="宋体"/>
          <w:color w:val="auto"/>
          <w:sz w:val="21"/>
          <w:szCs w:val="21"/>
          <w:highlight w:val="none"/>
          <w:lang w:eastAsia="zh-CN"/>
        </w:rPr>
        <w:t>共分两期拨付。</w:t>
      </w:r>
      <w:r>
        <w:rPr>
          <w:rFonts w:hint="eastAsia" w:ascii="宋体" w:hAnsi="宋体" w:cs="宋体"/>
          <w:color w:val="auto"/>
          <w:sz w:val="21"/>
          <w:szCs w:val="21"/>
          <w:highlight w:val="none"/>
          <w:lang w:val="en-US" w:eastAsia="zh-CN"/>
        </w:rPr>
        <w:t>甲方在</w:t>
      </w:r>
      <w:r>
        <w:rPr>
          <w:rFonts w:hint="eastAsia" w:ascii="宋体" w:hAnsi="宋体" w:eastAsia="宋体" w:cs="宋体"/>
          <w:color w:val="auto"/>
          <w:sz w:val="21"/>
          <w:szCs w:val="21"/>
          <w:highlight w:val="none"/>
          <w:lang w:eastAsia="zh-CN"/>
        </w:rPr>
        <w:t>签订合同后15个工作日内</w:t>
      </w:r>
      <w:r>
        <w:rPr>
          <w:rFonts w:hint="eastAsia" w:ascii="宋体" w:hAnsi="宋体" w:eastAsia="宋体" w:cs="宋体"/>
          <w:color w:val="auto"/>
          <w:sz w:val="21"/>
          <w:szCs w:val="21"/>
          <w:highlight w:val="none"/>
          <w:lang w:val="en-US" w:eastAsia="zh-CN"/>
        </w:rPr>
        <w:t>向财政</w:t>
      </w:r>
      <w:r>
        <w:rPr>
          <w:rFonts w:hint="eastAsia" w:ascii="宋体" w:hAnsi="宋体" w:eastAsia="宋体" w:cs="宋体"/>
          <w:color w:val="auto"/>
          <w:kern w:val="0"/>
          <w:szCs w:val="21"/>
          <w:highlight w:val="none"/>
          <w:lang w:eastAsia="zh-CN"/>
        </w:rPr>
        <w:t>申请</w:t>
      </w:r>
      <w:r>
        <w:rPr>
          <w:rFonts w:hint="eastAsia" w:ascii="宋体" w:hAnsi="宋体" w:eastAsia="宋体" w:cs="宋体"/>
          <w:color w:val="auto"/>
          <w:kern w:val="0"/>
          <w:szCs w:val="21"/>
          <w:highlight w:val="none"/>
        </w:rPr>
        <w:t>拔付</w:t>
      </w:r>
      <w:r>
        <w:rPr>
          <w:rFonts w:hint="eastAsia" w:ascii="宋体" w:hAnsi="宋体" w:eastAsia="宋体" w:cs="宋体"/>
          <w:color w:val="auto"/>
          <w:kern w:val="0"/>
          <w:szCs w:val="21"/>
          <w:highlight w:val="none"/>
          <w:lang w:eastAsia="zh-CN"/>
        </w:rPr>
        <w:t>合同金额的</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0%</w:t>
      </w:r>
      <w:r>
        <w:rPr>
          <w:rFonts w:hint="eastAsia" w:ascii="宋体" w:hAnsi="宋体" w:cs="宋体"/>
          <w:color w:val="auto"/>
          <w:kern w:val="0"/>
          <w:szCs w:val="21"/>
          <w:highlight w:val="none"/>
          <w:lang w:val="en-US" w:eastAsia="zh-CN"/>
        </w:rPr>
        <w:t>给乙方</w:t>
      </w:r>
      <w:r>
        <w:rPr>
          <w:rFonts w:hint="eastAsia" w:ascii="宋体" w:hAnsi="宋体" w:eastAsia="宋体" w:cs="宋体"/>
          <w:color w:val="auto"/>
          <w:kern w:val="0"/>
          <w:szCs w:val="21"/>
          <w:highlight w:val="none"/>
          <w:lang w:eastAsia="zh-CN"/>
        </w:rPr>
        <w:t>作为前期运营服务款</w:t>
      </w:r>
      <w:r>
        <w:rPr>
          <w:rFonts w:hint="eastAsia" w:ascii="宋体" w:hAnsi="宋体" w:eastAsia="宋体" w:cs="宋体"/>
          <w:color w:val="auto"/>
          <w:kern w:val="0"/>
          <w:szCs w:val="21"/>
          <w:highlight w:val="none"/>
        </w:rPr>
        <w:t>，用于办公</w:t>
      </w:r>
      <w:r>
        <w:rPr>
          <w:rFonts w:hint="eastAsia" w:ascii="宋体" w:hAnsi="宋体" w:eastAsia="宋体" w:cs="宋体"/>
          <w:color w:val="auto"/>
          <w:kern w:val="0"/>
          <w:szCs w:val="21"/>
          <w:highlight w:val="none"/>
          <w:lang w:eastAsia="zh-CN"/>
        </w:rPr>
        <w:t>经费</w:t>
      </w:r>
      <w:r>
        <w:rPr>
          <w:rFonts w:hint="eastAsia" w:ascii="宋体" w:hAnsi="宋体" w:eastAsia="宋体" w:cs="宋体"/>
          <w:color w:val="auto"/>
          <w:kern w:val="0"/>
          <w:szCs w:val="21"/>
          <w:highlight w:val="none"/>
        </w:rPr>
        <w:t>、人员聘用</w:t>
      </w:r>
      <w:r>
        <w:rPr>
          <w:rFonts w:hint="eastAsia" w:ascii="宋体" w:hAnsi="宋体" w:eastAsia="宋体" w:cs="宋体"/>
          <w:color w:val="auto"/>
          <w:kern w:val="0"/>
          <w:szCs w:val="21"/>
          <w:highlight w:val="none"/>
          <w:lang w:eastAsia="zh-CN"/>
        </w:rPr>
        <w:t>、开展服务</w:t>
      </w:r>
      <w:r>
        <w:rPr>
          <w:rFonts w:hint="eastAsia" w:ascii="宋体" w:hAnsi="宋体" w:eastAsia="宋体" w:cs="宋体"/>
          <w:color w:val="auto"/>
          <w:kern w:val="0"/>
          <w:szCs w:val="21"/>
          <w:highlight w:val="none"/>
        </w:rPr>
        <w:t>等；末期</w:t>
      </w:r>
      <w:r>
        <w:rPr>
          <w:rFonts w:hint="eastAsia" w:ascii="宋体" w:hAnsi="宋体" w:cs="宋体"/>
          <w:color w:val="auto"/>
          <w:kern w:val="0"/>
          <w:szCs w:val="21"/>
          <w:highlight w:val="none"/>
          <w:lang w:val="en-US" w:eastAsia="zh-CN"/>
        </w:rPr>
        <w:t>的50%服务费</w:t>
      </w:r>
      <w:r>
        <w:rPr>
          <w:rFonts w:hint="eastAsia" w:ascii="宋体" w:hAnsi="宋体" w:eastAsia="宋体" w:cs="宋体"/>
          <w:color w:val="auto"/>
          <w:kern w:val="0"/>
          <w:szCs w:val="21"/>
          <w:highlight w:val="none"/>
        </w:rPr>
        <w:t>（即服务满一年）</w:t>
      </w:r>
      <w:r>
        <w:rPr>
          <w:rFonts w:hint="eastAsia" w:ascii="宋体" w:hAnsi="宋体" w:cs="宋体"/>
          <w:color w:val="auto"/>
          <w:kern w:val="0"/>
          <w:szCs w:val="21"/>
          <w:highlight w:val="none"/>
          <w:lang w:val="en-US" w:eastAsia="zh-CN"/>
        </w:rPr>
        <w:t>根据考核结果支付</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每次款项</w:t>
      </w:r>
      <w:r>
        <w:rPr>
          <w:rFonts w:hint="eastAsia" w:ascii="宋体" w:hAnsi="宋体" w:eastAsia="宋体" w:cs="宋体"/>
          <w:color w:val="auto"/>
          <w:kern w:val="0"/>
          <w:szCs w:val="21"/>
          <w:highlight w:val="none"/>
        </w:rPr>
        <w:t>支付前</w:t>
      </w:r>
      <w:r>
        <w:rPr>
          <w:rFonts w:hint="eastAsia" w:ascii="宋体" w:hAnsi="宋体" w:cs="宋体"/>
          <w:color w:val="auto"/>
          <w:kern w:val="0"/>
          <w:szCs w:val="21"/>
          <w:highlight w:val="none"/>
          <w:lang w:val="en-US" w:eastAsia="zh-CN"/>
        </w:rPr>
        <w:t>乙方</w:t>
      </w:r>
      <w:r>
        <w:rPr>
          <w:rFonts w:hint="eastAsia" w:ascii="宋体" w:hAnsi="宋体" w:eastAsia="宋体" w:cs="宋体"/>
          <w:color w:val="auto"/>
          <w:kern w:val="0"/>
          <w:szCs w:val="21"/>
          <w:highlight w:val="none"/>
        </w:rPr>
        <w:t>应先开具等额</w:t>
      </w:r>
      <w:r>
        <w:rPr>
          <w:rFonts w:hint="eastAsia" w:ascii="宋体" w:hAnsi="宋体" w:cs="宋体"/>
          <w:color w:val="auto"/>
          <w:kern w:val="0"/>
          <w:szCs w:val="21"/>
          <w:highlight w:val="none"/>
          <w:lang w:val="en-US" w:eastAsia="zh-CN"/>
        </w:rPr>
        <w:t>税务</w:t>
      </w:r>
      <w:r>
        <w:rPr>
          <w:rFonts w:hint="eastAsia" w:ascii="宋体" w:hAnsi="宋体" w:eastAsia="宋体" w:cs="宋体"/>
          <w:color w:val="auto"/>
          <w:kern w:val="0"/>
          <w:szCs w:val="21"/>
          <w:highlight w:val="none"/>
        </w:rPr>
        <w:t>发票给</w:t>
      </w:r>
      <w:r>
        <w:rPr>
          <w:rFonts w:hint="eastAsia" w:ascii="宋体" w:hAnsi="宋体" w:cs="宋体"/>
          <w:color w:val="auto"/>
          <w:kern w:val="0"/>
          <w:szCs w:val="21"/>
          <w:highlight w:val="none"/>
          <w:lang w:val="en-US" w:eastAsia="zh-CN"/>
        </w:rPr>
        <w:t>甲方</w:t>
      </w:r>
      <w:r>
        <w:rPr>
          <w:rFonts w:hint="eastAsia" w:ascii="宋体" w:hAnsi="宋体" w:eastAsia="宋体" w:cs="宋体"/>
          <w:color w:val="auto"/>
          <w:kern w:val="0"/>
          <w:szCs w:val="21"/>
          <w:highlight w:val="none"/>
        </w:rPr>
        <w:t>后，</w:t>
      </w:r>
      <w:r>
        <w:rPr>
          <w:rFonts w:hint="eastAsia" w:ascii="宋体" w:hAnsi="宋体" w:cs="宋体"/>
          <w:color w:val="auto"/>
          <w:kern w:val="0"/>
          <w:szCs w:val="21"/>
          <w:highlight w:val="none"/>
          <w:lang w:val="en-US" w:eastAsia="zh-CN"/>
        </w:rPr>
        <w:t>甲方</w:t>
      </w:r>
      <w:r>
        <w:rPr>
          <w:rFonts w:hint="eastAsia" w:ascii="宋体" w:hAnsi="宋体" w:eastAsia="宋体" w:cs="宋体"/>
          <w:color w:val="auto"/>
          <w:kern w:val="0"/>
          <w:szCs w:val="21"/>
          <w:highlight w:val="none"/>
        </w:rPr>
        <w:t>再进行支付</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否则甲方有权拒付并不因此构成违约</w:t>
      </w:r>
      <w:r>
        <w:rPr>
          <w:rFonts w:hint="eastAsia" w:ascii="宋体" w:hAnsi="宋体" w:eastAsia="宋体" w:cs="宋体"/>
          <w:color w:val="auto"/>
          <w:kern w:val="0"/>
          <w:szCs w:val="21"/>
          <w:highlight w:val="none"/>
        </w:rPr>
        <w:t>。</w:t>
      </w:r>
    </w:p>
    <w:p w14:paraId="0670E174">
      <w:pPr>
        <w:spacing w:line="400" w:lineRule="exact"/>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第九条  资产归属</w:t>
      </w:r>
    </w:p>
    <w:p w14:paraId="51F925FD">
      <w:pPr>
        <w:spacing w:line="400" w:lineRule="exact"/>
        <w:ind w:firstLine="411" w:firstLineChars="196"/>
        <w:rPr>
          <w:rFonts w:hint="eastAsia" w:ascii="宋体" w:hAnsi="宋体" w:eastAsia="宋体" w:cs="宋体"/>
          <w:i w:val="0"/>
          <w:iCs w:val="0"/>
          <w:caps w:val="0"/>
          <w:color w:val="auto"/>
          <w:spacing w:val="0"/>
          <w:kern w:val="0"/>
          <w:sz w:val="21"/>
          <w:szCs w:val="21"/>
          <w:highlight w:val="none"/>
          <w:shd w:val="clear" w:color="auto" w:fill="auto"/>
        </w:rPr>
      </w:pPr>
      <w:r>
        <w:rPr>
          <w:rFonts w:hint="eastAsia" w:ascii="宋体" w:hAnsi="宋体" w:eastAsia="宋体" w:cs="宋体"/>
          <w:i w:val="0"/>
          <w:iCs w:val="0"/>
          <w:caps w:val="0"/>
          <w:color w:val="auto"/>
          <w:spacing w:val="0"/>
          <w:kern w:val="0"/>
          <w:sz w:val="21"/>
          <w:szCs w:val="21"/>
          <w:highlight w:val="none"/>
          <w:shd w:val="clear" w:color="auto" w:fill="auto"/>
        </w:rPr>
        <w:t>本项目购置、装修形成的全部固定资产（含设备、信息终端、装修等）所有权归甲方。合同期满或终止后，乙方10个工作日内完成资产清点移交，损毁、遗失需照价赔偿。</w:t>
      </w:r>
    </w:p>
    <w:p w14:paraId="0F47B908">
      <w:pPr>
        <w:spacing w:line="400" w:lineRule="exact"/>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第十条  违约责任</w:t>
      </w:r>
    </w:p>
    <w:p w14:paraId="7D6B57A0">
      <w:pPr>
        <w:tabs>
          <w:tab w:val="left" w:pos="420"/>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1.甲乙双方均应按磋商文件要求及乙方响应文件承诺保证按时履行合同。除非遇到不可抗力等客观情况外，不得违约。 </w:t>
      </w:r>
    </w:p>
    <w:p w14:paraId="1212825D">
      <w:pPr>
        <w:tabs>
          <w:tab w:val="left" w:pos="420"/>
        </w:tabs>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2.如任何一方未经双方协商而更改服务内容的，即为违约，除承担守约方因履行合同而形成的损失外，还应向守约方支付违约金，违约金的金额为本合同金额的20%。</w:t>
      </w:r>
    </w:p>
    <w:p w14:paraId="544BEB5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3.如果乙方未按甲方认可的服务方案开展服务或者在服务过程中有损及甲方声誉的言行的，甲方有权拒绝支付合同金额，并要求乙方赔偿相应损失。</w:t>
      </w:r>
    </w:p>
    <w:p w14:paraId="25896AAE">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4.如乙方提供假发票，乙方除须向甲方补开合法发票外，并须赔偿甲方发票票面金额一倍的违约金，且甲方有权无条件终止合同，因终止合同而产生的一切损失均由乙方承担。</w:t>
      </w:r>
    </w:p>
    <w:p w14:paraId="7A7310C4">
      <w:pPr>
        <w:spacing w:line="400" w:lineRule="exact"/>
        <w:ind w:firstLine="420" w:firstLineChars="200"/>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zCs w:val="21"/>
          <w:highlight w:val="none"/>
        </w:rPr>
        <w:t>5.乙方对提交给甲方的所有资料真实性负法律责任</w:t>
      </w:r>
      <w:r>
        <w:rPr>
          <w:rFonts w:hint="eastAsia" w:ascii="宋体" w:hAnsi="宋体" w:cs="宋体"/>
          <w:color w:val="auto"/>
          <w:szCs w:val="21"/>
          <w:highlight w:val="none"/>
          <w:lang w:eastAsia="zh-CN"/>
        </w:rPr>
        <w:t>，</w:t>
      </w:r>
      <w:r>
        <w:rPr>
          <w:rFonts w:hint="eastAsia" w:ascii="宋体" w:hAnsi="宋体" w:cs="宋体"/>
          <w:color w:val="auto"/>
          <w:spacing w:val="0"/>
          <w:sz w:val="21"/>
          <w:szCs w:val="21"/>
          <w:highlight w:val="none"/>
          <w:lang w:val="en-US" w:eastAsia="zh-CN"/>
        </w:rPr>
        <w:t>如发现虚假，甲方有权终止合同，除退还已支付的款项外，还需按总额的20%赔偿甲方违约金</w:t>
      </w:r>
      <w:r>
        <w:rPr>
          <w:rFonts w:hint="eastAsia" w:ascii="宋体" w:hAnsi="宋体" w:eastAsia="宋体" w:cs="宋体"/>
          <w:color w:val="auto"/>
          <w:spacing w:val="0"/>
          <w:sz w:val="21"/>
          <w:szCs w:val="21"/>
          <w:highlight w:val="none"/>
          <w:lang w:eastAsia="zh-CN"/>
        </w:rPr>
        <w:t>。</w:t>
      </w:r>
    </w:p>
    <w:p w14:paraId="54FA1F2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0" w:lineRule="exact"/>
        <w:ind w:left="0" w:right="0" w:firstLine="488" w:firstLineChars="200"/>
        <w:jc w:val="left"/>
        <w:rPr>
          <w:rFonts w:hint="eastAsia" w:ascii="宋体" w:hAnsi="宋体" w:eastAsia="宋体" w:cs="宋体"/>
          <w:color w:val="auto"/>
          <w:spacing w:val="0"/>
          <w:sz w:val="21"/>
          <w:szCs w:val="21"/>
          <w:highlight w:val="none"/>
        </w:rPr>
      </w:pPr>
      <w:r>
        <w:rPr>
          <w:rFonts w:hint="eastAsia" w:ascii="宋体" w:hAnsi="宋体" w:cs="宋体"/>
          <w:color w:val="auto"/>
          <w:spacing w:val="12"/>
          <w:sz w:val="22"/>
          <w:szCs w:val="22"/>
          <w:highlight w:val="none"/>
          <w:lang w:val="en-US" w:eastAsia="zh-CN"/>
        </w:rPr>
        <w:t xml:space="preserve"> </w:t>
      </w:r>
      <w:r>
        <w:rPr>
          <w:rFonts w:hint="eastAsia" w:ascii="宋体" w:hAnsi="宋体" w:eastAsia="宋体" w:cs="宋体"/>
          <w:color w:val="auto"/>
          <w:spacing w:val="0"/>
          <w:sz w:val="21"/>
          <w:szCs w:val="21"/>
          <w:highlight w:val="none"/>
          <w:lang w:val="en-US" w:eastAsia="zh-CN"/>
        </w:rPr>
        <w:t>6、</w:t>
      </w:r>
      <w:r>
        <w:rPr>
          <w:rFonts w:hint="eastAsia" w:ascii="宋体" w:hAnsi="宋体" w:eastAsia="宋体" w:cs="宋体"/>
          <w:i w:val="0"/>
          <w:iCs w:val="0"/>
          <w:caps w:val="0"/>
          <w:color w:val="auto"/>
          <w:spacing w:val="0"/>
          <w:sz w:val="21"/>
          <w:szCs w:val="21"/>
          <w:highlight w:val="none"/>
          <w:shd w:val="clear" w:color="auto" w:fill="auto"/>
        </w:rPr>
        <w:t>乙方出现下列情形之一的，甲方有权视情节轻重采取警告、通报批评、暂停付款、终止合同等措施，并依法追究</w:t>
      </w:r>
      <w:r>
        <w:rPr>
          <w:rFonts w:hint="eastAsia" w:ascii="宋体" w:hAnsi="宋体" w:eastAsia="宋体" w:cs="宋体"/>
          <w:i w:val="0"/>
          <w:iCs w:val="0"/>
          <w:caps w:val="0"/>
          <w:color w:val="auto"/>
          <w:spacing w:val="0"/>
          <w:sz w:val="21"/>
          <w:szCs w:val="21"/>
          <w:highlight w:val="none"/>
          <w:shd w:val="clear" w:color="auto" w:fill="auto"/>
          <w:lang w:val="en-US" w:eastAsia="zh-CN"/>
        </w:rPr>
        <w:t>乙方合同总额20%的</w:t>
      </w:r>
      <w:r>
        <w:rPr>
          <w:rFonts w:hint="eastAsia" w:ascii="宋体" w:hAnsi="宋体" w:eastAsia="宋体" w:cs="宋体"/>
          <w:i w:val="0"/>
          <w:iCs w:val="0"/>
          <w:caps w:val="0"/>
          <w:color w:val="auto"/>
          <w:spacing w:val="0"/>
          <w:sz w:val="21"/>
          <w:szCs w:val="21"/>
          <w:highlight w:val="none"/>
          <w:shd w:val="clear" w:color="auto" w:fill="auto"/>
        </w:rPr>
        <w:t>违约责任：</w:t>
      </w:r>
    </w:p>
    <w:p w14:paraId="39E3DA6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0" w:lineRule="exact"/>
        <w:ind w:left="0" w:right="0" w:firstLine="420" w:firstLineChars="200"/>
        <w:jc w:val="left"/>
        <w:rPr>
          <w:rFonts w:hint="eastAsia" w:ascii="宋体" w:hAnsi="宋体" w:eastAsia="宋体" w:cs="宋体"/>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lang w:val="en-US" w:eastAsia="zh-CN"/>
        </w:rPr>
        <w:t>1</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rPr>
        <w:t>连续两个季度主要考核指标低于80%；</w:t>
      </w:r>
    </w:p>
    <w:p w14:paraId="1E2DD9B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0" w:lineRule="exact"/>
        <w:ind w:left="0" w:right="0" w:firstLine="420" w:firstLineChars="200"/>
        <w:jc w:val="left"/>
        <w:rPr>
          <w:rFonts w:hint="eastAsia" w:ascii="宋体" w:hAnsi="宋体" w:eastAsia="宋体" w:cs="宋体"/>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lang w:val="en-US" w:eastAsia="zh-CN"/>
        </w:rPr>
        <w:t>2</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rPr>
        <w:t>虚报数据、伪造材料骗取财政资金；</w:t>
      </w:r>
    </w:p>
    <w:p w14:paraId="1BEE587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0" w:lineRule="exact"/>
        <w:ind w:left="0" w:right="0" w:firstLine="420" w:firstLineChars="200"/>
        <w:jc w:val="left"/>
        <w:rPr>
          <w:rFonts w:hint="eastAsia" w:ascii="宋体" w:hAnsi="宋体" w:eastAsia="宋体" w:cs="宋体"/>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lang w:val="en-US" w:eastAsia="zh-CN"/>
        </w:rPr>
        <w:t>3</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rPr>
        <w:t>擅自转包、分包服务项目；</w:t>
      </w:r>
    </w:p>
    <w:p w14:paraId="4664445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0" w:lineRule="exact"/>
        <w:ind w:left="0" w:right="0" w:firstLine="420" w:firstLineChars="200"/>
        <w:jc w:val="left"/>
        <w:rPr>
          <w:rFonts w:hint="eastAsia" w:ascii="宋体" w:hAnsi="宋体" w:eastAsia="宋体" w:cs="宋体"/>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lang w:val="en-US" w:eastAsia="zh-CN"/>
        </w:rPr>
        <w:t>4</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rPr>
        <w:t>发生重大群体性事件且处置不力；</w:t>
      </w:r>
    </w:p>
    <w:p w14:paraId="4845950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0" w:lineRule="exact"/>
        <w:ind w:left="0" w:right="0" w:firstLine="420" w:firstLineChars="200"/>
        <w:jc w:val="left"/>
        <w:rPr>
          <w:rFonts w:hint="eastAsia" w:ascii="宋体" w:hAnsi="宋体" w:eastAsia="宋体" w:cs="宋体"/>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lang w:val="en-US" w:eastAsia="zh-CN"/>
        </w:rPr>
        <w:t>5</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rPr>
        <w:t>泄露求职者个人信息造成不良影响。</w:t>
      </w:r>
    </w:p>
    <w:p w14:paraId="6F0F86D6">
      <w:pPr>
        <w:spacing w:line="400" w:lineRule="exact"/>
        <w:ind w:firstLine="420" w:firstLineChars="200"/>
        <w:rPr>
          <w:rFonts w:hint="default" w:ascii="宋体" w:hAnsi="宋体" w:eastAsia="宋体" w:cs="宋体"/>
          <w:color w:val="auto"/>
          <w:szCs w:val="21"/>
          <w:highlight w:val="none"/>
          <w:lang w:eastAsia="zh-CN"/>
        </w:rPr>
      </w:pPr>
      <w:r>
        <w:rPr>
          <w:rFonts w:hint="eastAsia" w:ascii="宋体" w:hAnsi="宋体" w:eastAsia="宋体" w:cs="宋体"/>
          <w:i w:val="0"/>
          <w:iCs w:val="0"/>
          <w:caps w:val="0"/>
          <w:color w:val="auto"/>
          <w:spacing w:val="0"/>
          <w:sz w:val="21"/>
          <w:szCs w:val="21"/>
          <w:highlight w:val="none"/>
          <w:shd w:val="clear" w:color="auto" w:fill="auto"/>
          <w:lang w:val="en-US" w:eastAsia="zh-CN"/>
        </w:rPr>
        <w:t xml:space="preserve"> 7、</w:t>
      </w:r>
      <w:r>
        <w:rPr>
          <w:rFonts w:hint="eastAsia" w:ascii="宋体" w:hAnsi="宋体" w:eastAsia="宋体" w:cs="宋体"/>
          <w:i w:val="0"/>
          <w:iCs w:val="0"/>
          <w:caps w:val="0"/>
          <w:color w:val="auto"/>
          <w:spacing w:val="0"/>
          <w:sz w:val="21"/>
          <w:szCs w:val="21"/>
          <w:highlight w:val="none"/>
          <w:shd w:val="clear" w:color="auto" w:fill="auto"/>
        </w:rPr>
        <w:t>乙方因自身原因单方面中止合同的，应退还已拨付但未履行服务对应的款项，并支付合同总额</w:t>
      </w:r>
      <w:r>
        <w:rPr>
          <w:rFonts w:hint="eastAsia" w:ascii="宋体" w:hAnsi="宋体" w:eastAsia="宋体" w:cs="宋体"/>
          <w:i w:val="0"/>
          <w:iCs w:val="0"/>
          <w:caps w:val="0"/>
          <w:color w:val="auto"/>
          <w:spacing w:val="0"/>
          <w:sz w:val="21"/>
          <w:szCs w:val="21"/>
          <w:highlight w:val="none"/>
          <w:shd w:val="clear" w:color="auto" w:fill="auto"/>
          <w:lang w:val="en-US" w:eastAsia="zh-CN"/>
        </w:rPr>
        <w:t>2</w:t>
      </w:r>
      <w:r>
        <w:rPr>
          <w:rFonts w:hint="eastAsia" w:ascii="宋体" w:hAnsi="宋体" w:eastAsia="宋体" w:cs="宋体"/>
          <w:i w:val="0"/>
          <w:iCs w:val="0"/>
          <w:caps w:val="0"/>
          <w:color w:val="auto"/>
          <w:spacing w:val="0"/>
          <w:sz w:val="21"/>
          <w:szCs w:val="21"/>
          <w:highlight w:val="none"/>
          <w:shd w:val="clear" w:color="auto" w:fill="auto"/>
        </w:rPr>
        <w:t>0%的违约金。</w:t>
      </w:r>
    </w:p>
    <w:p w14:paraId="49C64F07">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第十一条  不可抗力事件处理</w:t>
      </w:r>
    </w:p>
    <w:p w14:paraId="702180E7">
      <w:pPr>
        <w:spacing w:line="400" w:lineRule="exact"/>
        <w:ind w:left="126" w:leftChars="60"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1.在合同有效期内，乙方因不可抗力事件导致不能履行合同的，则合同履行期可在甲方同意的前提下予以相应延长。</w:t>
      </w:r>
    </w:p>
    <w:p w14:paraId="6C2EFF3E">
      <w:pPr>
        <w:spacing w:line="400" w:lineRule="exact"/>
        <w:ind w:left="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2.不可抗力事件发生后，应在三日内通知甲方，并寄送有关权威机构出具的证明。</w:t>
      </w:r>
    </w:p>
    <w:p w14:paraId="6AB9F0FC">
      <w:pPr>
        <w:spacing w:line="400" w:lineRule="exact"/>
        <w:ind w:left="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3.不可抗力事件延续三十天以上，双方应通过友好协商，确定是否继续履行合同。</w:t>
      </w:r>
    </w:p>
    <w:p w14:paraId="69476E91">
      <w:pPr>
        <w:spacing w:line="400" w:lineRule="exact"/>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第十二条  合同争议解决</w:t>
      </w:r>
    </w:p>
    <w:p w14:paraId="177A5D41">
      <w:pPr>
        <w:spacing w:line="400" w:lineRule="exact"/>
        <w:ind w:left="14"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1.因服务质量问题发生争议的，应邀请国家认可的质量检测机构对服务质量进行鉴定。服务符合标准的，鉴定费由甲方承担；服务不符合标准的，鉴定费由乙方承担。</w:t>
      </w:r>
    </w:p>
    <w:p w14:paraId="6AB0F51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2.因履行本合同引起的或与本合同有关的争议，甲乙双方应首先通过友好协商解决，如果协商不能解决，任何一方向甲方住所地人民法院起诉。</w:t>
      </w:r>
    </w:p>
    <w:p w14:paraId="190177F2">
      <w:pPr>
        <w:spacing w:line="40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3.诉讼期间，本合同继续履行。</w:t>
      </w:r>
    </w:p>
    <w:p w14:paraId="2042B158">
      <w:pPr>
        <w:spacing w:line="400" w:lineRule="exact"/>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第十三条  合同生效及其它</w:t>
      </w:r>
    </w:p>
    <w:p w14:paraId="3B2F3EAA">
      <w:pPr>
        <w:spacing w:line="400" w:lineRule="exact"/>
        <w:ind w:left="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1.合同经甲乙双方法定代表人、负责人、自然人或相应的授权代表签字并加盖单位公章后生</w:t>
      </w:r>
    </w:p>
    <w:p w14:paraId="27C47BAA">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效。</w:t>
      </w:r>
    </w:p>
    <w:p w14:paraId="3B555CBC">
      <w:pPr>
        <w:spacing w:line="400" w:lineRule="exact"/>
        <w:ind w:left="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2.合同执行中涉及采购资金和采购内容修改或补充的，需经双方签订书面补充协议，方可作</w:t>
      </w:r>
    </w:p>
    <w:p w14:paraId="6188661F">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为主合同不可分割的一部分。</w:t>
      </w:r>
    </w:p>
    <w:p w14:paraId="46A7FFF8">
      <w:pPr>
        <w:spacing w:line="400" w:lineRule="exact"/>
        <w:ind w:left="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3.本合同未尽事宜，遵照《中华人民共和国民法典》有关条文执行。</w:t>
      </w:r>
    </w:p>
    <w:p w14:paraId="77B570FF">
      <w:pPr>
        <w:spacing w:line="400" w:lineRule="exact"/>
        <w:ind w:firstLine="413" w:firstLineChars="196"/>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第十四条  合同的变更、终止</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转让</w:t>
      </w:r>
      <w:r>
        <w:rPr>
          <w:rFonts w:hint="eastAsia" w:ascii="宋体" w:hAnsi="宋体" w:eastAsia="宋体" w:cs="宋体"/>
          <w:b/>
          <w:color w:val="auto"/>
          <w:szCs w:val="21"/>
          <w:highlight w:val="none"/>
          <w:lang w:val="en-US" w:eastAsia="zh-CN"/>
        </w:rPr>
        <w:t>与续签</w:t>
      </w:r>
    </w:p>
    <w:p w14:paraId="4A67E0A8">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1.除《中华人民共和国政府采购法》第五十条规定的情形外，本合同一经签订，甲乙双方不得擅自变更，中止或终止。</w:t>
      </w:r>
    </w:p>
    <w:p w14:paraId="74DBED47">
      <w:pPr>
        <w:spacing w:line="400" w:lineRule="exact"/>
        <w:ind w:left="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2.乙方不得擅自转让其应履行的合同义务。</w:t>
      </w:r>
    </w:p>
    <w:p w14:paraId="01D6CCD6">
      <w:pPr>
        <w:spacing w:line="40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highlight w:val="none"/>
        </w:rPr>
        <w:t>3.</w:t>
      </w:r>
      <w:r>
        <w:rPr>
          <w:rFonts w:hint="eastAsia" w:ascii="宋体" w:hAnsi="宋体" w:eastAsia="宋体" w:cs="宋体"/>
          <w:color w:val="auto"/>
          <w:szCs w:val="21"/>
          <w:highlight w:val="none"/>
        </w:rPr>
        <w:t xml:space="preserve"> 合同期满，项目结项评估结果若达到良好及以上，甲方可以根据需要与乙方协商续签项目；项目结项评估结果达到合格，甲方根据考核评估结果</w:t>
      </w:r>
      <w:r>
        <w:rPr>
          <w:rFonts w:hint="eastAsia" w:ascii="宋体" w:hAnsi="宋体" w:cs="宋体"/>
          <w:color w:val="auto"/>
          <w:szCs w:val="21"/>
          <w:highlight w:val="none"/>
          <w:lang w:val="en-US" w:eastAsia="zh-CN"/>
        </w:rPr>
        <w:t>及不违反政府采购法的相关规定的情况下</w:t>
      </w:r>
      <w:r>
        <w:rPr>
          <w:rFonts w:hint="eastAsia" w:ascii="宋体" w:hAnsi="宋体" w:eastAsia="宋体" w:cs="宋体"/>
          <w:color w:val="auto"/>
          <w:szCs w:val="21"/>
          <w:highlight w:val="none"/>
        </w:rPr>
        <w:t>酌定续签项目；项目结项评估评估结果为不合格不予续签，按照政府采购程序重新确定承接主体。</w:t>
      </w:r>
    </w:p>
    <w:p w14:paraId="02E427EA">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第十五条  签订本合同依据：</w:t>
      </w:r>
    </w:p>
    <w:p w14:paraId="29D3D6D4">
      <w:pPr>
        <w:spacing w:line="40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.成交通知书。</w:t>
      </w:r>
    </w:p>
    <w:p w14:paraId="2F3CEB9F">
      <w:pPr>
        <w:adjustRightInd w:val="0"/>
        <w:snapToGrid w:val="0"/>
        <w:spacing w:line="40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第十六条　</w:t>
      </w:r>
      <w:r>
        <w:rPr>
          <w:rFonts w:hint="eastAsia" w:ascii="宋体" w:hAnsi="宋体" w:eastAsia="宋体" w:cs="宋体"/>
          <w:color w:val="auto"/>
          <w:szCs w:val="21"/>
          <w:highlight w:val="none"/>
        </w:rPr>
        <w:t>本合同一式伍份，具有同等法律效力，政府采购监管部门、采购代理机构各一份，甲方执贰份，乙方执一份（可根据需要另增加）。</w:t>
      </w:r>
    </w:p>
    <w:p w14:paraId="4C21A318">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本合同甲乙双方签字盖章后生效，自签订之日起</w:t>
      </w:r>
      <w:r>
        <w:rPr>
          <w:rFonts w:hint="default" w:ascii="宋体" w:hAnsi="宋体" w:eastAsia="宋体" w:cs="宋体"/>
          <w:color w:val="auto"/>
          <w:szCs w:val="21"/>
          <w:highlight w:val="none"/>
          <w:lang w:val="en-US"/>
        </w:rPr>
        <w:t>七</w:t>
      </w:r>
      <w:r>
        <w:rPr>
          <w:rFonts w:hint="eastAsia" w:ascii="宋体" w:hAnsi="宋体" w:eastAsia="宋体" w:cs="宋体"/>
          <w:color w:val="auto"/>
          <w:szCs w:val="21"/>
          <w:highlight w:val="none"/>
        </w:rPr>
        <w:t>个工作日内，采购人或采购代理机构应当将合同副本报政府采购监管部门备案。</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9"/>
        <w:gridCol w:w="4380"/>
      </w:tblGrid>
      <w:tr w14:paraId="28404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4" w:hRule="atLeast"/>
          <w:jc w:val="center"/>
        </w:trPr>
        <w:tc>
          <w:tcPr>
            <w:tcW w:w="4379" w:type="dxa"/>
            <w:noWrap w:val="0"/>
            <w:vAlign w:val="center"/>
          </w:tcPr>
          <w:p w14:paraId="37F96ECD">
            <w:pPr>
              <w:keepNext w:val="0"/>
              <w:keepLines w:val="0"/>
              <w:suppressLineNumbers w:val="0"/>
              <w:snapToGrid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w:t>
            </w:r>
            <w:r>
              <w:rPr>
                <w:rFonts w:hint="eastAsia" w:ascii="宋体" w:hAnsi="宋体" w:cs="宋体"/>
                <w:color w:val="auto"/>
                <w:szCs w:val="21"/>
                <w:highlight w:val="none"/>
                <w:lang w:val="en-US" w:eastAsia="zh-CN"/>
              </w:rPr>
              <w:t>公</w:t>
            </w:r>
            <w:r>
              <w:rPr>
                <w:rFonts w:hint="eastAsia" w:ascii="宋体" w:hAnsi="宋体" w:eastAsia="宋体" w:cs="宋体"/>
                <w:color w:val="auto"/>
                <w:szCs w:val="21"/>
                <w:highlight w:val="none"/>
              </w:rPr>
              <w:t xml:space="preserve">章）           </w:t>
            </w:r>
          </w:p>
          <w:p w14:paraId="1FB79649">
            <w:pPr>
              <w:keepNext w:val="0"/>
              <w:keepLines w:val="0"/>
              <w:suppressLineNumbers w:val="0"/>
              <w:snapToGrid w:val="0"/>
              <w:spacing w:before="0" w:beforeAutospacing="0" w:after="0" w:afterAutospacing="0" w:line="340" w:lineRule="exact"/>
              <w:ind w:left="0" w:right="0"/>
              <w:jc w:val="left"/>
              <w:rPr>
                <w:rFonts w:hint="eastAsia" w:ascii="宋体" w:hAnsi="宋体" w:eastAsia="宋体" w:cs="宋体"/>
                <w:color w:val="auto"/>
                <w:szCs w:val="21"/>
                <w:highlight w:val="none"/>
              </w:rPr>
            </w:pPr>
          </w:p>
          <w:p w14:paraId="326207B7">
            <w:pPr>
              <w:pStyle w:val="19"/>
              <w:keepNext w:val="0"/>
              <w:keepLines w:val="0"/>
              <w:suppressLineNumbers w:val="0"/>
              <w:spacing w:before="0" w:beforeAutospacing="0" w:after="0" w:afterAutospacing="0"/>
              <w:ind w:left="0" w:right="0"/>
              <w:rPr>
                <w:rFonts w:hint="eastAsia" w:ascii="宋体" w:hAnsi="宋体" w:eastAsia="宋体" w:cs="宋体"/>
                <w:color w:val="auto"/>
                <w:highlight w:val="none"/>
              </w:rPr>
            </w:pPr>
          </w:p>
          <w:p w14:paraId="46ECD90D">
            <w:pPr>
              <w:pStyle w:val="19"/>
              <w:keepNext w:val="0"/>
              <w:keepLines w:val="0"/>
              <w:suppressLineNumbers w:val="0"/>
              <w:spacing w:before="0" w:beforeAutospacing="0" w:after="0" w:afterAutospacing="0"/>
              <w:ind w:left="0" w:right="0"/>
              <w:rPr>
                <w:rFonts w:hint="eastAsia" w:ascii="宋体" w:hAnsi="宋体" w:eastAsia="宋体" w:cs="宋体"/>
                <w:color w:val="auto"/>
                <w:highlight w:val="none"/>
              </w:rPr>
            </w:pPr>
          </w:p>
          <w:p w14:paraId="78B69CB8">
            <w:pPr>
              <w:pStyle w:val="19"/>
              <w:keepNext w:val="0"/>
              <w:keepLines w:val="0"/>
              <w:suppressLineNumbers w:val="0"/>
              <w:spacing w:before="0" w:beforeAutospacing="0" w:after="0" w:afterAutospacing="0"/>
              <w:ind w:left="0" w:right="0"/>
              <w:rPr>
                <w:rFonts w:hint="eastAsia" w:ascii="宋体" w:hAnsi="宋体" w:eastAsia="宋体" w:cs="宋体"/>
                <w:color w:val="auto"/>
                <w:highlight w:val="none"/>
              </w:rPr>
            </w:pPr>
          </w:p>
          <w:p w14:paraId="56A06C46">
            <w:pPr>
              <w:pStyle w:val="19"/>
              <w:keepNext w:val="0"/>
              <w:keepLines w:val="0"/>
              <w:suppressLineNumbers w:val="0"/>
              <w:spacing w:before="0" w:beforeAutospacing="0" w:after="0" w:afterAutospacing="0"/>
              <w:ind w:left="0" w:right="0"/>
              <w:rPr>
                <w:rFonts w:hint="eastAsia" w:ascii="宋体" w:hAnsi="宋体" w:eastAsia="宋体" w:cs="宋体"/>
                <w:color w:val="auto"/>
                <w:highlight w:val="none"/>
              </w:rPr>
            </w:pPr>
          </w:p>
          <w:p w14:paraId="333CC2D0">
            <w:pPr>
              <w:keepNext w:val="0"/>
              <w:keepLines w:val="0"/>
              <w:suppressLineNumbers w:val="0"/>
              <w:wordWrap w:val="0"/>
              <w:snapToGrid w:val="0"/>
              <w:spacing w:before="0" w:beforeAutospacing="0" w:after="0" w:afterAutospacing="0" w:line="340" w:lineRule="exact"/>
              <w:ind w:left="0" w:right="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c>
          <w:tcPr>
            <w:tcW w:w="4380" w:type="dxa"/>
            <w:noWrap w:val="0"/>
            <w:vAlign w:val="center"/>
          </w:tcPr>
          <w:p w14:paraId="22D73ED2">
            <w:pPr>
              <w:keepNext w:val="0"/>
              <w:keepLines w:val="0"/>
              <w:suppressLineNumbers w:val="0"/>
              <w:snapToGrid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w:t>
            </w:r>
            <w:r>
              <w:rPr>
                <w:rFonts w:hint="eastAsia" w:ascii="宋体" w:hAnsi="宋体" w:cs="宋体"/>
                <w:color w:val="auto"/>
                <w:szCs w:val="21"/>
                <w:highlight w:val="none"/>
                <w:lang w:val="en-US" w:eastAsia="zh-CN"/>
              </w:rPr>
              <w:t>公</w:t>
            </w:r>
            <w:r>
              <w:rPr>
                <w:rFonts w:hint="eastAsia" w:ascii="宋体" w:hAnsi="宋体" w:eastAsia="宋体" w:cs="宋体"/>
                <w:color w:val="auto"/>
                <w:szCs w:val="21"/>
                <w:highlight w:val="none"/>
              </w:rPr>
              <w:t xml:space="preserve">章）        </w:t>
            </w:r>
          </w:p>
          <w:p w14:paraId="0F2B09F7">
            <w:pPr>
              <w:keepNext w:val="0"/>
              <w:keepLines w:val="0"/>
              <w:suppressLineNumbers w:val="0"/>
              <w:snapToGrid w:val="0"/>
              <w:spacing w:before="0" w:beforeAutospacing="0" w:after="0" w:afterAutospacing="0" w:line="340" w:lineRule="exact"/>
              <w:ind w:left="0" w:right="0"/>
              <w:rPr>
                <w:rFonts w:hint="eastAsia" w:ascii="宋体" w:hAnsi="宋体" w:eastAsia="宋体" w:cs="宋体"/>
                <w:color w:val="auto"/>
                <w:szCs w:val="21"/>
                <w:highlight w:val="none"/>
              </w:rPr>
            </w:pPr>
          </w:p>
          <w:p w14:paraId="7B175F71">
            <w:pPr>
              <w:keepNext w:val="0"/>
              <w:keepLines w:val="0"/>
              <w:suppressLineNumbers w:val="0"/>
              <w:snapToGrid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69BDF1D6">
            <w:pPr>
              <w:pStyle w:val="19"/>
              <w:keepNext w:val="0"/>
              <w:keepLines w:val="0"/>
              <w:suppressLineNumbers w:val="0"/>
              <w:spacing w:before="0" w:beforeAutospacing="0" w:after="0" w:afterAutospacing="0"/>
              <w:ind w:left="0" w:right="0"/>
              <w:rPr>
                <w:rFonts w:hint="eastAsia" w:ascii="宋体" w:hAnsi="宋体" w:eastAsia="宋体" w:cs="宋体"/>
                <w:color w:val="auto"/>
                <w:highlight w:val="none"/>
              </w:rPr>
            </w:pPr>
          </w:p>
          <w:p w14:paraId="3EEFA3D5">
            <w:pPr>
              <w:pStyle w:val="19"/>
              <w:keepNext w:val="0"/>
              <w:keepLines w:val="0"/>
              <w:suppressLineNumbers w:val="0"/>
              <w:spacing w:before="0" w:beforeAutospacing="0" w:after="0" w:afterAutospacing="0"/>
              <w:ind w:left="0" w:right="0"/>
              <w:rPr>
                <w:rFonts w:hint="eastAsia" w:ascii="宋体" w:hAnsi="宋体" w:eastAsia="宋体" w:cs="宋体"/>
                <w:color w:val="auto"/>
                <w:highlight w:val="none"/>
              </w:rPr>
            </w:pPr>
          </w:p>
          <w:p w14:paraId="794A31BA">
            <w:pPr>
              <w:keepNext w:val="0"/>
              <w:keepLines w:val="0"/>
              <w:suppressLineNumbers w:val="0"/>
              <w:wordWrap w:val="0"/>
              <w:snapToGrid w:val="0"/>
              <w:spacing w:before="0" w:beforeAutospacing="0" w:after="0" w:afterAutospacing="0" w:line="340" w:lineRule="exact"/>
              <w:ind w:left="0" w:right="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r w14:paraId="29367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4379" w:type="dxa"/>
            <w:noWrap w:val="0"/>
            <w:vAlign w:val="center"/>
          </w:tcPr>
          <w:p w14:paraId="496B1CDC">
            <w:pPr>
              <w:keepNext w:val="0"/>
              <w:keepLines w:val="0"/>
              <w:suppressLineNumbers w:val="0"/>
              <w:snapToGrid w:val="0"/>
              <w:spacing w:before="0" w:beforeAutospacing="0" w:after="0" w:afterAutospacing="0" w:line="340" w:lineRule="exact"/>
              <w:ind w:left="0" w:right="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lang w:val="en-US" w:eastAsia="zh-CN"/>
              </w:rPr>
              <w:t xml:space="preserve"> </w:t>
            </w:r>
          </w:p>
        </w:tc>
        <w:tc>
          <w:tcPr>
            <w:tcW w:w="4380" w:type="dxa"/>
            <w:noWrap w:val="0"/>
            <w:vAlign w:val="center"/>
          </w:tcPr>
          <w:p w14:paraId="0FCDA3CA">
            <w:pPr>
              <w:keepNext w:val="0"/>
              <w:keepLines w:val="0"/>
              <w:suppressLineNumbers w:val="0"/>
              <w:snapToGrid w:val="0"/>
              <w:spacing w:before="0" w:beforeAutospacing="0" w:after="0" w:afterAutospacing="0" w:line="340" w:lineRule="exact"/>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单位地址：</w:t>
            </w:r>
          </w:p>
        </w:tc>
      </w:tr>
      <w:tr w14:paraId="04FFA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4379" w:type="dxa"/>
            <w:noWrap w:val="0"/>
            <w:vAlign w:val="center"/>
          </w:tcPr>
          <w:p w14:paraId="0B1004D1">
            <w:pPr>
              <w:keepNext w:val="0"/>
              <w:keepLines w:val="0"/>
              <w:suppressLineNumbers w:val="0"/>
              <w:snapToGrid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4380" w:type="dxa"/>
            <w:noWrap w:val="0"/>
            <w:vAlign w:val="center"/>
          </w:tcPr>
          <w:p w14:paraId="3369458F">
            <w:pPr>
              <w:keepNext w:val="0"/>
              <w:keepLines w:val="0"/>
              <w:suppressLineNumbers w:val="0"/>
              <w:snapToGrid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r>
      <w:tr w14:paraId="0F19D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4379" w:type="dxa"/>
            <w:noWrap w:val="0"/>
            <w:vAlign w:val="center"/>
          </w:tcPr>
          <w:p w14:paraId="5F19DF36">
            <w:pPr>
              <w:keepNext w:val="0"/>
              <w:keepLines w:val="0"/>
              <w:suppressLineNumbers w:val="0"/>
              <w:snapToGrid w:val="0"/>
              <w:spacing w:before="0" w:beforeAutospacing="0" w:after="0" w:afterAutospacing="0" w:line="340" w:lineRule="exact"/>
              <w:ind w:left="0" w:right="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lang w:val="en-US" w:eastAsia="zh-CN"/>
              </w:rPr>
              <w:t xml:space="preserve"> </w:t>
            </w:r>
          </w:p>
        </w:tc>
        <w:tc>
          <w:tcPr>
            <w:tcW w:w="4380" w:type="dxa"/>
            <w:noWrap w:val="0"/>
            <w:vAlign w:val="center"/>
          </w:tcPr>
          <w:p w14:paraId="6ED24DB0">
            <w:pPr>
              <w:keepNext w:val="0"/>
              <w:keepLines w:val="0"/>
              <w:suppressLineNumbers w:val="0"/>
              <w:snapToGrid w:val="0"/>
              <w:spacing w:before="0" w:beforeAutospacing="0" w:after="0" w:afterAutospacing="0" w:line="340" w:lineRule="exact"/>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lang w:val="en-US" w:eastAsia="zh-CN"/>
              </w:rPr>
              <w:t xml:space="preserve"> </w:t>
            </w:r>
          </w:p>
        </w:tc>
      </w:tr>
      <w:tr w14:paraId="55FD9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4379" w:type="dxa"/>
            <w:noWrap w:val="0"/>
            <w:vAlign w:val="center"/>
          </w:tcPr>
          <w:p w14:paraId="5EECD596">
            <w:pPr>
              <w:keepNext w:val="0"/>
              <w:keepLines w:val="0"/>
              <w:suppressLineNumbers w:val="0"/>
              <w:snapToGrid w:val="0"/>
              <w:spacing w:before="0" w:beforeAutospacing="0" w:after="0" w:afterAutospacing="0" w:line="340" w:lineRule="exact"/>
              <w:ind w:left="0" w:right="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lang w:val="en-US" w:eastAsia="zh-CN"/>
              </w:rPr>
              <w:t xml:space="preserve"> </w:t>
            </w:r>
          </w:p>
        </w:tc>
        <w:tc>
          <w:tcPr>
            <w:tcW w:w="4380" w:type="dxa"/>
            <w:noWrap w:val="0"/>
            <w:vAlign w:val="center"/>
          </w:tcPr>
          <w:p w14:paraId="716B2BE0">
            <w:pPr>
              <w:keepNext w:val="0"/>
              <w:keepLines w:val="0"/>
              <w:suppressLineNumbers w:val="0"/>
              <w:snapToGrid w:val="0"/>
              <w:spacing w:before="0" w:beforeAutospacing="0" w:after="0" w:afterAutospacing="0" w:line="340" w:lineRule="exact"/>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 xml:space="preserve"> </w:t>
            </w:r>
          </w:p>
        </w:tc>
      </w:tr>
      <w:tr w14:paraId="5C6C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4379" w:type="dxa"/>
            <w:noWrap w:val="0"/>
            <w:vAlign w:val="center"/>
          </w:tcPr>
          <w:p w14:paraId="2F4E287D">
            <w:pPr>
              <w:keepNext w:val="0"/>
              <w:keepLines w:val="0"/>
              <w:suppressLineNumbers w:val="0"/>
              <w:snapToGrid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4380" w:type="dxa"/>
            <w:noWrap w:val="0"/>
            <w:vAlign w:val="center"/>
          </w:tcPr>
          <w:p w14:paraId="58C411DA">
            <w:pPr>
              <w:keepNext w:val="0"/>
              <w:keepLines w:val="0"/>
              <w:suppressLineNumbers w:val="0"/>
              <w:snapToGrid w:val="0"/>
              <w:spacing w:before="0" w:beforeAutospacing="0" w:after="0" w:afterAutospacing="0" w:line="340" w:lineRule="exact"/>
              <w:ind w:left="0" w:right="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lang w:val="en-US" w:eastAsia="zh-CN"/>
              </w:rPr>
              <w:t xml:space="preserve"> </w:t>
            </w:r>
          </w:p>
        </w:tc>
      </w:tr>
      <w:tr w14:paraId="1611A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4379" w:type="dxa"/>
            <w:noWrap w:val="0"/>
            <w:vAlign w:val="center"/>
          </w:tcPr>
          <w:p w14:paraId="7F67EF6F">
            <w:pPr>
              <w:keepNext w:val="0"/>
              <w:keepLines w:val="0"/>
              <w:suppressLineNumbers w:val="0"/>
              <w:snapToGrid w:val="0"/>
              <w:spacing w:before="0" w:beforeAutospacing="0" w:after="0" w:afterAutospacing="0" w:line="340" w:lineRule="exact"/>
              <w:ind w:left="0" w:right="0"/>
              <w:rPr>
                <w:rFonts w:hint="eastAsia" w:ascii="宋体" w:hAnsi="宋体" w:eastAsia="宋体" w:cs="宋体"/>
                <w:color w:val="auto"/>
                <w:szCs w:val="21"/>
                <w:highlight w:val="none"/>
              </w:rPr>
            </w:pPr>
          </w:p>
        </w:tc>
        <w:tc>
          <w:tcPr>
            <w:tcW w:w="4380" w:type="dxa"/>
            <w:noWrap w:val="0"/>
            <w:vAlign w:val="center"/>
          </w:tcPr>
          <w:p w14:paraId="3EF67603">
            <w:pPr>
              <w:keepNext w:val="0"/>
              <w:keepLines w:val="0"/>
              <w:suppressLineNumbers w:val="0"/>
              <w:snapToGrid w:val="0"/>
              <w:spacing w:before="0" w:beforeAutospacing="0" w:after="0" w:afterAutospacing="0" w:line="340" w:lineRule="exact"/>
              <w:ind w:left="0" w:right="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lang w:val="en-US" w:eastAsia="zh-CN"/>
              </w:rPr>
              <w:t xml:space="preserve"> </w:t>
            </w:r>
          </w:p>
        </w:tc>
      </w:tr>
      <w:tr w14:paraId="32682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4379" w:type="dxa"/>
            <w:noWrap w:val="0"/>
            <w:vAlign w:val="center"/>
          </w:tcPr>
          <w:p w14:paraId="7DC01B90">
            <w:pPr>
              <w:keepNext w:val="0"/>
              <w:keepLines w:val="0"/>
              <w:suppressLineNumbers w:val="0"/>
              <w:snapToGrid w:val="0"/>
              <w:spacing w:before="0" w:beforeAutospacing="0" w:after="0" w:afterAutospacing="0" w:line="340" w:lineRule="exact"/>
              <w:ind w:left="0" w:right="0"/>
              <w:rPr>
                <w:rFonts w:hint="eastAsia" w:ascii="宋体" w:hAnsi="宋体" w:eastAsia="宋体" w:cs="宋体"/>
                <w:color w:val="auto"/>
                <w:szCs w:val="21"/>
                <w:highlight w:val="none"/>
              </w:rPr>
            </w:pPr>
          </w:p>
        </w:tc>
        <w:tc>
          <w:tcPr>
            <w:tcW w:w="4380" w:type="dxa"/>
            <w:noWrap w:val="0"/>
            <w:vAlign w:val="center"/>
          </w:tcPr>
          <w:p w14:paraId="21EB8B3A">
            <w:pPr>
              <w:keepNext w:val="0"/>
              <w:keepLines w:val="0"/>
              <w:suppressLineNumbers w:val="0"/>
              <w:snapToGrid w:val="0"/>
              <w:spacing w:before="0" w:beforeAutospacing="0" w:after="0" w:afterAutospacing="0" w:line="340" w:lineRule="exact"/>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邮政编码：</w:t>
            </w:r>
          </w:p>
        </w:tc>
      </w:tr>
      <w:bookmarkEnd w:id="183"/>
    </w:tbl>
    <w:p w14:paraId="2A723449">
      <w:pPr>
        <w:pageBreakBefore w:val="0"/>
        <w:kinsoku/>
        <w:topLinePunct w:val="0"/>
        <w:bidi w:val="0"/>
        <w:spacing w:before="60" w:after="60" w:line="360" w:lineRule="auto"/>
        <w:rPr>
          <w:rFonts w:ascii="宋体" w:hAnsi="宋体" w:cs="宋体"/>
          <w:color w:val="auto"/>
          <w:sz w:val="22"/>
          <w:szCs w:val="22"/>
          <w:highlight w:val="none"/>
        </w:rPr>
      </w:pPr>
    </w:p>
    <w:sectPr>
      <w:footerReference r:id="rId8" w:type="first"/>
      <w:footerReference r:id="rId7" w:type="default"/>
      <w:pgSz w:w="11906" w:h="16838"/>
      <w:pgMar w:top="1440" w:right="1440" w:bottom="1440" w:left="158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DF60D43-41C0-450A-A0FE-CFB24B728834}"/>
  </w:font>
  <w:font w:name="黑体">
    <w:panose1 w:val="02010609060101010101"/>
    <w:charset w:val="86"/>
    <w:family w:val="auto"/>
    <w:pitch w:val="default"/>
    <w:sig w:usb0="800002BF" w:usb1="38CF7CFA" w:usb2="00000016" w:usb3="00000000" w:csb0="00040001" w:csb1="00000000"/>
    <w:embedRegular r:id="rId2" w:fontKey="{95AAF1E6-1590-416C-AE3D-4C0341528A1C}"/>
  </w:font>
  <w:font w:name="Courier New">
    <w:panose1 w:val="02070309020205020404"/>
    <w:charset w:val="01"/>
    <w:family w:val="modern"/>
    <w:pitch w:val="default"/>
    <w:sig w:usb0="E0002AFF" w:usb1="C0007843" w:usb2="00000009" w:usb3="00000000" w:csb0="400001FF" w:csb1="FFFF0000"/>
    <w:embedRegular r:id="rId3" w:fontKey="{76F14202-3253-42C0-83AB-10BDD7772E19}"/>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embedRegular r:id="rId4" w:fontKey="{08AD97BE-E339-49F3-9D56-0ADA4E3CC5A5}"/>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00000001" w:usb1="08000000" w:usb2="00000000" w:usb3="00000000" w:csb0="00040000" w:csb1="00000000"/>
    <w:embedRegular r:id="rId5" w:fontKey="{FF69BF09-0BE6-4204-98D9-0D654FD92C3C}"/>
  </w:font>
  <w:font w:name="华文新魏">
    <w:panose1 w:val="02010800040101010101"/>
    <w:charset w:val="86"/>
    <w:family w:val="auto"/>
    <w:pitch w:val="default"/>
    <w:sig w:usb0="00000001" w:usb1="080F0000" w:usb2="00000000" w:usb3="00000000" w:csb0="00040000" w:csb1="00000000"/>
    <w:embedRegular r:id="rId6" w:fontKey="{37153F0A-69C8-4B14-B16E-E7AFAC994B01}"/>
  </w:font>
  <w:font w:name="Wingdings 2">
    <w:altName w:val="Wingdings"/>
    <w:panose1 w:val="05020102010507070707"/>
    <w:charset w:val="02"/>
    <w:family w:val="roman"/>
    <w:pitch w:val="default"/>
    <w:sig w:usb0="00000000" w:usb1="00000000" w:usb2="00000000" w:usb3="00000000" w:csb0="80000000" w:csb1="00000000"/>
    <w:embedRegular r:id="rId7" w:fontKey="{1709B36D-A1EA-495F-90E6-0C41EA90D03A}"/>
  </w:font>
  <w:font w:name="MS Mincho">
    <w:panose1 w:val="02020609040205080304"/>
    <w:charset w:val="80"/>
    <w:family w:val="modern"/>
    <w:pitch w:val="default"/>
    <w:sig w:usb0="E00002FF" w:usb1="6AC7FDFB" w:usb2="00000012" w:usb3="00000000" w:csb0="4002009F" w:csb1="DFD70000"/>
    <w:embedRegular r:id="rId8" w:fontKey="{45129EBC-1157-4BFC-A87A-1D89CC3AD6FD}"/>
  </w:font>
  <w:font w:name="Helvetica">
    <w:panose1 w:val="020B0604020202020204"/>
    <w:charset w:val="00"/>
    <w:family w:val="swiss"/>
    <w:pitch w:val="default"/>
    <w:sig w:usb0="00000000" w:usb1="00000000" w:usb2="00000000" w:usb3="00000000" w:csb0="00000000" w:csb1="00000000"/>
    <w:embedRegular r:id="rId9" w:fontKey="{5F7D0A46-2ED1-4C99-93FA-6B2E2E1C744A}"/>
  </w:font>
  <w:font w:name="Segoe UI Symbol">
    <w:panose1 w:val="020B0502040204020203"/>
    <w:charset w:val="00"/>
    <w:family w:val="swiss"/>
    <w:pitch w:val="default"/>
    <w:sig w:usb0="8000006F" w:usb1="1200FBEF" w:usb2="0064C000" w:usb3="00000002" w:csb0="00000001" w:csb1="40000000"/>
    <w:embedRegular r:id="rId10" w:fontKey="{930DAC9E-4108-48E9-A8C7-243F76409B5A}"/>
  </w:font>
  <w:font w:name="Arial Unicode MS">
    <w:altName w:val="宋体"/>
    <w:panose1 w:val="020B0604020202020204"/>
    <w:charset w:val="86"/>
    <w:family w:val="swiss"/>
    <w:pitch w:val="default"/>
    <w:sig w:usb0="00000000" w:usb1="00000000" w:usb2="0000003F" w:usb3="00000000" w:csb0="603F01FF" w:csb1="FFFF0000"/>
    <w:embedRegular r:id="rId11" w:fontKey="{95176CB8-1557-4BE7-A60D-6116C7F5C32A}"/>
  </w:font>
  <w:font w:name="Kingsoft UE">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6D873">
    <w:pPr>
      <w:pStyle w:val="19"/>
      <w:tabs>
        <w:tab w:val="center" w:pos="4439"/>
        <w:tab w:val="clear" w:pos="4153"/>
      </w:tabs>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81A0C33">
                          <w:pPr>
                            <w:pStyle w:val="1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512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xfas8BAACqAwAADgAAAGRycy9lMm9Eb2MueG1srVPNjtMwEL4j8Q6W&#10;7zRpV6A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TW/4cwKQw9++f7t8uPX5edX9nK5&#10;ukkK9R4rKrz3VBqHN26gvZnjSMFEfGiDSV+ixChP+p6v+sIQmUyX1qv1uqSUpNzsEH7xcN0HjG/B&#10;GZaMmgd6wKyrOL3HOJbOJambdXdK6/yI2v4VIMwxAnkLptuJyThxsuKwHyZ6e9eciV1Pm1BzS4vP&#10;mX5nSei0NLMRZmM/G0cf1KHLW5W6o399jDRSnjR1GGGJYXLoCTPXad3Sjvzp56qHX2z7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VPF9qzwEAAKoDAAAOAAAAAAAAAAEAIAAAAB4BAABkcnMv&#10;ZTJvRG9jLnhtbFBLBQYAAAAABgAGAFkBAABfBQAAAAA=&#10;">
              <v:fill on="f" focussize="0,0"/>
              <v:stroke on="f"/>
              <v:imagedata o:title=""/>
              <o:lock v:ext="edit" aspectratio="f"/>
              <v:textbox inset="0mm,0mm,0mm,0mm" style="mso-fit-shape-to-text:t;">
                <w:txbxContent>
                  <w:p w14:paraId="581A0C33">
                    <w:pPr>
                      <w:pStyle w:val="19"/>
                    </w:pPr>
                    <w:r>
                      <w:fldChar w:fldCharType="begin"/>
                    </w:r>
                    <w:r>
                      <w:instrText xml:space="preserve"> PAGE  \* MERGEFORMAT </w:instrText>
                    </w:r>
                    <w:r>
                      <w:fldChar w:fldCharType="separate"/>
                    </w:r>
                    <w:r>
                      <w:t>1</w:t>
                    </w:r>
                    <w:r>
                      <w:fldChar w:fldCharType="end"/>
                    </w:r>
                  </w:p>
                </w:txbxContent>
              </v:textbox>
            </v:shape>
          </w:pict>
        </mc:Fallback>
      </mc:AlternateContent>
    </w:r>
  </w:p>
  <w:p w14:paraId="3FDAC4BE">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D5483">
    <w:pPr>
      <w:pStyle w:val="19"/>
      <w:tabs>
        <w:tab w:val="center" w:pos="443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17C238E"/>
                      </w:txbxContent>
                    </wps:txbx>
                    <wps:bodyPr wrap="none" lIns="0" tIns="0" rIns="0" bIns="0" upright="0">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qai988BAACqAwAADgAAAGRycy9lMm9Eb2MueG1srVPNjtMwEL4j8Q6W&#10;7zRptaA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TW/4cwKQw9++f7t8uPX5edX9nK5&#10;ukkK9R4rKrz3VBqHN26gvZnjSMFEfGiDSV+ixChP+p6v+sIQmUyX1qv1uqSUpNzsEH7xcN0HjG/B&#10;GZaMmgd6wKyrOL3HOJbOJambdXdK6/yI2v4VIMwxAnkLptuJyThxsuKwHyZ6e9eciV1Pm1BzS4vP&#10;mX5nSei0NLMRZmM/G0cf1KHLW5W6o399jDRSnjR1GGGJYXLoCTPXad3Sjvzp56qHX2z7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qpqL3zwEAAKoDAAAOAAAAAAAAAAEAIAAAAB4BAABkcnMv&#10;ZTJvRG9jLnhtbFBLBQYAAAAABgAGAFkBAABfBQAAAAA=&#10;">
              <v:fill on="f" focussize="0,0"/>
              <v:stroke on="f"/>
              <v:imagedata o:title=""/>
              <o:lock v:ext="edit" aspectratio="f"/>
              <v:textbox inset="0mm,0mm,0mm,0mm" style="mso-fit-shape-to-text:t;">
                <w:txbxContent>
                  <w:p w14:paraId="617C238E"/>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F6CF5">
    <w:pPr>
      <w:pStyle w:val="1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330731">
                          <w:pPr>
                            <w:pStyle w:val="19"/>
                            <w:jc w:val="center"/>
                          </w:pPr>
                          <w:r>
                            <w:fldChar w:fldCharType="begin"/>
                          </w:r>
                          <w:r>
                            <w:instrText xml:space="preserve"> PAGE  \* MERGEFORMAT </w:instrText>
                          </w:r>
                          <w:r>
                            <w:fldChar w:fldCharType="separate"/>
                          </w:r>
                          <w:r>
                            <w:t>26</w:t>
                          </w:r>
                          <w:r>
                            <w:fldChar w:fldCharType="end"/>
                          </w:r>
                        </w:p>
                      </w:txbxContent>
                    </wps:txbx>
                    <wps:bodyPr wrap="none" lIns="0" tIns="0" rIns="0" bIns="0" upright="1">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0inemzAEAAJwDAAAOAAAAAAAAAAEAIAAAAB4BAABkcnMvZTJv&#10;RG9jLnhtbFBLBQYAAAAABgAGAFkBAABcBQAAAAA=&#10;">
              <v:fill on="f" focussize="0,0"/>
              <v:stroke on="f"/>
              <v:imagedata o:title=""/>
              <o:lock v:ext="edit" aspectratio="f"/>
              <v:textbox inset="0mm,0mm,0mm,0mm" style="mso-fit-shape-to-text:t;">
                <w:txbxContent>
                  <w:p w14:paraId="31330731">
                    <w:pPr>
                      <w:pStyle w:val="19"/>
                      <w:jc w:val="center"/>
                    </w:pPr>
                    <w:r>
                      <w:fldChar w:fldCharType="begin"/>
                    </w:r>
                    <w:r>
                      <w:instrText xml:space="preserve"> PAGE  \* MERGEFORMAT </w:instrText>
                    </w:r>
                    <w:r>
                      <w:fldChar w:fldCharType="separate"/>
                    </w:r>
                    <w:r>
                      <w:t>26</w:t>
                    </w:r>
                    <w:r>
                      <w:fldChar w:fldCharType="end"/>
                    </w:r>
                  </w:p>
                </w:txbxContent>
              </v:textbox>
            </v:shape>
          </w:pict>
        </mc:Fallback>
      </mc:AlternateContent>
    </w:r>
  </w:p>
  <w:p w14:paraId="20730019">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A4B66">
    <w:pPr>
      <w:pStyle w:val="1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6EDD946">
                          <w:pPr>
                            <w:pStyle w:val="1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Qz9l88BAACq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J2&#10;WVVJod5DjYVPHkvjcOcG3Js5DhhMxAcZTPoiJYJ51Pd00VcMkfB0aVWtViWmOOZmB/GL5+s+QHwv&#10;nCHJaGjAB8y6suMjxLF0LkndrLtXWudH1PavAGKOEZG3YLqdmIwTJysOu2Git3PtCdn1uAkNtbj4&#10;lOgHi0KnpZmNMBu72Tj4oPZd3qrUHfztIeJIedLUYYRFhsnBJ8xcp3VLO/Knn6uef7HN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xDP2XzwEAAKoDAAAOAAAAAAAAAAEAIAAAAB4BAABkcnMv&#10;ZTJvRG9jLnhtbFBLBQYAAAAABgAGAFkBAABfBQAAAAA=&#10;">
              <v:fill on="f" focussize="0,0"/>
              <v:stroke on="f"/>
              <v:imagedata o:title=""/>
              <o:lock v:ext="edit" aspectratio="f"/>
              <v:textbox inset="0mm,0mm,0mm,0mm" style="mso-fit-shape-to-text:t;">
                <w:txbxContent>
                  <w:p w14:paraId="06EDD946">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4084A">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86DDA">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2EF8DD"/>
    <w:multiLevelType w:val="singleLevel"/>
    <w:tmpl w:val="9D2EF8DD"/>
    <w:lvl w:ilvl="0" w:tentative="0">
      <w:start w:val="1"/>
      <w:numFmt w:val="chineseCounting"/>
      <w:suff w:val="nothing"/>
      <w:lvlText w:val="（%1）"/>
      <w:lvlJc w:val="left"/>
      <w:rPr>
        <w:rFonts w:hint="eastAsia"/>
      </w:rPr>
    </w:lvl>
  </w:abstractNum>
  <w:abstractNum w:abstractNumId="1">
    <w:nsid w:val="A896E847"/>
    <w:multiLevelType w:val="singleLevel"/>
    <w:tmpl w:val="A896E847"/>
    <w:lvl w:ilvl="0" w:tentative="0">
      <w:start w:val="1"/>
      <w:numFmt w:val="decimal"/>
      <w:lvlText w:val="%1."/>
      <w:lvlJc w:val="left"/>
      <w:pPr>
        <w:tabs>
          <w:tab w:val="left" w:pos="312"/>
        </w:tabs>
      </w:pPr>
    </w:lvl>
  </w:abstractNum>
  <w:abstractNum w:abstractNumId="2">
    <w:nsid w:val="00000006"/>
    <w:multiLevelType w:val="multilevel"/>
    <w:tmpl w:val="00000006"/>
    <w:lvl w:ilvl="0" w:tentative="0">
      <w:start w:val="1"/>
      <w:numFmt w:val="japaneseCounting"/>
      <w:lvlText w:val="第%1条"/>
      <w:lvlJc w:val="left"/>
      <w:pPr>
        <w:tabs>
          <w:tab w:val="left" w:pos="1253"/>
        </w:tabs>
        <w:ind w:left="1253" w:hanging="840"/>
      </w:pPr>
      <w:rPr>
        <w:rFonts w:hint="default"/>
      </w:rPr>
    </w:lvl>
    <w:lvl w:ilvl="1" w:tentative="0">
      <w:start w:val="1"/>
      <w:numFmt w:val="lowerLetter"/>
      <w:lvlText w:val="%2)"/>
      <w:lvlJc w:val="left"/>
      <w:pPr>
        <w:tabs>
          <w:tab w:val="left" w:pos="1253"/>
        </w:tabs>
        <w:ind w:left="1253" w:hanging="420"/>
      </w:pPr>
    </w:lvl>
    <w:lvl w:ilvl="2" w:tentative="0">
      <w:start w:val="1"/>
      <w:numFmt w:val="lowerRoman"/>
      <w:lvlText w:val="%3."/>
      <w:lvlJc w:val="right"/>
      <w:pPr>
        <w:tabs>
          <w:tab w:val="left" w:pos="1673"/>
        </w:tabs>
        <w:ind w:left="1673" w:hanging="420"/>
      </w:pPr>
    </w:lvl>
    <w:lvl w:ilvl="3" w:tentative="0">
      <w:start w:val="1"/>
      <w:numFmt w:val="decimal"/>
      <w:lvlText w:val="%4."/>
      <w:lvlJc w:val="left"/>
      <w:pPr>
        <w:tabs>
          <w:tab w:val="left" w:pos="2093"/>
        </w:tabs>
        <w:ind w:left="2093" w:hanging="420"/>
      </w:pPr>
    </w:lvl>
    <w:lvl w:ilvl="4" w:tentative="0">
      <w:start w:val="1"/>
      <w:numFmt w:val="lowerLetter"/>
      <w:lvlText w:val="%5)"/>
      <w:lvlJc w:val="left"/>
      <w:pPr>
        <w:tabs>
          <w:tab w:val="left" w:pos="2513"/>
        </w:tabs>
        <w:ind w:left="2513" w:hanging="420"/>
      </w:pPr>
    </w:lvl>
    <w:lvl w:ilvl="5" w:tentative="0">
      <w:start w:val="1"/>
      <w:numFmt w:val="lowerRoman"/>
      <w:lvlText w:val="%6."/>
      <w:lvlJc w:val="right"/>
      <w:pPr>
        <w:tabs>
          <w:tab w:val="left" w:pos="2933"/>
        </w:tabs>
        <w:ind w:left="2933" w:hanging="420"/>
      </w:pPr>
    </w:lvl>
    <w:lvl w:ilvl="6" w:tentative="0">
      <w:start w:val="1"/>
      <w:numFmt w:val="decimal"/>
      <w:lvlText w:val="%7."/>
      <w:lvlJc w:val="left"/>
      <w:pPr>
        <w:tabs>
          <w:tab w:val="left" w:pos="3353"/>
        </w:tabs>
        <w:ind w:left="3353" w:hanging="420"/>
      </w:pPr>
    </w:lvl>
    <w:lvl w:ilvl="7" w:tentative="0">
      <w:start w:val="1"/>
      <w:numFmt w:val="lowerLetter"/>
      <w:lvlText w:val="%8)"/>
      <w:lvlJc w:val="left"/>
      <w:pPr>
        <w:tabs>
          <w:tab w:val="left" w:pos="3773"/>
        </w:tabs>
        <w:ind w:left="3773" w:hanging="420"/>
      </w:pPr>
    </w:lvl>
    <w:lvl w:ilvl="8" w:tentative="0">
      <w:start w:val="1"/>
      <w:numFmt w:val="lowerRoman"/>
      <w:lvlText w:val="%9."/>
      <w:lvlJc w:val="right"/>
      <w:pPr>
        <w:tabs>
          <w:tab w:val="left" w:pos="4193"/>
        </w:tabs>
        <w:ind w:left="4193" w:hanging="420"/>
      </w:pPr>
    </w:lvl>
  </w:abstractNum>
  <w:abstractNum w:abstractNumId="3">
    <w:nsid w:val="40BA45D3"/>
    <w:multiLevelType w:val="singleLevel"/>
    <w:tmpl w:val="40BA45D3"/>
    <w:lvl w:ilvl="0" w:tentative="0">
      <w:start w:val="6"/>
      <w:numFmt w:val="chineseCounting"/>
      <w:suff w:val="space"/>
      <w:lvlText w:val="第%1条"/>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0NDU3ZDY2OTMwNTExNTAzMDYyOWIzNWU5MDUwY2EifQ=="/>
  </w:docVars>
  <w:rsids>
    <w:rsidRoot w:val="00F34B14"/>
    <w:rsid w:val="000002E0"/>
    <w:rsid w:val="00000672"/>
    <w:rsid w:val="00001013"/>
    <w:rsid w:val="00001799"/>
    <w:rsid w:val="00001AF2"/>
    <w:rsid w:val="00001ECA"/>
    <w:rsid w:val="00002D29"/>
    <w:rsid w:val="00003B93"/>
    <w:rsid w:val="0000474D"/>
    <w:rsid w:val="00004F1A"/>
    <w:rsid w:val="00005FDF"/>
    <w:rsid w:val="0000626C"/>
    <w:rsid w:val="0000644A"/>
    <w:rsid w:val="000070B3"/>
    <w:rsid w:val="000076B8"/>
    <w:rsid w:val="000109DC"/>
    <w:rsid w:val="00010D39"/>
    <w:rsid w:val="0001172C"/>
    <w:rsid w:val="00011BC9"/>
    <w:rsid w:val="00012854"/>
    <w:rsid w:val="00012EA6"/>
    <w:rsid w:val="00013359"/>
    <w:rsid w:val="000139CF"/>
    <w:rsid w:val="00013AA4"/>
    <w:rsid w:val="00013DFE"/>
    <w:rsid w:val="000141EA"/>
    <w:rsid w:val="000160A2"/>
    <w:rsid w:val="00016ABC"/>
    <w:rsid w:val="000177DB"/>
    <w:rsid w:val="000179C9"/>
    <w:rsid w:val="00017CCC"/>
    <w:rsid w:val="00020227"/>
    <w:rsid w:val="00020263"/>
    <w:rsid w:val="00020455"/>
    <w:rsid w:val="00020813"/>
    <w:rsid w:val="000215D0"/>
    <w:rsid w:val="000220B2"/>
    <w:rsid w:val="0002264C"/>
    <w:rsid w:val="00022731"/>
    <w:rsid w:val="00022792"/>
    <w:rsid w:val="00024463"/>
    <w:rsid w:val="00024D40"/>
    <w:rsid w:val="00025461"/>
    <w:rsid w:val="00025636"/>
    <w:rsid w:val="00025E36"/>
    <w:rsid w:val="00026855"/>
    <w:rsid w:val="00026886"/>
    <w:rsid w:val="0002785D"/>
    <w:rsid w:val="000301D4"/>
    <w:rsid w:val="000307BE"/>
    <w:rsid w:val="000329E0"/>
    <w:rsid w:val="000352E9"/>
    <w:rsid w:val="00035494"/>
    <w:rsid w:val="00035DD5"/>
    <w:rsid w:val="00036125"/>
    <w:rsid w:val="00036A07"/>
    <w:rsid w:val="0003780B"/>
    <w:rsid w:val="00040571"/>
    <w:rsid w:val="00040973"/>
    <w:rsid w:val="0004156E"/>
    <w:rsid w:val="00041713"/>
    <w:rsid w:val="0004440C"/>
    <w:rsid w:val="00046B5E"/>
    <w:rsid w:val="000470CB"/>
    <w:rsid w:val="000509D9"/>
    <w:rsid w:val="000512AF"/>
    <w:rsid w:val="00051ACB"/>
    <w:rsid w:val="000533E7"/>
    <w:rsid w:val="00055D41"/>
    <w:rsid w:val="000562AD"/>
    <w:rsid w:val="00056EF6"/>
    <w:rsid w:val="00057CD6"/>
    <w:rsid w:val="00060DCE"/>
    <w:rsid w:val="000610E3"/>
    <w:rsid w:val="000614F3"/>
    <w:rsid w:val="000623B4"/>
    <w:rsid w:val="00062405"/>
    <w:rsid w:val="000634A7"/>
    <w:rsid w:val="00063737"/>
    <w:rsid w:val="00063B0B"/>
    <w:rsid w:val="00063F81"/>
    <w:rsid w:val="0006409B"/>
    <w:rsid w:val="00064847"/>
    <w:rsid w:val="00065E08"/>
    <w:rsid w:val="000673E2"/>
    <w:rsid w:val="00067EF1"/>
    <w:rsid w:val="0007063F"/>
    <w:rsid w:val="000707FD"/>
    <w:rsid w:val="00070949"/>
    <w:rsid w:val="000711E4"/>
    <w:rsid w:val="00071E9B"/>
    <w:rsid w:val="000720A1"/>
    <w:rsid w:val="000724D9"/>
    <w:rsid w:val="00072AED"/>
    <w:rsid w:val="00073F47"/>
    <w:rsid w:val="0007492F"/>
    <w:rsid w:val="00074ED8"/>
    <w:rsid w:val="00075B7E"/>
    <w:rsid w:val="00077ACA"/>
    <w:rsid w:val="00077C70"/>
    <w:rsid w:val="000813B5"/>
    <w:rsid w:val="00081776"/>
    <w:rsid w:val="0008191E"/>
    <w:rsid w:val="00081BA3"/>
    <w:rsid w:val="00081D2E"/>
    <w:rsid w:val="00081F89"/>
    <w:rsid w:val="00082619"/>
    <w:rsid w:val="00082D02"/>
    <w:rsid w:val="0008381A"/>
    <w:rsid w:val="00083871"/>
    <w:rsid w:val="00083B91"/>
    <w:rsid w:val="0008473C"/>
    <w:rsid w:val="0008520B"/>
    <w:rsid w:val="000857DE"/>
    <w:rsid w:val="000860BD"/>
    <w:rsid w:val="000871B8"/>
    <w:rsid w:val="00087B0A"/>
    <w:rsid w:val="000914AF"/>
    <w:rsid w:val="000916DA"/>
    <w:rsid w:val="00091AAB"/>
    <w:rsid w:val="00092442"/>
    <w:rsid w:val="000929EF"/>
    <w:rsid w:val="00092C26"/>
    <w:rsid w:val="000933BE"/>
    <w:rsid w:val="00094473"/>
    <w:rsid w:val="0009560F"/>
    <w:rsid w:val="0009588E"/>
    <w:rsid w:val="000959EE"/>
    <w:rsid w:val="00095E09"/>
    <w:rsid w:val="00096DB9"/>
    <w:rsid w:val="00097183"/>
    <w:rsid w:val="000972CB"/>
    <w:rsid w:val="00097608"/>
    <w:rsid w:val="000A0F35"/>
    <w:rsid w:val="000A1175"/>
    <w:rsid w:val="000A13F3"/>
    <w:rsid w:val="000A1C18"/>
    <w:rsid w:val="000A23B1"/>
    <w:rsid w:val="000A2B0E"/>
    <w:rsid w:val="000A398F"/>
    <w:rsid w:val="000A448C"/>
    <w:rsid w:val="000A4AA3"/>
    <w:rsid w:val="000A509C"/>
    <w:rsid w:val="000A54A7"/>
    <w:rsid w:val="000A5A17"/>
    <w:rsid w:val="000A6007"/>
    <w:rsid w:val="000A65A6"/>
    <w:rsid w:val="000A70E3"/>
    <w:rsid w:val="000A7275"/>
    <w:rsid w:val="000A7A12"/>
    <w:rsid w:val="000A7A72"/>
    <w:rsid w:val="000B1202"/>
    <w:rsid w:val="000B1801"/>
    <w:rsid w:val="000B1D0C"/>
    <w:rsid w:val="000B2273"/>
    <w:rsid w:val="000B2BC6"/>
    <w:rsid w:val="000B2D03"/>
    <w:rsid w:val="000B37F2"/>
    <w:rsid w:val="000B3815"/>
    <w:rsid w:val="000B3C7B"/>
    <w:rsid w:val="000B3E68"/>
    <w:rsid w:val="000B4321"/>
    <w:rsid w:val="000B6A6B"/>
    <w:rsid w:val="000B6C95"/>
    <w:rsid w:val="000B79FC"/>
    <w:rsid w:val="000C0139"/>
    <w:rsid w:val="000C1679"/>
    <w:rsid w:val="000C1750"/>
    <w:rsid w:val="000C1EE3"/>
    <w:rsid w:val="000C3AE7"/>
    <w:rsid w:val="000C3CC9"/>
    <w:rsid w:val="000C431A"/>
    <w:rsid w:val="000C59C6"/>
    <w:rsid w:val="000C6DE4"/>
    <w:rsid w:val="000C7194"/>
    <w:rsid w:val="000C7202"/>
    <w:rsid w:val="000D0A89"/>
    <w:rsid w:val="000D1389"/>
    <w:rsid w:val="000D1798"/>
    <w:rsid w:val="000D19F7"/>
    <w:rsid w:val="000D2626"/>
    <w:rsid w:val="000D386F"/>
    <w:rsid w:val="000D4016"/>
    <w:rsid w:val="000D411D"/>
    <w:rsid w:val="000D4589"/>
    <w:rsid w:val="000D4809"/>
    <w:rsid w:val="000D73DD"/>
    <w:rsid w:val="000E1C51"/>
    <w:rsid w:val="000E28AB"/>
    <w:rsid w:val="000E2E3E"/>
    <w:rsid w:val="000E3583"/>
    <w:rsid w:val="000E3AF0"/>
    <w:rsid w:val="000E4E04"/>
    <w:rsid w:val="000E693B"/>
    <w:rsid w:val="000E6D5C"/>
    <w:rsid w:val="000E6EC9"/>
    <w:rsid w:val="000E70B4"/>
    <w:rsid w:val="000E7B62"/>
    <w:rsid w:val="000F0E1E"/>
    <w:rsid w:val="000F1A1B"/>
    <w:rsid w:val="000F2A95"/>
    <w:rsid w:val="000F3281"/>
    <w:rsid w:val="000F32FD"/>
    <w:rsid w:val="000F3733"/>
    <w:rsid w:val="000F5BD9"/>
    <w:rsid w:val="000F5F8B"/>
    <w:rsid w:val="000F6153"/>
    <w:rsid w:val="000F621F"/>
    <w:rsid w:val="000F64AA"/>
    <w:rsid w:val="000F7AF4"/>
    <w:rsid w:val="000F7C33"/>
    <w:rsid w:val="000F7F0C"/>
    <w:rsid w:val="001004D6"/>
    <w:rsid w:val="00101D1B"/>
    <w:rsid w:val="00102676"/>
    <w:rsid w:val="00103646"/>
    <w:rsid w:val="00103918"/>
    <w:rsid w:val="00104897"/>
    <w:rsid w:val="00104EDE"/>
    <w:rsid w:val="00104F54"/>
    <w:rsid w:val="00105CDA"/>
    <w:rsid w:val="00106BEE"/>
    <w:rsid w:val="0010711C"/>
    <w:rsid w:val="00107368"/>
    <w:rsid w:val="00107BDF"/>
    <w:rsid w:val="00107C74"/>
    <w:rsid w:val="0011091C"/>
    <w:rsid w:val="00111266"/>
    <w:rsid w:val="001112EB"/>
    <w:rsid w:val="0011247D"/>
    <w:rsid w:val="00113678"/>
    <w:rsid w:val="00113A7D"/>
    <w:rsid w:val="00113C3E"/>
    <w:rsid w:val="00114790"/>
    <w:rsid w:val="00115E11"/>
    <w:rsid w:val="00115EEE"/>
    <w:rsid w:val="00115F56"/>
    <w:rsid w:val="00116CA9"/>
    <w:rsid w:val="00116F38"/>
    <w:rsid w:val="001170A4"/>
    <w:rsid w:val="0011743F"/>
    <w:rsid w:val="00117AE7"/>
    <w:rsid w:val="00117B85"/>
    <w:rsid w:val="00117CBD"/>
    <w:rsid w:val="0012006A"/>
    <w:rsid w:val="0012095E"/>
    <w:rsid w:val="00121979"/>
    <w:rsid w:val="00122064"/>
    <w:rsid w:val="00124341"/>
    <w:rsid w:val="00124492"/>
    <w:rsid w:val="00124B12"/>
    <w:rsid w:val="001250A0"/>
    <w:rsid w:val="001256A6"/>
    <w:rsid w:val="001263B8"/>
    <w:rsid w:val="00127E5F"/>
    <w:rsid w:val="00130217"/>
    <w:rsid w:val="00130783"/>
    <w:rsid w:val="00130A47"/>
    <w:rsid w:val="00130FB0"/>
    <w:rsid w:val="00132B47"/>
    <w:rsid w:val="001337F8"/>
    <w:rsid w:val="001348B4"/>
    <w:rsid w:val="0013506E"/>
    <w:rsid w:val="001351CB"/>
    <w:rsid w:val="00135530"/>
    <w:rsid w:val="00135947"/>
    <w:rsid w:val="001359A2"/>
    <w:rsid w:val="00135F92"/>
    <w:rsid w:val="00136020"/>
    <w:rsid w:val="00136445"/>
    <w:rsid w:val="00136A8B"/>
    <w:rsid w:val="00136A9C"/>
    <w:rsid w:val="00137389"/>
    <w:rsid w:val="00140132"/>
    <w:rsid w:val="00140997"/>
    <w:rsid w:val="00141C9C"/>
    <w:rsid w:val="0014277F"/>
    <w:rsid w:val="001434BE"/>
    <w:rsid w:val="00143AAD"/>
    <w:rsid w:val="00144050"/>
    <w:rsid w:val="00144369"/>
    <w:rsid w:val="0014479F"/>
    <w:rsid w:val="001452B4"/>
    <w:rsid w:val="00145320"/>
    <w:rsid w:val="001476D3"/>
    <w:rsid w:val="001509CF"/>
    <w:rsid w:val="00150D1D"/>
    <w:rsid w:val="00151798"/>
    <w:rsid w:val="001525AA"/>
    <w:rsid w:val="00152993"/>
    <w:rsid w:val="00152A87"/>
    <w:rsid w:val="00152AC1"/>
    <w:rsid w:val="00153BB5"/>
    <w:rsid w:val="00154518"/>
    <w:rsid w:val="00156359"/>
    <w:rsid w:val="00156DD6"/>
    <w:rsid w:val="00160157"/>
    <w:rsid w:val="0016086E"/>
    <w:rsid w:val="001609B9"/>
    <w:rsid w:val="00160D0C"/>
    <w:rsid w:val="00160DD1"/>
    <w:rsid w:val="00161172"/>
    <w:rsid w:val="00161998"/>
    <w:rsid w:val="00161E65"/>
    <w:rsid w:val="00162597"/>
    <w:rsid w:val="001629AF"/>
    <w:rsid w:val="001629FD"/>
    <w:rsid w:val="0016428A"/>
    <w:rsid w:val="001647C9"/>
    <w:rsid w:val="00165627"/>
    <w:rsid w:val="001661A3"/>
    <w:rsid w:val="00167226"/>
    <w:rsid w:val="0016782B"/>
    <w:rsid w:val="0016784D"/>
    <w:rsid w:val="00167853"/>
    <w:rsid w:val="00167887"/>
    <w:rsid w:val="00170B05"/>
    <w:rsid w:val="00171E11"/>
    <w:rsid w:val="00172CA8"/>
    <w:rsid w:val="00173256"/>
    <w:rsid w:val="00173B0E"/>
    <w:rsid w:val="00173E03"/>
    <w:rsid w:val="0017512C"/>
    <w:rsid w:val="001756AF"/>
    <w:rsid w:val="0017586A"/>
    <w:rsid w:val="00175BA6"/>
    <w:rsid w:val="00176CA7"/>
    <w:rsid w:val="00176D0C"/>
    <w:rsid w:val="00176F8E"/>
    <w:rsid w:val="001778C5"/>
    <w:rsid w:val="00177CEF"/>
    <w:rsid w:val="00177E56"/>
    <w:rsid w:val="00177F0A"/>
    <w:rsid w:val="00180DA0"/>
    <w:rsid w:val="001815CD"/>
    <w:rsid w:val="00181EAD"/>
    <w:rsid w:val="00182862"/>
    <w:rsid w:val="00184F57"/>
    <w:rsid w:val="00185091"/>
    <w:rsid w:val="00185544"/>
    <w:rsid w:val="00185617"/>
    <w:rsid w:val="00186FE1"/>
    <w:rsid w:val="00187A14"/>
    <w:rsid w:val="0019171E"/>
    <w:rsid w:val="00192368"/>
    <w:rsid w:val="001923A0"/>
    <w:rsid w:val="001928B1"/>
    <w:rsid w:val="00193537"/>
    <w:rsid w:val="00193846"/>
    <w:rsid w:val="00195424"/>
    <w:rsid w:val="001955FF"/>
    <w:rsid w:val="00197EDD"/>
    <w:rsid w:val="001A02B3"/>
    <w:rsid w:val="001A04BB"/>
    <w:rsid w:val="001A08D0"/>
    <w:rsid w:val="001A1B39"/>
    <w:rsid w:val="001A2120"/>
    <w:rsid w:val="001A28C6"/>
    <w:rsid w:val="001A2E69"/>
    <w:rsid w:val="001A3C34"/>
    <w:rsid w:val="001A3EDE"/>
    <w:rsid w:val="001A3F94"/>
    <w:rsid w:val="001A4222"/>
    <w:rsid w:val="001A50EA"/>
    <w:rsid w:val="001A5E24"/>
    <w:rsid w:val="001A661D"/>
    <w:rsid w:val="001A6795"/>
    <w:rsid w:val="001A6B27"/>
    <w:rsid w:val="001A6D8B"/>
    <w:rsid w:val="001A6DAA"/>
    <w:rsid w:val="001A7717"/>
    <w:rsid w:val="001A793A"/>
    <w:rsid w:val="001A7E6F"/>
    <w:rsid w:val="001B125A"/>
    <w:rsid w:val="001B1EBA"/>
    <w:rsid w:val="001B2142"/>
    <w:rsid w:val="001B2F2B"/>
    <w:rsid w:val="001B327A"/>
    <w:rsid w:val="001B35DE"/>
    <w:rsid w:val="001B3A13"/>
    <w:rsid w:val="001B3F5C"/>
    <w:rsid w:val="001B57C9"/>
    <w:rsid w:val="001B59FF"/>
    <w:rsid w:val="001B6512"/>
    <w:rsid w:val="001B65D7"/>
    <w:rsid w:val="001B6752"/>
    <w:rsid w:val="001B6768"/>
    <w:rsid w:val="001B6F1F"/>
    <w:rsid w:val="001B7ECC"/>
    <w:rsid w:val="001C025B"/>
    <w:rsid w:val="001C1148"/>
    <w:rsid w:val="001C115F"/>
    <w:rsid w:val="001C1DED"/>
    <w:rsid w:val="001C1DF9"/>
    <w:rsid w:val="001C1EAB"/>
    <w:rsid w:val="001C25A7"/>
    <w:rsid w:val="001C2775"/>
    <w:rsid w:val="001C318C"/>
    <w:rsid w:val="001C35C4"/>
    <w:rsid w:val="001C4287"/>
    <w:rsid w:val="001C4479"/>
    <w:rsid w:val="001C5190"/>
    <w:rsid w:val="001C6081"/>
    <w:rsid w:val="001C6DA4"/>
    <w:rsid w:val="001C73EB"/>
    <w:rsid w:val="001C7B48"/>
    <w:rsid w:val="001D0CFB"/>
    <w:rsid w:val="001D1A0D"/>
    <w:rsid w:val="001D29F1"/>
    <w:rsid w:val="001D343C"/>
    <w:rsid w:val="001D56E2"/>
    <w:rsid w:val="001D58A1"/>
    <w:rsid w:val="001D58C2"/>
    <w:rsid w:val="001D5A8A"/>
    <w:rsid w:val="001D61CA"/>
    <w:rsid w:val="001D6E87"/>
    <w:rsid w:val="001D735E"/>
    <w:rsid w:val="001D73C8"/>
    <w:rsid w:val="001D7BC6"/>
    <w:rsid w:val="001E129E"/>
    <w:rsid w:val="001E1379"/>
    <w:rsid w:val="001E175C"/>
    <w:rsid w:val="001E1B0E"/>
    <w:rsid w:val="001E3274"/>
    <w:rsid w:val="001E3B63"/>
    <w:rsid w:val="001E5A94"/>
    <w:rsid w:val="001F13FD"/>
    <w:rsid w:val="001F2A2E"/>
    <w:rsid w:val="001F3356"/>
    <w:rsid w:val="001F3C63"/>
    <w:rsid w:val="001F4460"/>
    <w:rsid w:val="001F6C96"/>
    <w:rsid w:val="001F711A"/>
    <w:rsid w:val="001F75B0"/>
    <w:rsid w:val="001F79CF"/>
    <w:rsid w:val="0020057C"/>
    <w:rsid w:val="0020083C"/>
    <w:rsid w:val="00200CE5"/>
    <w:rsid w:val="00200F7C"/>
    <w:rsid w:val="002014DB"/>
    <w:rsid w:val="0020150B"/>
    <w:rsid w:val="00201E12"/>
    <w:rsid w:val="00202295"/>
    <w:rsid w:val="002033B5"/>
    <w:rsid w:val="0020382C"/>
    <w:rsid w:val="0020437A"/>
    <w:rsid w:val="0020454C"/>
    <w:rsid w:val="00204740"/>
    <w:rsid w:val="00205129"/>
    <w:rsid w:val="0020521F"/>
    <w:rsid w:val="0020532C"/>
    <w:rsid w:val="00206069"/>
    <w:rsid w:val="002114C7"/>
    <w:rsid w:val="0021302C"/>
    <w:rsid w:val="00213B1C"/>
    <w:rsid w:val="00213F1E"/>
    <w:rsid w:val="0021402D"/>
    <w:rsid w:val="00214202"/>
    <w:rsid w:val="002148E3"/>
    <w:rsid w:val="0021552D"/>
    <w:rsid w:val="002156AE"/>
    <w:rsid w:val="00215E99"/>
    <w:rsid w:val="0022054D"/>
    <w:rsid w:val="0022107B"/>
    <w:rsid w:val="00223DDB"/>
    <w:rsid w:val="00223FA4"/>
    <w:rsid w:val="00223FB0"/>
    <w:rsid w:val="0022405A"/>
    <w:rsid w:val="00224067"/>
    <w:rsid w:val="0022421C"/>
    <w:rsid w:val="00224C4A"/>
    <w:rsid w:val="00224DF7"/>
    <w:rsid w:val="00224E83"/>
    <w:rsid w:val="00225664"/>
    <w:rsid w:val="0022663D"/>
    <w:rsid w:val="00227C56"/>
    <w:rsid w:val="00227F2D"/>
    <w:rsid w:val="00231851"/>
    <w:rsid w:val="002319FB"/>
    <w:rsid w:val="00231B89"/>
    <w:rsid w:val="00231F11"/>
    <w:rsid w:val="00231F5E"/>
    <w:rsid w:val="002346B4"/>
    <w:rsid w:val="0023481E"/>
    <w:rsid w:val="00234F6E"/>
    <w:rsid w:val="002355BE"/>
    <w:rsid w:val="002358EA"/>
    <w:rsid w:val="00236578"/>
    <w:rsid w:val="00236DE9"/>
    <w:rsid w:val="00237342"/>
    <w:rsid w:val="00237D5A"/>
    <w:rsid w:val="00240D75"/>
    <w:rsid w:val="002415AE"/>
    <w:rsid w:val="00241D3C"/>
    <w:rsid w:val="00242109"/>
    <w:rsid w:val="00243189"/>
    <w:rsid w:val="002439AB"/>
    <w:rsid w:val="00243C19"/>
    <w:rsid w:val="00244AE8"/>
    <w:rsid w:val="00244C1E"/>
    <w:rsid w:val="00244DC9"/>
    <w:rsid w:val="00245587"/>
    <w:rsid w:val="00245F2B"/>
    <w:rsid w:val="002462FA"/>
    <w:rsid w:val="002466CD"/>
    <w:rsid w:val="002479FC"/>
    <w:rsid w:val="00247F3A"/>
    <w:rsid w:val="00250122"/>
    <w:rsid w:val="0025024D"/>
    <w:rsid w:val="00250755"/>
    <w:rsid w:val="00251043"/>
    <w:rsid w:val="00251C4A"/>
    <w:rsid w:val="0025271C"/>
    <w:rsid w:val="0025277A"/>
    <w:rsid w:val="002533CD"/>
    <w:rsid w:val="002535EA"/>
    <w:rsid w:val="00254EAB"/>
    <w:rsid w:val="002557AF"/>
    <w:rsid w:val="00255827"/>
    <w:rsid w:val="0025589C"/>
    <w:rsid w:val="00255B62"/>
    <w:rsid w:val="0025635C"/>
    <w:rsid w:val="002566B1"/>
    <w:rsid w:val="00257010"/>
    <w:rsid w:val="002575E3"/>
    <w:rsid w:val="00257A74"/>
    <w:rsid w:val="00257C5D"/>
    <w:rsid w:val="002603C1"/>
    <w:rsid w:val="002609A1"/>
    <w:rsid w:val="002612B1"/>
    <w:rsid w:val="00265A12"/>
    <w:rsid w:val="00266165"/>
    <w:rsid w:val="00266F2C"/>
    <w:rsid w:val="0027125E"/>
    <w:rsid w:val="00271767"/>
    <w:rsid w:val="00272293"/>
    <w:rsid w:val="002723C8"/>
    <w:rsid w:val="00273633"/>
    <w:rsid w:val="00273C2A"/>
    <w:rsid w:val="00273CBE"/>
    <w:rsid w:val="002746B1"/>
    <w:rsid w:val="00274BAD"/>
    <w:rsid w:val="00277101"/>
    <w:rsid w:val="002807B0"/>
    <w:rsid w:val="00282D56"/>
    <w:rsid w:val="002835B0"/>
    <w:rsid w:val="00283B1D"/>
    <w:rsid w:val="00283C74"/>
    <w:rsid w:val="0028407E"/>
    <w:rsid w:val="0028410F"/>
    <w:rsid w:val="00284572"/>
    <w:rsid w:val="002850AA"/>
    <w:rsid w:val="00285221"/>
    <w:rsid w:val="00286FB5"/>
    <w:rsid w:val="00287763"/>
    <w:rsid w:val="00290606"/>
    <w:rsid w:val="002909B2"/>
    <w:rsid w:val="00291D6D"/>
    <w:rsid w:val="00291FF1"/>
    <w:rsid w:val="00292AA2"/>
    <w:rsid w:val="00293006"/>
    <w:rsid w:val="00293361"/>
    <w:rsid w:val="00294F10"/>
    <w:rsid w:val="002952B1"/>
    <w:rsid w:val="00295D11"/>
    <w:rsid w:val="00296FB6"/>
    <w:rsid w:val="002A0001"/>
    <w:rsid w:val="002A0BD9"/>
    <w:rsid w:val="002A0C3A"/>
    <w:rsid w:val="002A0DF8"/>
    <w:rsid w:val="002A0F1C"/>
    <w:rsid w:val="002A1130"/>
    <w:rsid w:val="002A1880"/>
    <w:rsid w:val="002A23B7"/>
    <w:rsid w:val="002A3A57"/>
    <w:rsid w:val="002A4B4F"/>
    <w:rsid w:val="002A51B5"/>
    <w:rsid w:val="002A57A8"/>
    <w:rsid w:val="002A6DEF"/>
    <w:rsid w:val="002A770B"/>
    <w:rsid w:val="002B013E"/>
    <w:rsid w:val="002B058D"/>
    <w:rsid w:val="002B0C16"/>
    <w:rsid w:val="002B2456"/>
    <w:rsid w:val="002B2AC5"/>
    <w:rsid w:val="002B3528"/>
    <w:rsid w:val="002B3539"/>
    <w:rsid w:val="002B4395"/>
    <w:rsid w:val="002B4532"/>
    <w:rsid w:val="002B46E9"/>
    <w:rsid w:val="002B4DD9"/>
    <w:rsid w:val="002B5042"/>
    <w:rsid w:val="002B69CC"/>
    <w:rsid w:val="002B6D71"/>
    <w:rsid w:val="002C03AE"/>
    <w:rsid w:val="002C0C1C"/>
    <w:rsid w:val="002C41BF"/>
    <w:rsid w:val="002C54C2"/>
    <w:rsid w:val="002C5D34"/>
    <w:rsid w:val="002C60BB"/>
    <w:rsid w:val="002C64AA"/>
    <w:rsid w:val="002C661A"/>
    <w:rsid w:val="002D0D6F"/>
    <w:rsid w:val="002D25FC"/>
    <w:rsid w:val="002D4AC6"/>
    <w:rsid w:val="002D59BF"/>
    <w:rsid w:val="002D5BF5"/>
    <w:rsid w:val="002D5EE8"/>
    <w:rsid w:val="002D7360"/>
    <w:rsid w:val="002D7648"/>
    <w:rsid w:val="002D7C80"/>
    <w:rsid w:val="002E109C"/>
    <w:rsid w:val="002E193E"/>
    <w:rsid w:val="002E1A94"/>
    <w:rsid w:val="002E1D55"/>
    <w:rsid w:val="002E26C4"/>
    <w:rsid w:val="002E2734"/>
    <w:rsid w:val="002E30A5"/>
    <w:rsid w:val="002E47E4"/>
    <w:rsid w:val="002E4BF9"/>
    <w:rsid w:val="002E4D61"/>
    <w:rsid w:val="002E68A7"/>
    <w:rsid w:val="002E6E6C"/>
    <w:rsid w:val="002F016E"/>
    <w:rsid w:val="002F0522"/>
    <w:rsid w:val="002F16DD"/>
    <w:rsid w:val="002F199D"/>
    <w:rsid w:val="002F1BFF"/>
    <w:rsid w:val="002F213C"/>
    <w:rsid w:val="002F2453"/>
    <w:rsid w:val="002F352D"/>
    <w:rsid w:val="002F381E"/>
    <w:rsid w:val="002F4084"/>
    <w:rsid w:val="002F4A08"/>
    <w:rsid w:val="002F4ADB"/>
    <w:rsid w:val="002F531E"/>
    <w:rsid w:val="002F548D"/>
    <w:rsid w:val="002F5ACC"/>
    <w:rsid w:val="002F704B"/>
    <w:rsid w:val="002F72C3"/>
    <w:rsid w:val="002F768C"/>
    <w:rsid w:val="002F77BD"/>
    <w:rsid w:val="002F7D1E"/>
    <w:rsid w:val="00300201"/>
    <w:rsid w:val="0030025A"/>
    <w:rsid w:val="00302EFC"/>
    <w:rsid w:val="00303243"/>
    <w:rsid w:val="0030386E"/>
    <w:rsid w:val="00303BCC"/>
    <w:rsid w:val="00303F2B"/>
    <w:rsid w:val="00303F8D"/>
    <w:rsid w:val="00304FDC"/>
    <w:rsid w:val="0030572D"/>
    <w:rsid w:val="0030586A"/>
    <w:rsid w:val="0030622D"/>
    <w:rsid w:val="00306811"/>
    <w:rsid w:val="00306F32"/>
    <w:rsid w:val="003074C5"/>
    <w:rsid w:val="00307A3C"/>
    <w:rsid w:val="00307FA4"/>
    <w:rsid w:val="00310290"/>
    <w:rsid w:val="00310CC1"/>
    <w:rsid w:val="00312504"/>
    <w:rsid w:val="00312B89"/>
    <w:rsid w:val="00313026"/>
    <w:rsid w:val="003131C0"/>
    <w:rsid w:val="00313913"/>
    <w:rsid w:val="0031421F"/>
    <w:rsid w:val="003142E7"/>
    <w:rsid w:val="00314B31"/>
    <w:rsid w:val="00315A65"/>
    <w:rsid w:val="003165D7"/>
    <w:rsid w:val="0031666B"/>
    <w:rsid w:val="00316ABE"/>
    <w:rsid w:val="00317BA7"/>
    <w:rsid w:val="003202CB"/>
    <w:rsid w:val="003204D2"/>
    <w:rsid w:val="00320BE2"/>
    <w:rsid w:val="00321886"/>
    <w:rsid w:val="00321EDC"/>
    <w:rsid w:val="00322B67"/>
    <w:rsid w:val="003235E2"/>
    <w:rsid w:val="00323694"/>
    <w:rsid w:val="00323BE7"/>
    <w:rsid w:val="00324C3A"/>
    <w:rsid w:val="00324D63"/>
    <w:rsid w:val="003255AF"/>
    <w:rsid w:val="003256EB"/>
    <w:rsid w:val="003259DB"/>
    <w:rsid w:val="0032795B"/>
    <w:rsid w:val="003303CD"/>
    <w:rsid w:val="003314D9"/>
    <w:rsid w:val="00331653"/>
    <w:rsid w:val="00331A48"/>
    <w:rsid w:val="00331BCC"/>
    <w:rsid w:val="003330C9"/>
    <w:rsid w:val="0033364C"/>
    <w:rsid w:val="00334415"/>
    <w:rsid w:val="0033526D"/>
    <w:rsid w:val="00335EA1"/>
    <w:rsid w:val="0033691E"/>
    <w:rsid w:val="00336A6A"/>
    <w:rsid w:val="00336CCB"/>
    <w:rsid w:val="003401AB"/>
    <w:rsid w:val="003411D1"/>
    <w:rsid w:val="003416BA"/>
    <w:rsid w:val="00342148"/>
    <w:rsid w:val="00342F99"/>
    <w:rsid w:val="003430EF"/>
    <w:rsid w:val="0034575A"/>
    <w:rsid w:val="00345F57"/>
    <w:rsid w:val="003476DC"/>
    <w:rsid w:val="00350458"/>
    <w:rsid w:val="00350E6C"/>
    <w:rsid w:val="003518A6"/>
    <w:rsid w:val="00351E7F"/>
    <w:rsid w:val="00352953"/>
    <w:rsid w:val="00354062"/>
    <w:rsid w:val="00354277"/>
    <w:rsid w:val="0035459E"/>
    <w:rsid w:val="00354AE9"/>
    <w:rsid w:val="00355C0D"/>
    <w:rsid w:val="003566A9"/>
    <w:rsid w:val="00356988"/>
    <w:rsid w:val="003569D3"/>
    <w:rsid w:val="00356CE9"/>
    <w:rsid w:val="003570BB"/>
    <w:rsid w:val="00357128"/>
    <w:rsid w:val="0035755E"/>
    <w:rsid w:val="00357A80"/>
    <w:rsid w:val="00361058"/>
    <w:rsid w:val="00361441"/>
    <w:rsid w:val="00361B8B"/>
    <w:rsid w:val="00363F39"/>
    <w:rsid w:val="003640FC"/>
    <w:rsid w:val="0036445C"/>
    <w:rsid w:val="00364627"/>
    <w:rsid w:val="00364AB0"/>
    <w:rsid w:val="00364D71"/>
    <w:rsid w:val="003667B0"/>
    <w:rsid w:val="003667DD"/>
    <w:rsid w:val="00366B48"/>
    <w:rsid w:val="0036742E"/>
    <w:rsid w:val="00367764"/>
    <w:rsid w:val="00370316"/>
    <w:rsid w:val="00370DC7"/>
    <w:rsid w:val="00371CBD"/>
    <w:rsid w:val="00371F20"/>
    <w:rsid w:val="003721E3"/>
    <w:rsid w:val="00372B98"/>
    <w:rsid w:val="003737B7"/>
    <w:rsid w:val="003740CC"/>
    <w:rsid w:val="003745F4"/>
    <w:rsid w:val="0037491A"/>
    <w:rsid w:val="00374E79"/>
    <w:rsid w:val="0037529A"/>
    <w:rsid w:val="00375388"/>
    <w:rsid w:val="00375559"/>
    <w:rsid w:val="00375FB9"/>
    <w:rsid w:val="00376170"/>
    <w:rsid w:val="00376851"/>
    <w:rsid w:val="00376FA2"/>
    <w:rsid w:val="00377133"/>
    <w:rsid w:val="00377A3B"/>
    <w:rsid w:val="00377E3C"/>
    <w:rsid w:val="00380874"/>
    <w:rsid w:val="00380BBE"/>
    <w:rsid w:val="00381D70"/>
    <w:rsid w:val="0038235E"/>
    <w:rsid w:val="003825D9"/>
    <w:rsid w:val="003829D0"/>
    <w:rsid w:val="0038326A"/>
    <w:rsid w:val="00383B3C"/>
    <w:rsid w:val="0038444F"/>
    <w:rsid w:val="003861F0"/>
    <w:rsid w:val="00387051"/>
    <w:rsid w:val="00387ECF"/>
    <w:rsid w:val="0039021B"/>
    <w:rsid w:val="00390429"/>
    <w:rsid w:val="003906A0"/>
    <w:rsid w:val="00391DFA"/>
    <w:rsid w:val="003923D5"/>
    <w:rsid w:val="003931AF"/>
    <w:rsid w:val="0039366C"/>
    <w:rsid w:val="00393EC8"/>
    <w:rsid w:val="00395CAF"/>
    <w:rsid w:val="00395E42"/>
    <w:rsid w:val="00396409"/>
    <w:rsid w:val="00396A2D"/>
    <w:rsid w:val="00396FC3"/>
    <w:rsid w:val="0039756E"/>
    <w:rsid w:val="003A1431"/>
    <w:rsid w:val="003A1A94"/>
    <w:rsid w:val="003A204E"/>
    <w:rsid w:val="003A2D25"/>
    <w:rsid w:val="003A5101"/>
    <w:rsid w:val="003A5728"/>
    <w:rsid w:val="003A60E7"/>
    <w:rsid w:val="003A7092"/>
    <w:rsid w:val="003A72A1"/>
    <w:rsid w:val="003A7611"/>
    <w:rsid w:val="003A7D1F"/>
    <w:rsid w:val="003A7FDA"/>
    <w:rsid w:val="003B0B6A"/>
    <w:rsid w:val="003B15F8"/>
    <w:rsid w:val="003B22F7"/>
    <w:rsid w:val="003B29CF"/>
    <w:rsid w:val="003B2DC2"/>
    <w:rsid w:val="003B3A90"/>
    <w:rsid w:val="003B3D01"/>
    <w:rsid w:val="003B534F"/>
    <w:rsid w:val="003B7A79"/>
    <w:rsid w:val="003C0FE1"/>
    <w:rsid w:val="003C151A"/>
    <w:rsid w:val="003C231B"/>
    <w:rsid w:val="003C350C"/>
    <w:rsid w:val="003C3733"/>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34D2"/>
    <w:rsid w:val="003E43D3"/>
    <w:rsid w:val="003E48E1"/>
    <w:rsid w:val="003E50F4"/>
    <w:rsid w:val="003E59BB"/>
    <w:rsid w:val="003E6225"/>
    <w:rsid w:val="003E65AC"/>
    <w:rsid w:val="003E66AE"/>
    <w:rsid w:val="003E72B9"/>
    <w:rsid w:val="003E7612"/>
    <w:rsid w:val="003E7ED4"/>
    <w:rsid w:val="003F0CAA"/>
    <w:rsid w:val="003F0E52"/>
    <w:rsid w:val="003F0F6B"/>
    <w:rsid w:val="003F1FC6"/>
    <w:rsid w:val="003F1FE3"/>
    <w:rsid w:val="003F2359"/>
    <w:rsid w:val="003F3232"/>
    <w:rsid w:val="003F3865"/>
    <w:rsid w:val="003F38AC"/>
    <w:rsid w:val="003F3D55"/>
    <w:rsid w:val="003F44E2"/>
    <w:rsid w:val="003F4632"/>
    <w:rsid w:val="003F47BA"/>
    <w:rsid w:val="003F4FE6"/>
    <w:rsid w:val="003F5638"/>
    <w:rsid w:val="003F622C"/>
    <w:rsid w:val="003F64DA"/>
    <w:rsid w:val="003F6617"/>
    <w:rsid w:val="00402332"/>
    <w:rsid w:val="004025C2"/>
    <w:rsid w:val="00403195"/>
    <w:rsid w:val="004033A9"/>
    <w:rsid w:val="004039E0"/>
    <w:rsid w:val="00403E55"/>
    <w:rsid w:val="0040407C"/>
    <w:rsid w:val="0040416C"/>
    <w:rsid w:val="004041CA"/>
    <w:rsid w:val="00404681"/>
    <w:rsid w:val="00405445"/>
    <w:rsid w:val="00405AC1"/>
    <w:rsid w:val="00406923"/>
    <w:rsid w:val="0040763D"/>
    <w:rsid w:val="00410D17"/>
    <w:rsid w:val="00412AA9"/>
    <w:rsid w:val="00413442"/>
    <w:rsid w:val="00413821"/>
    <w:rsid w:val="00413BA5"/>
    <w:rsid w:val="004141A3"/>
    <w:rsid w:val="00414909"/>
    <w:rsid w:val="004156F7"/>
    <w:rsid w:val="0041582F"/>
    <w:rsid w:val="00416112"/>
    <w:rsid w:val="00417A18"/>
    <w:rsid w:val="00417AE0"/>
    <w:rsid w:val="00417BAA"/>
    <w:rsid w:val="0042042B"/>
    <w:rsid w:val="00420B45"/>
    <w:rsid w:val="00420D7A"/>
    <w:rsid w:val="00421257"/>
    <w:rsid w:val="004216A4"/>
    <w:rsid w:val="00422193"/>
    <w:rsid w:val="004223DE"/>
    <w:rsid w:val="00422A10"/>
    <w:rsid w:val="00424D17"/>
    <w:rsid w:val="00425DFD"/>
    <w:rsid w:val="004263A3"/>
    <w:rsid w:val="00427713"/>
    <w:rsid w:val="00427CCC"/>
    <w:rsid w:val="0043013A"/>
    <w:rsid w:val="00430421"/>
    <w:rsid w:val="00430A36"/>
    <w:rsid w:val="00430B4F"/>
    <w:rsid w:val="00430D7C"/>
    <w:rsid w:val="00431084"/>
    <w:rsid w:val="004310D7"/>
    <w:rsid w:val="004322D6"/>
    <w:rsid w:val="00432589"/>
    <w:rsid w:val="0043267E"/>
    <w:rsid w:val="00432A94"/>
    <w:rsid w:val="00432C95"/>
    <w:rsid w:val="00433827"/>
    <w:rsid w:val="00433A40"/>
    <w:rsid w:val="00434B70"/>
    <w:rsid w:val="004360C8"/>
    <w:rsid w:val="00436823"/>
    <w:rsid w:val="004371D5"/>
    <w:rsid w:val="0044006B"/>
    <w:rsid w:val="0044033F"/>
    <w:rsid w:val="00440630"/>
    <w:rsid w:val="00441F0F"/>
    <w:rsid w:val="00442965"/>
    <w:rsid w:val="004432B6"/>
    <w:rsid w:val="004434BD"/>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1FC2"/>
    <w:rsid w:val="00464AB7"/>
    <w:rsid w:val="00465DE5"/>
    <w:rsid w:val="00467EF8"/>
    <w:rsid w:val="00471AC3"/>
    <w:rsid w:val="00472429"/>
    <w:rsid w:val="004725E5"/>
    <w:rsid w:val="00472751"/>
    <w:rsid w:val="00473128"/>
    <w:rsid w:val="00473298"/>
    <w:rsid w:val="00475078"/>
    <w:rsid w:val="00475767"/>
    <w:rsid w:val="0047710E"/>
    <w:rsid w:val="004779A0"/>
    <w:rsid w:val="004808E3"/>
    <w:rsid w:val="00481016"/>
    <w:rsid w:val="0048204C"/>
    <w:rsid w:val="004821BB"/>
    <w:rsid w:val="0048237A"/>
    <w:rsid w:val="004826FE"/>
    <w:rsid w:val="004827D5"/>
    <w:rsid w:val="00482AF2"/>
    <w:rsid w:val="004830C9"/>
    <w:rsid w:val="00483347"/>
    <w:rsid w:val="00483E2E"/>
    <w:rsid w:val="00484B69"/>
    <w:rsid w:val="00485406"/>
    <w:rsid w:val="0048590F"/>
    <w:rsid w:val="00486D60"/>
    <w:rsid w:val="00487763"/>
    <w:rsid w:val="00491FA1"/>
    <w:rsid w:val="00492A25"/>
    <w:rsid w:val="004938A3"/>
    <w:rsid w:val="0049558B"/>
    <w:rsid w:val="00496350"/>
    <w:rsid w:val="0049777F"/>
    <w:rsid w:val="0049797C"/>
    <w:rsid w:val="004A1405"/>
    <w:rsid w:val="004A15BD"/>
    <w:rsid w:val="004A1E28"/>
    <w:rsid w:val="004A1FC6"/>
    <w:rsid w:val="004A2E5F"/>
    <w:rsid w:val="004A38C2"/>
    <w:rsid w:val="004A3C03"/>
    <w:rsid w:val="004A3DB7"/>
    <w:rsid w:val="004A463B"/>
    <w:rsid w:val="004A5088"/>
    <w:rsid w:val="004A5255"/>
    <w:rsid w:val="004A6B28"/>
    <w:rsid w:val="004A6CB0"/>
    <w:rsid w:val="004A70FF"/>
    <w:rsid w:val="004A7EDE"/>
    <w:rsid w:val="004B0D93"/>
    <w:rsid w:val="004B1FA4"/>
    <w:rsid w:val="004B29AC"/>
    <w:rsid w:val="004B35DF"/>
    <w:rsid w:val="004B3627"/>
    <w:rsid w:val="004B4922"/>
    <w:rsid w:val="004B57DF"/>
    <w:rsid w:val="004B5976"/>
    <w:rsid w:val="004B71F5"/>
    <w:rsid w:val="004B722E"/>
    <w:rsid w:val="004B72E8"/>
    <w:rsid w:val="004C01A5"/>
    <w:rsid w:val="004C0412"/>
    <w:rsid w:val="004C06AC"/>
    <w:rsid w:val="004C2138"/>
    <w:rsid w:val="004C3940"/>
    <w:rsid w:val="004C51FD"/>
    <w:rsid w:val="004C65A8"/>
    <w:rsid w:val="004C6689"/>
    <w:rsid w:val="004D139A"/>
    <w:rsid w:val="004D14DC"/>
    <w:rsid w:val="004D17C6"/>
    <w:rsid w:val="004D2401"/>
    <w:rsid w:val="004D2858"/>
    <w:rsid w:val="004D2E49"/>
    <w:rsid w:val="004D35BA"/>
    <w:rsid w:val="004D38E5"/>
    <w:rsid w:val="004D3C5A"/>
    <w:rsid w:val="004D449A"/>
    <w:rsid w:val="004D4701"/>
    <w:rsid w:val="004D47C7"/>
    <w:rsid w:val="004D4B2B"/>
    <w:rsid w:val="004D4F35"/>
    <w:rsid w:val="004D51EE"/>
    <w:rsid w:val="004D5D45"/>
    <w:rsid w:val="004D618D"/>
    <w:rsid w:val="004D62A9"/>
    <w:rsid w:val="004D6E5F"/>
    <w:rsid w:val="004D6FC3"/>
    <w:rsid w:val="004D7476"/>
    <w:rsid w:val="004D7716"/>
    <w:rsid w:val="004E0306"/>
    <w:rsid w:val="004E0572"/>
    <w:rsid w:val="004E110B"/>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0E50"/>
    <w:rsid w:val="004F1D2A"/>
    <w:rsid w:val="004F243F"/>
    <w:rsid w:val="004F252C"/>
    <w:rsid w:val="004F2DC4"/>
    <w:rsid w:val="004F36A3"/>
    <w:rsid w:val="004F3E0C"/>
    <w:rsid w:val="004F4308"/>
    <w:rsid w:val="004F65A0"/>
    <w:rsid w:val="004F7160"/>
    <w:rsid w:val="004F7EEC"/>
    <w:rsid w:val="00500258"/>
    <w:rsid w:val="005005EE"/>
    <w:rsid w:val="00500B2D"/>
    <w:rsid w:val="00501A99"/>
    <w:rsid w:val="00503180"/>
    <w:rsid w:val="005038A4"/>
    <w:rsid w:val="00504CD4"/>
    <w:rsid w:val="0050524B"/>
    <w:rsid w:val="00505450"/>
    <w:rsid w:val="00505FC6"/>
    <w:rsid w:val="005100B7"/>
    <w:rsid w:val="005105DE"/>
    <w:rsid w:val="005113C9"/>
    <w:rsid w:val="00512050"/>
    <w:rsid w:val="00512055"/>
    <w:rsid w:val="0051280C"/>
    <w:rsid w:val="00512842"/>
    <w:rsid w:val="005128BE"/>
    <w:rsid w:val="0051356F"/>
    <w:rsid w:val="00513E7C"/>
    <w:rsid w:val="005140BB"/>
    <w:rsid w:val="00514FBE"/>
    <w:rsid w:val="00514FD9"/>
    <w:rsid w:val="0051550A"/>
    <w:rsid w:val="00515C5E"/>
    <w:rsid w:val="0051608F"/>
    <w:rsid w:val="00516480"/>
    <w:rsid w:val="00520EF8"/>
    <w:rsid w:val="005210F7"/>
    <w:rsid w:val="00521753"/>
    <w:rsid w:val="0052239D"/>
    <w:rsid w:val="005224EE"/>
    <w:rsid w:val="00522879"/>
    <w:rsid w:val="00523BB1"/>
    <w:rsid w:val="00524B23"/>
    <w:rsid w:val="0052570E"/>
    <w:rsid w:val="005260CD"/>
    <w:rsid w:val="00526265"/>
    <w:rsid w:val="0052655D"/>
    <w:rsid w:val="005265E0"/>
    <w:rsid w:val="00526BC3"/>
    <w:rsid w:val="00530064"/>
    <w:rsid w:val="0053078D"/>
    <w:rsid w:val="00531761"/>
    <w:rsid w:val="0053248F"/>
    <w:rsid w:val="005327AB"/>
    <w:rsid w:val="0053332A"/>
    <w:rsid w:val="0053358A"/>
    <w:rsid w:val="00534668"/>
    <w:rsid w:val="00534DDD"/>
    <w:rsid w:val="00535291"/>
    <w:rsid w:val="00535A94"/>
    <w:rsid w:val="00537874"/>
    <w:rsid w:val="0053795F"/>
    <w:rsid w:val="00537D3D"/>
    <w:rsid w:val="00540511"/>
    <w:rsid w:val="00540578"/>
    <w:rsid w:val="00540808"/>
    <w:rsid w:val="0054080E"/>
    <w:rsid w:val="00540D1A"/>
    <w:rsid w:val="00540DE5"/>
    <w:rsid w:val="00540EA1"/>
    <w:rsid w:val="00541E5A"/>
    <w:rsid w:val="0054358E"/>
    <w:rsid w:val="00543AF4"/>
    <w:rsid w:val="00543F53"/>
    <w:rsid w:val="00544191"/>
    <w:rsid w:val="0054440C"/>
    <w:rsid w:val="005448EC"/>
    <w:rsid w:val="00544C0A"/>
    <w:rsid w:val="00544F39"/>
    <w:rsid w:val="005457FB"/>
    <w:rsid w:val="00546B96"/>
    <w:rsid w:val="00546F90"/>
    <w:rsid w:val="00547EFB"/>
    <w:rsid w:val="00550192"/>
    <w:rsid w:val="005522F2"/>
    <w:rsid w:val="005531DF"/>
    <w:rsid w:val="00553874"/>
    <w:rsid w:val="00553DCE"/>
    <w:rsid w:val="00554577"/>
    <w:rsid w:val="00554AD8"/>
    <w:rsid w:val="00554F78"/>
    <w:rsid w:val="00555DA1"/>
    <w:rsid w:val="00556BF7"/>
    <w:rsid w:val="00556D31"/>
    <w:rsid w:val="00556E53"/>
    <w:rsid w:val="00557157"/>
    <w:rsid w:val="00557F60"/>
    <w:rsid w:val="00561730"/>
    <w:rsid w:val="00561B97"/>
    <w:rsid w:val="00562149"/>
    <w:rsid w:val="0056252F"/>
    <w:rsid w:val="00563171"/>
    <w:rsid w:val="005640EB"/>
    <w:rsid w:val="00565D93"/>
    <w:rsid w:val="005666A4"/>
    <w:rsid w:val="00567B5D"/>
    <w:rsid w:val="00570757"/>
    <w:rsid w:val="00573733"/>
    <w:rsid w:val="00573F8B"/>
    <w:rsid w:val="00574554"/>
    <w:rsid w:val="00574E06"/>
    <w:rsid w:val="005751BB"/>
    <w:rsid w:val="00575A8D"/>
    <w:rsid w:val="00576089"/>
    <w:rsid w:val="005764B1"/>
    <w:rsid w:val="00576852"/>
    <w:rsid w:val="00576D06"/>
    <w:rsid w:val="005779E4"/>
    <w:rsid w:val="00580EC7"/>
    <w:rsid w:val="0058289C"/>
    <w:rsid w:val="005836C7"/>
    <w:rsid w:val="0058408E"/>
    <w:rsid w:val="005844C3"/>
    <w:rsid w:val="00585374"/>
    <w:rsid w:val="005854CA"/>
    <w:rsid w:val="00585FAB"/>
    <w:rsid w:val="00590B77"/>
    <w:rsid w:val="00590D9A"/>
    <w:rsid w:val="005913A3"/>
    <w:rsid w:val="00591A5A"/>
    <w:rsid w:val="005940D4"/>
    <w:rsid w:val="00594A7B"/>
    <w:rsid w:val="0059580E"/>
    <w:rsid w:val="00595D90"/>
    <w:rsid w:val="00596A6F"/>
    <w:rsid w:val="00596FCE"/>
    <w:rsid w:val="005A11BC"/>
    <w:rsid w:val="005A1525"/>
    <w:rsid w:val="005A158D"/>
    <w:rsid w:val="005A1E17"/>
    <w:rsid w:val="005A252B"/>
    <w:rsid w:val="005A2A8F"/>
    <w:rsid w:val="005A3008"/>
    <w:rsid w:val="005A3204"/>
    <w:rsid w:val="005A3341"/>
    <w:rsid w:val="005A3C3D"/>
    <w:rsid w:val="005A46EC"/>
    <w:rsid w:val="005A5EAE"/>
    <w:rsid w:val="005A6407"/>
    <w:rsid w:val="005A726C"/>
    <w:rsid w:val="005B07EC"/>
    <w:rsid w:val="005B1BE0"/>
    <w:rsid w:val="005B2B11"/>
    <w:rsid w:val="005B2D3C"/>
    <w:rsid w:val="005B32A4"/>
    <w:rsid w:val="005B3371"/>
    <w:rsid w:val="005B338D"/>
    <w:rsid w:val="005B33A1"/>
    <w:rsid w:val="005B3852"/>
    <w:rsid w:val="005B3BAF"/>
    <w:rsid w:val="005B3C8A"/>
    <w:rsid w:val="005B4DA3"/>
    <w:rsid w:val="005B5BEE"/>
    <w:rsid w:val="005B77D2"/>
    <w:rsid w:val="005C0195"/>
    <w:rsid w:val="005C019B"/>
    <w:rsid w:val="005C08D0"/>
    <w:rsid w:val="005C1AED"/>
    <w:rsid w:val="005C2136"/>
    <w:rsid w:val="005C30F5"/>
    <w:rsid w:val="005C3840"/>
    <w:rsid w:val="005C42A1"/>
    <w:rsid w:val="005C51A5"/>
    <w:rsid w:val="005C557A"/>
    <w:rsid w:val="005C566F"/>
    <w:rsid w:val="005C5C47"/>
    <w:rsid w:val="005C61DD"/>
    <w:rsid w:val="005C6438"/>
    <w:rsid w:val="005C6B8B"/>
    <w:rsid w:val="005C727F"/>
    <w:rsid w:val="005C77AC"/>
    <w:rsid w:val="005D02E3"/>
    <w:rsid w:val="005D08D8"/>
    <w:rsid w:val="005D1F34"/>
    <w:rsid w:val="005D2C1F"/>
    <w:rsid w:val="005D34B2"/>
    <w:rsid w:val="005D3B54"/>
    <w:rsid w:val="005D40CD"/>
    <w:rsid w:val="005D59EB"/>
    <w:rsid w:val="005D6B59"/>
    <w:rsid w:val="005D784B"/>
    <w:rsid w:val="005E03E4"/>
    <w:rsid w:val="005E0454"/>
    <w:rsid w:val="005E05F6"/>
    <w:rsid w:val="005E1B9D"/>
    <w:rsid w:val="005E1BDA"/>
    <w:rsid w:val="005E2442"/>
    <w:rsid w:val="005E3111"/>
    <w:rsid w:val="005E3CA0"/>
    <w:rsid w:val="005E3F85"/>
    <w:rsid w:val="005E4A5F"/>
    <w:rsid w:val="005E516A"/>
    <w:rsid w:val="005E57B0"/>
    <w:rsid w:val="005E5B01"/>
    <w:rsid w:val="005E6D3B"/>
    <w:rsid w:val="005E76B9"/>
    <w:rsid w:val="005F009E"/>
    <w:rsid w:val="005F0DF1"/>
    <w:rsid w:val="005F1516"/>
    <w:rsid w:val="005F1A6F"/>
    <w:rsid w:val="005F229E"/>
    <w:rsid w:val="005F2564"/>
    <w:rsid w:val="005F3822"/>
    <w:rsid w:val="005F4635"/>
    <w:rsid w:val="005F4900"/>
    <w:rsid w:val="005F4E52"/>
    <w:rsid w:val="005F6D58"/>
    <w:rsid w:val="005F7383"/>
    <w:rsid w:val="0060058E"/>
    <w:rsid w:val="00602A3C"/>
    <w:rsid w:val="00603EFD"/>
    <w:rsid w:val="0060475B"/>
    <w:rsid w:val="00604BED"/>
    <w:rsid w:val="00604FB6"/>
    <w:rsid w:val="00605387"/>
    <w:rsid w:val="00606302"/>
    <w:rsid w:val="006076FD"/>
    <w:rsid w:val="00610811"/>
    <w:rsid w:val="0061143F"/>
    <w:rsid w:val="006114D8"/>
    <w:rsid w:val="00613553"/>
    <w:rsid w:val="00613601"/>
    <w:rsid w:val="00613791"/>
    <w:rsid w:val="0061497F"/>
    <w:rsid w:val="006150D6"/>
    <w:rsid w:val="00615245"/>
    <w:rsid w:val="0061590D"/>
    <w:rsid w:val="00617EEE"/>
    <w:rsid w:val="00620A1F"/>
    <w:rsid w:val="0062169D"/>
    <w:rsid w:val="0062181E"/>
    <w:rsid w:val="0062211B"/>
    <w:rsid w:val="00622BB7"/>
    <w:rsid w:val="00622C1E"/>
    <w:rsid w:val="00623389"/>
    <w:rsid w:val="00623DAA"/>
    <w:rsid w:val="00623FAF"/>
    <w:rsid w:val="006265C4"/>
    <w:rsid w:val="0062678A"/>
    <w:rsid w:val="006270AF"/>
    <w:rsid w:val="00632CAC"/>
    <w:rsid w:val="00634367"/>
    <w:rsid w:val="00636CE3"/>
    <w:rsid w:val="00640082"/>
    <w:rsid w:val="00640291"/>
    <w:rsid w:val="00640EFE"/>
    <w:rsid w:val="00641D6D"/>
    <w:rsid w:val="00641FAC"/>
    <w:rsid w:val="00643664"/>
    <w:rsid w:val="00643CAA"/>
    <w:rsid w:val="00644F16"/>
    <w:rsid w:val="006455EB"/>
    <w:rsid w:val="006456C2"/>
    <w:rsid w:val="00645A65"/>
    <w:rsid w:val="00646959"/>
    <w:rsid w:val="006477F0"/>
    <w:rsid w:val="006478E4"/>
    <w:rsid w:val="0065171A"/>
    <w:rsid w:val="006519A3"/>
    <w:rsid w:val="00652680"/>
    <w:rsid w:val="00653CDE"/>
    <w:rsid w:val="00654585"/>
    <w:rsid w:val="0065566E"/>
    <w:rsid w:val="00655AB6"/>
    <w:rsid w:val="00655EFA"/>
    <w:rsid w:val="00656061"/>
    <w:rsid w:val="00656281"/>
    <w:rsid w:val="0065636A"/>
    <w:rsid w:val="00657003"/>
    <w:rsid w:val="00660238"/>
    <w:rsid w:val="006602EF"/>
    <w:rsid w:val="00661277"/>
    <w:rsid w:val="006619E0"/>
    <w:rsid w:val="00663FEA"/>
    <w:rsid w:val="00664803"/>
    <w:rsid w:val="006657C5"/>
    <w:rsid w:val="00665D75"/>
    <w:rsid w:val="006661A4"/>
    <w:rsid w:val="00666AC0"/>
    <w:rsid w:val="006670E0"/>
    <w:rsid w:val="006671B8"/>
    <w:rsid w:val="00667275"/>
    <w:rsid w:val="00667532"/>
    <w:rsid w:val="0066783E"/>
    <w:rsid w:val="00667E53"/>
    <w:rsid w:val="006711C4"/>
    <w:rsid w:val="006713AB"/>
    <w:rsid w:val="00672726"/>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76F"/>
    <w:rsid w:val="006878A6"/>
    <w:rsid w:val="00687B3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294A"/>
    <w:rsid w:val="006A3302"/>
    <w:rsid w:val="006A3B28"/>
    <w:rsid w:val="006A4FEE"/>
    <w:rsid w:val="006A5549"/>
    <w:rsid w:val="006A703E"/>
    <w:rsid w:val="006A7BE3"/>
    <w:rsid w:val="006A7D32"/>
    <w:rsid w:val="006B01D1"/>
    <w:rsid w:val="006B0DF4"/>
    <w:rsid w:val="006B16EA"/>
    <w:rsid w:val="006B1780"/>
    <w:rsid w:val="006B21DC"/>
    <w:rsid w:val="006B224E"/>
    <w:rsid w:val="006B22D0"/>
    <w:rsid w:val="006B376E"/>
    <w:rsid w:val="006B4589"/>
    <w:rsid w:val="006B5157"/>
    <w:rsid w:val="006B610E"/>
    <w:rsid w:val="006B6805"/>
    <w:rsid w:val="006B6907"/>
    <w:rsid w:val="006B6C07"/>
    <w:rsid w:val="006B6DE0"/>
    <w:rsid w:val="006C16C3"/>
    <w:rsid w:val="006C2187"/>
    <w:rsid w:val="006C27D9"/>
    <w:rsid w:val="006C32F4"/>
    <w:rsid w:val="006C3C54"/>
    <w:rsid w:val="006C4B6B"/>
    <w:rsid w:val="006C4CE1"/>
    <w:rsid w:val="006C4F9F"/>
    <w:rsid w:val="006C71A2"/>
    <w:rsid w:val="006C73EC"/>
    <w:rsid w:val="006C77EC"/>
    <w:rsid w:val="006D0C1D"/>
    <w:rsid w:val="006D28F3"/>
    <w:rsid w:val="006D2E9D"/>
    <w:rsid w:val="006D4A4E"/>
    <w:rsid w:val="006D4C42"/>
    <w:rsid w:val="006D5389"/>
    <w:rsid w:val="006D53A2"/>
    <w:rsid w:val="006D5809"/>
    <w:rsid w:val="006D607E"/>
    <w:rsid w:val="006D6E12"/>
    <w:rsid w:val="006D70CB"/>
    <w:rsid w:val="006D715C"/>
    <w:rsid w:val="006D7363"/>
    <w:rsid w:val="006D774E"/>
    <w:rsid w:val="006E0754"/>
    <w:rsid w:val="006E2668"/>
    <w:rsid w:val="006E2D39"/>
    <w:rsid w:val="006E2FE9"/>
    <w:rsid w:val="006E32B0"/>
    <w:rsid w:val="006E348E"/>
    <w:rsid w:val="006E3496"/>
    <w:rsid w:val="006E372A"/>
    <w:rsid w:val="006E396A"/>
    <w:rsid w:val="006E3D63"/>
    <w:rsid w:val="006E58BF"/>
    <w:rsid w:val="006E5DD8"/>
    <w:rsid w:val="006E5EA1"/>
    <w:rsid w:val="006E6DEE"/>
    <w:rsid w:val="006E7D4B"/>
    <w:rsid w:val="006F018A"/>
    <w:rsid w:val="006F0760"/>
    <w:rsid w:val="006F11E2"/>
    <w:rsid w:val="006F2574"/>
    <w:rsid w:val="006F3231"/>
    <w:rsid w:val="006F3DE3"/>
    <w:rsid w:val="006F4787"/>
    <w:rsid w:val="006F50AC"/>
    <w:rsid w:val="006F61D8"/>
    <w:rsid w:val="006F62B7"/>
    <w:rsid w:val="006F70BC"/>
    <w:rsid w:val="006F726C"/>
    <w:rsid w:val="006F7E7C"/>
    <w:rsid w:val="0070174E"/>
    <w:rsid w:val="007018DB"/>
    <w:rsid w:val="00701DE6"/>
    <w:rsid w:val="007026D2"/>
    <w:rsid w:val="00702740"/>
    <w:rsid w:val="0070381B"/>
    <w:rsid w:val="0070660B"/>
    <w:rsid w:val="0070796C"/>
    <w:rsid w:val="007109BB"/>
    <w:rsid w:val="00710EBF"/>
    <w:rsid w:val="007110B8"/>
    <w:rsid w:val="0071209F"/>
    <w:rsid w:val="007125A2"/>
    <w:rsid w:val="00713DD9"/>
    <w:rsid w:val="00713F79"/>
    <w:rsid w:val="007148A8"/>
    <w:rsid w:val="00716AC8"/>
    <w:rsid w:val="00716E54"/>
    <w:rsid w:val="0072033C"/>
    <w:rsid w:val="00720B1B"/>
    <w:rsid w:val="00721062"/>
    <w:rsid w:val="00721E5D"/>
    <w:rsid w:val="007229D4"/>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4142"/>
    <w:rsid w:val="007352EA"/>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89C"/>
    <w:rsid w:val="00747DE2"/>
    <w:rsid w:val="007502D0"/>
    <w:rsid w:val="007504BF"/>
    <w:rsid w:val="007506CD"/>
    <w:rsid w:val="0075267F"/>
    <w:rsid w:val="007526EC"/>
    <w:rsid w:val="007529F2"/>
    <w:rsid w:val="00753C48"/>
    <w:rsid w:val="00754250"/>
    <w:rsid w:val="00754CCE"/>
    <w:rsid w:val="00754FE4"/>
    <w:rsid w:val="00755216"/>
    <w:rsid w:val="00756236"/>
    <w:rsid w:val="00756271"/>
    <w:rsid w:val="00756348"/>
    <w:rsid w:val="00756521"/>
    <w:rsid w:val="00756AB7"/>
    <w:rsid w:val="007608F3"/>
    <w:rsid w:val="0076106D"/>
    <w:rsid w:val="007623FB"/>
    <w:rsid w:val="00762517"/>
    <w:rsid w:val="00763240"/>
    <w:rsid w:val="0076376A"/>
    <w:rsid w:val="007648AD"/>
    <w:rsid w:val="0076504E"/>
    <w:rsid w:val="007666E9"/>
    <w:rsid w:val="00767BFD"/>
    <w:rsid w:val="00767EA0"/>
    <w:rsid w:val="0077068F"/>
    <w:rsid w:val="00771EDF"/>
    <w:rsid w:val="00772A90"/>
    <w:rsid w:val="00772F8D"/>
    <w:rsid w:val="0077408D"/>
    <w:rsid w:val="00774270"/>
    <w:rsid w:val="007743F6"/>
    <w:rsid w:val="00775679"/>
    <w:rsid w:val="0077574F"/>
    <w:rsid w:val="00775823"/>
    <w:rsid w:val="00777153"/>
    <w:rsid w:val="007777CC"/>
    <w:rsid w:val="00777B32"/>
    <w:rsid w:val="0078051E"/>
    <w:rsid w:val="00781089"/>
    <w:rsid w:val="00781CB6"/>
    <w:rsid w:val="007838F3"/>
    <w:rsid w:val="007856FE"/>
    <w:rsid w:val="00785F46"/>
    <w:rsid w:val="007865F4"/>
    <w:rsid w:val="00786D5C"/>
    <w:rsid w:val="00786E96"/>
    <w:rsid w:val="007874C0"/>
    <w:rsid w:val="00787BB6"/>
    <w:rsid w:val="00787DFF"/>
    <w:rsid w:val="00787F93"/>
    <w:rsid w:val="00791105"/>
    <w:rsid w:val="00791E6D"/>
    <w:rsid w:val="00791EB5"/>
    <w:rsid w:val="0079343F"/>
    <w:rsid w:val="00793696"/>
    <w:rsid w:val="007955DA"/>
    <w:rsid w:val="00796F65"/>
    <w:rsid w:val="007A11C2"/>
    <w:rsid w:val="007A18BB"/>
    <w:rsid w:val="007A27DD"/>
    <w:rsid w:val="007A41BF"/>
    <w:rsid w:val="007A47EB"/>
    <w:rsid w:val="007A490A"/>
    <w:rsid w:val="007A7B95"/>
    <w:rsid w:val="007B0297"/>
    <w:rsid w:val="007B02FA"/>
    <w:rsid w:val="007B0F53"/>
    <w:rsid w:val="007B1A33"/>
    <w:rsid w:val="007B21AE"/>
    <w:rsid w:val="007B2570"/>
    <w:rsid w:val="007B3113"/>
    <w:rsid w:val="007B3304"/>
    <w:rsid w:val="007B3BF0"/>
    <w:rsid w:val="007B7490"/>
    <w:rsid w:val="007C0525"/>
    <w:rsid w:val="007C13F7"/>
    <w:rsid w:val="007C149F"/>
    <w:rsid w:val="007C1D77"/>
    <w:rsid w:val="007C218D"/>
    <w:rsid w:val="007C2D28"/>
    <w:rsid w:val="007C3722"/>
    <w:rsid w:val="007C3E22"/>
    <w:rsid w:val="007C58C1"/>
    <w:rsid w:val="007C6218"/>
    <w:rsid w:val="007C6484"/>
    <w:rsid w:val="007C67C6"/>
    <w:rsid w:val="007C78BE"/>
    <w:rsid w:val="007C7A5D"/>
    <w:rsid w:val="007C7E59"/>
    <w:rsid w:val="007D0476"/>
    <w:rsid w:val="007D0B91"/>
    <w:rsid w:val="007D0FE7"/>
    <w:rsid w:val="007D1452"/>
    <w:rsid w:val="007D1563"/>
    <w:rsid w:val="007D3DCB"/>
    <w:rsid w:val="007D460C"/>
    <w:rsid w:val="007D4996"/>
    <w:rsid w:val="007D4AD3"/>
    <w:rsid w:val="007D5D19"/>
    <w:rsid w:val="007D5FDC"/>
    <w:rsid w:val="007D6176"/>
    <w:rsid w:val="007D69CD"/>
    <w:rsid w:val="007D6D68"/>
    <w:rsid w:val="007E194F"/>
    <w:rsid w:val="007E32DA"/>
    <w:rsid w:val="007E4998"/>
    <w:rsid w:val="007E4A9C"/>
    <w:rsid w:val="007E596A"/>
    <w:rsid w:val="007E6914"/>
    <w:rsid w:val="007E6E26"/>
    <w:rsid w:val="007E7F78"/>
    <w:rsid w:val="007F0179"/>
    <w:rsid w:val="007F2C13"/>
    <w:rsid w:val="007F2CEC"/>
    <w:rsid w:val="007F2ED1"/>
    <w:rsid w:val="007F3435"/>
    <w:rsid w:val="007F505D"/>
    <w:rsid w:val="007F531B"/>
    <w:rsid w:val="007F55DE"/>
    <w:rsid w:val="007F762D"/>
    <w:rsid w:val="007F78F0"/>
    <w:rsid w:val="007F78FF"/>
    <w:rsid w:val="008001C5"/>
    <w:rsid w:val="00800F6C"/>
    <w:rsid w:val="00801065"/>
    <w:rsid w:val="00802C0B"/>
    <w:rsid w:val="00805040"/>
    <w:rsid w:val="008051FC"/>
    <w:rsid w:val="008055A9"/>
    <w:rsid w:val="008056C4"/>
    <w:rsid w:val="008057FD"/>
    <w:rsid w:val="00805D8B"/>
    <w:rsid w:val="00806141"/>
    <w:rsid w:val="0081010F"/>
    <w:rsid w:val="00810BB6"/>
    <w:rsid w:val="00810E8E"/>
    <w:rsid w:val="00812C44"/>
    <w:rsid w:val="008135E1"/>
    <w:rsid w:val="00813779"/>
    <w:rsid w:val="00813BD6"/>
    <w:rsid w:val="00813E26"/>
    <w:rsid w:val="0081481D"/>
    <w:rsid w:val="00814BE8"/>
    <w:rsid w:val="00814F6E"/>
    <w:rsid w:val="00815B84"/>
    <w:rsid w:val="00816342"/>
    <w:rsid w:val="008166F6"/>
    <w:rsid w:val="00816BE9"/>
    <w:rsid w:val="00817D10"/>
    <w:rsid w:val="0082112A"/>
    <w:rsid w:val="00822518"/>
    <w:rsid w:val="008226F5"/>
    <w:rsid w:val="00823FC6"/>
    <w:rsid w:val="00824306"/>
    <w:rsid w:val="00825120"/>
    <w:rsid w:val="0082520D"/>
    <w:rsid w:val="00825C74"/>
    <w:rsid w:val="00825CFA"/>
    <w:rsid w:val="00826AB9"/>
    <w:rsid w:val="00826E0E"/>
    <w:rsid w:val="00827D11"/>
    <w:rsid w:val="00827E0F"/>
    <w:rsid w:val="00827F6E"/>
    <w:rsid w:val="008312A2"/>
    <w:rsid w:val="00831758"/>
    <w:rsid w:val="008317D9"/>
    <w:rsid w:val="00831AEC"/>
    <w:rsid w:val="0083279F"/>
    <w:rsid w:val="00832C9D"/>
    <w:rsid w:val="00832CE9"/>
    <w:rsid w:val="008334DB"/>
    <w:rsid w:val="00833B7F"/>
    <w:rsid w:val="00833E8E"/>
    <w:rsid w:val="00834906"/>
    <w:rsid w:val="00836075"/>
    <w:rsid w:val="00836417"/>
    <w:rsid w:val="00836D47"/>
    <w:rsid w:val="00837526"/>
    <w:rsid w:val="008407A7"/>
    <w:rsid w:val="0084322B"/>
    <w:rsid w:val="00843F81"/>
    <w:rsid w:val="00844087"/>
    <w:rsid w:val="008448F1"/>
    <w:rsid w:val="0084519E"/>
    <w:rsid w:val="00845CAE"/>
    <w:rsid w:val="008462C5"/>
    <w:rsid w:val="008462FA"/>
    <w:rsid w:val="00846370"/>
    <w:rsid w:val="00846873"/>
    <w:rsid w:val="00846A90"/>
    <w:rsid w:val="008477E7"/>
    <w:rsid w:val="00847C2B"/>
    <w:rsid w:val="00850272"/>
    <w:rsid w:val="008506B9"/>
    <w:rsid w:val="0085086F"/>
    <w:rsid w:val="00851822"/>
    <w:rsid w:val="00851C16"/>
    <w:rsid w:val="008532BF"/>
    <w:rsid w:val="008539B2"/>
    <w:rsid w:val="00853BF4"/>
    <w:rsid w:val="00854294"/>
    <w:rsid w:val="00854295"/>
    <w:rsid w:val="0085572E"/>
    <w:rsid w:val="0085788B"/>
    <w:rsid w:val="00857A9E"/>
    <w:rsid w:val="00857DE2"/>
    <w:rsid w:val="0086003D"/>
    <w:rsid w:val="00860B5B"/>
    <w:rsid w:val="00863A8E"/>
    <w:rsid w:val="0086407F"/>
    <w:rsid w:val="008645E3"/>
    <w:rsid w:val="0086486A"/>
    <w:rsid w:val="00864E79"/>
    <w:rsid w:val="0086572B"/>
    <w:rsid w:val="00866615"/>
    <w:rsid w:val="0086661F"/>
    <w:rsid w:val="00866A0D"/>
    <w:rsid w:val="00866DB5"/>
    <w:rsid w:val="0086701D"/>
    <w:rsid w:val="0086702B"/>
    <w:rsid w:val="008672E2"/>
    <w:rsid w:val="0086784E"/>
    <w:rsid w:val="00870EFD"/>
    <w:rsid w:val="0087121C"/>
    <w:rsid w:val="00871FD2"/>
    <w:rsid w:val="00872084"/>
    <w:rsid w:val="00872827"/>
    <w:rsid w:val="00872A32"/>
    <w:rsid w:val="00874911"/>
    <w:rsid w:val="008754E4"/>
    <w:rsid w:val="00876EAE"/>
    <w:rsid w:val="00880106"/>
    <w:rsid w:val="00880F95"/>
    <w:rsid w:val="00882B44"/>
    <w:rsid w:val="008838AD"/>
    <w:rsid w:val="00884C01"/>
    <w:rsid w:val="00885BC9"/>
    <w:rsid w:val="00885D0E"/>
    <w:rsid w:val="008864B3"/>
    <w:rsid w:val="008865E5"/>
    <w:rsid w:val="008871B0"/>
    <w:rsid w:val="00890B57"/>
    <w:rsid w:val="008916BA"/>
    <w:rsid w:val="0089217C"/>
    <w:rsid w:val="00892790"/>
    <w:rsid w:val="00893671"/>
    <w:rsid w:val="00893E51"/>
    <w:rsid w:val="00895838"/>
    <w:rsid w:val="00895A1E"/>
    <w:rsid w:val="00895A72"/>
    <w:rsid w:val="00895CDF"/>
    <w:rsid w:val="00896679"/>
    <w:rsid w:val="00896D8C"/>
    <w:rsid w:val="00896FC1"/>
    <w:rsid w:val="008A0FC9"/>
    <w:rsid w:val="008A1956"/>
    <w:rsid w:val="008A1A7C"/>
    <w:rsid w:val="008A2CE2"/>
    <w:rsid w:val="008A40D3"/>
    <w:rsid w:val="008A469C"/>
    <w:rsid w:val="008A50FB"/>
    <w:rsid w:val="008A51D1"/>
    <w:rsid w:val="008A5DCE"/>
    <w:rsid w:val="008A5E27"/>
    <w:rsid w:val="008A6DFD"/>
    <w:rsid w:val="008A75D3"/>
    <w:rsid w:val="008B05DD"/>
    <w:rsid w:val="008B07B8"/>
    <w:rsid w:val="008B17E8"/>
    <w:rsid w:val="008B2C45"/>
    <w:rsid w:val="008B2E7C"/>
    <w:rsid w:val="008B399A"/>
    <w:rsid w:val="008B45F0"/>
    <w:rsid w:val="008B4A70"/>
    <w:rsid w:val="008B502F"/>
    <w:rsid w:val="008B6DFC"/>
    <w:rsid w:val="008B7227"/>
    <w:rsid w:val="008C02FB"/>
    <w:rsid w:val="008C04E0"/>
    <w:rsid w:val="008C191C"/>
    <w:rsid w:val="008C1DA4"/>
    <w:rsid w:val="008C2138"/>
    <w:rsid w:val="008C29B0"/>
    <w:rsid w:val="008C2CD5"/>
    <w:rsid w:val="008C33AE"/>
    <w:rsid w:val="008C3618"/>
    <w:rsid w:val="008C39E7"/>
    <w:rsid w:val="008C43AD"/>
    <w:rsid w:val="008C6118"/>
    <w:rsid w:val="008C6341"/>
    <w:rsid w:val="008C653D"/>
    <w:rsid w:val="008C731F"/>
    <w:rsid w:val="008C74D9"/>
    <w:rsid w:val="008D2050"/>
    <w:rsid w:val="008D3767"/>
    <w:rsid w:val="008D3B2D"/>
    <w:rsid w:val="008D58D9"/>
    <w:rsid w:val="008D5AD4"/>
    <w:rsid w:val="008D695E"/>
    <w:rsid w:val="008D6DD5"/>
    <w:rsid w:val="008D6E59"/>
    <w:rsid w:val="008D7155"/>
    <w:rsid w:val="008D76E0"/>
    <w:rsid w:val="008E0B29"/>
    <w:rsid w:val="008E141A"/>
    <w:rsid w:val="008E1A44"/>
    <w:rsid w:val="008E28E6"/>
    <w:rsid w:val="008E3232"/>
    <w:rsid w:val="008E3674"/>
    <w:rsid w:val="008E3B6C"/>
    <w:rsid w:val="008E3DE7"/>
    <w:rsid w:val="008E5227"/>
    <w:rsid w:val="008E562C"/>
    <w:rsid w:val="008E6540"/>
    <w:rsid w:val="008E6FBE"/>
    <w:rsid w:val="008E77D4"/>
    <w:rsid w:val="008E7ADD"/>
    <w:rsid w:val="008F091F"/>
    <w:rsid w:val="008F0C1B"/>
    <w:rsid w:val="008F17B2"/>
    <w:rsid w:val="008F22B3"/>
    <w:rsid w:val="008F357B"/>
    <w:rsid w:val="008F44CA"/>
    <w:rsid w:val="008F4851"/>
    <w:rsid w:val="008F49D3"/>
    <w:rsid w:val="008F6519"/>
    <w:rsid w:val="008F7012"/>
    <w:rsid w:val="008F7ADA"/>
    <w:rsid w:val="008F7B17"/>
    <w:rsid w:val="00900042"/>
    <w:rsid w:val="0090034B"/>
    <w:rsid w:val="0090087C"/>
    <w:rsid w:val="00901121"/>
    <w:rsid w:val="00901D21"/>
    <w:rsid w:val="00902623"/>
    <w:rsid w:val="00902A67"/>
    <w:rsid w:val="00902C5E"/>
    <w:rsid w:val="00904BE4"/>
    <w:rsid w:val="0090504A"/>
    <w:rsid w:val="009051F5"/>
    <w:rsid w:val="00905221"/>
    <w:rsid w:val="0090551A"/>
    <w:rsid w:val="00905664"/>
    <w:rsid w:val="00905A7C"/>
    <w:rsid w:val="00905D7E"/>
    <w:rsid w:val="00907037"/>
    <w:rsid w:val="00907259"/>
    <w:rsid w:val="00910C5D"/>
    <w:rsid w:val="0091112C"/>
    <w:rsid w:val="0091160A"/>
    <w:rsid w:val="00912E04"/>
    <w:rsid w:val="00913258"/>
    <w:rsid w:val="00913851"/>
    <w:rsid w:val="00913BB0"/>
    <w:rsid w:val="0091456C"/>
    <w:rsid w:val="00914C58"/>
    <w:rsid w:val="00914D78"/>
    <w:rsid w:val="0091564D"/>
    <w:rsid w:val="009156DA"/>
    <w:rsid w:val="00915774"/>
    <w:rsid w:val="00916BC5"/>
    <w:rsid w:val="0091726A"/>
    <w:rsid w:val="0091761D"/>
    <w:rsid w:val="00917C01"/>
    <w:rsid w:val="00920184"/>
    <w:rsid w:val="00920EA4"/>
    <w:rsid w:val="00921792"/>
    <w:rsid w:val="00921BEA"/>
    <w:rsid w:val="009227BE"/>
    <w:rsid w:val="009238FD"/>
    <w:rsid w:val="00923998"/>
    <w:rsid w:val="00923DB4"/>
    <w:rsid w:val="0092420B"/>
    <w:rsid w:val="0092430E"/>
    <w:rsid w:val="00924E83"/>
    <w:rsid w:val="00926112"/>
    <w:rsid w:val="0092625F"/>
    <w:rsid w:val="00926B28"/>
    <w:rsid w:val="00926D9C"/>
    <w:rsid w:val="00927028"/>
    <w:rsid w:val="00927763"/>
    <w:rsid w:val="00927A2D"/>
    <w:rsid w:val="00927B37"/>
    <w:rsid w:val="009308C6"/>
    <w:rsid w:val="00931694"/>
    <w:rsid w:val="009321B1"/>
    <w:rsid w:val="009322B1"/>
    <w:rsid w:val="009327F0"/>
    <w:rsid w:val="00932ED7"/>
    <w:rsid w:val="0093422D"/>
    <w:rsid w:val="0093483B"/>
    <w:rsid w:val="00934CF9"/>
    <w:rsid w:val="00934DD7"/>
    <w:rsid w:val="00935CB2"/>
    <w:rsid w:val="009369A9"/>
    <w:rsid w:val="00936CF7"/>
    <w:rsid w:val="00937783"/>
    <w:rsid w:val="00937EAD"/>
    <w:rsid w:val="00937F28"/>
    <w:rsid w:val="00940FE1"/>
    <w:rsid w:val="00941474"/>
    <w:rsid w:val="00942306"/>
    <w:rsid w:val="009424B8"/>
    <w:rsid w:val="009432E2"/>
    <w:rsid w:val="00944668"/>
    <w:rsid w:val="00944DC6"/>
    <w:rsid w:val="009458B0"/>
    <w:rsid w:val="00945B52"/>
    <w:rsid w:val="00945B7A"/>
    <w:rsid w:val="00945F05"/>
    <w:rsid w:val="00946348"/>
    <w:rsid w:val="00947224"/>
    <w:rsid w:val="00947797"/>
    <w:rsid w:val="009478A2"/>
    <w:rsid w:val="009533BD"/>
    <w:rsid w:val="009536FB"/>
    <w:rsid w:val="00953808"/>
    <w:rsid w:val="009539A6"/>
    <w:rsid w:val="00954032"/>
    <w:rsid w:val="00954218"/>
    <w:rsid w:val="00954537"/>
    <w:rsid w:val="0095472D"/>
    <w:rsid w:val="00955342"/>
    <w:rsid w:val="00955FBB"/>
    <w:rsid w:val="0095694B"/>
    <w:rsid w:val="00956BD5"/>
    <w:rsid w:val="00956D84"/>
    <w:rsid w:val="009577B5"/>
    <w:rsid w:val="009608E6"/>
    <w:rsid w:val="00960F57"/>
    <w:rsid w:val="00961C90"/>
    <w:rsid w:val="00964220"/>
    <w:rsid w:val="00965443"/>
    <w:rsid w:val="00965954"/>
    <w:rsid w:val="00965A21"/>
    <w:rsid w:val="00965E55"/>
    <w:rsid w:val="0096608E"/>
    <w:rsid w:val="00966522"/>
    <w:rsid w:val="00966C33"/>
    <w:rsid w:val="00970F18"/>
    <w:rsid w:val="00971CF1"/>
    <w:rsid w:val="00971F5D"/>
    <w:rsid w:val="009721E9"/>
    <w:rsid w:val="00973772"/>
    <w:rsid w:val="00975503"/>
    <w:rsid w:val="0097560A"/>
    <w:rsid w:val="0097586E"/>
    <w:rsid w:val="00975E1E"/>
    <w:rsid w:val="00975E70"/>
    <w:rsid w:val="009761DE"/>
    <w:rsid w:val="009766FA"/>
    <w:rsid w:val="00977CD6"/>
    <w:rsid w:val="0098048B"/>
    <w:rsid w:val="00980908"/>
    <w:rsid w:val="00980DF9"/>
    <w:rsid w:val="00981509"/>
    <w:rsid w:val="00981CD8"/>
    <w:rsid w:val="0098243D"/>
    <w:rsid w:val="00982592"/>
    <w:rsid w:val="00982D26"/>
    <w:rsid w:val="00983B6E"/>
    <w:rsid w:val="00983FE5"/>
    <w:rsid w:val="009849E9"/>
    <w:rsid w:val="00984AFF"/>
    <w:rsid w:val="009859E4"/>
    <w:rsid w:val="00985D7F"/>
    <w:rsid w:val="00987812"/>
    <w:rsid w:val="00990225"/>
    <w:rsid w:val="00991307"/>
    <w:rsid w:val="00991FAA"/>
    <w:rsid w:val="00992A13"/>
    <w:rsid w:val="00994AAD"/>
    <w:rsid w:val="00995150"/>
    <w:rsid w:val="00995774"/>
    <w:rsid w:val="00995D67"/>
    <w:rsid w:val="00997613"/>
    <w:rsid w:val="009A013B"/>
    <w:rsid w:val="009A02F4"/>
    <w:rsid w:val="009A06BF"/>
    <w:rsid w:val="009A0D17"/>
    <w:rsid w:val="009A2269"/>
    <w:rsid w:val="009A2494"/>
    <w:rsid w:val="009A32B1"/>
    <w:rsid w:val="009A33A3"/>
    <w:rsid w:val="009A36F2"/>
    <w:rsid w:val="009A40C3"/>
    <w:rsid w:val="009A40D5"/>
    <w:rsid w:val="009A5268"/>
    <w:rsid w:val="009A57D0"/>
    <w:rsid w:val="009A6559"/>
    <w:rsid w:val="009A68FC"/>
    <w:rsid w:val="009A6CE4"/>
    <w:rsid w:val="009A7514"/>
    <w:rsid w:val="009A7E7A"/>
    <w:rsid w:val="009B0925"/>
    <w:rsid w:val="009B1584"/>
    <w:rsid w:val="009B18F0"/>
    <w:rsid w:val="009B1F4C"/>
    <w:rsid w:val="009B2471"/>
    <w:rsid w:val="009B314F"/>
    <w:rsid w:val="009B439C"/>
    <w:rsid w:val="009B49A1"/>
    <w:rsid w:val="009B4A6C"/>
    <w:rsid w:val="009B4DA8"/>
    <w:rsid w:val="009B519A"/>
    <w:rsid w:val="009B620C"/>
    <w:rsid w:val="009B6753"/>
    <w:rsid w:val="009B676C"/>
    <w:rsid w:val="009B6A26"/>
    <w:rsid w:val="009C079D"/>
    <w:rsid w:val="009C0D70"/>
    <w:rsid w:val="009C13D1"/>
    <w:rsid w:val="009C167C"/>
    <w:rsid w:val="009C2913"/>
    <w:rsid w:val="009C2BD4"/>
    <w:rsid w:val="009C5AFE"/>
    <w:rsid w:val="009C6606"/>
    <w:rsid w:val="009C6CE5"/>
    <w:rsid w:val="009C6D50"/>
    <w:rsid w:val="009C72B2"/>
    <w:rsid w:val="009C732A"/>
    <w:rsid w:val="009C7547"/>
    <w:rsid w:val="009D05EC"/>
    <w:rsid w:val="009D16E2"/>
    <w:rsid w:val="009D18D4"/>
    <w:rsid w:val="009D1FCF"/>
    <w:rsid w:val="009D2F60"/>
    <w:rsid w:val="009D3A2E"/>
    <w:rsid w:val="009D5ADE"/>
    <w:rsid w:val="009D5BAC"/>
    <w:rsid w:val="009D5C56"/>
    <w:rsid w:val="009D6265"/>
    <w:rsid w:val="009D64BD"/>
    <w:rsid w:val="009D6CB1"/>
    <w:rsid w:val="009E0286"/>
    <w:rsid w:val="009E096D"/>
    <w:rsid w:val="009E153F"/>
    <w:rsid w:val="009E18C5"/>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4DF"/>
    <w:rsid w:val="00A00FD5"/>
    <w:rsid w:val="00A012C0"/>
    <w:rsid w:val="00A019A8"/>
    <w:rsid w:val="00A01B03"/>
    <w:rsid w:val="00A01B89"/>
    <w:rsid w:val="00A02C66"/>
    <w:rsid w:val="00A02C84"/>
    <w:rsid w:val="00A0464C"/>
    <w:rsid w:val="00A050BB"/>
    <w:rsid w:val="00A0521B"/>
    <w:rsid w:val="00A054E0"/>
    <w:rsid w:val="00A05D91"/>
    <w:rsid w:val="00A0740B"/>
    <w:rsid w:val="00A07ED3"/>
    <w:rsid w:val="00A10CA8"/>
    <w:rsid w:val="00A11042"/>
    <w:rsid w:val="00A12579"/>
    <w:rsid w:val="00A12CDC"/>
    <w:rsid w:val="00A133D8"/>
    <w:rsid w:val="00A15655"/>
    <w:rsid w:val="00A156EE"/>
    <w:rsid w:val="00A160B0"/>
    <w:rsid w:val="00A1740C"/>
    <w:rsid w:val="00A17904"/>
    <w:rsid w:val="00A20069"/>
    <w:rsid w:val="00A2244D"/>
    <w:rsid w:val="00A2253D"/>
    <w:rsid w:val="00A2267F"/>
    <w:rsid w:val="00A22CDB"/>
    <w:rsid w:val="00A247B8"/>
    <w:rsid w:val="00A2495A"/>
    <w:rsid w:val="00A24C7A"/>
    <w:rsid w:val="00A24D8F"/>
    <w:rsid w:val="00A25B8B"/>
    <w:rsid w:val="00A2689F"/>
    <w:rsid w:val="00A268BC"/>
    <w:rsid w:val="00A26ECA"/>
    <w:rsid w:val="00A27461"/>
    <w:rsid w:val="00A27D67"/>
    <w:rsid w:val="00A30ABC"/>
    <w:rsid w:val="00A31150"/>
    <w:rsid w:val="00A33A3C"/>
    <w:rsid w:val="00A33B74"/>
    <w:rsid w:val="00A3467F"/>
    <w:rsid w:val="00A34B4C"/>
    <w:rsid w:val="00A35030"/>
    <w:rsid w:val="00A3551A"/>
    <w:rsid w:val="00A366A0"/>
    <w:rsid w:val="00A37209"/>
    <w:rsid w:val="00A37584"/>
    <w:rsid w:val="00A376E8"/>
    <w:rsid w:val="00A37F8E"/>
    <w:rsid w:val="00A4037E"/>
    <w:rsid w:val="00A41537"/>
    <w:rsid w:val="00A41737"/>
    <w:rsid w:val="00A42B8F"/>
    <w:rsid w:val="00A42D8E"/>
    <w:rsid w:val="00A43254"/>
    <w:rsid w:val="00A43896"/>
    <w:rsid w:val="00A43951"/>
    <w:rsid w:val="00A43A26"/>
    <w:rsid w:val="00A447A0"/>
    <w:rsid w:val="00A459F5"/>
    <w:rsid w:val="00A45FC0"/>
    <w:rsid w:val="00A46B74"/>
    <w:rsid w:val="00A47889"/>
    <w:rsid w:val="00A47BF7"/>
    <w:rsid w:val="00A47ECC"/>
    <w:rsid w:val="00A50171"/>
    <w:rsid w:val="00A504FA"/>
    <w:rsid w:val="00A5102E"/>
    <w:rsid w:val="00A5132E"/>
    <w:rsid w:val="00A51375"/>
    <w:rsid w:val="00A51533"/>
    <w:rsid w:val="00A531D4"/>
    <w:rsid w:val="00A54572"/>
    <w:rsid w:val="00A575B8"/>
    <w:rsid w:val="00A619BB"/>
    <w:rsid w:val="00A61C60"/>
    <w:rsid w:val="00A61ECB"/>
    <w:rsid w:val="00A6410C"/>
    <w:rsid w:val="00A642E0"/>
    <w:rsid w:val="00A647B1"/>
    <w:rsid w:val="00A64DEF"/>
    <w:rsid w:val="00A654D2"/>
    <w:rsid w:val="00A665DF"/>
    <w:rsid w:val="00A67FCC"/>
    <w:rsid w:val="00A70AA5"/>
    <w:rsid w:val="00A70C03"/>
    <w:rsid w:val="00A71256"/>
    <w:rsid w:val="00A7217B"/>
    <w:rsid w:val="00A722D7"/>
    <w:rsid w:val="00A723A3"/>
    <w:rsid w:val="00A73861"/>
    <w:rsid w:val="00A739A6"/>
    <w:rsid w:val="00A740ED"/>
    <w:rsid w:val="00A74C29"/>
    <w:rsid w:val="00A74C62"/>
    <w:rsid w:val="00A75EF9"/>
    <w:rsid w:val="00A762FE"/>
    <w:rsid w:val="00A7657C"/>
    <w:rsid w:val="00A8311C"/>
    <w:rsid w:val="00A835D0"/>
    <w:rsid w:val="00A8475F"/>
    <w:rsid w:val="00A84C5F"/>
    <w:rsid w:val="00A858F1"/>
    <w:rsid w:val="00A85930"/>
    <w:rsid w:val="00A863F7"/>
    <w:rsid w:val="00A86604"/>
    <w:rsid w:val="00A87519"/>
    <w:rsid w:val="00A915EA"/>
    <w:rsid w:val="00A9246D"/>
    <w:rsid w:val="00A92CCA"/>
    <w:rsid w:val="00A93BD0"/>
    <w:rsid w:val="00A93CC2"/>
    <w:rsid w:val="00A94D4B"/>
    <w:rsid w:val="00A974CC"/>
    <w:rsid w:val="00AA2001"/>
    <w:rsid w:val="00AA2756"/>
    <w:rsid w:val="00AA2B5C"/>
    <w:rsid w:val="00AA32D2"/>
    <w:rsid w:val="00AA3B8B"/>
    <w:rsid w:val="00AA4016"/>
    <w:rsid w:val="00AA4C1F"/>
    <w:rsid w:val="00AA5328"/>
    <w:rsid w:val="00AA5393"/>
    <w:rsid w:val="00AA63D4"/>
    <w:rsid w:val="00AB03FD"/>
    <w:rsid w:val="00AB2000"/>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5E9"/>
    <w:rsid w:val="00AC7D6D"/>
    <w:rsid w:val="00AD0091"/>
    <w:rsid w:val="00AD23EF"/>
    <w:rsid w:val="00AD2662"/>
    <w:rsid w:val="00AD307B"/>
    <w:rsid w:val="00AD4014"/>
    <w:rsid w:val="00AD41B3"/>
    <w:rsid w:val="00AD41E6"/>
    <w:rsid w:val="00AD5721"/>
    <w:rsid w:val="00AD69F0"/>
    <w:rsid w:val="00AD7127"/>
    <w:rsid w:val="00AD730C"/>
    <w:rsid w:val="00AE123A"/>
    <w:rsid w:val="00AE1539"/>
    <w:rsid w:val="00AE28A7"/>
    <w:rsid w:val="00AE2A98"/>
    <w:rsid w:val="00AE2CF2"/>
    <w:rsid w:val="00AE3012"/>
    <w:rsid w:val="00AE3297"/>
    <w:rsid w:val="00AE33A6"/>
    <w:rsid w:val="00AE3513"/>
    <w:rsid w:val="00AE3729"/>
    <w:rsid w:val="00AE3B02"/>
    <w:rsid w:val="00AE4A3E"/>
    <w:rsid w:val="00AE4CCE"/>
    <w:rsid w:val="00AE5C6A"/>
    <w:rsid w:val="00AE7280"/>
    <w:rsid w:val="00AF01FA"/>
    <w:rsid w:val="00AF033A"/>
    <w:rsid w:val="00AF1658"/>
    <w:rsid w:val="00AF1699"/>
    <w:rsid w:val="00AF1FD3"/>
    <w:rsid w:val="00AF2910"/>
    <w:rsid w:val="00AF34B8"/>
    <w:rsid w:val="00AF3896"/>
    <w:rsid w:val="00AF39C9"/>
    <w:rsid w:val="00AF3FC2"/>
    <w:rsid w:val="00AF4DEC"/>
    <w:rsid w:val="00AF580B"/>
    <w:rsid w:val="00B003FF"/>
    <w:rsid w:val="00B004CB"/>
    <w:rsid w:val="00B0098A"/>
    <w:rsid w:val="00B00A5F"/>
    <w:rsid w:val="00B029B8"/>
    <w:rsid w:val="00B02C7D"/>
    <w:rsid w:val="00B02F60"/>
    <w:rsid w:val="00B02F94"/>
    <w:rsid w:val="00B032B8"/>
    <w:rsid w:val="00B03E6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43C"/>
    <w:rsid w:val="00B22CE0"/>
    <w:rsid w:val="00B23738"/>
    <w:rsid w:val="00B23BEF"/>
    <w:rsid w:val="00B247BB"/>
    <w:rsid w:val="00B2504A"/>
    <w:rsid w:val="00B25EE6"/>
    <w:rsid w:val="00B27EB1"/>
    <w:rsid w:val="00B3115A"/>
    <w:rsid w:val="00B3178B"/>
    <w:rsid w:val="00B31825"/>
    <w:rsid w:val="00B31A5C"/>
    <w:rsid w:val="00B32265"/>
    <w:rsid w:val="00B3276D"/>
    <w:rsid w:val="00B33B06"/>
    <w:rsid w:val="00B33C19"/>
    <w:rsid w:val="00B35A15"/>
    <w:rsid w:val="00B35B45"/>
    <w:rsid w:val="00B36165"/>
    <w:rsid w:val="00B36A99"/>
    <w:rsid w:val="00B42264"/>
    <w:rsid w:val="00B434B2"/>
    <w:rsid w:val="00B43D45"/>
    <w:rsid w:val="00B459AF"/>
    <w:rsid w:val="00B468F2"/>
    <w:rsid w:val="00B469DE"/>
    <w:rsid w:val="00B47286"/>
    <w:rsid w:val="00B47EB4"/>
    <w:rsid w:val="00B50234"/>
    <w:rsid w:val="00B51BF4"/>
    <w:rsid w:val="00B52C68"/>
    <w:rsid w:val="00B5372B"/>
    <w:rsid w:val="00B542FE"/>
    <w:rsid w:val="00B55A1B"/>
    <w:rsid w:val="00B55AB7"/>
    <w:rsid w:val="00B561DB"/>
    <w:rsid w:val="00B56DF9"/>
    <w:rsid w:val="00B56E80"/>
    <w:rsid w:val="00B571F1"/>
    <w:rsid w:val="00B600BD"/>
    <w:rsid w:val="00B60E4E"/>
    <w:rsid w:val="00B61274"/>
    <w:rsid w:val="00B61DCE"/>
    <w:rsid w:val="00B62188"/>
    <w:rsid w:val="00B62F79"/>
    <w:rsid w:val="00B62F82"/>
    <w:rsid w:val="00B6306A"/>
    <w:rsid w:val="00B635E3"/>
    <w:rsid w:val="00B64141"/>
    <w:rsid w:val="00B662FF"/>
    <w:rsid w:val="00B66333"/>
    <w:rsid w:val="00B66679"/>
    <w:rsid w:val="00B70145"/>
    <w:rsid w:val="00B71A92"/>
    <w:rsid w:val="00B72111"/>
    <w:rsid w:val="00B721D8"/>
    <w:rsid w:val="00B730CA"/>
    <w:rsid w:val="00B732EA"/>
    <w:rsid w:val="00B73747"/>
    <w:rsid w:val="00B747C5"/>
    <w:rsid w:val="00B74F2F"/>
    <w:rsid w:val="00B753ED"/>
    <w:rsid w:val="00B7665F"/>
    <w:rsid w:val="00B769BC"/>
    <w:rsid w:val="00B76DA9"/>
    <w:rsid w:val="00B770F7"/>
    <w:rsid w:val="00B77349"/>
    <w:rsid w:val="00B7761E"/>
    <w:rsid w:val="00B80A3D"/>
    <w:rsid w:val="00B80B04"/>
    <w:rsid w:val="00B818E1"/>
    <w:rsid w:val="00B821E4"/>
    <w:rsid w:val="00B823E0"/>
    <w:rsid w:val="00B8260D"/>
    <w:rsid w:val="00B827A5"/>
    <w:rsid w:val="00B82B78"/>
    <w:rsid w:val="00B845B4"/>
    <w:rsid w:val="00B84662"/>
    <w:rsid w:val="00B84C74"/>
    <w:rsid w:val="00B84CE9"/>
    <w:rsid w:val="00B85191"/>
    <w:rsid w:val="00B858A1"/>
    <w:rsid w:val="00B85FEC"/>
    <w:rsid w:val="00B864A3"/>
    <w:rsid w:val="00B86C2A"/>
    <w:rsid w:val="00B902A5"/>
    <w:rsid w:val="00B90420"/>
    <w:rsid w:val="00B90848"/>
    <w:rsid w:val="00B91146"/>
    <w:rsid w:val="00B913E4"/>
    <w:rsid w:val="00B91DB9"/>
    <w:rsid w:val="00B91FF3"/>
    <w:rsid w:val="00B924AD"/>
    <w:rsid w:val="00B925F8"/>
    <w:rsid w:val="00B93EFE"/>
    <w:rsid w:val="00B944B9"/>
    <w:rsid w:val="00B94956"/>
    <w:rsid w:val="00B94C7F"/>
    <w:rsid w:val="00B94E93"/>
    <w:rsid w:val="00B956B5"/>
    <w:rsid w:val="00B95956"/>
    <w:rsid w:val="00B96DF2"/>
    <w:rsid w:val="00B96E18"/>
    <w:rsid w:val="00B96F5A"/>
    <w:rsid w:val="00BA0B39"/>
    <w:rsid w:val="00BA0CB2"/>
    <w:rsid w:val="00BA0E26"/>
    <w:rsid w:val="00BA138B"/>
    <w:rsid w:val="00BA27CA"/>
    <w:rsid w:val="00BA305B"/>
    <w:rsid w:val="00BA31BF"/>
    <w:rsid w:val="00BA3C0F"/>
    <w:rsid w:val="00BA3FC7"/>
    <w:rsid w:val="00BA478B"/>
    <w:rsid w:val="00BA5224"/>
    <w:rsid w:val="00BA575E"/>
    <w:rsid w:val="00BA76B7"/>
    <w:rsid w:val="00BA7E3B"/>
    <w:rsid w:val="00BB01CE"/>
    <w:rsid w:val="00BB06BF"/>
    <w:rsid w:val="00BB078D"/>
    <w:rsid w:val="00BB079C"/>
    <w:rsid w:val="00BB0D7A"/>
    <w:rsid w:val="00BB10E1"/>
    <w:rsid w:val="00BB2471"/>
    <w:rsid w:val="00BB2EF5"/>
    <w:rsid w:val="00BB3035"/>
    <w:rsid w:val="00BB39C1"/>
    <w:rsid w:val="00BB3DF5"/>
    <w:rsid w:val="00BB3EA7"/>
    <w:rsid w:val="00BB5D16"/>
    <w:rsid w:val="00BB6180"/>
    <w:rsid w:val="00BB69E6"/>
    <w:rsid w:val="00BB7323"/>
    <w:rsid w:val="00BB7BE5"/>
    <w:rsid w:val="00BC08BD"/>
    <w:rsid w:val="00BC11E8"/>
    <w:rsid w:val="00BC1B7A"/>
    <w:rsid w:val="00BC2C17"/>
    <w:rsid w:val="00BC3ACD"/>
    <w:rsid w:val="00BC3B20"/>
    <w:rsid w:val="00BC3EE4"/>
    <w:rsid w:val="00BC588C"/>
    <w:rsid w:val="00BC6E73"/>
    <w:rsid w:val="00BC74D3"/>
    <w:rsid w:val="00BD0014"/>
    <w:rsid w:val="00BD01D8"/>
    <w:rsid w:val="00BD0CE3"/>
    <w:rsid w:val="00BD255F"/>
    <w:rsid w:val="00BD2895"/>
    <w:rsid w:val="00BD4236"/>
    <w:rsid w:val="00BD4797"/>
    <w:rsid w:val="00BD483B"/>
    <w:rsid w:val="00BD51F9"/>
    <w:rsid w:val="00BD5CD4"/>
    <w:rsid w:val="00BD65D9"/>
    <w:rsid w:val="00BD6783"/>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22E9"/>
    <w:rsid w:val="00BF4342"/>
    <w:rsid w:val="00BF4704"/>
    <w:rsid w:val="00BF4FFC"/>
    <w:rsid w:val="00BF5050"/>
    <w:rsid w:val="00BF50D1"/>
    <w:rsid w:val="00BF5422"/>
    <w:rsid w:val="00BF59B1"/>
    <w:rsid w:val="00BF62DB"/>
    <w:rsid w:val="00BF6625"/>
    <w:rsid w:val="00BF6A78"/>
    <w:rsid w:val="00BF7651"/>
    <w:rsid w:val="00BF7695"/>
    <w:rsid w:val="00BF79B4"/>
    <w:rsid w:val="00BF7C61"/>
    <w:rsid w:val="00C01427"/>
    <w:rsid w:val="00C014C7"/>
    <w:rsid w:val="00C0285C"/>
    <w:rsid w:val="00C03093"/>
    <w:rsid w:val="00C031CF"/>
    <w:rsid w:val="00C047AB"/>
    <w:rsid w:val="00C058AF"/>
    <w:rsid w:val="00C075B6"/>
    <w:rsid w:val="00C07609"/>
    <w:rsid w:val="00C124C1"/>
    <w:rsid w:val="00C128AE"/>
    <w:rsid w:val="00C12BA8"/>
    <w:rsid w:val="00C13094"/>
    <w:rsid w:val="00C136D6"/>
    <w:rsid w:val="00C13D5B"/>
    <w:rsid w:val="00C141D7"/>
    <w:rsid w:val="00C161F9"/>
    <w:rsid w:val="00C1711B"/>
    <w:rsid w:val="00C17AE2"/>
    <w:rsid w:val="00C20140"/>
    <w:rsid w:val="00C20F27"/>
    <w:rsid w:val="00C215CF"/>
    <w:rsid w:val="00C2244B"/>
    <w:rsid w:val="00C22711"/>
    <w:rsid w:val="00C2280A"/>
    <w:rsid w:val="00C22B0D"/>
    <w:rsid w:val="00C22BFF"/>
    <w:rsid w:val="00C23522"/>
    <w:rsid w:val="00C240C1"/>
    <w:rsid w:val="00C244A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4619"/>
    <w:rsid w:val="00C348D9"/>
    <w:rsid w:val="00C35D01"/>
    <w:rsid w:val="00C360B3"/>
    <w:rsid w:val="00C37027"/>
    <w:rsid w:val="00C373BF"/>
    <w:rsid w:val="00C37B19"/>
    <w:rsid w:val="00C40107"/>
    <w:rsid w:val="00C401AF"/>
    <w:rsid w:val="00C41349"/>
    <w:rsid w:val="00C413CB"/>
    <w:rsid w:val="00C42752"/>
    <w:rsid w:val="00C42973"/>
    <w:rsid w:val="00C43A2E"/>
    <w:rsid w:val="00C46B95"/>
    <w:rsid w:val="00C4712A"/>
    <w:rsid w:val="00C5034F"/>
    <w:rsid w:val="00C50830"/>
    <w:rsid w:val="00C514B0"/>
    <w:rsid w:val="00C52479"/>
    <w:rsid w:val="00C5266E"/>
    <w:rsid w:val="00C52C59"/>
    <w:rsid w:val="00C5349E"/>
    <w:rsid w:val="00C539FF"/>
    <w:rsid w:val="00C544BD"/>
    <w:rsid w:val="00C54D3D"/>
    <w:rsid w:val="00C55A30"/>
    <w:rsid w:val="00C56384"/>
    <w:rsid w:val="00C574D9"/>
    <w:rsid w:val="00C579C2"/>
    <w:rsid w:val="00C60F8C"/>
    <w:rsid w:val="00C61424"/>
    <w:rsid w:val="00C61794"/>
    <w:rsid w:val="00C62A48"/>
    <w:rsid w:val="00C62AC4"/>
    <w:rsid w:val="00C62B59"/>
    <w:rsid w:val="00C62F96"/>
    <w:rsid w:val="00C631E1"/>
    <w:rsid w:val="00C638D8"/>
    <w:rsid w:val="00C63A43"/>
    <w:rsid w:val="00C63AE7"/>
    <w:rsid w:val="00C63D26"/>
    <w:rsid w:val="00C6540A"/>
    <w:rsid w:val="00C668A1"/>
    <w:rsid w:val="00C67223"/>
    <w:rsid w:val="00C67A97"/>
    <w:rsid w:val="00C707B8"/>
    <w:rsid w:val="00C712AC"/>
    <w:rsid w:val="00C71C15"/>
    <w:rsid w:val="00C71F3D"/>
    <w:rsid w:val="00C72F53"/>
    <w:rsid w:val="00C74035"/>
    <w:rsid w:val="00C748EA"/>
    <w:rsid w:val="00C77818"/>
    <w:rsid w:val="00C77D01"/>
    <w:rsid w:val="00C8063F"/>
    <w:rsid w:val="00C81282"/>
    <w:rsid w:val="00C827B4"/>
    <w:rsid w:val="00C83214"/>
    <w:rsid w:val="00C8329F"/>
    <w:rsid w:val="00C84F8A"/>
    <w:rsid w:val="00C85BA4"/>
    <w:rsid w:val="00C8618F"/>
    <w:rsid w:val="00C8625D"/>
    <w:rsid w:val="00C90372"/>
    <w:rsid w:val="00C9041F"/>
    <w:rsid w:val="00C90C84"/>
    <w:rsid w:val="00C9166B"/>
    <w:rsid w:val="00C916CC"/>
    <w:rsid w:val="00C91945"/>
    <w:rsid w:val="00C91A45"/>
    <w:rsid w:val="00C91FB4"/>
    <w:rsid w:val="00C92150"/>
    <w:rsid w:val="00C92328"/>
    <w:rsid w:val="00C92D42"/>
    <w:rsid w:val="00C938C2"/>
    <w:rsid w:val="00C93F8A"/>
    <w:rsid w:val="00C944A3"/>
    <w:rsid w:val="00C94E03"/>
    <w:rsid w:val="00C94EA1"/>
    <w:rsid w:val="00C95745"/>
    <w:rsid w:val="00C95902"/>
    <w:rsid w:val="00C962E3"/>
    <w:rsid w:val="00C9751C"/>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010"/>
    <w:rsid w:val="00CB53E8"/>
    <w:rsid w:val="00CB594A"/>
    <w:rsid w:val="00CB5CB2"/>
    <w:rsid w:val="00CB6979"/>
    <w:rsid w:val="00CB7DDE"/>
    <w:rsid w:val="00CC0A3D"/>
    <w:rsid w:val="00CC0DAB"/>
    <w:rsid w:val="00CC2FF0"/>
    <w:rsid w:val="00CC3C53"/>
    <w:rsid w:val="00CC3D24"/>
    <w:rsid w:val="00CC3F91"/>
    <w:rsid w:val="00CC47EE"/>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3BF2"/>
    <w:rsid w:val="00CD437E"/>
    <w:rsid w:val="00CD5DAD"/>
    <w:rsid w:val="00CD72C5"/>
    <w:rsid w:val="00CD77B4"/>
    <w:rsid w:val="00CD79A7"/>
    <w:rsid w:val="00CD7FAD"/>
    <w:rsid w:val="00CE0789"/>
    <w:rsid w:val="00CE0E8D"/>
    <w:rsid w:val="00CE1A03"/>
    <w:rsid w:val="00CE2346"/>
    <w:rsid w:val="00CE25B2"/>
    <w:rsid w:val="00CE3529"/>
    <w:rsid w:val="00CE35C8"/>
    <w:rsid w:val="00CE3962"/>
    <w:rsid w:val="00CE4D0A"/>
    <w:rsid w:val="00CE4D14"/>
    <w:rsid w:val="00CE4D1A"/>
    <w:rsid w:val="00CE4E8A"/>
    <w:rsid w:val="00CE5105"/>
    <w:rsid w:val="00CE56BD"/>
    <w:rsid w:val="00CE5EC0"/>
    <w:rsid w:val="00CE68AD"/>
    <w:rsid w:val="00CE6F9F"/>
    <w:rsid w:val="00CE781A"/>
    <w:rsid w:val="00CE7B08"/>
    <w:rsid w:val="00CE7D52"/>
    <w:rsid w:val="00CF0AB7"/>
    <w:rsid w:val="00CF1D74"/>
    <w:rsid w:val="00CF2BE2"/>
    <w:rsid w:val="00CF3C20"/>
    <w:rsid w:val="00CF3DEB"/>
    <w:rsid w:val="00CF44E2"/>
    <w:rsid w:val="00CF55F9"/>
    <w:rsid w:val="00CF7074"/>
    <w:rsid w:val="00CF7495"/>
    <w:rsid w:val="00D008AF"/>
    <w:rsid w:val="00D01CF9"/>
    <w:rsid w:val="00D02D07"/>
    <w:rsid w:val="00D0334D"/>
    <w:rsid w:val="00D0374D"/>
    <w:rsid w:val="00D06D7B"/>
    <w:rsid w:val="00D06DA5"/>
    <w:rsid w:val="00D07191"/>
    <w:rsid w:val="00D07721"/>
    <w:rsid w:val="00D07F1D"/>
    <w:rsid w:val="00D10558"/>
    <w:rsid w:val="00D10FC3"/>
    <w:rsid w:val="00D11D4D"/>
    <w:rsid w:val="00D11DB1"/>
    <w:rsid w:val="00D126DC"/>
    <w:rsid w:val="00D12B03"/>
    <w:rsid w:val="00D13E70"/>
    <w:rsid w:val="00D13EE7"/>
    <w:rsid w:val="00D15FCD"/>
    <w:rsid w:val="00D16C58"/>
    <w:rsid w:val="00D17019"/>
    <w:rsid w:val="00D17FC8"/>
    <w:rsid w:val="00D2015B"/>
    <w:rsid w:val="00D20B44"/>
    <w:rsid w:val="00D21168"/>
    <w:rsid w:val="00D2385D"/>
    <w:rsid w:val="00D2438C"/>
    <w:rsid w:val="00D2585A"/>
    <w:rsid w:val="00D259B0"/>
    <w:rsid w:val="00D259C2"/>
    <w:rsid w:val="00D26C3F"/>
    <w:rsid w:val="00D27185"/>
    <w:rsid w:val="00D3028A"/>
    <w:rsid w:val="00D33488"/>
    <w:rsid w:val="00D33AB3"/>
    <w:rsid w:val="00D33F24"/>
    <w:rsid w:val="00D34160"/>
    <w:rsid w:val="00D346B8"/>
    <w:rsid w:val="00D34DCA"/>
    <w:rsid w:val="00D35AC8"/>
    <w:rsid w:val="00D36F87"/>
    <w:rsid w:val="00D37E4E"/>
    <w:rsid w:val="00D417D8"/>
    <w:rsid w:val="00D41F78"/>
    <w:rsid w:val="00D42E6C"/>
    <w:rsid w:val="00D4351C"/>
    <w:rsid w:val="00D43B80"/>
    <w:rsid w:val="00D44988"/>
    <w:rsid w:val="00D45B4C"/>
    <w:rsid w:val="00D45BA4"/>
    <w:rsid w:val="00D471AF"/>
    <w:rsid w:val="00D471E2"/>
    <w:rsid w:val="00D4724F"/>
    <w:rsid w:val="00D50519"/>
    <w:rsid w:val="00D50779"/>
    <w:rsid w:val="00D51601"/>
    <w:rsid w:val="00D51ECB"/>
    <w:rsid w:val="00D5264C"/>
    <w:rsid w:val="00D5272B"/>
    <w:rsid w:val="00D52BBC"/>
    <w:rsid w:val="00D537FE"/>
    <w:rsid w:val="00D53CC9"/>
    <w:rsid w:val="00D54A6A"/>
    <w:rsid w:val="00D54B8F"/>
    <w:rsid w:val="00D55848"/>
    <w:rsid w:val="00D55951"/>
    <w:rsid w:val="00D559F0"/>
    <w:rsid w:val="00D5650F"/>
    <w:rsid w:val="00D56ADF"/>
    <w:rsid w:val="00D57EB6"/>
    <w:rsid w:val="00D608C0"/>
    <w:rsid w:val="00D60D6D"/>
    <w:rsid w:val="00D6128C"/>
    <w:rsid w:val="00D613B3"/>
    <w:rsid w:val="00D63502"/>
    <w:rsid w:val="00D63B22"/>
    <w:rsid w:val="00D66D8B"/>
    <w:rsid w:val="00D70849"/>
    <w:rsid w:val="00D717C6"/>
    <w:rsid w:val="00D72297"/>
    <w:rsid w:val="00D72A1C"/>
    <w:rsid w:val="00D7308F"/>
    <w:rsid w:val="00D7313E"/>
    <w:rsid w:val="00D73580"/>
    <w:rsid w:val="00D73802"/>
    <w:rsid w:val="00D73C2C"/>
    <w:rsid w:val="00D73D52"/>
    <w:rsid w:val="00D745E7"/>
    <w:rsid w:val="00D75DD0"/>
    <w:rsid w:val="00D75FDA"/>
    <w:rsid w:val="00D774ED"/>
    <w:rsid w:val="00D777C3"/>
    <w:rsid w:val="00D7797C"/>
    <w:rsid w:val="00D77C44"/>
    <w:rsid w:val="00D77F88"/>
    <w:rsid w:val="00D81AFA"/>
    <w:rsid w:val="00D81EAA"/>
    <w:rsid w:val="00D81FE2"/>
    <w:rsid w:val="00D8259F"/>
    <w:rsid w:val="00D825F2"/>
    <w:rsid w:val="00D8285C"/>
    <w:rsid w:val="00D828B1"/>
    <w:rsid w:val="00D82A55"/>
    <w:rsid w:val="00D830F8"/>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00B3"/>
    <w:rsid w:val="00DA0485"/>
    <w:rsid w:val="00DA0A80"/>
    <w:rsid w:val="00DA1A3A"/>
    <w:rsid w:val="00DA2351"/>
    <w:rsid w:val="00DA249E"/>
    <w:rsid w:val="00DA2D3D"/>
    <w:rsid w:val="00DA3855"/>
    <w:rsid w:val="00DA39BA"/>
    <w:rsid w:val="00DA4C30"/>
    <w:rsid w:val="00DA4D9F"/>
    <w:rsid w:val="00DA6A44"/>
    <w:rsid w:val="00DA7A3C"/>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2DE8"/>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45F2"/>
    <w:rsid w:val="00DD61E8"/>
    <w:rsid w:val="00DD62C0"/>
    <w:rsid w:val="00DD64DE"/>
    <w:rsid w:val="00DD66DE"/>
    <w:rsid w:val="00DD7859"/>
    <w:rsid w:val="00DD7B41"/>
    <w:rsid w:val="00DE0784"/>
    <w:rsid w:val="00DE0A1D"/>
    <w:rsid w:val="00DE15B2"/>
    <w:rsid w:val="00DE1A9A"/>
    <w:rsid w:val="00DE3D2C"/>
    <w:rsid w:val="00DE5604"/>
    <w:rsid w:val="00DE5E82"/>
    <w:rsid w:val="00DE5FA6"/>
    <w:rsid w:val="00DE6792"/>
    <w:rsid w:val="00DE6AA1"/>
    <w:rsid w:val="00DE7EF7"/>
    <w:rsid w:val="00DF015B"/>
    <w:rsid w:val="00DF02EC"/>
    <w:rsid w:val="00DF10FC"/>
    <w:rsid w:val="00DF1185"/>
    <w:rsid w:val="00DF1299"/>
    <w:rsid w:val="00DF1A70"/>
    <w:rsid w:val="00DF1E5F"/>
    <w:rsid w:val="00DF23A8"/>
    <w:rsid w:val="00DF2F27"/>
    <w:rsid w:val="00DF36B6"/>
    <w:rsid w:val="00DF4296"/>
    <w:rsid w:val="00DF4DCC"/>
    <w:rsid w:val="00DF5267"/>
    <w:rsid w:val="00DF53F0"/>
    <w:rsid w:val="00DF5F38"/>
    <w:rsid w:val="00DF6608"/>
    <w:rsid w:val="00DF6CCC"/>
    <w:rsid w:val="00DF6D0C"/>
    <w:rsid w:val="00DF6F64"/>
    <w:rsid w:val="00DF721E"/>
    <w:rsid w:val="00DF7549"/>
    <w:rsid w:val="00DF7B8A"/>
    <w:rsid w:val="00DF7C87"/>
    <w:rsid w:val="00E009B0"/>
    <w:rsid w:val="00E00A12"/>
    <w:rsid w:val="00E00B39"/>
    <w:rsid w:val="00E00C49"/>
    <w:rsid w:val="00E01C9C"/>
    <w:rsid w:val="00E0219D"/>
    <w:rsid w:val="00E0469A"/>
    <w:rsid w:val="00E04C0F"/>
    <w:rsid w:val="00E0570B"/>
    <w:rsid w:val="00E05A50"/>
    <w:rsid w:val="00E069C5"/>
    <w:rsid w:val="00E10913"/>
    <w:rsid w:val="00E10B87"/>
    <w:rsid w:val="00E121CE"/>
    <w:rsid w:val="00E12209"/>
    <w:rsid w:val="00E1478B"/>
    <w:rsid w:val="00E1494A"/>
    <w:rsid w:val="00E14FAC"/>
    <w:rsid w:val="00E15007"/>
    <w:rsid w:val="00E1500D"/>
    <w:rsid w:val="00E16277"/>
    <w:rsid w:val="00E16EC7"/>
    <w:rsid w:val="00E17763"/>
    <w:rsid w:val="00E17DCC"/>
    <w:rsid w:val="00E219CE"/>
    <w:rsid w:val="00E21D93"/>
    <w:rsid w:val="00E22208"/>
    <w:rsid w:val="00E22D2A"/>
    <w:rsid w:val="00E23C32"/>
    <w:rsid w:val="00E24071"/>
    <w:rsid w:val="00E24DCA"/>
    <w:rsid w:val="00E24EBC"/>
    <w:rsid w:val="00E2522C"/>
    <w:rsid w:val="00E2552F"/>
    <w:rsid w:val="00E2599B"/>
    <w:rsid w:val="00E25B7F"/>
    <w:rsid w:val="00E2710C"/>
    <w:rsid w:val="00E272BD"/>
    <w:rsid w:val="00E27428"/>
    <w:rsid w:val="00E305B4"/>
    <w:rsid w:val="00E31AFA"/>
    <w:rsid w:val="00E31CB7"/>
    <w:rsid w:val="00E324EE"/>
    <w:rsid w:val="00E34BCC"/>
    <w:rsid w:val="00E34DB1"/>
    <w:rsid w:val="00E35931"/>
    <w:rsid w:val="00E359FF"/>
    <w:rsid w:val="00E3699A"/>
    <w:rsid w:val="00E402C5"/>
    <w:rsid w:val="00E402F4"/>
    <w:rsid w:val="00E405F1"/>
    <w:rsid w:val="00E417DB"/>
    <w:rsid w:val="00E43054"/>
    <w:rsid w:val="00E43655"/>
    <w:rsid w:val="00E44440"/>
    <w:rsid w:val="00E46013"/>
    <w:rsid w:val="00E47099"/>
    <w:rsid w:val="00E47284"/>
    <w:rsid w:val="00E477C3"/>
    <w:rsid w:val="00E51E16"/>
    <w:rsid w:val="00E52DED"/>
    <w:rsid w:val="00E53730"/>
    <w:rsid w:val="00E5438D"/>
    <w:rsid w:val="00E54511"/>
    <w:rsid w:val="00E54E50"/>
    <w:rsid w:val="00E55288"/>
    <w:rsid w:val="00E57577"/>
    <w:rsid w:val="00E62043"/>
    <w:rsid w:val="00E626B9"/>
    <w:rsid w:val="00E627C9"/>
    <w:rsid w:val="00E62C95"/>
    <w:rsid w:val="00E630F3"/>
    <w:rsid w:val="00E6332F"/>
    <w:rsid w:val="00E637C9"/>
    <w:rsid w:val="00E6402D"/>
    <w:rsid w:val="00E6680A"/>
    <w:rsid w:val="00E66F0D"/>
    <w:rsid w:val="00E70615"/>
    <w:rsid w:val="00E70B8F"/>
    <w:rsid w:val="00E7161E"/>
    <w:rsid w:val="00E7207B"/>
    <w:rsid w:val="00E7347A"/>
    <w:rsid w:val="00E75A47"/>
    <w:rsid w:val="00E75BB6"/>
    <w:rsid w:val="00E75D8C"/>
    <w:rsid w:val="00E77301"/>
    <w:rsid w:val="00E777F2"/>
    <w:rsid w:val="00E802C9"/>
    <w:rsid w:val="00E80BFB"/>
    <w:rsid w:val="00E80EC2"/>
    <w:rsid w:val="00E80F0A"/>
    <w:rsid w:val="00E815D4"/>
    <w:rsid w:val="00E8291B"/>
    <w:rsid w:val="00E82E70"/>
    <w:rsid w:val="00E82F92"/>
    <w:rsid w:val="00E8395F"/>
    <w:rsid w:val="00E8410F"/>
    <w:rsid w:val="00E849D7"/>
    <w:rsid w:val="00E85E41"/>
    <w:rsid w:val="00E85EA1"/>
    <w:rsid w:val="00E86703"/>
    <w:rsid w:val="00E86A81"/>
    <w:rsid w:val="00E900DA"/>
    <w:rsid w:val="00E91044"/>
    <w:rsid w:val="00E910D3"/>
    <w:rsid w:val="00E92097"/>
    <w:rsid w:val="00E92154"/>
    <w:rsid w:val="00E923CF"/>
    <w:rsid w:val="00E93685"/>
    <w:rsid w:val="00E93B65"/>
    <w:rsid w:val="00E93C8C"/>
    <w:rsid w:val="00E95111"/>
    <w:rsid w:val="00E95FDF"/>
    <w:rsid w:val="00E97294"/>
    <w:rsid w:val="00EA14C8"/>
    <w:rsid w:val="00EA2110"/>
    <w:rsid w:val="00EA283A"/>
    <w:rsid w:val="00EA2C90"/>
    <w:rsid w:val="00EA2E07"/>
    <w:rsid w:val="00EA383B"/>
    <w:rsid w:val="00EA48F3"/>
    <w:rsid w:val="00EA60A5"/>
    <w:rsid w:val="00EA60BF"/>
    <w:rsid w:val="00EA7365"/>
    <w:rsid w:val="00EA763F"/>
    <w:rsid w:val="00EA77E9"/>
    <w:rsid w:val="00EB05D0"/>
    <w:rsid w:val="00EB1151"/>
    <w:rsid w:val="00EB1D49"/>
    <w:rsid w:val="00EB23D9"/>
    <w:rsid w:val="00EB39A0"/>
    <w:rsid w:val="00EB430A"/>
    <w:rsid w:val="00EB559F"/>
    <w:rsid w:val="00EB566C"/>
    <w:rsid w:val="00EB5A18"/>
    <w:rsid w:val="00EB5F3D"/>
    <w:rsid w:val="00EB6C97"/>
    <w:rsid w:val="00EC1A47"/>
    <w:rsid w:val="00EC1CEB"/>
    <w:rsid w:val="00EC1DC0"/>
    <w:rsid w:val="00EC1DC2"/>
    <w:rsid w:val="00EC1E09"/>
    <w:rsid w:val="00EC210E"/>
    <w:rsid w:val="00EC21EC"/>
    <w:rsid w:val="00EC24B8"/>
    <w:rsid w:val="00EC268C"/>
    <w:rsid w:val="00EC3753"/>
    <w:rsid w:val="00EC4E71"/>
    <w:rsid w:val="00EC5F1C"/>
    <w:rsid w:val="00ED0365"/>
    <w:rsid w:val="00ED0865"/>
    <w:rsid w:val="00ED0C1C"/>
    <w:rsid w:val="00ED1C60"/>
    <w:rsid w:val="00ED2EB9"/>
    <w:rsid w:val="00ED3513"/>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267"/>
    <w:rsid w:val="00EE73D0"/>
    <w:rsid w:val="00EE7CB0"/>
    <w:rsid w:val="00EF08A8"/>
    <w:rsid w:val="00EF114C"/>
    <w:rsid w:val="00EF167B"/>
    <w:rsid w:val="00EF2496"/>
    <w:rsid w:val="00EF41A8"/>
    <w:rsid w:val="00EF44FB"/>
    <w:rsid w:val="00EF5122"/>
    <w:rsid w:val="00EF5554"/>
    <w:rsid w:val="00EF55A6"/>
    <w:rsid w:val="00EF5AD8"/>
    <w:rsid w:val="00EF6B90"/>
    <w:rsid w:val="00EF7807"/>
    <w:rsid w:val="00EF79F7"/>
    <w:rsid w:val="00F006C0"/>
    <w:rsid w:val="00F0125F"/>
    <w:rsid w:val="00F019AA"/>
    <w:rsid w:val="00F0267E"/>
    <w:rsid w:val="00F02686"/>
    <w:rsid w:val="00F030C0"/>
    <w:rsid w:val="00F03291"/>
    <w:rsid w:val="00F03A85"/>
    <w:rsid w:val="00F0459B"/>
    <w:rsid w:val="00F04E15"/>
    <w:rsid w:val="00F05DF3"/>
    <w:rsid w:val="00F06829"/>
    <w:rsid w:val="00F069EA"/>
    <w:rsid w:val="00F070E5"/>
    <w:rsid w:val="00F07DDE"/>
    <w:rsid w:val="00F11675"/>
    <w:rsid w:val="00F123DA"/>
    <w:rsid w:val="00F12557"/>
    <w:rsid w:val="00F12B7F"/>
    <w:rsid w:val="00F13599"/>
    <w:rsid w:val="00F13608"/>
    <w:rsid w:val="00F13B28"/>
    <w:rsid w:val="00F156A0"/>
    <w:rsid w:val="00F15730"/>
    <w:rsid w:val="00F15BDE"/>
    <w:rsid w:val="00F16125"/>
    <w:rsid w:val="00F176A6"/>
    <w:rsid w:val="00F178DC"/>
    <w:rsid w:val="00F202C2"/>
    <w:rsid w:val="00F212F6"/>
    <w:rsid w:val="00F2254A"/>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36FD5"/>
    <w:rsid w:val="00F37BC2"/>
    <w:rsid w:val="00F40101"/>
    <w:rsid w:val="00F404F7"/>
    <w:rsid w:val="00F40CCA"/>
    <w:rsid w:val="00F42D97"/>
    <w:rsid w:val="00F42FCF"/>
    <w:rsid w:val="00F436B2"/>
    <w:rsid w:val="00F43813"/>
    <w:rsid w:val="00F43FEE"/>
    <w:rsid w:val="00F4492F"/>
    <w:rsid w:val="00F45A72"/>
    <w:rsid w:val="00F46723"/>
    <w:rsid w:val="00F4706D"/>
    <w:rsid w:val="00F476E1"/>
    <w:rsid w:val="00F47D1D"/>
    <w:rsid w:val="00F47F29"/>
    <w:rsid w:val="00F50016"/>
    <w:rsid w:val="00F5118A"/>
    <w:rsid w:val="00F51A21"/>
    <w:rsid w:val="00F52614"/>
    <w:rsid w:val="00F5276E"/>
    <w:rsid w:val="00F52E9F"/>
    <w:rsid w:val="00F53304"/>
    <w:rsid w:val="00F53B81"/>
    <w:rsid w:val="00F540FE"/>
    <w:rsid w:val="00F5459A"/>
    <w:rsid w:val="00F556FF"/>
    <w:rsid w:val="00F55D12"/>
    <w:rsid w:val="00F5687F"/>
    <w:rsid w:val="00F56D3F"/>
    <w:rsid w:val="00F575C7"/>
    <w:rsid w:val="00F57FD0"/>
    <w:rsid w:val="00F60305"/>
    <w:rsid w:val="00F61B12"/>
    <w:rsid w:val="00F61C70"/>
    <w:rsid w:val="00F63264"/>
    <w:rsid w:val="00F634E4"/>
    <w:rsid w:val="00F6379E"/>
    <w:rsid w:val="00F64047"/>
    <w:rsid w:val="00F65171"/>
    <w:rsid w:val="00F6560D"/>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3F"/>
    <w:rsid w:val="00F81587"/>
    <w:rsid w:val="00F8288F"/>
    <w:rsid w:val="00F8376E"/>
    <w:rsid w:val="00F83C52"/>
    <w:rsid w:val="00F84802"/>
    <w:rsid w:val="00F85B72"/>
    <w:rsid w:val="00F86540"/>
    <w:rsid w:val="00F865CE"/>
    <w:rsid w:val="00F868E9"/>
    <w:rsid w:val="00F86986"/>
    <w:rsid w:val="00F8766F"/>
    <w:rsid w:val="00F90282"/>
    <w:rsid w:val="00F91082"/>
    <w:rsid w:val="00F9116D"/>
    <w:rsid w:val="00F91342"/>
    <w:rsid w:val="00F91A9A"/>
    <w:rsid w:val="00F92634"/>
    <w:rsid w:val="00F933F3"/>
    <w:rsid w:val="00F93ABB"/>
    <w:rsid w:val="00F94D79"/>
    <w:rsid w:val="00F9658C"/>
    <w:rsid w:val="00F96EEB"/>
    <w:rsid w:val="00F97A7F"/>
    <w:rsid w:val="00F97CD0"/>
    <w:rsid w:val="00FA0889"/>
    <w:rsid w:val="00FA16E7"/>
    <w:rsid w:val="00FA31C7"/>
    <w:rsid w:val="00FA472D"/>
    <w:rsid w:val="00FA681F"/>
    <w:rsid w:val="00FB0CBF"/>
    <w:rsid w:val="00FB18F6"/>
    <w:rsid w:val="00FB19B4"/>
    <w:rsid w:val="00FB2A52"/>
    <w:rsid w:val="00FB3003"/>
    <w:rsid w:val="00FB3C5F"/>
    <w:rsid w:val="00FB3F92"/>
    <w:rsid w:val="00FB52C7"/>
    <w:rsid w:val="00FB57DC"/>
    <w:rsid w:val="00FB6E19"/>
    <w:rsid w:val="00FB71F6"/>
    <w:rsid w:val="00FC07AF"/>
    <w:rsid w:val="00FC0AF8"/>
    <w:rsid w:val="00FC0B69"/>
    <w:rsid w:val="00FC1483"/>
    <w:rsid w:val="00FC1C47"/>
    <w:rsid w:val="00FC3102"/>
    <w:rsid w:val="00FC39ED"/>
    <w:rsid w:val="00FC3B90"/>
    <w:rsid w:val="00FC4419"/>
    <w:rsid w:val="00FC47E2"/>
    <w:rsid w:val="00FC4AA5"/>
    <w:rsid w:val="00FC4B88"/>
    <w:rsid w:val="00FC4BB8"/>
    <w:rsid w:val="00FC5148"/>
    <w:rsid w:val="00FC5404"/>
    <w:rsid w:val="00FC6524"/>
    <w:rsid w:val="00FC6B58"/>
    <w:rsid w:val="00FC75AC"/>
    <w:rsid w:val="00FC7984"/>
    <w:rsid w:val="00FD01BF"/>
    <w:rsid w:val="00FD0525"/>
    <w:rsid w:val="00FD0AB7"/>
    <w:rsid w:val="00FD297D"/>
    <w:rsid w:val="00FD2D13"/>
    <w:rsid w:val="00FD374D"/>
    <w:rsid w:val="00FD6071"/>
    <w:rsid w:val="00FD633B"/>
    <w:rsid w:val="00FE0794"/>
    <w:rsid w:val="00FE1041"/>
    <w:rsid w:val="00FE24CB"/>
    <w:rsid w:val="00FE2620"/>
    <w:rsid w:val="00FE323F"/>
    <w:rsid w:val="00FE3473"/>
    <w:rsid w:val="00FE4049"/>
    <w:rsid w:val="00FE4794"/>
    <w:rsid w:val="00FE480F"/>
    <w:rsid w:val="00FE4998"/>
    <w:rsid w:val="00FE57DE"/>
    <w:rsid w:val="00FE7777"/>
    <w:rsid w:val="00FE7A68"/>
    <w:rsid w:val="00FF0231"/>
    <w:rsid w:val="00FF1C9B"/>
    <w:rsid w:val="00FF1D49"/>
    <w:rsid w:val="00FF203B"/>
    <w:rsid w:val="00FF2562"/>
    <w:rsid w:val="00FF3A41"/>
    <w:rsid w:val="00FF3E5B"/>
    <w:rsid w:val="00FF57E4"/>
    <w:rsid w:val="00FF5A22"/>
    <w:rsid w:val="00FF7706"/>
    <w:rsid w:val="00FF78E5"/>
    <w:rsid w:val="011722EB"/>
    <w:rsid w:val="011E5EB5"/>
    <w:rsid w:val="012B6212"/>
    <w:rsid w:val="012C5FAF"/>
    <w:rsid w:val="0135626B"/>
    <w:rsid w:val="017D460B"/>
    <w:rsid w:val="01AF3D99"/>
    <w:rsid w:val="01EA1CEA"/>
    <w:rsid w:val="01EA636A"/>
    <w:rsid w:val="020168A7"/>
    <w:rsid w:val="02511F9D"/>
    <w:rsid w:val="02BE3A7E"/>
    <w:rsid w:val="02EE64DC"/>
    <w:rsid w:val="03942A31"/>
    <w:rsid w:val="03A314B8"/>
    <w:rsid w:val="03A33B98"/>
    <w:rsid w:val="03C17591"/>
    <w:rsid w:val="03D82B98"/>
    <w:rsid w:val="03F83E8B"/>
    <w:rsid w:val="04106F71"/>
    <w:rsid w:val="042A0CA0"/>
    <w:rsid w:val="04561C21"/>
    <w:rsid w:val="050D65F7"/>
    <w:rsid w:val="052B7F39"/>
    <w:rsid w:val="05C56868"/>
    <w:rsid w:val="05FC32DC"/>
    <w:rsid w:val="06141287"/>
    <w:rsid w:val="068C4342"/>
    <w:rsid w:val="074D0F7B"/>
    <w:rsid w:val="075E75DE"/>
    <w:rsid w:val="0760556A"/>
    <w:rsid w:val="07A539BD"/>
    <w:rsid w:val="07B72767"/>
    <w:rsid w:val="08077E72"/>
    <w:rsid w:val="082952CF"/>
    <w:rsid w:val="083333BB"/>
    <w:rsid w:val="08882DD0"/>
    <w:rsid w:val="08970A5E"/>
    <w:rsid w:val="08CE1FB4"/>
    <w:rsid w:val="08ED6C85"/>
    <w:rsid w:val="08FA64E5"/>
    <w:rsid w:val="0924312B"/>
    <w:rsid w:val="094A32BB"/>
    <w:rsid w:val="09C120A6"/>
    <w:rsid w:val="09CC2AAC"/>
    <w:rsid w:val="0A1D4B08"/>
    <w:rsid w:val="0A652D3E"/>
    <w:rsid w:val="0A6F0B37"/>
    <w:rsid w:val="0AE879F3"/>
    <w:rsid w:val="0B191045"/>
    <w:rsid w:val="0B2C099F"/>
    <w:rsid w:val="0B326F2A"/>
    <w:rsid w:val="0B4C0D84"/>
    <w:rsid w:val="0BA7233D"/>
    <w:rsid w:val="0C1E2888"/>
    <w:rsid w:val="0C491F4C"/>
    <w:rsid w:val="0C92213C"/>
    <w:rsid w:val="0CC2027E"/>
    <w:rsid w:val="0D562B05"/>
    <w:rsid w:val="0D84032B"/>
    <w:rsid w:val="0DA770F4"/>
    <w:rsid w:val="0EAC0C2F"/>
    <w:rsid w:val="0F0E2EB6"/>
    <w:rsid w:val="0F1F60A8"/>
    <w:rsid w:val="0F255168"/>
    <w:rsid w:val="0F2A424A"/>
    <w:rsid w:val="0F2A74C4"/>
    <w:rsid w:val="0FCE07BC"/>
    <w:rsid w:val="10A27F31"/>
    <w:rsid w:val="10C3703B"/>
    <w:rsid w:val="113969C6"/>
    <w:rsid w:val="11717F0E"/>
    <w:rsid w:val="118B765D"/>
    <w:rsid w:val="11927058"/>
    <w:rsid w:val="11AD150E"/>
    <w:rsid w:val="120E171E"/>
    <w:rsid w:val="12425513"/>
    <w:rsid w:val="1247180D"/>
    <w:rsid w:val="12624111"/>
    <w:rsid w:val="12684FA3"/>
    <w:rsid w:val="126E2D03"/>
    <w:rsid w:val="12C419EF"/>
    <w:rsid w:val="12CA1F1B"/>
    <w:rsid w:val="12E90FE0"/>
    <w:rsid w:val="13AF4F03"/>
    <w:rsid w:val="13BA2040"/>
    <w:rsid w:val="1402701A"/>
    <w:rsid w:val="143401AF"/>
    <w:rsid w:val="14474812"/>
    <w:rsid w:val="14581E1E"/>
    <w:rsid w:val="14736E66"/>
    <w:rsid w:val="147F458F"/>
    <w:rsid w:val="14B012CC"/>
    <w:rsid w:val="14DF00CB"/>
    <w:rsid w:val="14E1184E"/>
    <w:rsid w:val="1534169A"/>
    <w:rsid w:val="153443F8"/>
    <w:rsid w:val="153465C3"/>
    <w:rsid w:val="15C03E03"/>
    <w:rsid w:val="162A25EB"/>
    <w:rsid w:val="16735895"/>
    <w:rsid w:val="16BF49D4"/>
    <w:rsid w:val="16FD2A55"/>
    <w:rsid w:val="17067C1A"/>
    <w:rsid w:val="17235FF5"/>
    <w:rsid w:val="17366761"/>
    <w:rsid w:val="174E5F3B"/>
    <w:rsid w:val="177C01F0"/>
    <w:rsid w:val="179E3EFA"/>
    <w:rsid w:val="17CE6630"/>
    <w:rsid w:val="187F25AE"/>
    <w:rsid w:val="188E0CC1"/>
    <w:rsid w:val="189015C1"/>
    <w:rsid w:val="1A0E048B"/>
    <w:rsid w:val="1AFC5C92"/>
    <w:rsid w:val="1AFF0AFE"/>
    <w:rsid w:val="1B262538"/>
    <w:rsid w:val="1B362EBE"/>
    <w:rsid w:val="1B4F19F8"/>
    <w:rsid w:val="1B8128E6"/>
    <w:rsid w:val="1C2D7127"/>
    <w:rsid w:val="1CD266F6"/>
    <w:rsid w:val="1D4B5C1C"/>
    <w:rsid w:val="1E3159CF"/>
    <w:rsid w:val="1E6C705B"/>
    <w:rsid w:val="1E8E7E71"/>
    <w:rsid w:val="1EA638ED"/>
    <w:rsid w:val="1EA645F0"/>
    <w:rsid w:val="1ECC44FA"/>
    <w:rsid w:val="1EE77AAE"/>
    <w:rsid w:val="1F063325"/>
    <w:rsid w:val="1F2D7B22"/>
    <w:rsid w:val="1F3C522E"/>
    <w:rsid w:val="1F7D4BA6"/>
    <w:rsid w:val="1F862FC5"/>
    <w:rsid w:val="1F9F02AF"/>
    <w:rsid w:val="1FBC5DF5"/>
    <w:rsid w:val="1FD93AAF"/>
    <w:rsid w:val="1FDD4704"/>
    <w:rsid w:val="1FF45909"/>
    <w:rsid w:val="1FF90588"/>
    <w:rsid w:val="1FFB387E"/>
    <w:rsid w:val="202962BE"/>
    <w:rsid w:val="20B978A1"/>
    <w:rsid w:val="20C3623F"/>
    <w:rsid w:val="216E6218"/>
    <w:rsid w:val="21781212"/>
    <w:rsid w:val="21B83F86"/>
    <w:rsid w:val="21FB0A71"/>
    <w:rsid w:val="221178A8"/>
    <w:rsid w:val="221213CF"/>
    <w:rsid w:val="22125B2A"/>
    <w:rsid w:val="22327A92"/>
    <w:rsid w:val="231D53A2"/>
    <w:rsid w:val="236D5383"/>
    <w:rsid w:val="23AB0C13"/>
    <w:rsid w:val="23B7504C"/>
    <w:rsid w:val="24571307"/>
    <w:rsid w:val="24C57450"/>
    <w:rsid w:val="25110A2A"/>
    <w:rsid w:val="25140E84"/>
    <w:rsid w:val="256C0944"/>
    <w:rsid w:val="257253C7"/>
    <w:rsid w:val="25B215F0"/>
    <w:rsid w:val="26024172"/>
    <w:rsid w:val="26446DE3"/>
    <w:rsid w:val="26877DFE"/>
    <w:rsid w:val="269669E7"/>
    <w:rsid w:val="26A270C1"/>
    <w:rsid w:val="26D7699F"/>
    <w:rsid w:val="27997AEB"/>
    <w:rsid w:val="27DC212D"/>
    <w:rsid w:val="28CA27BC"/>
    <w:rsid w:val="29BA649E"/>
    <w:rsid w:val="29D75F7F"/>
    <w:rsid w:val="29DC44F9"/>
    <w:rsid w:val="2A094D30"/>
    <w:rsid w:val="2A691B04"/>
    <w:rsid w:val="2A88034A"/>
    <w:rsid w:val="2A971BE1"/>
    <w:rsid w:val="2ACC6A20"/>
    <w:rsid w:val="2AD34FD5"/>
    <w:rsid w:val="2AD90BA6"/>
    <w:rsid w:val="2B774624"/>
    <w:rsid w:val="2C7A72BE"/>
    <w:rsid w:val="2C9A7D75"/>
    <w:rsid w:val="2CC17412"/>
    <w:rsid w:val="2D7C1E99"/>
    <w:rsid w:val="2DA107C0"/>
    <w:rsid w:val="2DFD4901"/>
    <w:rsid w:val="2E4F3E43"/>
    <w:rsid w:val="2E4F596A"/>
    <w:rsid w:val="2E71479D"/>
    <w:rsid w:val="2E7544E0"/>
    <w:rsid w:val="2E9976CE"/>
    <w:rsid w:val="2EA62B75"/>
    <w:rsid w:val="2EF01DEE"/>
    <w:rsid w:val="2F1611A7"/>
    <w:rsid w:val="2F401D3C"/>
    <w:rsid w:val="2F5B24E1"/>
    <w:rsid w:val="2F63159D"/>
    <w:rsid w:val="2F6740BA"/>
    <w:rsid w:val="2FA95C88"/>
    <w:rsid w:val="2FB728F9"/>
    <w:rsid w:val="2FC40C12"/>
    <w:rsid w:val="303638C9"/>
    <w:rsid w:val="3041370F"/>
    <w:rsid w:val="30B87FED"/>
    <w:rsid w:val="312B50A3"/>
    <w:rsid w:val="31815AF3"/>
    <w:rsid w:val="31884247"/>
    <w:rsid w:val="31894FD2"/>
    <w:rsid w:val="321972F7"/>
    <w:rsid w:val="32453A27"/>
    <w:rsid w:val="3263064A"/>
    <w:rsid w:val="32862076"/>
    <w:rsid w:val="328D4A4B"/>
    <w:rsid w:val="32A43132"/>
    <w:rsid w:val="32A970B0"/>
    <w:rsid w:val="32AC0C06"/>
    <w:rsid w:val="33344EF5"/>
    <w:rsid w:val="334C2FA8"/>
    <w:rsid w:val="339F1FBF"/>
    <w:rsid w:val="33BE427C"/>
    <w:rsid w:val="343704CB"/>
    <w:rsid w:val="34396159"/>
    <w:rsid w:val="3450752F"/>
    <w:rsid w:val="34B37281"/>
    <w:rsid w:val="34ED1047"/>
    <w:rsid w:val="35110E39"/>
    <w:rsid w:val="3537750C"/>
    <w:rsid w:val="3537798C"/>
    <w:rsid w:val="35C13FC9"/>
    <w:rsid w:val="36034D29"/>
    <w:rsid w:val="36372B05"/>
    <w:rsid w:val="364257B6"/>
    <w:rsid w:val="36921026"/>
    <w:rsid w:val="3694500F"/>
    <w:rsid w:val="373830F8"/>
    <w:rsid w:val="37424CE7"/>
    <w:rsid w:val="37A85680"/>
    <w:rsid w:val="37B15AEE"/>
    <w:rsid w:val="37C93D50"/>
    <w:rsid w:val="37EA5922"/>
    <w:rsid w:val="381417C1"/>
    <w:rsid w:val="381F6454"/>
    <w:rsid w:val="38276B93"/>
    <w:rsid w:val="382E58B8"/>
    <w:rsid w:val="3851701B"/>
    <w:rsid w:val="38A72EDD"/>
    <w:rsid w:val="38AC3431"/>
    <w:rsid w:val="38D670DB"/>
    <w:rsid w:val="392F2E16"/>
    <w:rsid w:val="395E339D"/>
    <w:rsid w:val="397D4DF2"/>
    <w:rsid w:val="39D611E6"/>
    <w:rsid w:val="39E00529"/>
    <w:rsid w:val="39EF248B"/>
    <w:rsid w:val="3A0B64A7"/>
    <w:rsid w:val="3A574DDA"/>
    <w:rsid w:val="3A6B7CA2"/>
    <w:rsid w:val="3AD3075A"/>
    <w:rsid w:val="3AE72492"/>
    <w:rsid w:val="3AF74C02"/>
    <w:rsid w:val="3B5D312D"/>
    <w:rsid w:val="3B677A7F"/>
    <w:rsid w:val="3B902AAF"/>
    <w:rsid w:val="3C0059A5"/>
    <w:rsid w:val="3C012869"/>
    <w:rsid w:val="3C134E78"/>
    <w:rsid w:val="3C394DD8"/>
    <w:rsid w:val="3CA6540E"/>
    <w:rsid w:val="3CB52527"/>
    <w:rsid w:val="3CC35281"/>
    <w:rsid w:val="3CF9420F"/>
    <w:rsid w:val="3DF6345D"/>
    <w:rsid w:val="3E0C09A4"/>
    <w:rsid w:val="3E1E56E7"/>
    <w:rsid w:val="3E2B5515"/>
    <w:rsid w:val="3E4D4F28"/>
    <w:rsid w:val="3E610FF6"/>
    <w:rsid w:val="3E91235F"/>
    <w:rsid w:val="3EB72B54"/>
    <w:rsid w:val="3ED92EC4"/>
    <w:rsid w:val="3EE13701"/>
    <w:rsid w:val="3F1A4BB3"/>
    <w:rsid w:val="3F8A56C4"/>
    <w:rsid w:val="3FAC2CB6"/>
    <w:rsid w:val="3FC6775C"/>
    <w:rsid w:val="3FDF4E23"/>
    <w:rsid w:val="3FFFCC9D"/>
    <w:rsid w:val="40192BA6"/>
    <w:rsid w:val="40CA3013"/>
    <w:rsid w:val="40FF3286"/>
    <w:rsid w:val="4159123A"/>
    <w:rsid w:val="41663E6F"/>
    <w:rsid w:val="41766EA9"/>
    <w:rsid w:val="417F6A3A"/>
    <w:rsid w:val="419B103D"/>
    <w:rsid w:val="42550A18"/>
    <w:rsid w:val="429D496A"/>
    <w:rsid w:val="42F473A1"/>
    <w:rsid w:val="435B2648"/>
    <w:rsid w:val="437217EA"/>
    <w:rsid w:val="43AB7156"/>
    <w:rsid w:val="43B34631"/>
    <w:rsid w:val="441971A7"/>
    <w:rsid w:val="441E62C0"/>
    <w:rsid w:val="445D1FBD"/>
    <w:rsid w:val="44DB458C"/>
    <w:rsid w:val="450906C1"/>
    <w:rsid w:val="45325D14"/>
    <w:rsid w:val="457C2402"/>
    <w:rsid w:val="45811C7C"/>
    <w:rsid w:val="45906116"/>
    <w:rsid w:val="45931B8C"/>
    <w:rsid w:val="45AF604C"/>
    <w:rsid w:val="45CF6373"/>
    <w:rsid w:val="45EF2552"/>
    <w:rsid w:val="462003B7"/>
    <w:rsid w:val="462852DE"/>
    <w:rsid w:val="462E6EA9"/>
    <w:rsid w:val="467A438D"/>
    <w:rsid w:val="468B3EFB"/>
    <w:rsid w:val="46CE49C1"/>
    <w:rsid w:val="46D9715E"/>
    <w:rsid w:val="470A6193"/>
    <w:rsid w:val="47385210"/>
    <w:rsid w:val="474144CE"/>
    <w:rsid w:val="475510F8"/>
    <w:rsid w:val="4760629C"/>
    <w:rsid w:val="47D93B3C"/>
    <w:rsid w:val="47DC4F5C"/>
    <w:rsid w:val="47DE21F6"/>
    <w:rsid w:val="48347AF2"/>
    <w:rsid w:val="483A6D3C"/>
    <w:rsid w:val="48587156"/>
    <w:rsid w:val="4869703B"/>
    <w:rsid w:val="48864BE0"/>
    <w:rsid w:val="48B40671"/>
    <w:rsid w:val="48B5284B"/>
    <w:rsid w:val="49796A18"/>
    <w:rsid w:val="499B5738"/>
    <w:rsid w:val="499F244D"/>
    <w:rsid w:val="4A172FA5"/>
    <w:rsid w:val="4A3238ED"/>
    <w:rsid w:val="4A973F3F"/>
    <w:rsid w:val="4AF96BC7"/>
    <w:rsid w:val="4B616CF2"/>
    <w:rsid w:val="4B862A85"/>
    <w:rsid w:val="4B9304A5"/>
    <w:rsid w:val="4C374E49"/>
    <w:rsid w:val="4C490FE0"/>
    <w:rsid w:val="4C52210E"/>
    <w:rsid w:val="4C5D53AE"/>
    <w:rsid w:val="4CB72FE2"/>
    <w:rsid w:val="4CEF36E2"/>
    <w:rsid w:val="4CEF4DC5"/>
    <w:rsid w:val="4D3F619A"/>
    <w:rsid w:val="4D4902A3"/>
    <w:rsid w:val="4DF06DE1"/>
    <w:rsid w:val="4E0A0D02"/>
    <w:rsid w:val="4E134540"/>
    <w:rsid w:val="4E257655"/>
    <w:rsid w:val="4E760F27"/>
    <w:rsid w:val="4E850579"/>
    <w:rsid w:val="4F173180"/>
    <w:rsid w:val="4F222C3E"/>
    <w:rsid w:val="4F372380"/>
    <w:rsid w:val="4F372FFB"/>
    <w:rsid w:val="4F4F3984"/>
    <w:rsid w:val="4F5A32B3"/>
    <w:rsid w:val="4FE82DC1"/>
    <w:rsid w:val="50247F6C"/>
    <w:rsid w:val="5025116D"/>
    <w:rsid w:val="50E714DC"/>
    <w:rsid w:val="51954F77"/>
    <w:rsid w:val="522B1438"/>
    <w:rsid w:val="52395ECD"/>
    <w:rsid w:val="525D407D"/>
    <w:rsid w:val="52BC6534"/>
    <w:rsid w:val="52C10D75"/>
    <w:rsid w:val="53252206"/>
    <w:rsid w:val="53B663EF"/>
    <w:rsid w:val="53BB2FE8"/>
    <w:rsid w:val="53C27FF8"/>
    <w:rsid w:val="54392948"/>
    <w:rsid w:val="54806794"/>
    <w:rsid w:val="549E1A80"/>
    <w:rsid w:val="54C658F4"/>
    <w:rsid w:val="54CF6EE8"/>
    <w:rsid w:val="550C4BD7"/>
    <w:rsid w:val="554C1D56"/>
    <w:rsid w:val="5550536D"/>
    <w:rsid w:val="55572986"/>
    <w:rsid w:val="556D17E3"/>
    <w:rsid w:val="55E56C8E"/>
    <w:rsid w:val="55E77D6B"/>
    <w:rsid w:val="563737CF"/>
    <w:rsid w:val="56486A5C"/>
    <w:rsid w:val="565021B3"/>
    <w:rsid w:val="565340FA"/>
    <w:rsid w:val="565F00C9"/>
    <w:rsid w:val="56A57D64"/>
    <w:rsid w:val="56AC442C"/>
    <w:rsid w:val="56AD5F59"/>
    <w:rsid w:val="56C60774"/>
    <w:rsid w:val="570057E7"/>
    <w:rsid w:val="57B12A52"/>
    <w:rsid w:val="58082C7B"/>
    <w:rsid w:val="58083479"/>
    <w:rsid w:val="589A0DE2"/>
    <w:rsid w:val="58E6430A"/>
    <w:rsid w:val="595C0D3C"/>
    <w:rsid w:val="598A6C98"/>
    <w:rsid w:val="5A254BE7"/>
    <w:rsid w:val="5A2F2CC8"/>
    <w:rsid w:val="5A3F439D"/>
    <w:rsid w:val="5A8416D8"/>
    <w:rsid w:val="5AE74F38"/>
    <w:rsid w:val="5B027B49"/>
    <w:rsid w:val="5B3255E5"/>
    <w:rsid w:val="5B446D8B"/>
    <w:rsid w:val="5B5D2DF1"/>
    <w:rsid w:val="5B933D3B"/>
    <w:rsid w:val="5B9B5880"/>
    <w:rsid w:val="5BFB62B3"/>
    <w:rsid w:val="5C10702D"/>
    <w:rsid w:val="5C152601"/>
    <w:rsid w:val="5C366A56"/>
    <w:rsid w:val="5C591F03"/>
    <w:rsid w:val="5C890876"/>
    <w:rsid w:val="5C8A1B2F"/>
    <w:rsid w:val="5CBA2B66"/>
    <w:rsid w:val="5CCD12AB"/>
    <w:rsid w:val="5D0C1038"/>
    <w:rsid w:val="5D481077"/>
    <w:rsid w:val="5DB449D7"/>
    <w:rsid w:val="5E5E33BC"/>
    <w:rsid w:val="5E8C14B0"/>
    <w:rsid w:val="5EEB68B8"/>
    <w:rsid w:val="5F511061"/>
    <w:rsid w:val="5F561B72"/>
    <w:rsid w:val="5FAD53C7"/>
    <w:rsid w:val="606007BB"/>
    <w:rsid w:val="60AC7F66"/>
    <w:rsid w:val="60CA725D"/>
    <w:rsid w:val="60DD0A25"/>
    <w:rsid w:val="61BF10D9"/>
    <w:rsid w:val="61D5316E"/>
    <w:rsid w:val="62326812"/>
    <w:rsid w:val="62AC22DC"/>
    <w:rsid w:val="63362DC6"/>
    <w:rsid w:val="63A22BFD"/>
    <w:rsid w:val="63F60B61"/>
    <w:rsid w:val="648E0733"/>
    <w:rsid w:val="64E45EF7"/>
    <w:rsid w:val="65351B84"/>
    <w:rsid w:val="663C37BC"/>
    <w:rsid w:val="6691014E"/>
    <w:rsid w:val="66C87CCE"/>
    <w:rsid w:val="677435B2"/>
    <w:rsid w:val="677F7C3B"/>
    <w:rsid w:val="679C33FD"/>
    <w:rsid w:val="67EF75F1"/>
    <w:rsid w:val="680447AD"/>
    <w:rsid w:val="68247B88"/>
    <w:rsid w:val="684D7F02"/>
    <w:rsid w:val="684F4F11"/>
    <w:rsid w:val="68B02C2C"/>
    <w:rsid w:val="68F10D0A"/>
    <w:rsid w:val="69124F16"/>
    <w:rsid w:val="691E189E"/>
    <w:rsid w:val="69236EB5"/>
    <w:rsid w:val="69CD5C14"/>
    <w:rsid w:val="69CF0D33"/>
    <w:rsid w:val="69F3714C"/>
    <w:rsid w:val="6A12278B"/>
    <w:rsid w:val="6A4A3590"/>
    <w:rsid w:val="6AFA78DE"/>
    <w:rsid w:val="6B607F4C"/>
    <w:rsid w:val="6B897CF7"/>
    <w:rsid w:val="6B9946B3"/>
    <w:rsid w:val="6BE518DA"/>
    <w:rsid w:val="6C276F3A"/>
    <w:rsid w:val="6C3521E8"/>
    <w:rsid w:val="6C3A3698"/>
    <w:rsid w:val="6C5D675C"/>
    <w:rsid w:val="6C7007C7"/>
    <w:rsid w:val="6D652B07"/>
    <w:rsid w:val="6D6F4DAF"/>
    <w:rsid w:val="6DA26F63"/>
    <w:rsid w:val="6DCB4BE8"/>
    <w:rsid w:val="6DD7212B"/>
    <w:rsid w:val="6DDC684F"/>
    <w:rsid w:val="6DE76850"/>
    <w:rsid w:val="6DF06A10"/>
    <w:rsid w:val="6E227042"/>
    <w:rsid w:val="6E355CB2"/>
    <w:rsid w:val="6E53533C"/>
    <w:rsid w:val="6E876D04"/>
    <w:rsid w:val="6EBA7823"/>
    <w:rsid w:val="6ED51282"/>
    <w:rsid w:val="6F033724"/>
    <w:rsid w:val="6F5340FD"/>
    <w:rsid w:val="6F9D7C71"/>
    <w:rsid w:val="6FB20BD4"/>
    <w:rsid w:val="6FBA59BE"/>
    <w:rsid w:val="6FC338C7"/>
    <w:rsid w:val="6FD070BD"/>
    <w:rsid w:val="6FDFEEA4"/>
    <w:rsid w:val="6FF51805"/>
    <w:rsid w:val="70296B3E"/>
    <w:rsid w:val="70611204"/>
    <w:rsid w:val="71086771"/>
    <w:rsid w:val="714072D4"/>
    <w:rsid w:val="714D2481"/>
    <w:rsid w:val="7165620F"/>
    <w:rsid w:val="717039F8"/>
    <w:rsid w:val="71FC02A3"/>
    <w:rsid w:val="7295118A"/>
    <w:rsid w:val="72FF9C12"/>
    <w:rsid w:val="734D07F0"/>
    <w:rsid w:val="73D36E29"/>
    <w:rsid w:val="742C3FAC"/>
    <w:rsid w:val="74733422"/>
    <w:rsid w:val="74D13AD5"/>
    <w:rsid w:val="74FA2C30"/>
    <w:rsid w:val="75042208"/>
    <w:rsid w:val="751B561B"/>
    <w:rsid w:val="7521568D"/>
    <w:rsid w:val="754D5C4B"/>
    <w:rsid w:val="75614FED"/>
    <w:rsid w:val="75B9365A"/>
    <w:rsid w:val="76030409"/>
    <w:rsid w:val="76114018"/>
    <w:rsid w:val="767D7159"/>
    <w:rsid w:val="76813CEE"/>
    <w:rsid w:val="76C240A7"/>
    <w:rsid w:val="76DA416A"/>
    <w:rsid w:val="76EF3FF2"/>
    <w:rsid w:val="775246B7"/>
    <w:rsid w:val="778F7B34"/>
    <w:rsid w:val="77B61D38"/>
    <w:rsid w:val="781E69D1"/>
    <w:rsid w:val="78420902"/>
    <w:rsid w:val="78742329"/>
    <w:rsid w:val="78753170"/>
    <w:rsid w:val="7901747F"/>
    <w:rsid w:val="79107BB0"/>
    <w:rsid w:val="792E6A82"/>
    <w:rsid w:val="797F639F"/>
    <w:rsid w:val="79846E24"/>
    <w:rsid w:val="798F2EE3"/>
    <w:rsid w:val="79EB3DA0"/>
    <w:rsid w:val="7A263B6B"/>
    <w:rsid w:val="7A2B1A3B"/>
    <w:rsid w:val="7A356A48"/>
    <w:rsid w:val="7A5C42DF"/>
    <w:rsid w:val="7A7237F8"/>
    <w:rsid w:val="7ABC1261"/>
    <w:rsid w:val="7ABD1E72"/>
    <w:rsid w:val="7AF46346"/>
    <w:rsid w:val="7B0F5EBF"/>
    <w:rsid w:val="7B130FB9"/>
    <w:rsid w:val="7B6E99DC"/>
    <w:rsid w:val="7B9B0602"/>
    <w:rsid w:val="7BD71E38"/>
    <w:rsid w:val="7BF3DCCE"/>
    <w:rsid w:val="7BF64EDE"/>
    <w:rsid w:val="7BFF7C3E"/>
    <w:rsid w:val="7C1B2CAB"/>
    <w:rsid w:val="7C400C1E"/>
    <w:rsid w:val="7C520171"/>
    <w:rsid w:val="7C5438FD"/>
    <w:rsid w:val="7C672C9A"/>
    <w:rsid w:val="7CCD6D5F"/>
    <w:rsid w:val="7CFB1883"/>
    <w:rsid w:val="7D18398B"/>
    <w:rsid w:val="7D606B10"/>
    <w:rsid w:val="7D6513F2"/>
    <w:rsid w:val="7D9E2FEC"/>
    <w:rsid w:val="7D9FE745"/>
    <w:rsid w:val="7DD11708"/>
    <w:rsid w:val="7DEE4A4F"/>
    <w:rsid w:val="7DFFE93E"/>
    <w:rsid w:val="7E7044F2"/>
    <w:rsid w:val="7E7E276B"/>
    <w:rsid w:val="7E81225C"/>
    <w:rsid w:val="7EAE6230"/>
    <w:rsid w:val="7EB20667"/>
    <w:rsid w:val="7EBD579E"/>
    <w:rsid w:val="7EC167BD"/>
    <w:rsid w:val="7F1A0AB4"/>
    <w:rsid w:val="7F272D9E"/>
    <w:rsid w:val="7FB7AE4E"/>
    <w:rsid w:val="7FC00B82"/>
    <w:rsid w:val="7FE38BB0"/>
    <w:rsid w:val="7FFFE4C3"/>
    <w:rsid w:val="8FF94A63"/>
    <w:rsid w:val="A6FE339B"/>
    <w:rsid w:val="A7FBB930"/>
    <w:rsid w:val="BDFFB920"/>
    <w:rsid w:val="BF748020"/>
    <w:rsid w:val="BFEFF17D"/>
    <w:rsid w:val="BFF78804"/>
    <w:rsid w:val="CFB78289"/>
    <w:rsid w:val="D9BFDC11"/>
    <w:rsid w:val="E5FDFB34"/>
    <w:rsid w:val="FD5FDAD4"/>
    <w:rsid w:val="FDADDCFF"/>
    <w:rsid w:val="FE7FB4B6"/>
    <w:rsid w:val="FF0F6DD3"/>
    <w:rsid w:val="FF778B01"/>
    <w:rsid w:val="FF7F0631"/>
    <w:rsid w:val="FFDED59A"/>
    <w:rsid w:val="FFFFE6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9"/>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71"/>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5">
    <w:name w:val="heading 5"/>
    <w:basedOn w:val="1"/>
    <w:next w:val="6"/>
    <w:link w:val="66"/>
    <w:qFormat/>
    <w:uiPriority w:val="9"/>
    <w:pPr>
      <w:keepNext/>
      <w:keepLines/>
      <w:spacing w:before="280" w:after="290" w:line="376" w:lineRule="auto"/>
      <w:outlineLvl w:val="4"/>
    </w:pPr>
    <w:rPr>
      <w:b/>
      <w:bCs/>
      <w:sz w:val="28"/>
      <w:szCs w:val="28"/>
    </w:rPr>
  </w:style>
  <w:style w:type="paragraph" w:styleId="7">
    <w:name w:val="heading 8"/>
    <w:basedOn w:val="1"/>
    <w:next w:val="1"/>
    <w:link w:val="50"/>
    <w:qFormat/>
    <w:uiPriority w:val="9"/>
    <w:pPr>
      <w:keepNext/>
      <w:keepLines/>
      <w:spacing w:before="240" w:after="64" w:line="320" w:lineRule="auto"/>
      <w:outlineLvl w:val="7"/>
    </w:pPr>
    <w:rPr>
      <w:rFonts w:ascii="等线 Light" w:hAnsi="等线 Light" w:eastAsia="等线 Light"/>
      <w:sz w:val="24"/>
    </w:rPr>
  </w:style>
  <w:style w:type="character" w:default="1" w:styleId="32">
    <w:name w:val="Default Paragraph Font"/>
    <w:semiHidden/>
    <w:unhideWhenUsed/>
    <w:qFormat/>
    <w:uiPriority w:val="1"/>
  </w:style>
  <w:style w:type="table" w:default="1" w:styleId="3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8">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9">
    <w:name w:val="Document Map"/>
    <w:basedOn w:val="1"/>
    <w:link w:val="55"/>
    <w:unhideWhenUsed/>
    <w:qFormat/>
    <w:uiPriority w:val="99"/>
    <w:rPr>
      <w:rFonts w:ascii="宋体"/>
      <w:sz w:val="18"/>
      <w:szCs w:val="18"/>
    </w:rPr>
  </w:style>
  <w:style w:type="paragraph" w:styleId="10">
    <w:name w:val="annotation text"/>
    <w:basedOn w:val="1"/>
    <w:link w:val="43"/>
    <w:qFormat/>
    <w:uiPriority w:val="0"/>
    <w:pPr>
      <w:jc w:val="left"/>
    </w:pPr>
  </w:style>
  <w:style w:type="paragraph" w:styleId="11">
    <w:name w:val="Body Text 3"/>
    <w:basedOn w:val="1"/>
    <w:link w:val="62"/>
    <w:unhideWhenUsed/>
    <w:qFormat/>
    <w:uiPriority w:val="99"/>
    <w:pPr>
      <w:spacing w:after="120"/>
    </w:pPr>
    <w:rPr>
      <w:sz w:val="16"/>
      <w:szCs w:val="16"/>
    </w:rPr>
  </w:style>
  <w:style w:type="paragraph" w:styleId="12">
    <w:name w:val="Body Text"/>
    <w:basedOn w:val="1"/>
    <w:link w:val="51"/>
    <w:unhideWhenUsed/>
    <w:qFormat/>
    <w:uiPriority w:val="0"/>
    <w:pPr>
      <w:spacing w:after="120"/>
    </w:pPr>
  </w:style>
  <w:style w:type="paragraph" w:styleId="13">
    <w:name w:val="Body Text Indent"/>
    <w:basedOn w:val="1"/>
    <w:link w:val="67"/>
    <w:qFormat/>
    <w:uiPriority w:val="0"/>
    <w:pPr>
      <w:ind w:firstLine="830" w:firstLineChars="352"/>
    </w:pPr>
    <w:rPr>
      <w:rFonts w:ascii="仿宋_GB2312" w:eastAsia="仿宋_GB2312"/>
      <w:kern w:val="0"/>
      <w:sz w:val="32"/>
      <w:szCs w:val="20"/>
    </w:rPr>
  </w:style>
  <w:style w:type="paragraph" w:styleId="14">
    <w:name w:val="List 2"/>
    <w:basedOn w:val="1"/>
    <w:unhideWhenUsed/>
    <w:qFormat/>
    <w:uiPriority w:val="99"/>
    <w:pPr>
      <w:ind w:left="100" w:leftChars="200" w:hanging="200" w:hangingChars="200"/>
      <w:contextualSpacing/>
    </w:pPr>
  </w:style>
  <w:style w:type="paragraph" w:styleId="15">
    <w:name w:val="Plain Text"/>
    <w:basedOn w:val="1"/>
    <w:link w:val="42"/>
    <w:qFormat/>
    <w:uiPriority w:val="0"/>
    <w:rPr>
      <w:rFonts w:ascii="宋体" w:hAnsi="Courier New"/>
      <w:kern w:val="0"/>
      <w:sz w:val="20"/>
      <w:szCs w:val="21"/>
    </w:rPr>
  </w:style>
  <w:style w:type="paragraph" w:styleId="16">
    <w:name w:val="Date"/>
    <w:basedOn w:val="1"/>
    <w:next w:val="1"/>
    <w:link w:val="63"/>
    <w:unhideWhenUsed/>
    <w:qFormat/>
    <w:uiPriority w:val="99"/>
    <w:pPr>
      <w:ind w:left="100" w:leftChars="2500"/>
    </w:pPr>
  </w:style>
  <w:style w:type="paragraph" w:styleId="17">
    <w:name w:val="Body Text Indent 2"/>
    <w:basedOn w:val="1"/>
    <w:qFormat/>
    <w:uiPriority w:val="0"/>
    <w:pPr>
      <w:spacing w:after="120" w:line="480" w:lineRule="auto"/>
      <w:ind w:leftChars="200"/>
    </w:pPr>
  </w:style>
  <w:style w:type="paragraph" w:styleId="18">
    <w:name w:val="Balloon Text"/>
    <w:basedOn w:val="1"/>
    <w:semiHidden/>
    <w:qFormat/>
    <w:uiPriority w:val="0"/>
    <w:rPr>
      <w:sz w:val="18"/>
      <w:szCs w:val="18"/>
    </w:rPr>
  </w:style>
  <w:style w:type="paragraph" w:styleId="19">
    <w:name w:val="footer"/>
    <w:basedOn w:val="1"/>
    <w:next w:val="1"/>
    <w:link w:val="60"/>
    <w:unhideWhenUsed/>
    <w:qFormat/>
    <w:uiPriority w:val="99"/>
    <w:pPr>
      <w:tabs>
        <w:tab w:val="center" w:pos="4153"/>
        <w:tab w:val="right" w:pos="8306"/>
      </w:tabs>
      <w:snapToGrid w:val="0"/>
      <w:jc w:val="left"/>
    </w:pPr>
    <w:rPr>
      <w:kern w:val="0"/>
      <w:sz w:val="18"/>
      <w:szCs w:val="18"/>
    </w:rPr>
  </w:style>
  <w:style w:type="paragraph" w:styleId="20">
    <w:name w:val="envelope return"/>
    <w:basedOn w:val="1"/>
    <w:qFormat/>
    <w:uiPriority w:val="99"/>
    <w:pPr>
      <w:snapToGrid w:val="0"/>
    </w:pPr>
    <w:rPr>
      <w:rFonts w:ascii="Arial" w:hAnsi="Arial"/>
    </w:rPr>
  </w:style>
  <w:style w:type="paragraph" w:styleId="21">
    <w:name w:val="header"/>
    <w:basedOn w:val="1"/>
    <w:link w:val="70"/>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2">
    <w:name w:val="toc 1"/>
    <w:basedOn w:val="1"/>
    <w:next w:val="1"/>
    <w:unhideWhenUsed/>
    <w:qFormat/>
    <w:uiPriority w:val="39"/>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1"/>
      <w:lang w:val="en-US" w:eastAsia="zh-CN" w:bidi="ar"/>
    </w:rPr>
  </w:style>
  <w:style w:type="paragraph" w:styleId="23">
    <w:name w:val="toc 2"/>
    <w:basedOn w:val="1"/>
    <w:next w:val="1"/>
    <w:unhideWhenUsed/>
    <w:qFormat/>
    <w:uiPriority w:val="39"/>
    <w:pPr>
      <w:tabs>
        <w:tab w:val="right" w:leader="dot" w:pos="8296"/>
      </w:tabs>
      <w:ind w:left="420" w:leftChars="200"/>
    </w:pPr>
  </w:style>
  <w:style w:type="paragraph" w:styleId="24">
    <w:name w:val="Body Text 2"/>
    <w:basedOn w:val="1"/>
    <w:unhideWhenUsed/>
    <w:qFormat/>
    <w:uiPriority w:val="0"/>
    <w:pPr>
      <w:spacing w:after="120" w:line="480" w:lineRule="auto"/>
    </w:pPr>
    <w:rPr>
      <w:rFonts w:hint="eastAsia" w:eastAsia="Times New Roman"/>
      <w:kern w:val="0"/>
      <w:sz w:val="20"/>
    </w:rPr>
  </w:style>
  <w:style w:type="paragraph" w:styleId="25">
    <w:name w:val="Normal (Web)"/>
    <w:basedOn w:val="1"/>
    <w:unhideWhenUsed/>
    <w:qFormat/>
    <w:uiPriority w:val="99"/>
    <w:rPr>
      <w:rFonts w:ascii="Calibri" w:hAnsi="Calibri"/>
      <w:kern w:val="0"/>
      <w:sz w:val="24"/>
    </w:rPr>
  </w:style>
  <w:style w:type="paragraph" w:styleId="26">
    <w:name w:val="Title"/>
    <w:basedOn w:val="1"/>
    <w:link w:val="46"/>
    <w:qFormat/>
    <w:uiPriority w:val="0"/>
    <w:pPr>
      <w:spacing w:before="240" w:after="60"/>
      <w:jc w:val="center"/>
      <w:outlineLvl w:val="0"/>
    </w:pPr>
    <w:rPr>
      <w:rFonts w:ascii="Arial" w:hAnsi="Arial"/>
      <w:b/>
      <w:bCs/>
      <w:sz w:val="32"/>
      <w:szCs w:val="32"/>
    </w:rPr>
  </w:style>
  <w:style w:type="paragraph" w:styleId="27">
    <w:name w:val="annotation subject"/>
    <w:basedOn w:val="10"/>
    <w:next w:val="10"/>
    <w:link w:val="54"/>
    <w:qFormat/>
    <w:uiPriority w:val="99"/>
    <w:rPr>
      <w:b/>
      <w:bCs/>
    </w:rPr>
  </w:style>
  <w:style w:type="paragraph" w:styleId="28">
    <w:name w:val="Body Text First Indent"/>
    <w:basedOn w:val="12"/>
    <w:next w:val="1"/>
    <w:qFormat/>
    <w:uiPriority w:val="0"/>
    <w:pPr>
      <w:ind w:firstLine="420" w:firstLineChars="100"/>
    </w:pPr>
  </w:style>
  <w:style w:type="paragraph" w:styleId="29">
    <w:name w:val="Body Text First Indent 2"/>
    <w:basedOn w:val="13"/>
    <w:next w:val="28"/>
    <w:qFormat/>
    <w:uiPriority w:val="0"/>
    <w:pPr>
      <w:spacing w:after="120"/>
      <w:ind w:left="420" w:leftChars="200" w:firstLine="420" w:firstLineChars="200"/>
    </w:pPr>
    <w:rPr>
      <w:rFonts w:ascii="黑体" w:eastAsia="黑体" w:cs="Courier New"/>
      <w:sz w:val="20"/>
    </w:rPr>
  </w:style>
  <w:style w:type="table" w:styleId="31">
    <w:name w:val="Table Grid"/>
    <w:basedOn w:val="3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3">
    <w:name w:val="Strong"/>
    <w:basedOn w:val="32"/>
    <w:qFormat/>
    <w:uiPriority w:val="22"/>
    <w:rPr>
      <w:b/>
    </w:rPr>
  </w:style>
  <w:style w:type="character" w:styleId="34">
    <w:name w:val="endnote reference"/>
    <w:unhideWhenUsed/>
    <w:qFormat/>
    <w:uiPriority w:val="99"/>
    <w:rPr>
      <w:vertAlign w:val="superscript"/>
    </w:rPr>
  </w:style>
  <w:style w:type="character" w:styleId="35">
    <w:name w:val="Hyperlink"/>
    <w:unhideWhenUsed/>
    <w:qFormat/>
    <w:uiPriority w:val="99"/>
    <w:rPr>
      <w:color w:val="0000FF"/>
      <w:u w:val="single"/>
    </w:rPr>
  </w:style>
  <w:style w:type="character" w:styleId="36">
    <w:name w:val="annotation reference"/>
    <w:qFormat/>
    <w:uiPriority w:val="0"/>
    <w:rPr>
      <w:sz w:val="21"/>
      <w:szCs w:val="21"/>
    </w:rPr>
  </w:style>
  <w:style w:type="character" w:styleId="37">
    <w:name w:val="HTML Sample"/>
    <w:basedOn w:val="32"/>
    <w:semiHidden/>
    <w:unhideWhenUsed/>
    <w:qFormat/>
    <w:uiPriority w:val="99"/>
    <w:rPr>
      <w:rFonts w:ascii="Courier New" w:hAnsi="Courier New"/>
    </w:rPr>
  </w:style>
  <w:style w:type="paragraph" w:customStyle="1" w:styleId="3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
    <w:name w:val="章标题"/>
    <w:next w:val="1"/>
    <w:qFormat/>
    <w:uiPriority w:val="99"/>
    <w:pPr>
      <w:spacing w:beforeLines="50" w:afterLines="50" w:line="336" w:lineRule="auto"/>
      <w:jc w:val="both"/>
      <w:outlineLvl w:val="1"/>
    </w:pPr>
    <w:rPr>
      <w:rFonts w:ascii="黑体" w:hAnsi="Calibri" w:eastAsia="黑体" w:cs="Times New Roman"/>
      <w:sz w:val="21"/>
      <w:szCs w:val="21"/>
      <w:lang w:val="en-US" w:eastAsia="zh-CN" w:bidi="ar-SA"/>
    </w:rPr>
  </w:style>
  <w:style w:type="character" w:customStyle="1" w:styleId="40">
    <w:name w:val="正文文本 Char"/>
    <w:qFormat/>
    <w:uiPriority w:val="0"/>
    <w:rPr>
      <w:rFonts w:ascii="Times New Roman" w:hAnsi="Times New Roman"/>
      <w:kern w:val="2"/>
      <w:sz w:val="21"/>
      <w:szCs w:val="24"/>
    </w:rPr>
  </w:style>
  <w:style w:type="character" w:customStyle="1" w:styleId="41">
    <w:name w:val="标题 8 Char"/>
    <w:qFormat/>
    <w:uiPriority w:val="0"/>
    <w:rPr>
      <w:rFonts w:ascii="Arial" w:hAnsi="Arial" w:eastAsia="黑体"/>
      <w:kern w:val="2"/>
      <w:sz w:val="24"/>
      <w:szCs w:val="24"/>
    </w:rPr>
  </w:style>
  <w:style w:type="character" w:customStyle="1" w:styleId="42">
    <w:name w:val="纯文本 Char1"/>
    <w:link w:val="15"/>
    <w:qFormat/>
    <w:uiPriority w:val="0"/>
    <w:rPr>
      <w:rFonts w:ascii="宋体" w:hAnsi="Courier New" w:eastAsia="宋体" w:cs="Courier New"/>
      <w:szCs w:val="21"/>
    </w:rPr>
  </w:style>
  <w:style w:type="character" w:customStyle="1" w:styleId="43">
    <w:name w:val="批注文字 Char1"/>
    <w:link w:val="10"/>
    <w:qFormat/>
    <w:uiPriority w:val="0"/>
    <w:rPr>
      <w:rFonts w:ascii="Times New Roman" w:hAnsi="Times New Roman"/>
      <w:kern w:val="2"/>
      <w:sz w:val="21"/>
      <w:szCs w:val="24"/>
    </w:rPr>
  </w:style>
  <w:style w:type="character" w:customStyle="1" w:styleId="44">
    <w:name w:val="标题 2 Char"/>
    <w:qFormat/>
    <w:uiPriority w:val="9"/>
    <w:rPr>
      <w:rFonts w:ascii="Cambria" w:hAnsi="Cambria" w:eastAsia="宋体" w:cs="Times New Roman"/>
      <w:b/>
      <w:bCs/>
      <w:kern w:val="2"/>
      <w:sz w:val="32"/>
      <w:szCs w:val="32"/>
    </w:rPr>
  </w:style>
  <w:style w:type="character" w:customStyle="1" w:styleId="45">
    <w:name w:val="标题 Char"/>
    <w:qFormat/>
    <w:uiPriority w:val="0"/>
    <w:rPr>
      <w:rFonts w:ascii="Arial" w:hAnsi="Arial"/>
      <w:b/>
      <w:bCs/>
      <w:kern w:val="2"/>
      <w:sz w:val="32"/>
      <w:szCs w:val="32"/>
    </w:rPr>
  </w:style>
  <w:style w:type="character" w:customStyle="1" w:styleId="46">
    <w:name w:val="标题 Char1"/>
    <w:basedOn w:val="32"/>
    <w:link w:val="26"/>
    <w:qFormat/>
    <w:uiPriority w:val="10"/>
    <w:rPr>
      <w:rFonts w:ascii="Cambria" w:hAnsi="Cambria" w:cs="Times New Roman"/>
      <w:b/>
      <w:bCs/>
      <w:kern w:val="2"/>
      <w:sz w:val="32"/>
      <w:szCs w:val="32"/>
    </w:rPr>
  </w:style>
  <w:style w:type="character" w:customStyle="1" w:styleId="47">
    <w:name w:val="正文2 Char Char"/>
    <w:link w:val="48"/>
    <w:qFormat/>
    <w:uiPriority w:val="0"/>
    <w:rPr>
      <w:kern w:val="2"/>
      <w:sz w:val="24"/>
    </w:rPr>
  </w:style>
  <w:style w:type="paragraph" w:customStyle="1" w:styleId="48">
    <w:name w:val="正文2"/>
    <w:basedOn w:val="1"/>
    <w:link w:val="47"/>
    <w:qFormat/>
    <w:uiPriority w:val="0"/>
    <w:pPr>
      <w:adjustRightInd w:val="0"/>
      <w:spacing w:before="156" w:line="360" w:lineRule="auto"/>
      <w:ind w:firstLine="510" w:firstLineChars="200"/>
    </w:pPr>
    <w:rPr>
      <w:sz w:val="24"/>
      <w:szCs w:val="20"/>
    </w:rPr>
  </w:style>
  <w:style w:type="character" w:customStyle="1" w:styleId="49">
    <w:name w:val="textcontents"/>
    <w:qFormat/>
    <w:uiPriority w:val="0"/>
  </w:style>
  <w:style w:type="character" w:customStyle="1" w:styleId="50">
    <w:name w:val="标题 8 Char1"/>
    <w:link w:val="7"/>
    <w:semiHidden/>
    <w:qFormat/>
    <w:uiPriority w:val="9"/>
    <w:rPr>
      <w:rFonts w:ascii="等线 Light" w:hAnsi="等线 Light" w:eastAsia="等线 Light" w:cs="Times New Roman"/>
      <w:kern w:val="2"/>
      <w:sz w:val="24"/>
      <w:szCs w:val="24"/>
    </w:rPr>
  </w:style>
  <w:style w:type="character" w:customStyle="1" w:styleId="51">
    <w:name w:val="正文文本 Char1"/>
    <w:link w:val="12"/>
    <w:qFormat/>
    <w:uiPriority w:val="0"/>
    <w:rPr>
      <w:rFonts w:ascii="Times New Roman" w:hAnsi="Times New Roman"/>
      <w:kern w:val="2"/>
      <w:sz w:val="21"/>
      <w:szCs w:val="24"/>
    </w:rPr>
  </w:style>
  <w:style w:type="character" w:customStyle="1" w:styleId="52">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53">
    <w:name w:val="纯文本 字符2"/>
    <w:qFormat/>
    <w:uiPriority w:val="0"/>
    <w:rPr>
      <w:rFonts w:ascii="宋体" w:hAnsi="Courier New" w:eastAsia="宋体" w:cs="Courier New"/>
      <w:szCs w:val="21"/>
    </w:rPr>
  </w:style>
  <w:style w:type="character" w:customStyle="1" w:styleId="54">
    <w:name w:val="批注主题 Char"/>
    <w:link w:val="27"/>
    <w:qFormat/>
    <w:uiPriority w:val="99"/>
    <w:rPr>
      <w:rFonts w:ascii="Times New Roman" w:hAnsi="Times New Roman"/>
      <w:b/>
      <w:bCs/>
      <w:kern w:val="2"/>
      <w:sz w:val="21"/>
      <w:szCs w:val="24"/>
    </w:rPr>
  </w:style>
  <w:style w:type="character" w:customStyle="1" w:styleId="55">
    <w:name w:val="文档结构图 Char"/>
    <w:link w:val="9"/>
    <w:semiHidden/>
    <w:qFormat/>
    <w:uiPriority w:val="99"/>
    <w:rPr>
      <w:rFonts w:ascii="宋体"/>
      <w:kern w:val="2"/>
      <w:sz w:val="18"/>
      <w:szCs w:val="18"/>
    </w:rPr>
  </w:style>
  <w:style w:type="character" w:customStyle="1" w:styleId="56">
    <w:name w:val="正文文本 字符"/>
    <w:qFormat/>
    <w:uiPriority w:val="0"/>
    <w:rPr>
      <w:rFonts w:ascii="Times New Roman" w:hAnsi="Times New Roman"/>
      <w:kern w:val="2"/>
      <w:sz w:val="21"/>
      <w:szCs w:val="24"/>
    </w:rPr>
  </w:style>
  <w:style w:type="character" w:customStyle="1" w:styleId="57">
    <w:name w:val="纯文本 Char"/>
    <w:qFormat/>
    <w:uiPriority w:val="99"/>
    <w:rPr>
      <w:rFonts w:ascii="宋体" w:hAnsi="Courier New" w:eastAsia="宋体" w:cs="Courier New"/>
      <w:szCs w:val="21"/>
    </w:rPr>
  </w:style>
  <w:style w:type="character" w:customStyle="1" w:styleId="58">
    <w:name w:val="纯文本 字符1"/>
    <w:qFormat/>
    <w:uiPriority w:val="0"/>
    <w:rPr>
      <w:rFonts w:ascii="宋体" w:hAnsi="Courier New"/>
    </w:rPr>
  </w:style>
  <w:style w:type="character" w:customStyle="1" w:styleId="59">
    <w:name w:val="标题 1 Char"/>
    <w:link w:val="3"/>
    <w:qFormat/>
    <w:uiPriority w:val="9"/>
    <w:rPr>
      <w:b/>
      <w:bCs/>
      <w:kern w:val="44"/>
      <w:sz w:val="44"/>
      <w:szCs w:val="44"/>
    </w:rPr>
  </w:style>
  <w:style w:type="character" w:customStyle="1" w:styleId="60">
    <w:name w:val="页脚 Char"/>
    <w:link w:val="19"/>
    <w:qFormat/>
    <w:uiPriority w:val="99"/>
    <w:rPr>
      <w:sz w:val="18"/>
      <w:szCs w:val="18"/>
    </w:rPr>
  </w:style>
  <w:style w:type="character" w:customStyle="1" w:styleId="61">
    <w:name w:val="标题 1 字符1"/>
    <w:qFormat/>
    <w:uiPriority w:val="0"/>
    <w:rPr>
      <w:b/>
      <w:bCs/>
      <w:kern w:val="44"/>
      <w:sz w:val="44"/>
      <w:szCs w:val="44"/>
    </w:rPr>
  </w:style>
  <w:style w:type="character" w:customStyle="1" w:styleId="62">
    <w:name w:val="正文文本 3 Char"/>
    <w:link w:val="11"/>
    <w:semiHidden/>
    <w:qFormat/>
    <w:uiPriority w:val="99"/>
    <w:rPr>
      <w:kern w:val="2"/>
      <w:sz w:val="16"/>
      <w:szCs w:val="16"/>
    </w:rPr>
  </w:style>
  <w:style w:type="character" w:customStyle="1" w:styleId="63">
    <w:name w:val="日期 Char"/>
    <w:link w:val="16"/>
    <w:semiHidden/>
    <w:qFormat/>
    <w:uiPriority w:val="99"/>
    <w:rPr>
      <w:rFonts w:ascii="Times New Roman" w:hAnsi="Times New Roman"/>
      <w:kern w:val="2"/>
      <w:sz w:val="21"/>
      <w:szCs w:val="24"/>
    </w:rPr>
  </w:style>
  <w:style w:type="character" w:customStyle="1" w:styleId="64">
    <w:name w:val="批注文字 Char"/>
    <w:qFormat/>
    <w:uiPriority w:val="0"/>
    <w:rPr>
      <w:rFonts w:ascii="Times New Roman" w:hAnsi="Times New Roman"/>
      <w:kern w:val="2"/>
      <w:sz w:val="21"/>
      <w:szCs w:val="24"/>
    </w:rPr>
  </w:style>
  <w:style w:type="character" w:customStyle="1" w:styleId="65">
    <w:name w:val="批注文字 字符"/>
    <w:qFormat/>
    <w:uiPriority w:val="0"/>
    <w:rPr>
      <w:rFonts w:ascii="Times New Roman" w:hAnsi="Times New Roman"/>
      <w:kern w:val="2"/>
      <w:sz w:val="21"/>
      <w:szCs w:val="24"/>
    </w:rPr>
  </w:style>
  <w:style w:type="character" w:customStyle="1" w:styleId="66">
    <w:name w:val="标题 5 Char"/>
    <w:link w:val="5"/>
    <w:semiHidden/>
    <w:qFormat/>
    <w:uiPriority w:val="9"/>
    <w:rPr>
      <w:rFonts w:ascii="Times New Roman" w:hAnsi="Times New Roman"/>
      <w:b/>
      <w:bCs/>
      <w:kern w:val="2"/>
      <w:sz w:val="28"/>
      <w:szCs w:val="28"/>
    </w:rPr>
  </w:style>
  <w:style w:type="character" w:customStyle="1" w:styleId="67">
    <w:name w:val="正文文本缩进 Char"/>
    <w:link w:val="13"/>
    <w:qFormat/>
    <w:uiPriority w:val="0"/>
    <w:rPr>
      <w:rFonts w:ascii="仿宋_GB2312" w:hAnsi="Times New Roman" w:eastAsia="仿宋_GB2312" w:cs="Times New Roman"/>
      <w:sz w:val="32"/>
      <w:szCs w:val="20"/>
    </w:rPr>
  </w:style>
  <w:style w:type="character" w:customStyle="1" w:styleId="68">
    <w:name w:val="纯文本 字符"/>
    <w:qFormat/>
    <w:uiPriority w:val="0"/>
    <w:rPr>
      <w:rFonts w:ascii="宋体" w:hAnsi="Courier New" w:eastAsia="宋体" w:cs="Courier New"/>
      <w:szCs w:val="21"/>
    </w:rPr>
  </w:style>
  <w:style w:type="character" w:customStyle="1" w:styleId="69">
    <w:name w:val="批注文字 Char2"/>
    <w:qFormat/>
    <w:uiPriority w:val="0"/>
    <w:rPr>
      <w:rFonts w:ascii="Times New Roman" w:hAnsi="Times New Roman"/>
      <w:kern w:val="2"/>
      <w:sz w:val="21"/>
      <w:szCs w:val="24"/>
    </w:rPr>
  </w:style>
  <w:style w:type="character" w:customStyle="1" w:styleId="70">
    <w:name w:val="页眉 Char"/>
    <w:link w:val="21"/>
    <w:qFormat/>
    <w:uiPriority w:val="99"/>
    <w:rPr>
      <w:sz w:val="18"/>
      <w:szCs w:val="18"/>
    </w:rPr>
  </w:style>
  <w:style w:type="character" w:customStyle="1" w:styleId="71">
    <w:name w:val="标题 2 Char1"/>
    <w:link w:val="2"/>
    <w:qFormat/>
    <w:uiPriority w:val="9"/>
    <w:rPr>
      <w:rFonts w:ascii="Cambria" w:hAnsi="Cambria" w:eastAsia="宋体" w:cs="Times New Roman"/>
      <w:b/>
      <w:bCs/>
      <w:kern w:val="2"/>
      <w:sz w:val="32"/>
      <w:szCs w:val="32"/>
    </w:rPr>
  </w:style>
  <w:style w:type="character" w:customStyle="1" w:styleId="72">
    <w:name w:val="批注文字 字符1"/>
    <w:qFormat/>
    <w:uiPriority w:val="0"/>
    <w:rPr>
      <w:rFonts w:ascii="Times New Roman" w:hAnsi="Times New Roman"/>
      <w:kern w:val="2"/>
      <w:sz w:val="21"/>
      <w:szCs w:val="24"/>
    </w:rPr>
  </w:style>
  <w:style w:type="character" w:customStyle="1" w:styleId="73">
    <w:name w:val="apple-style-span"/>
    <w:qFormat/>
    <w:uiPriority w:val="0"/>
  </w:style>
  <w:style w:type="character" w:customStyle="1" w:styleId="74">
    <w:name w:val="正文文本缩进 3 Char"/>
    <w:qFormat/>
    <w:uiPriority w:val="0"/>
    <w:rPr>
      <w:rFonts w:ascii="Times New Roman" w:hAnsi="Times New Roman" w:eastAsia="宋体" w:cs="Times New Roman"/>
      <w:sz w:val="16"/>
      <w:szCs w:val="16"/>
      <w:lang w:bidi="ar-SA"/>
    </w:rPr>
  </w:style>
  <w:style w:type="paragraph" w:styleId="75">
    <w:name w:val="List Paragraph"/>
    <w:basedOn w:val="1"/>
    <w:qFormat/>
    <w:uiPriority w:val="34"/>
    <w:pPr>
      <w:ind w:firstLine="420" w:firstLineChars="200"/>
    </w:pPr>
  </w:style>
  <w:style w:type="paragraph" w:customStyle="1" w:styleId="76">
    <w:name w:val="Table Paragraph"/>
    <w:basedOn w:val="1"/>
    <w:qFormat/>
    <w:uiPriority w:val="1"/>
    <w:pPr>
      <w:jc w:val="left"/>
    </w:pPr>
    <w:rPr>
      <w:rFonts w:ascii="Calibri" w:hAnsi="Calibri"/>
      <w:kern w:val="0"/>
      <w:sz w:val="22"/>
      <w:szCs w:val="22"/>
      <w:lang w:eastAsia="en-US"/>
    </w:rPr>
  </w:style>
  <w:style w:type="paragraph" w:customStyle="1" w:styleId="7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78">
    <w:name w:val="列出段落11"/>
    <w:basedOn w:val="1"/>
    <w:qFormat/>
    <w:uiPriority w:val="0"/>
    <w:pPr>
      <w:ind w:firstLine="420" w:firstLineChars="200"/>
    </w:pPr>
    <w:rPr>
      <w:rFonts w:ascii="Calibri" w:hAnsi="Calibri" w:cs="Calibri"/>
      <w:szCs w:val="21"/>
    </w:rPr>
  </w:style>
  <w:style w:type="paragraph" w:customStyle="1" w:styleId="79">
    <w:name w:val="默认段落字体 Para Char Char Char Char Char Char Char Char Char1 Char Char Char Char"/>
    <w:basedOn w:val="1"/>
    <w:qFormat/>
    <w:uiPriority w:val="0"/>
    <w:rPr>
      <w:rFonts w:ascii="Tahoma" w:hAnsi="Tahoma"/>
      <w:sz w:val="24"/>
      <w:szCs w:val="20"/>
    </w:rPr>
  </w:style>
  <w:style w:type="paragraph" w:customStyle="1" w:styleId="80">
    <w:name w:val="01 正文-首行缩进2字符"/>
    <w:basedOn w:val="1"/>
    <w:qFormat/>
    <w:uiPriority w:val="0"/>
    <w:pPr>
      <w:tabs>
        <w:tab w:val="right" w:pos="0"/>
      </w:tabs>
      <w:spacing w:before="50" w:beforeLines="50" w:after="50" w:afterLines="50"/>
      <w:ind w:firstLine="964" w:firstLineChars="200"/>
    </w:pPr>
    <w:rPr>
      <w:rFonts w:ascii="Arial" w:hAnsi="Arial"/>
      <w:color w:val="000000"/>
    </w:rPr>
  </w:style>
  <w:style w:type="paragraph" w:customStyle="1" w:styleId="81">
    <w:name w:val="Ｒ07-正!!文"/>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82">
    <w:name w:val="font11"/>
    <w:basedOn w:val="32"/>
    <w:qFormat/>
    <w:uiPriority w:val="0"/>
    <w:rPr>
      <w:rFonts w:hint="eastAsia" w:ascii="宋体" w:hAnsi="宋体" w:eastAsia="宋体" w:cs="宋体"/>
      <w:color w:val="000000"/>
      <w:sz w:val="21"/>
      <w:szCs w:val="21"/>
      <w:u w:val="none"/>
    </w:rPr>
  </w:style>
  <w:style w:type="character" w:customStyle="1" w:styleId="83">
    <w:name w:val="font21"/>
    <w:basedOn w:val="32"/>
    <w:qFormat/>
    <w:uiPriority w:val="0"/>
    <w:rPr>
      <w:rFonts w:hint="eastAsia" w:ascii="宋体" w:hAnsi="宋体" w:eastAsia="宋体" w:cs="宋体"/>
      <w:b/>
      <w:bCs/>
      <w:color w:val="000000"/>
      <w:sz w:val="21"/>
      <w:szCs w:val="21"/>
      <w:u w:val="none"/>
    </w:rPr>
  </w:style>
  <w:style w:type="paragraph" w:customStyle="1" w:styleId="84">
    <w:name w:val="Table Text"/>
    <w:basedOn w:val="1"/>
    <w:semiHidden/>
    <w:qFormat/>
    <w:uiPriority w:val="0"/>
    <w:rPr>
      <w:rFonts w:ascii="宋体" w:hAnsi="宋体" w:eastAsia="宋体" w:cs="宋体"/>
      <w:sz w:val="20"/>
      <w:szCs w:val="20"/>
      <w:lang w:val="en-US" w:eastAsia="en-US" w:bidi="ar-SA"/>
    </w:rPr>
  </w:style>
  <w:style w:type="table" w:customStyle="1" w:styleId="85">
    <w:name w:val="Table Normal"/>
    <w:unhideWhenUsed/>
    <w:qFormat/>
    <w:uiPriority w:val="0"/>
    <w:tblPr>
      <w:tblCellMar>
        <w:top w:w="0" w:type="dxa"/>
        <w:left w:w="0" w:type="dxa"/>
        <w:bottom w:w="0" w:type="dxa"/>
        <w:right w:w="0" w:type="dxa"/>
      </w:tblCellMar>
    </w:tblPr>
  </w:style>
  <w:style w:type="paragraph" w:customStyle="1" w:styleId="86">
    <w:name w:val="p15"/>
    <w:basedOn w:val="1"/>
    <w:qFormat/>
    <w:uiPriority w:val="0"/>
    <w:pPr>
      <w:widowControl/>
    </w:pPr>
    <w:rPr>
      <w:rFonts w:ascii="宋体" w:hAnsi="宋体" w:cs="宋体"/>
      <w:kern w:val="0"/>
    </w:rPr>
  </w:style>
  <w:style w:type="paragraph" w:customStyle="1" w:styleId="87">
    <w:name w:val="表格文字"/>
    <w:basedOn w:val="1"/>
    <w:qFormat/>
    <w:uiPriority w:val="0"/>
    <w:pPr>
      <w:spacing w:before="25" w:after="25"/>
      <w:jc w:val="left"/>
    </w:pPr>
    <w:rPr>
      <w:bCs/>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95</Pages>
  <Words>11127</Words>
  <Characters>11912</Characters>
  <Lines>1</Lines>
  <Paragraphs>1</Paragraphs>
  <TotalTime>43</TotalTime>
  <ScaleCrop>false</ScaleCrop>
  <LinksUpToDate>false</LinksUpToDate>
  <CharactersWithSpaces>12003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2024-04-15T15:43:00Z</dcterms:created>
  <dc:creator>唐冰</dc:creator>
  <cp:lastModifiedBy>雨过天晴</cp:lastModifiedBy>
  <cp:lastPrinted>2023-07-06T04:01:00Z</cp:lastPrinted>
  <dcterms:modified xsi:type="dcterms:W3CDTF">2026-01-19T08:27:56Z</dcterms:modified>
  <dc:title>竞争性谈判文件规范</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4DCFF750123F4CCB89CD43CFF29F8F08_13</vt:lpwstr>
  </property>
  <property fmtid="{D5CDD505-2E9C-101B-9397-08002B2CF9AE}" pid="4" name="KSOTemplateDocerSaveRecord">
    <vt:lpwstr>eyJoZGlkIjoiN2NiMTI3MDRiZWJlZDRkZTA3NmY0MjY1ZjJiMjJkMzMiLCJ1c2VySWQiOiI3MDAxMTU0MTgifQ==</vt:lpwstr>
  </property>
</Properties>
</file>