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200" w:hanging="3200" w:hangingChars="10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bookmarkStart w:id="1" w:name="OLE_LINK1"/>
      <w:r>
        <w:rPr>
          <w:rFonts w:hint="eastAsia" w:ascii="方正小标宋_GBK" w:hAnsi="微软雅黑" w:eastAsia="方正小标宋_GBK"/>
          <w:color w:val="auto"/>
          <w:sz w:val="32"/>
          <w:szCs w:val="32"/>
          <w:highlight w:val="none"/>
          <w:lang w:eastAsia="zh-CN"/>
        </w:rPr>
        <w:t>钦州市市场监管局知识产权保护体系建设</w:t>
      </w:r>
      <w:bookmarkEnd w:id="1"/>
      <w:r>
        <w:rPr>
          <w:rFonts w:hint="eastAsia" w:ascii="方正小标宋_GBK" w:hAnsi="微软雅黑" w:eastAsia="方正小标宋_GBK"/>
          <w:color w:val="auto"/>
          <w:sz w:val="32"/>
          <w:szCs w:val="32"/>
          <w:highlight w:val="none"/>
          <w:lang w:eastAsia="zh-CN"/>
        </w:rPr>
        <w:t xml:space="preserve"> </w:t>
      </w:r>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QZZC2025-C3-990368-QZSZ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仿宋_GB2312"/>
          <w:color w:val="auto"/>
          <w:sz w:val="32"/>
          <w:szCs w:val="32"/>
          <w:highlight w:val="none"/>
        </w:rPr>
      </w:pPr>
      <w:r>
        <w:rPr>
          <w:rFonts w:hint="eastAsia" w:ascii="方正小标宋_GBK" w:hAnsi="微软雅黑" w:eastAsia="方正小标宋_GBK"/>
          <w:color w:val="auto"/>
          <w:sz w:val="32"/>
          <w:szCs w:val="32"/>
          <w:highlight w:val="none"/>
        </w:rPr>
        <w:t>202</w:t>
      </w:r>
      <w:r>
        <w:rPr>
          <w:rFonts w:hint="eastAsia" w:ascii="方正小标宋_GBK" w:hAnsi="微软雅黑" w:eastAsia="方正小标宋_GBK"/>
          <w:color w:val="auto"/>
          <w:sz w:val="32"/>
          <w:szCs w:val="32"/>
          <w:highlight w:val="none"/>
          <w:lang w:val="en-US" w:eastAsia="zh-CN"/>
        </w:rPr>
        <w:t>5</w:t>
      </w:r>
      <w:r>
        <w:rPr>
          <w:rFonts w:hint="eastAsia" w:ascii="方正小标宋_GBK" w:hAnsi="微软雅黑" w:eastAsia="方正小标宋_GBK"/>
          <w:color w:val="auto"/>
          <w:sz w:val="32"/>
          <w:szCs w:val="32"/>
          <w:highlight w:val="none"/>
        </w:rPr>
        <w:t>年</w:t>
      </w:r>
      <w:r>
        <w:rPr>
          <w:rFonts w:hint="eastAsia" w:ascii="方正小标宋_GBK" w:hAnsi="微软雅黑" w:eastAsia="方正小标宋_GBK"/>
          <w:color w:val="auto"/>
          <w:sz w:val="32"/>
          <w:szCs w:val="32"/>
          <w:highlight w:val="none"/>
          <w:lang w:val="en-US" w:eastAsia="zh-CN"/>
        </w:rPr>
        <w:t>12月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2"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5"/>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5"/>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5"/>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5"/>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5"/>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5"/>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3" w:name="_Toc92355023"/>
      <w:r>
        <w:rPr>
          <w:rFonts w:hint="eastAsia" w:ascii="方正小标宋_GBK" w:hAnsi="宋体" w:eastAsia="方正小标宋_GBK"/>
          <w:color w:val="auto"/>
          <w:highlight w:val="none"/>
        </w:rPr>
        <w:t>第一章  竞争性磋商公告</w:t>
      </w:r>
      <w:bookmarkEnd w:id="2"/>
      <w:bookmarkEnd w:id="3"/>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r>
        <w:rPr>
          <w:rFonts w:hint="eastAsia" w:ascii="方正小标宋_GBK" w:hAnsi="宋体" w:eastAsia="方正小标宋_GBK"/>
          <w:b/>
          <w:color w:val="auto"/>
          <w:sz w:val="34"/>
          <w:szCs w:val="34"/>
          <w:highlight w:val="none"/>
          <w:lang w:eastAsia="zh-CN"/>
        </w:rPr>
        <w:t xml:space="preserve">钦州市市场监管局知识产权保护体系建设 </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QZZC2025-C3-990368-QZSZ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4"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 xml:space="preserve">钦州市市场监管局知识产权保护体系建设 </w:t>
      </w:r>
      <w:r>
        <w:rPr>
          <w:rFonts w:hint="eastAsia" w:ascii="宋体" w:hAnsi="宋体"/>
          <w:color w:val="auto"/>
          <w:szCs w:val="21"/>
          <w:highlight w:val="none"/>
        </w:rPr>
        <w:t>项目的潜在供应商应在广西政府采购云平台（https://www.gcy.zfcg.gxzf.gov.cn/）获取采购文件，并于202</w:t>
      </w:r>
      <w:r>
        <w:rPr>
          <w:rFonts w:hint="eastAsia" w:ascii="宋体" w:hAnsi="宋体"/>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12月18</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4"/>
    <w:p>
      <w:pPr>
        <w:spacing w:line="400" w:lineRule="exact"/>
        <w:rPr>
          <w:b/>
          <w:color w:val="auto"/>
          <w:highlight w:val="none"/>
        </w:rPr>
      </w:pPr>
      <w:bookmarkStart w:id="5" w:name="_Toc35393790"/>
      <w:bookmarkStart w:id="6" w:name="_Toc35393621"/>
      <w:bookmarkStart w:id="7" w:name="_Toc28359079"/>
      <w:bookmarkStart w:id="8" w:name="_Toc28359002"/>
      <w:bookmarkStart w:id="9" w:name="_Hlk24379207"/>
      <w:bookmarkStart w:id="10" w:name="_Toc38370146"/>
      <w:r>
        <w:rPr>
          <w:rFonts w:hint="eastAsia"/>
          <w:b/>
          <w:color w:val="auto"/>
          <w:highlight w:val="none"/>
        </w:rPr>
        <w:t>一、项目基本情况</w:t>
      </w:r>
      <w:bookmarkEnd w:id="5"/>
      <w:bookmarkEnd w:id="6"/>
      <w:bookmarkEnd w:id="7"/>
      <w:bookmarkEnd w:id="8"/>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QZZC2025-C3-990368-QZSZ</w:t>
      </w:r>
    </w:p>
    <w:p>
      <w:pPr>
        <w:spacing w:line="400" w:lineRule="exact"/>
        <w:ind w:firstLine="42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 xml:space="preserve">钦州市市场监管局知识产权保护体系建设 </w:t>
      </w:r>
    </w:p>
    <w:bookmarkEnd w:id="9"/>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500，000.00</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 xml:space="preserve">钦州市市场监管局知识产权保护体系建设 </w:t>
      </w:r>
    </w:p>
    <w:p>
      <w:pPr>
        <w:spacing w:line="400" w:lineRule="exact"/>
        <w:ind w:firstLine="420"/>
        <w:rPr>
          <w:color w:val="auto"/>
          <w:highlight w:val="none"/>
        </w:rPr>
      </w:pPr>
      <w:r>
        <w:rPr>
          <w:rFonts w:hint="eastAsia"/>
          <w:bCs/>
          <w:color w:val="auto"/>
          <w:highlight w:val="none"/>
        </w:rPr>
        <w:t>数量：</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500，000.00</w:t>
      </w:r>
    </w:p>
    <w:p>
      <w:pPr>
        <w:spacing w:line="400" w:lineRule="exact"/>
        <w:ind w:firstLine="420"/>
        <w:rPr>
          <w:rFonts w:hint="default" w:eastAsia="宋体"/>
          <w:color w:val="auto"/>
          <w:highlight w:val="none"/>
          <w:lang w:val="en-US" w:eastAsia="zh-CN"/>
        </w:rPr>
      </w:pPr>
      <w:r>
        <w:rPr>
          <w:rFonts w:hint="eastAsia"/>
          <w:color w:val="auto"/>
          <w:highlight w:val="none"/>
        </w:rPr>
        <w:t>简要规格描述或项目基本概况介绍、用途：</w:t>
      </w:r>
      <w:r>
        <w:rPr>
          <w:rFonts w:hint="eastAsia"/>
          <w:color w:val="auto"/>
          <w:highlight w:val="none"/>
          <w:lang w:eastAsia="zh-CN"/>
        </w:rPr>
        <w:t>深入调研国内外数据知识产权现状，结合广西实际，研究面向东盟的数据知识产权保护、跨境数据协同、人工智能产业数据支撑三位一体的制度框架。根据调研情况，出具数据知识产权保护研究报告1份、数据知识产权登记指南1份、数据知识产权管理建议书1份和提供数据知识产权登记、公证服务，</w:t>
      </w:r>
      <w:r>
        <w:rPr>
          <w:rFonts w:hint="eastAsia"/>
          <w:color w:val="auto"/>
          <w:highlight w:val="none"/>
          <w:lang w:val="en-US" w:eastAsia="zh-CN"/>
        </w:rPr>
        <w:t>详见采购文件。</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eastAsia" w:ascii="宋体" w:hAnsi="宋体"/>
          <w:bCs/>
          <w:color w:val="auto"/>
          <w:szCs w:val="21"/>
          <w:highlight w:val="none"/>
          <w:u w:val="single"/>
          <w:lang w:eastAsia="zh-CN"/>
        </w:rPr>
      </w:pPr>
      <w:r>
        <w:rPr>
          <w:rFonts w:hint="eastAsia"/>
          <w:color w:val="auto"/>
          <w:highlight w:val="none"/>
        </w:rPr>
        <w:t>合同履行期限：</w:t>
      </w:r>
      <w:r>
        <w:rPr>
          <w:rFonts w:hint="eastAsia" w:ascii="宋体" w:hAnsi="宋体"/>
          <w:bCs/>
          <w:color w:val="auto"/>
          <w:szCs w:val="21"/>
          <w:highlight w:val="none"/>
          <w:u w:val="none"/>
        </w:rPr>
        <w:t>自签订合同之日起</w:t>
      </w:r>
      <w:r>
        <w:rPr>
          <w:rFonts w:hint="eastAsia" w:ascii="宋体" w:hAnsi="宋体"/>
          <w:bCs/>
          <w:color w:val="auto"/>
          <w:szCs w:val="21"/>
          <w:highlight w:val="none"/>
          <w:u w:val="none"/>
          <w:lang w:val="en-US" w:eastAsia="zh-CN"/>
        </w:rPr>
        <w:t>一年。</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1" w:name="_Toc35393791"/>
      <w:bookmarkStart w:id="12" w:name="_Toc35393622"/>
      <w:bookmarkStart w:id="13" w:name="_Toc28359080"/>
      <w:bookmarkStart w:id="14" w:name="_Toc28359003"/>
      <w:r>
        <w:rPr>
          <w:rFonts w:hint="eastAsia"/>
          <w:b/>
          <w:color w:val="auto"/>
          <w:highlight w:val="none"/>
        </w:rPr>
        <w:t>二、申请人的资格要求：</w:t>
      </w:r>
      <w:bookmarkEnd w:id="11"/>
      <w:bookmarkEnd w:id="12"/>
      <w:bookmarkEnd w:id="13"/>
      <w:bookmarkEnd w:id="14"/>
      <w:bookmarkStart w:id="15" w:name="_Toc28359004"/>
      <w:bookmarkStart w:id="16" w:name="_Toc35393792"/>
      <w:bookmarkStart w:id="17" w:name="_Toc35393623"/>
      <w:bookmarkStart w:id="18" w:name="_Toc28359081"/>
    </w:p>
    <w:p>
      <w:pPr>
        <w:spacing w:line="400" w:lineRule="exact"/>
        <w:ind w:firstLine="420"/>
        <w:rPr>
          <w:b/>
          <w:color w:val="auto"/>
          <w:highlight w:val="none"/>
        </w:rPr>
      </w:pPr>
      <w:bookmarkStart w:id="19"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eastAsia="宋体"/>
          <w:color w:val="auto"/>
          <w:szCs w:val="21"/>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无</w:t>
      </w:r>
    </w:p>
    <w:p>
      <w:pPr>
        <w:spacing w:line="400" w:lineRule="exact"/>
        <w:ind w:firstLine="435"/>
        <w:rPr>
          <w:color w:val="auto"/>
          <w:highlight w:val="none"/>
        </w:rPr>
      </w:pPr>
      <w:r>
        <w:rPr>
          <w:rFonts w:hint="eastAsia"/>
          <w:color w:val="auto"/>
          <w:highlight w:val="none"/>
        </w:rPr>
        <w:t>3.本项目的特定资格要求：无</w:t>
      </w:r>
    </w:p>
    <w:bookmarkEnd w:id="19"/>
    <w:p>
      <w:pPr>
        <w:spacing w:line="400" w:lineRule="exact"/>
        <w:rPr>
          <w:b/>
          <w:color w:val="auto"/>
          <w:highlight w:val="none"/>
        </w:rPr>
      </w:pPr>
      <w:r>
        <w:rPr>
          <w:rFonts w:hint="eastAsia"/>
          <w:b/>
          <w:color w:val="auto"/>
          <w:highlight w:val="none"/>
        </w:rPr>
        <w:t>三、获取采购文件</w:t>
      </w:r>
      <w:bookmarkEnd w:id="15"/>
      <w:bookmarkEnd w:id="16"/>
      <w:bookmarkEnd w:id="17"/>
      <w:bookmarkEnd w:id="18"/>
    </w:p>
    <w:p>
      <w:pPr>
        <w:spacing w:line="400" w:lineRule="exact"/>
        <w:ind w:firstLine="420"/>
        <w:jc w:val="left"/>
        <w:rPr>
          <w:color w:val="auto"/>
          <w:highlight w:val="none"/>
        </w:rPr>
      </w:pPr>
      <w:bookmarkStart w:id="20" w:name="_Toc38370141"/>
      <w:r>
        <w:rPr>
          <w:rFonts w:hint="eastAsia"/>
          <w:color w:val="auto"/>
          <w:highlight w:val="none"/>
        </w:rPr>
        <w:t>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12月4</w:t>
      </w:r>
      <w:r>
        <w:rPr>
          <w:rFonts w:hint="eastAsia"/>
          <w:color w:val="auto"/>
          <w:highlight w:val="none"/>
        </w:rPr>
        <w:t>日至202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12月12</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1" w:name="OLE_LINK4"/>
      <w:bookmarkStart w:id="22" w:name="_Hlk164066481"/>
      <w:bookmarkStart w:id="23" w:name="OLE_LINK8"/>
      <w:r>
        <w:rPr>
          <w:rFonts w:hint="eastAsia" w:ascii="宋体" w:hAnsi="宋体"/>
          <w:color w:val="auto"/>
          <w:szCs w:val="21"/>
          <w:highlight w:val="none"/>
        </w:rPr>
        <w:t>广西政府采购云平台（https://www.gcy.zfcg.gxzf.gov.cn/）</w:t>
      </w:r>
      <w:bookmarkEnd w:id="21"/>
      <w:bookmarkEnd w:id="22"/>
    </w:p>
    <w:bookmarkEnd w:id="23"/>
    <w:p>
      <w:pPr>
        <w:spacing w:line="400" w:lineRule="exact"/>
        <w:ind w:firstLine="420"/>
        <w:rPr>
          <w:color w:val="auto"/>
          <w:highlight w:val="none"/>
        </w:rPr>
      </w:pPr>
      <w:r>
        <w:rPr>
          <w:rFonts w:hint="eastAsia"/>
          <w:color w:val="auto"/>
          <w:highlight w:val="none"/>
        </w:rPr>
        <w:t>方式：</w:t>
      </w:r>
      <w:bookmarkStart w:id="24" w:name="OLE_LINK5"/>
      <w:r>
        <w:rPr>
          <w:rFonts w:hint="eastAsia"/>
          <w:color w:val="auto"/>
          <w:highlight w:val="none"/>
        </w:rPr>
        <w:t>供应商登录广西政府采购云平台(以下称“政采云平台”)在线获取采购文件（进入“项目采购”应用选择项目，获取采购文件）</w:t>
      </w:r>
      <w:bookmarkEnd w:id="24"/>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20"/>
      <w:bookmarkStart w:id="25" w:name="_Toc28359082"/>
      <w:bookmarkStart w:id="26" w:name="_Toc28359005"/>
      <w:bookmarkStart w:id="27" w:name="_Toc35393624"/>
      <w:bookmarkStart w:id="28" w:name="_Toc35393793"/>
      <w:r>
        <w:rPr>
          <w:rFonts w:hint="eastAsia"/>
          <w:b/>
          <w:color w:val="auto"/>
          <w:highlight w:val="none"/>
        </w:rPr>
        <w:t>响应文件</w:t>
      </w:r>
      <w:bookmarkEnd w:id="25"/>
      <w:bookmarkEnd w:id="26"/>
      <w:r>
        <w:rPr>
          <w:rFonts w:hint="eastAsia"/>
          <w:b/>
          <w:color w:val="auto"/>
          <w:highlight w:val="none"/>
        </w:rPr>
        <w:t>提交</w:t>
      </w:r>
      <w:bookmarkEnd w:id="27"/>
      <w:bookmarkEnd w:id="28"/>
    </w:p>
    <w:p>
      <w:pPr>
        <w:spacing w:line="400" w:lineRule="exact"/>
        <w:ind w:firstLine="420"/>
        <w:rPr>
          <w:color w:val="auto"/>
          <w:highlight w:val="none"/>
        </w:rPr>
      </w:pPr>
      <w:r>
        <w:rPr>
          <w:rFonts w:hint="eastAsia"/>
          <w:color w:val="auto"/>
          <w:highlight w:val="none"/>
        </w:rPr>
        <w:t>截止时间：202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12月18</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9" w:name="OLE_LINK6"/>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9"/>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12月18</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30" w:name="_Toc28359007"/>
      <w:bookmarkStart w:id="31" w:name="_Toc35393625"/>
      <w:bookmarkStart w:id="32" w:name="_Toc28359084"/>
      <w:bookmarkStart w:id="33" w:name="_Toc35393794"/>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30"/>
      <w:bookmarkEnd w:id="31"/>
      <w:bookmarkEnd w:id="32"/>
      <w:bookmarkEnd w:id="33"/>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4" w:name="_Toc35393796"/>
      <w:bookmarkStart w:id="35" w:name="_Toc35393627"/>
      <w:bookmarkStart w:id="36" w:name="_Toc28359085"/>
      <w:bookmarkStart w:id="37" w:name="_Toc28359008"/>
      <w:r>
        <w:rPr>
          <w:rFonts w:hint="eastAsia"/>
          <w:b/>
          <w:color w:val="auto"/>
          <w:highlight w:val="none"/>
        </w:rPr>
        <w:t>七、其他补充事宜</w:t>
      </w:r>
    </w:p>
    <w:p>
      <w:pPr>
        <w:spacing w:line="400" w:lineRule="exact"/>
        <w:ind w:firstLine="420"/>
        <w:rPr>
          <w:b/>
          <w:color w:val="auto"/>
          <w:highlight w:val="none"/>
        </w:rPr>
      </w:pPr>
      <w:r>
        <w:rPr>
          <w:rFonts w:hint="eastAsia"/>
          <w:color w:val="auto"/>
          <w:highlight w:val="none"/>
          <w:lang w:val="en-US" w:eastAsia="zh-CN"/>
        </w:rPr>
        <w:t>1.</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lang w:val="en-US" w:eastAsia="zh-CN"/>
        </w:rPr>
        <w:t>2</w:t>
      </w:r>
      <w:r>
        <w:rPr>
          <w:color w:val="auto"/>
          <w:highlight w:val="none"/>
        </w:rPr>
        <w:t>.</w:t>
      </w:r>
      <w:bookmarkStart w:id="38" w:name="_Hlk91598380"/>
      <w:r>
        <w:rPr>
          <w:rFonts w:hint="eastAsia"/>
          <w:color w:val="auto"/>
          <w:highlight w:val="none"/>
        </w:rPr>
        <w:t>全流程电子化</w:t>
      </w:r>
      <w:bookmarkEnd w:id="38"/>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9"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5"/>
          <w:rFonts w:hint="eastAsia"/>
          <w:color w:val="auto"/>
          <w:highlight w:val="none"/>
        </w:rPr>
        <w:t>政采云电子卖场首页右上角—服务中心—帮助文档—项目采购</w:t>
      </w:r>
      <w:r>
        <w:rPr>
          <w:rStyle w:val="45"/>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5"/>
          <w:rFonts w:hint="eastAsia"/>
          <w:color w:val="auto"/>
          <w:highlight w:val="none"/>
        </w:rPr>
        <w:t>政采云电子卖场首页右上角—帮助文档—入驻与配置—CA管理</w:t>
      </w:r>
      <w:r>
        <w:rPr>
          <w:rStyle w:val="45"/>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5"/>
          <w:rFonts w:hint="eastAsia"/>
          <w:color w:val="auto"/>
          <w:highlight w:val="none"/>
        </w:rPr>
        <w:t>政采云平台—我的工作台右上角—CA管理—CA证书申领</w:t>
      </w:r>
      <w:r>
        <w:rPr>
          <w:rStyle w:val="45"/>
          <w:rFonts w:hint="eastAsia"/>
          <w:color w:val="auto"/>
          <w:highlight w:val="none"/>
        </w:rPr>
        <w:fldChar w:fldCharType="end"/>
      </w:r>
      <w:r>
        <w:rPr>
          <w:rFonts w:hint="eastAsia"/>
          <w:color w:val="auto"/>
          <w:highlight w:val="none"/>
        </w:rPr>
        <w:t>)</w:t>
      </w:r>
      <w:bookmarkEnd w:id="39"/>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5"/>
          <w:rFonts w:hint="eastAsia"/>
          <w:color w:val="auto"/>
          <w:highlight w:val="none"/>
        </w:rPr>
        <w:t>政府采购云平台</w:t>
      </w:r>
      <w:r>
        <w:rPr>
          <w:rStyle w:val="45"/>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40" w:name="_Hlk90367388"/>
      <w:r>
        <w:rPr>
          <w:rFonts w:hint="eastAsia" w:ascii="宋体" w:hAnsi="宋体" w:cs="Courier New"/>
          <w:color w:val="auto"/>
          <w:szCs w:val="21"/>
          <w:highlight w:val="none"/>
        </w:rPr>
        <w:t>政采云远程开标大厅</w:t>
      </w:r>
      <w:bookmarkEnd w:id="40"/>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lang w:val="en-US" w:eastAsia="zh-CN"/>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5"/>
          <w:rFonts w:hint="eastAsia" w:hAnsi="宋体"/>
          <w:color w:val="auto"/>
          <w:highlight w:val="none"/>
          <w:u w:val="none"/>
        </w:rPr>
        <w:t>广西政府采购网</w:t>
      </w:r>
      <w:r>
        <w:rPr>
          <w:rStyle w:val="45"/>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41" w:name="_Hlk107409555"/>
      <w:bookmarkStart w:id="42" w:name="_Hlk108515619"/>
      <w:r>
        <w:rPr>
          <w:rFonts w:hint="eastAsia" w:hAnsi="宋体"/>
          <w:color w:val="auto"/>
          <w:highlight w:val="none"/>
          <w:lang w:val="en-US" w:eastAsia="zh-CN"/>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、陈启梅</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联系方式：0777-2886006</w:t>
      </w:r>
      <w:bookmarkEnd w:id="41"/>
    </w:p>
    <w:bookmarkEnd w:id="42"/>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4"/>
      <w:bookmarkEnd w:id="35"/>
      <w:bookmarkEnd w:id="36"/>
      <w:bookmarkEnd w:id="37"/>
    </w:p>
    <w:p>
      <w:pPr>
        <w:spacing w:line="400" w:lineRule="exact"/>
        <w:ind w:firstLine="420" w:firstLineChars="200"/>
        <w:rPr>
          <w:color w:val="auto"/>
          <w:highlight w:val="none"/>
        </w:rPr>
      </w:pPr>
      <w:r>
        <w:rPr>
          <w:rFonts w:hint="eastAsia"/>
          <w:color w:val="auto"/>
          <w:highlight w:val="none"/>
        </w:rPr>
        <w:t>1.采购人信息</w:t>
      </w:r>
      <w:bookmarkEnd w:id="10"/>
    </w:p>
    <w:p>
      <w:pPr>
        <w:spacing w:line="400" w:lineRule="exact"/>
        <w:ind w:firstLine="420" w:firstLineChars="200"/>
        <w:rPr>
          <w:rFonts w:hint="eastAsia"/>
          <w:color w:val="auto"/>
          <w:highlight w:val="none"/>
        </w:rPr>
      </w:pPr>
      <w:r>
        <w:rPr>
          <w:rFonts w:hint="eastAsia"/>
          <w:color w:val="auto"/>
          <w:highlight w:val="none"/>
        </w:rPr>
        <w:t>名称：钦州市市场监督管理局</w:t>
      </w:r>
    </w:p>
    <w:p>
      <w:pPr>
        <w:spacing w:line="400" w:lineRule="exact"/>
        <w:ind w:firstLine="420" w:firstLineChars="200"/>
        <w:rPr>
          <w:rFonts w:hint="eastAsia"/>
          <w:color w:val="auto"/>
          <w:highlight w:val="none"/>
        </w:rPr>
      </w:pPr>
      <w:r>
        <w:rPr>
          <w:rFonts w:hint="eastAsia"/>
          <w:color w:val="auto"/>
          <w:highlight w:val="none"/>
        </w:rPr>
        <w:t>地址：</w:t>
      </w:r>
      <w:bookmarkStart w:id="43" w:name="OLE_LINK9"/>
      <w:r>
        <w:rPr>
          <w:rFonts w:hint="eastAsia"/>
          <w:color w:val="auto"/>
          <w:highlight w:val="none"/>
        </w:rPr>
        <w:t>钦州市富民路32号三楼311</w:t>
      </w:r>
      <w:bookmarkEnd w:id="43"/>
    </w:p>
    <w:p>
      <w:pPr>
        <w:spacing w:line="400" w:lineRule="exact"/>
        <w:ind w:firstLine="420" w:firstLineChars="200"/>
        <w:rPr>
          <w:rFonts w:hint="eastAsia" w:eastAsia="宋体"/>
          <w:color w:val="auto"/>
          <w:highlight w:val="none"/>
          <w:lang w:eastAsia="zh-CN"/>
        </w:rPr>
      </w:pPr>
      <w:r>
        <w:rPr>
          <w:rFonts w:hint="eastAsia"/>
          <w:color w:val="auto"/>
          <w:highlight w:val="none"/>
        </w:rPr>
        <w:t>项目联系人：陈胜</w:t>
      </w:r>
      <w:r>
        <w:rPr>
          <w:rFonts w:hint="eastAsia"/>
          <w:color w:val="auto"/>
          <w:highlight w:val="none"/>
          <w:lang w:val="en-US" w:eastAsia="zh-CN"/>
        </w:rPr>
        <w:t xml:space="preserve"> </w:t>
      </w:r>
    </w:p>
    <w:p>
      <w:pPr>
        <w:spacing w:line="400" w:lineRule="exact"/>
        <w:ind w:firstLine="420" w:firstLineChars="200"/>
        <w:rPr>
          <w:rFonts w:hint="eastAsia" w:eastAsia="宋体"/>
          <w:color w:val="auto"/>
          <w:highlight w:val="none"/>
          <w:lang w:eastAsia="zh-CN"/>
        </w:rPr>
      </w:pPr>
      <w:r>
        <w:rPr>
          <w:rFonts w:hint="eastAsia"/>
          <w:color w:val="auto"/>
          <w:highlight w:val="none"/>
        </w:rPr>
        <w:t>联系方式：13877778515</w:t>
      </w:r>
      <w:r>
        <w:rPr>
          <w:rFonts w:hint="eastAsia"/>
          <w:color w:val="auto"/>
          <w:highlight w:val="none"/>
          <w:lang w:val="en-US" w:eastAsia="zh-CN"/>
        </w:rPr>
        <w:t xml:space="preserve"> </w:t>
      </w:r>
    </w:p>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default" w:eastAsia="宋体"/>
          <w:color w:val="auto"/>
          <w:highlight w:val="none"/>
          <w:lang w:val="en-US" w:eastAsia="zh-CN"/>
        </w:rPr>
      </w:pPr>
      <w:r>
        <w:rPr>
          <w:rFonts w:hint="eastAsia"/>
          <w:color w:val="auto"/>
          <w:highlight w:val="none"/>
        </w:rPr>
        <w:t>项目联系方式：</w:t>
      </w:r>
      <w:bookmarkStart w:id="44" w:name="_Toc28359087"/>
      <w:bookmarkStart w:id="45" w:name="_Toc28359010"/>
      <w:r>
        <w:rPr>
          <w:rFonts w:hint="eastAsia" w:hAnsi="宋体"/>
          <w:color w:val="auto"/>
          <w:highlight w:val="none"/>
        </w:rPr>
        <w:t>0777-2886022</w:t>
      </w:r>
      <w:r>
        <w:rPr>
          <w:rFonts w:hint="eastAsia" w:hAnsi="宋体"/>
          <w:color w:val="auto"/>
          <w:highlight w:val="none"/>
          <w:lang w:eastAsia="zh-CN"/>
        </w:rPr>
        <w:t>、</w:t>
      </w:r>
      <w:r>
        <w:rPr>
          <w:rFonts w:hint="eastAsia" w:hAnsi="宋体"/>
          <w:color w:val="auto"/>
          <w:highlight w:val="none"/>
          <w:lang w:val="en-US" w:eastAsia="zh-CN"/>
        </w:rPr>
        <w:t>2886006</w:t>
      </w:r>
    </w:p>
    <w:p>
      <w:pPr>
        <w:widowControl/>
        <w:jc w:val="left"/>
        <w:rPr>
          <w:color w:val="auto"/>
          <w:highlight w:val="none"/>
        </w:rPr>
      </w:pPr>
      <w:r>
        <w:rPr>
          <w:color w:val="auto"/>
          <w:highlight w:val="none"/>
        </w:rPr>
        <w:br w:type="page"/>
      </w:r>
    </w:p>
    <w:p>
      <w:pPr>
        <w:rPr>
          <w:color w:val="auto"/>
          <w:highlight w:val="none"/>
        </w:rPr>
      </w:pPr>
    </w:p>
    <w:bookmarkEnd w:id="44"/>
    <w:bookmarkEnd w:id="45"/>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46" w:name="_Toc92355024"/>
      <w:r>
        <w:rPr>
          <w:rFonts w:hint="eastAsia" w:ascii="方正小标宋_GBK" w:hAnsi="宋体" w:eastAsia="方正小标宋_GBK"/>
          <w:color w:val="auto"/>
          <w:highlight w:val="none"/>
        </w:rPr>
        <w:t>第二章  项目需求</w:t>
      </w:r>
      <w:bookmarkEnd w:id="46"/>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numPr>
          <w:ilvl w:val="0"/>
          <w:numId w:val="2"/>
        </w:numPr>
        <w:spacing w:line="460" w:lineRule="exact"/>
        <w:rPr>
          <w:rFonts w:hint="eastAsia" w:ascii="宋体" w:hAnsi="宋体"/>
          <w:color w:val="auto"/>
          <w:szCs w:val="21"/>
          <w:highlight w:val="none"/>
          <w:lang w:eastAsia="zh-CN"/>
        </w:rPr>
      </w:pPr>
      <w:bookmarkStart w:id="47" w:name="_Hlk89960406"/>
      <w:bookmarkStart w:id="48" w:name="_Toc358477280"/>
      <w:bookmarkStart w:id="49" w:name="_Toc354479498"/>
      <w:r>
        <w:rPr>
          <w:rFonts w:hint="eastAsia" w:ascii="宋体" w:hAnsi="宋体"/>
          <w:color w:val="auto"/>
          <w:szCs w:val="21"/>
          <w:highlight w:val="none"/>
        </w:rPr>
        <w:t>采购预算：</w:t>
      </w:r>
      <w:r>
        <w:rPr>
          <w:rFonts w:hint="eastAsia" w:ascii="宋体" w:hAnsi="宋体"/>
          <w:color w:val="auto"/>
          <w:szCs w:val="21"/>
          <w:highlight w:val="none"/>
          <w:lang w:val="en-US" w:eastAsia="zh-CN"/>
        </w:rPr>
        <w:t>伍拾万元整</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color w:val="auto"/>
          <w:highlight w:val="none"/>
          <w:lang w:eastAsia="zh-CN"/>
        </w:rPr>
        <w:t>500，000.00</w:t>
      </w:r>
      <w:r>
        <w:rPr>
          <w:rFonts w:hint="eastAsia" w:ascii="Times New Roman" w:hAnsi="Times New Roman" w:eastAsia="仿宋_GB2312" w:cs="Times New Roman"/>
          <w:color w:val="auto"/>
          <w:sz w:val="32"/>
          <w:szCs w:val="32"/>
          <w:highlight w:val="none"/>
          <w:lang w:val="en-US" w:eastAsia="zh-CN"/>
        </w:rPr>
        <w:t>）</w:t>
      </w:r>
    </w:p>
    <w:p>
      <w:pPr>
        <w:spacing w:line="460" w:lineRule="exact"/>
        <w:rPr>
          <w:rFonts w:ascii="宋体" w:hAnsi="宋体"/>
          <w:color w:val="auto"/>
          <w:szCs w:val="21"/>
          <w:highlight w:val="none"/>
        </w:rPr>
      </w:pPr>
      <w:r>
        <w:rPr>
          <w:rFonts w:hint="eastAsia" w:ascii="宋体" w:hAnsi="宋体"/>
          <w:color w:val="auto"/>
          <w:szCs w:val="21"/>
          <w:highlight w:val="none"/>
        </w:rPr>
        <w:t>二、本项目对应的中小企业划分标准所属行业为：</w:t>
      </w:r>
      <w:r>
        <w:rPr>
          <w:rFonts w:hint="eastAsia" w:ascii="宋体" w:hAnsi="宋体"/>
          <w:color w:val="auto"/>
          <w:szCs w:val="21"/>
          <w:highlight w:val="none"/>
          <w:u w:val="single"/>
        </w:rPr>
        <w:t>软件和信息技术服务业</w:t>
      </w:r>
    </w:p>
    <w:p>
      <w:pPr>
        <w:spacing w:line="460" w:lineRule="exact"/>
        <w:rPr>
          <w:rFonts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ind w:left="420" w:hanging="420" w:hangingChars="200"/>
        <w:rPr>
          <w:rFonts w:hint="eastAsia" w:ascii="宋体" w:hAnsi="宋体"/>
          <w:color w:val="auto"/>
          <w:szCs w:val="21"/>
          <w:highlight w:val="none"/>
        </w:rPr>
      </w:pPr>
      <w:r>
        <w:rPr>
          <w:rFonts w:hint="eastAsia" w:ascii="宋体" w:hAnsi="宋体"/>
          <w:color w:val="auto"/>
          <w:szCs w:val="21"/>
          <w:highlight w:val="none"/>
        </w:rPr>
        <w:t>四、</w:t>
      </w:r>
      <w:bookmarkEnd w:id="47"/>
      <w:r>
        <w:rPr>
          <w:rFonts w:hint="eastAsia" w:ascii="宋体" w:hAnsi="宋体"/>
          <w:color w:val="auto"/>
          <w:szCs w:val="21"/>
          <w:highlight w:val="none"/>
        </w:rPr>
        <w:t>采购需求中如标注“★”号或“必须”的条款为实质性条款，竞标人必须满足或优于，否则竞标无效。</w:t>
      </w:r>
    </w:p>
    <w:p>
      <w:pPr>
        <w:widowControl/>
        <w:spacing w:line="460" w:lineRule="exact"/>
        <w:jc w:val="left"/>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 xml:space="preserve">    </w:t>
      </w:r>
      <w:r>
        <w:rPr>
          <w:rFonts w:hint="eastAsia" w:ascii="宋体" w:hAnsi="宋体"/>
          <w:b w:val="0"/>
          <w:bCs/>
          <w:color w:val="auto"/>
          <w:szCs w:val="21"/>
          <w:highlight w:val="none"/>
          <w:lang w:val="en-US" w:eastAsia="zh-CN"/>
        </w:rPr>
        <w:t>标注▲号的系与项目实际紧密相关的条款，作为评审依据。</w:t>
      </w:r>
    </w:p>
    <w:p>
      <w:pPr>
        <w:ind w:firstLine="482"/>
        <w:rPr>
          <w:rFonts w:hint="eastAsia" w:eastAsia="宋体"/>
          <w:b/>
          <w:color w:val="auto"/>
          <w:sz w:val="24"/>
          <w:highlight w:val="none"/>
          <w:lang w:eastAsia="zh-CN"/>
        </w:rPr>
      </w:pPr>
      <w:r>
        <w:rPr>
          <w:color w:val="auto"/>
          <w:highlight w:val="none"/>
        </w:rPr>
        <w:br w:type="page"/>
      </w:r>
    </w:p>
    <w:p>
      <w:pPr>
        <w:spacing w:line="360" w:lineRule="exact"/>
        <w:ind w:firstLine="420"/>
        <w:rPr>
          <w:rFonts w:hint="default"/>
          <w:color w:val="auto"/>
          <w:highlight w:val="none"/>
          <w:lang w:val="en-US" w:eastAsia="zh-CN"/>
        </w:rPr>
      </w:pPr>
    </w:p>
    <w:tbl>
      <w:tblPr>
        <w:tblStyle w:val="38"/>
        <w:tblW w:w="10138" w:type="dxa"/>
        <w:jc w:val="center"/>
        <w:tblLayout w:type="fixed"/>
        <w:tblCellMar>
          <w:top w:w="0" w:type="dxa"/>
          <w:left w:w="108" w:type="dxa"/>
          <w:bottom w:w="0" w:type="dxa"/>
          <w:right w:w="108" w:type="dxa"/>
        </w:tblCellMar>
      </w:tblPr>
      <w:tblGrid>
        <w:gridCol w:w="431"/>
        <w:gridCol w:w="577"/>
        <w:gridCol w:w="733"/>
        <w:gridCol w:w="617"/>
        <w:gridCol w:w="450"/>
        <w:gridCol w:w="514"/>
        <w:gridCol w:w="6235"/>
        <w:gridCol w:w="581"/>
      </w:tblGrid>
      <w:tr>
        <w:tblPrEx>
          <w:tblCellMar>
            <w:top w:w="0" w:type="dxa"/>
            <w:left w:w="108" w:type="dxa"/>
            <w:bottom w:w="0" w:type="dxa"/>
            <w:right w:w="108" w:type="dxa"/>
          </w:tblCellMar>
        </w:tblPrEx>
        <w:trPr>
          <w:trHeight w:val="285"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服务名称</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服务技术参数及功能要求</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tblPrEx>
          <w:tblCellMar>
            <w:top w:w="0" w:type="dxa"/>
            <w:left w:w="108" w:type="dxa"/>
            <w:bottom w:w="0" w:type="dxa"/>
            <w:right w:w="108" w:type="dxa"/>
          </w:tblCellMar>
        </w:tblPrEx>
        <w:trPr>
          <w:trHeight w:val="1572"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pStyle w:val="37"/>
              <w:spacing w:after="0"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highlight w:val="none"/>
              </w:rPr>
              <w:t>数据知识产权保护研究报告</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项</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pStyle w:val="37"/>
              <w:numPr>
                <w:ilvl w:val="0"/>
                <w:numId w:val="3"/>
              </w:numPr>
              <w:spacing w:after="0" w:line="360" w:lineRule="auto"/>
              <w:ind w:left="0" w:leftChars="0"/>
              <w:rPr>
                <w:highlight w:val="none"/>
              </w:rPr>
            </w:pPr>
            <w:r>
              <w:rPr>
                <w:rFonts w:hint="eastAsia"/>
                <w:highlight w:val="none"/>
              </w:rPr>
              <w:t>服务内容</w:t>
            </w:r>
          </w:p>
          <w:p>
            <w:pPr>
              <w:pStyle w:val="37"/>
              <w:spacing w:after="0" w:line="360" w:lineRule="auto"/>
              <w:ind w:left="0" w:leftChars="0"/>
              <w:rPr>
                <w:highlight w:val="none"/>
              </w:rPr>
            </w:pPr>
            <w:r>
              <w:rPr>
                <w:rFonts w:hint="eastAsia"/>
                <w:highlight w:val="none"/>
              </w:rPr>
              <w:t>产出数据知识产权研究报告。研究国内数据知识产权保护政策与实践、中国—东盟跨境数据协同机制、人工智能产业数据支撑体系，形成数据知识产权保护相关研究报告。</w:t>
            </w:r>
          </w:p>
          <w:p>
            <w:pPr>
              <w:pStyle w:val="37"/>
              <w:numPr>
                <w:ilvl w:val="0"/>
                <w:numId w:val="3"/>
              </w:numPr>
              <w:spacing w:after="0" w:line="360" w:lineRule="auto"/>
              <w:ind w:left="0" w:leftChars="0"/>
              <w:rPr>
                <w:highlight w:val="none"/>
              </w:rPr>
            </w:pPr>
            <w:r>
              <w:rPr>
                <w:rFonts w:hint="eastAsia"/>
                <w:highlight w:val="none"/>
              </w:rPr>
              <w:t>工作要求</w:t>
            </w:r>
          </w:p>
          <w:p>
            <w:pPr>
              <w:pStyle w:val="37"/>
              <w:spacing w:after="0" w:line="360" w:lineRule="auto"/>
              <w:ind w:left="0" w:leftChars="0"/>
              <w:rPr>
                <w:rFonts w:hint="eastAsia" w:ascii="宋体" w:hAnsi="宋体" w:cs="宋体"/>
                <w:szCs w:val="21"/>
                <w:highlight w:val="none"/>
              </w:rPr>
            </w:pPr>
            <w:r>
              <w:rPr>
                <w:rFonts w:hint="eastAsia" w:ascii="宋体" w:hAnsi="宋体" w:cs="宋体"/>
                <w:highlight w:val="none"/>
              </w:rPr>
              <w:t>协助采购人完成</w:t>
            </w:r>
            <w:r>
              <w:rPr>
                <w:rFonts w:hint="eastAsia" w:ascii="宋体" w:hAnsi="宋体" w:cs="宋体"/>
                <w:szCs w:val="21"/>
                <w:highlight w:val="none"/>
              </w:rPr>
              <w:t>调研、起草 、征求意见、评审等工作，形成研究报告。</w:t>
            </w:r>
          </w:p>
          <w:p>
            <w:pPr>
              <w:pStyle w:val="37"/>
              <w:spacing w:after="0" w:line="360" w:lineRule="auto"/>
              <w:ind w:left="0" w:leftChars="0"/>
              <w:rPr>
                <w:rFonts w:hint="eastAsia" w:ascii="宋体" w:hAnsi="宋体" w:cs="宋体"/>
                <w:szCs w:val="21"/>
                <w:highlight w:val="none"/>
              </w:rPr>
            </w:pPr>
            <w:r>
              <w:rPr>
                <w:rFonts w:hint="eastAsia" w:ascii="宋体" w:hAnsi="宋体" w:cs="宋体"/>
                <w:szCs w:val="21"/>
                <w:highlight w:val="none"/>
              </w:rPr>
              <w:t>三、最终成果要求</w:t>
            </w:r>
          </w:p>
          <w:p>
            <w:pPr>
              <w:pStyle w:val="37"/>
              <w:spacing w:after="0" w:line="360" w:lineRule="auto"/>
              <w:ind w:left="0" w:leftChars="0" w:firstLine="420" w:firstLineChars="200"/>
              <w:rPr>
                <w:rFonts w:hint="eastAsia" w:ascii="宋体" w:hAnsi="宋体" w:eastAsia="宋体" w:cs="宋体"/>
                <w:color w:val="auto"/>
                <w:kern w:val="0"/>
                <w:sz w:val="21"/>
                <w:szCs w:val="21"/>
                <w:highlight w:val="none"/>
                <w:lang w:bidi="ar"/>
              </w:rPr>
            </w:pPr>
            <w:r>
              <w:rPr>
                <w:rFonts w:hint="eastAsia" w:ascii="宋体" w:hAnsi="宋体" w:cs="宋体"/>
                <w:szCs w:val="21"/>
                <w:highlight w:val="none"/>
              </w:rPr>
              <w:t>数据知识产权保护研究报告：须系统梳理国内外数据知识产权保护建设现状，结合广西的重点产业特点和中国—东盟数字经济发展需求，深入分析广西在面向东盟发展数据产业时面临的知识产权核心问题与提出对策建议。</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pStyle w:val="37"/>
              <w:spacing w:after="0" w:line="240" w:lineRule="auto"/>
              <w:ind w:left="0" w:lef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highlight w:val="none"/>
              </w:rPr>
              <w:t>数据知识产权登记指南</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pStyle w:val="37"/>
              <w:numPr>
                <w:ilvl w:val="0"/>
                <w:numId w:val="4"/>
              </w:numPr>
              <w:spacing w:after="0" w:line="360" w:lineRule="auto"/>
              <w:ind w:left="0" w:leftChars="0"/>
              <w:jc w:val="left"/>
              <w:rPr>
                <w:rFonts w:hint="eastAsia" w:ascii="宋体" w:hAnsi="宋体" w:cs="宋体"/>
                <w:szCs w:val="21"/>
                <w:highlight w:val="none"/>
              </w:rPr>
            </w:pPr>
            <w:r>
              <w:rPr>
                <w:rFonts w:hint="eastAsia" w:ascii="宋体" w:hAnsi="宋体" w:cs="宋体"/>
                <w:szCs w:val="21"/>
                <w:highlight w:val="none"/>
              </w:rPr>
              <w:t>服务内容</w:t>
            </w:r>
          </w:p>
          <w:p>
            <w:pPr>
              <w:pStyle w:val="37"/>
              <w:spacing w:after="0" w:line="360" w:lineRule="auto"/>
              <w:ind w:left="0" w:leftChars="0"/>
              <w:jc w:val="left"/>
              <w:rPr>
                <w:rFonts w:hint="eastAsia" w:ascii="宋体" w:hAnsi="宋体" w:cs="宋体"/>
                <w:szCs w:val="21"/>
                <w:highlight w:val="none"/>
              </w:rPr>
            </w:pPr>
            <w:r>
              <w:rPr>
                <w:rFonts w:hint="eastAsia"/>
                <w:highlight w:val="none"/>
              </w:rPr>
              <w:t>设计符合广西实际的数据知识产权登记制度。研究数据知识产权的登记、管理和运用流程，明确登记申请、审查、公示、发证等环节的具体要求，规范数据知识产权登记流程和标准，制定数据知识产权登记相关指南文件。</w:t>
            </w:r>
          </w:p>
          <w:p>
            <w:pPr>
              <w:pStyle w:val="37"/>
              <w:numPr>
                <w:ilvl w:val="0"/>
                <w:numId w:val="4"/>
              </w:numPr>
              <w:spacing w:after="0" w:line="360" w:lineRule="auto"/>
              <w:ind w:left="0" w:leftChars="0"/>
              <w:rPr>
                <w:rFonts w:hint="eastAsia" w:ascii="宋体" w:hAnsi="宋体" w:cs="宋体"/>
                <w:szCs w:val="21"/>
                <w:highlight w:val="none"/>
              </w:rPr>
            </w:pPr>
            <w:r>
              <w:rPr>
                <w:rFonts w:ascii="宋体" w:hAnsi="宋体" w:cs="宋体"/>
                <w:szCs w:val="21"/>
                <w:highlight w:val="none"/>
              </w:rPr>
              <w:t>工作要求</w:t>
            </w:r>
          </w:p>
          <w:p>
            <w:pPr>
              <w:pStyle w:val="37"/>
              <w:spacing w:after="0" w:line="360" w:lineRule="auto"/>
              <w:ind w:left="0" w:leftChars="0"/>
              <w:rPr>
                <w:rFonts w:hint="eastAsia" w:ascii="宋体" w:hAnsi="宋体" w:cs="宋体"/>
                <w:szCs w:val="21"/>
                <w:highlight w:val="none"/>
              </w:rPr>
            </w:pPr>
            <w:r>
              <w:rPr>
                <w:rFonts w:ascii="宋体" w:hAnsi="宋体" w:cs="宋体"/>
                <w:szCs w:val="21"/>
                <w:highlight w:val="none"/>
              </w:rPr>
              <w:t>协助采购人完成调研、起草、征求意见、评审等工作，形成</w:t>
            </w:r>
            <w:r>
              <w:rPr>
                <w:rFonts w:hint="eastAsia" w:ascii="宋体" w:hAnsi="宋体" w:cs="宋体"/>
                <w:szCs w:val="21"/>
                <w:highlight w:val="none"/>
              </w:rPr>
              <w:t>数据知识产权登记相关指南文件</w:t>
            </w:r>
            <w:r>
              <w:rPr>
                <w:rFonts w:ascii="宋体" w:hAnsi="宋体" w:cs="宋体"/>
                <w:szCs w:val="21"/>
                <w:highlight w:val="none"/>
              </w:rPr>
              <w:t>。</w:t>
            </w:r>
          </w:p>
          <w:p>
            <w:pPr>
              <w:pStyle w:val="37"/>
              <w:spacing w:after="0" w:line="360" w:lineRule="auto"/>
              <w:ind w:left="0" w:leftChars="0"/>
              <w:rPr>
                <w:rFonts w:hint="eastAsia" w:ascii="宋体" w:hAnsi="宋体" w:cs="宋体"/>
                <w:szCs w:val="21"/>
                <w:highlight w:val="none"/>
              </w:rPr>
            </w:pPr>
            <w:r>
              <w:rPr>
                <w:rFonts w:hint="eastAsia" w:ascii="宋体" w:hAnsi="宋体" w:cs="宋体"/>
                <w:szCs w:val="21"/>
                <w:highlight w:val="none"/>
              </w:rPr>
              <w:t>三、成果要求</w:t>
            </w:r>
          </w:p>
          <w:p>
            <w:pPr>
              <w:pStyle w:val="37"/>
              <w:spacing w:after="0" w:line="360" w:lineRule="auto"/>
              <w:ind w:left="0" w:leftChars="0"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szCs w:val="21"/>
                <w:highlight w:val="none"/>
              </w:rPr>
              <w:t>数据知识产权登记相关指南文件：须以区内外跨境企业、科研机构等用户为主要对象，规定从数据准备、申请提交、材料审核到最终获得登记证书的全过程。明确界定可登记数据的范围、类型，并规定登记所需满足的核心条件。</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pStyle w:val="37"/>
              <w:spacing w:after="0" w:line="240" w:lineRule="auto"/>
              <w:ind w:left="0" w:lef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highlight w:val="none"/>
              </w:rPr>
              <w:t>数据</w:t>
            </w:r>
            <w:r>
              <w:rPr>
                <w:rFonts w:hint="eastAsia"/>
                <w:highlight w:val="none"/>
                <w:lang w:val="en-US" w:eastAsia="zh-CN"/>
              </w:rPr>
              <w:t>知识产权保护服务</w:t>
            </w:r>
            <w:r>
              <w:rPr>
                <w:rFonts w:hint="eastAsia"/>
                <w:highlight w:val="none"/>
              </w:rPr>
              <w:t>体系</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pStyle w:val="37"/>
              <w:numPr>
                <w:ilvl w:val="0"/>
                <w:numId w:val="5"/>
              </w:numPr>
              <w:spacing w:after="0" w:line="360" w:lineRule="auto"/>
              <w:ind w:left="0" w:leftChars="0"/>
              <w:rPr>
                <w:rFonts w:hint="eastAsia" w:ascii="宋体" w:hAnsi="宋体" w:cs="宋体"/>
                <w:szCs w:val="21"/>
                <w:highlight w:val="none"/>
              </w:rPr>
            </w:pPr>
            <w:r>
              <w:rPr>
                <w:rFonts w:hint="eastAsia" w:ascii="宋体" w:hAnsi="宋体" w:cs="宋体"/>
                <w:szCs w:val="21"/>
                <w:highlight w:val="none"/>
              </w:rPr>
              <w:t>服务内容</w:t>
            </w:r>
          </w:p>
          <w:p>
            <w:pPr>
              <w:pStyle w:val="37"/>
              <w:spacing w:after="0" w:line="360" w:lineRule="auto"/>
              <w:ind w:left="0" w:leftChars="0"/>
              <w:rPr>
                <w:highlight w:val="none"/>
              </w:rPr>
            </w:pPr>
            <w:r>
              <w:rPr>
                <w:rFonts w:hint="eastAsia"/>
                <w:highlight w:val="none"/>
              </w:rPr>
              <w:t>开展衔接东盟规则、支撑人工智能产业发展的数据知识产权保护与运用机制研究，制定数据知识产权管理建议书和提供数据知识产权登记、存证、公证服务或技术；补充完善数据知识产权管理体系文件，制定衔接东盟规则的数据知识产权登记审查规范与运用指引；探索人工智能产业相关数据知识产权专业服务生态培育以及面向许可交易、增信融资等运用场景的拓展能力；推进司法、仲裁、调解多元保护体系建设，提供跨境数据知识产权权益保护对接服务。</w:t>
            </w:r>
          </w:p>
          <w:p>
            <w:pPr>
              <w:pStyle w:val="37"/>
              <w:numPr>
                <w:ilvl w:val="0"/>
                <w:numId w:val="5"/>
              </w:numPr>
              <w:spacing w:after="0" w:line="360" w:lineRule="auto"/>
              <w:ind w:left="0" w:leftChars="0"/>
              <w:rPr>
                <w:highlight w:val="none"/>
              </w:rPr>
            </w:pPr>
            <w:r>
              <w:rPr>
                <w:rFonts w:hint="eastAsia"/>
                <w:highlight w:val="none"/>
              </w:rPr>
              <w:t>工作要求</w:t>
            </w:r>
          </w:p>
          <w:p>
            <w:pPr>
              <w:pStyle w:val="37"/>
              <w:spacing w:after="0" w:line="360" w:lineRule="auto"/>
              <w:ind w:left="0" w:leftChars="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协助采购人完成调研、起草文件、征求意见、评审等工作，调研须覆盖广西人工智能企业、东盟跨境经营主体需求，形成贴合中国（广西）—东盟区域产业与跨境数据知识产权保护合作的建议书。</w:t>
            </w:r>
          </w:p>
          <w:p>
            <w:pPr>
              <w:pStyle w:val="37"/>
              <w:spacing w:after="0" w:line="360" w:lineRule="auto"/>
              <w:ind w:left="0" w:leftChars="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协助制修订数据知识产权登记审查工作规范，开展政策解读、典型案例（含东盟跨境合作、人工智能产业相关）宣传，推动企业数据知识产权登记。</w:t>
            </w:r>
          </w:p>
          <w:p>
            <w:pPr>
              <w:pStyle w:val="37"/>
              <w:spacing w:after="0" w:line="360" w:lineRule="auto"/>
              <w:ind w:left="0" w:leftChars="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.配合推进司法、仲裁、调解等多元保护体系建设，为数据知识产权挖掘登记、转化运用、权益保护等方面提供协调支持。</w:t>
            </w:r>
          </w:p>
          <w:p>
            <w:pPr>
              <w:pStyle w:val="37"/>
              <w:spacing w:after="0" w:line="360" w:lineRule="auto"/>
              <w:ind w:left="0" w:leftChars="0"/>
              <w:rPr>
                <w:highlight w:val="none"/>
              </w:rPr>
            </w:pPr>
            <w:r>
              <w:rPr>
                <w:rFonts w:hint="eastAsia"/>
                <w:highlight w:val="none"/>
              </w:rPr>
              <w:t>三、成果要求</w:t>
            </w:r>
          </w:p>
          <w:p>
            <w:pPr>
              <w:pStyle w:val="37"/>
              <w:spacing w:after="0" w:line="360" w:lineRule="auto"/>
              <w:ind w:left="0" w:leftChars="0"/>
              <w:rPr>
                <w:rFonts w:hint="eastAsia" w:ascii="宋体" w:hAnsi="宋体" w:cs="宋体"/>
                <w:szCs w:val="21"/>
                <w:highlight w:val="none"/>
              </w:rPr>
            </w:pPr>
            <w:r>
              <w:rPr>
                <w:rFonts w:hint="eastAsia" w:ascii="宋体" w:hAnsi="宋体" w:cs="宋体"/>
                <w:szCs w:val="21"/>
                <w:highlight w:val="none"/>
              </w:rPr>
              <w:t>1.数据知识产权登记、存证、公证服务：须建立1套标准化的服务流程和管理体系，包括咨询、申请受理、审查以及结果反馈，包含司法、仲裁、调解联动流程及跨境权益保护协调路径。</w:t>
            </w:r>
          </w:p>
          <w:p>
            <w:pPr>
              <w:pStyle w:val="37"/>
              <w:spacing w:after="0" w:line="360" w:lineRule="auto"/>
              <w:ind w:left="0" w:leftChars="0"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szCs w:val="21"/>
                <w:highlight w:val="none"/>
              </w:rPr>
              <w:t>2.试点应用：供应商须至少在</w:t>
            </w:r>
            <w:r>
              <w:rPr>
                <w:rFonts w:hint="eastAsia" w:ascii="宋体" w:hAnsi="宋体" w:cs="宋体"/>
                <w:szCs w:val="21"/>
                <w:highlight w:val="none"/>
                <w:lang w:val="en-US" w:eastAsia="zh-CN"/>
              </w:rPr>
              <w:t>钦州市</w:t>
            </w:r>
            <w:r>
              <w:rPr>
                <w:rFonts w:hint="eastAsia" w:ascii="宋体" w:hAnsi="宋体" w:cs="宋体"/>
                <w:szCs w:val="21"/>
                <w:highlight w:val="none"/>
              </w:rPr>
              <w:t>内1个产业园区部署试点提供数据知识产权登记和存证服务、数据知识产权公证运营服务，提供不少于3次数据知识产权登记流程培训指导服务。</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512" w:hRule="atLeast"/>
          <w:jc w:val="center"/>
        </w:trPr>
        <w:tc>
          <w:tcPr>
            <w:tcW w:w="10138"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商务条款</w:t>
            </w:r>
          </w:p>
        </w:tc>
      </w:tr>
      <w:tr>
        <w:tblPrEx>
          <w:tblCellMar>
            <w:top w:w="0" w:type="dxa"/>
            <w:left w:w="108" w:type="dxa"/>
            <w:bottom w:w="0" w:type="dxa"/>
            <w:right w:w="108" w:type="dxa"/>
          </w:tblCellMar>
        </w:tblPrEx>
        <w:trPr>
          <w:trHeight w:val="562"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项号</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商务内容</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商务需求</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投标报价要求</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w:t>
            </w:r>
            <w:r>
              <w:rPr>
                <w:rFonts w:hint="eastAsia"/>
                <w:highlight w:val="none"/>
              </w:rPr>
              <w:t>响应报价</w:t>
            </w:r>
            <w:r>
              <w:rPr>
                <w:rFonts w:hint="eastAsia" w:ascii="宋体" w:hAnsi="宋体" w:eastAsia="宋体" w:cs="宋体"/>
                <w:color w:val="auto"/>
                <w:kern w:val="0"/>
                <w:sz w:val="21"/>
                <w:szCs w:val="21"/>
                <w:highlight w:val="none"/>
              </w:rPr>
              <w:t>为采购人提供的所有服务的报价，报价含括：</w:t>
            </w:r>
          </w:p>
          <w:p>
            <w:pPr>
              <w:pStyle w:val="37"/>
              <w:spacing w:after="0" w:line="360" w:lineRule="auto"/>
              <w:ind w:left="0" w:leftChars="0" w:firstLine="0" w:firstLineChars="0"/>
              <w:rPr>
                <w:highlight w:val="none"/>
              </w:rPr>
            </w:pPr>
            <w:r>
              <w:rPr>
                <w:rFonts w:hint="eastAsia"/>
                <w:highlight w:val="none"/>
              </w:rPr>
              <w:t>（1）</w:t>
            </w:r>
            <w:bookmarkStart w:id="50" w:name="OLE_LINK3"/>
            <w:r>
              <w:rPr>
                <w:rFonts w:hint="eastAsia"/>
                <w:highlight w:val="none"/>
              </w:rPr>
              <w:t>响应报价</w:t>
            </w:r>
            <w:bookmarkEnd w:id="50"/>
            <w:r>
              <w:rPr>
                <w:rFonts w:hint="eastAsia"/>
                <w:highlight w:val="none"/>
              </w:rPr>
              <w:t>形式：固定总价报价</w:t>
            </w:r>
          </w:p>
          <w:p>
            <w:pPr>
              <w:pStyle w:val="37"/>
              <w:spacing w:after="0" w:line="360" w:lineRule="auto"/>
              <w:ind w:left="0" w:leftChars="0" w:firstLine="0" w:firstLineChars="0"/>
              <w:rPr>
                <w:highlight w:val="none"/>
              </w:rPr>
            </w:pPr>
            <w:r>
              <w:rPr>
                <w:rFonts w:hint="eastAsia"/>
                <w:highlight w:val="none"/>
              </w:rPr>
              <w:t>（2）响应报价有效报价范围：不得超过采购预算价</w:t>
            </w:r>
            <w:r>
              <w:rPr>
                <w:rFonts w:hint="eastAsia"/>
                <w:highlight w:val="none"/>
                <w:lang w:eastAsia="zh-CN"/>
              </w:rPr>
              <w:t>，</w:t>
            </w:r>
            <w:r>
              <w:rPr>
                <w:rFonts w:hint="eastAsia"/>
                <w:highlight w:val="none"/>
              </w:rPr>
              <w:t>否则作无效响应处理。</w:t>
            </w:r>
          </w:p>
          <w:p>
            <w:pPr>
              <w:pStyle w:val="37"/>
              <w:spacing w:after="0" w:line="360" w:lineRule="auto"/>
              <w:ind w:left="0" w:leftChars="0" w:firstLine="0" w:firstLineChars="0"/>
              <w:rPr>
                <w:rFonts w:hint="eastAsia" w:ascii="宋体" w:hAnsi="宋体" w:eastAsia="宋体" w:cs="宋体"/>
                <w:color w:val="auto"/>
                <w:kern w:val="0"/>
                <w:sz w:val="21"/>
                <w:szCs w:val="21"/>
                <w:highlight w:val="none"/>
              </w:rPr>
            </w:pPr>
            <w:r>
              <w:rPr>
                <w:rFonts w:hint="eastAsia"/>
                <w:highlight w:val="none"/>
              </w:rPr>
              <w:t>（3）响应报价必须包含：全部所需的服务费、调研、编制、征求意见、人工费、评审费、专家费、报告及资料打印费、培训、发布、各有关会议费、交通费、通讯费、保险费、税金等业务相关的一切费用。</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kern w:val="0"/>
                <w:sz w:val="21"/>
                <w:szCs w:val="21"/>
                <w:highlight w:val="none"/>
              </w:rPr>
              <w:t>交付使用时间及交付地点</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1.自中标通知书发出之日起</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日内签订合同。</w:t>
            </w:r>
          </w:p>
          <w:p>
            <w:pPr>
              <w:numPr>
                <w:ilvl w:val="0"/>
                <w:numId w:val="0"/>
              </w:numPr>
              <w:spacing w:line="360"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2.交付使用时间：</w:t>
            </w:r>
            <w:r>
              <w:rPr>
                <w:rFonts w:hint="eastAsia"/>
                <w:highlight w:val="none"/>
                <w:lang w:val="en-US" w:eastAsia="zh-CN"/>
              </w:rPr>
              <w:t>合同签订起一年内。</w:t>
            </w:r>
          </w:p>
          <w:p>
            <w:pPr>
              <w:snapToGrid w:val="0"/>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交付地点：</w:t>
            </w:r>
            <w:r>
              <w:rPr>
                <w:rFonts w:hint="eastAsia" w:ascii="宋体" w:hAnsi="宋体" w:eastAsia="宋体" w:cs="宋体"/>
                <w:color w:val="auto"/>
                <w:kern w:val="0"/>
                <w:sz w:val="21"/>
                <w:szCs w:val="21"/>
                <w:highlight w:val="none"/>
                <w:lang w:val="en-US" w:eastAsia="zh-CN"/>
              </w:rPr>
              <w:t>广西钦州市</w:t>
            </w:r>
            <w:r>
              <w:rPr>
                <w:rFonts w:hint="eastAsia" w:ascii="宋体" w:hAnsi="宋体" w:cs="宋体"/>
                <w:color w:val="auto"/>
                <w:kern w:val="0"/>
                <w:sz w:val="21"/>
                <w:szCs w:val="21"/>
                <w:highlight w:val="none"/>
                <w:lang w:val="en-US" w:eastAsia="zh-CN"/>
              </w:rPr>
              <w:t>市场监管局</w:t>
            </w:r>
            <w:r>
              <w:rPr>
                <w:rFonts w:hint="eastAsia" w:ascii="宋体" w:hAnsi="宋体" w:eastAsia="宋体" w:cs="宋体"/>
                <w:color w:val="auto"/>
                <w:kern w:val="0"/>
                <w:sz w:val="21"/>
                <w:szCs w:val="21"/>
                <w:highlight w:val="none"/>
              </w:rPr>
              <w:t>。</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pacing w:val="-6"/>
                <w:kern w:val="0"/>
                <w:sz w:val="21"/>
                <w:szCs w:val="21"/>
                <w:highlight w:val="none"/>
                <w:lang w:eastAsia="zh-CN"/>
              </w:rPr>
            </w:pPr>
            <w:r>
              <w:rPr>
                <w:rFonts w:hint="eastAsia" w:ascii="宋体" w:hAnsi="宋体" w:cs="宋体"/>
                <w:color w:val="auto"/>
                <w:spacing w:val="-6"/>
                <w:kern w:val="0"/>
                <w:sz w:val="21"/>
                <w:szCs w:val="21"/>
                <w:highlight w:val="none"/>
                <w:lang w:val="en-US" w:eastAsia="zh-CN"/>
              </w:rPr>
              <w:t>3</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付款条件</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1）完成合同签订，采购人收到供应商开具的足额有效发票后10个工作日内，支付合同总额的50%。供应商按合同约定完成全部服务工作，经采购人最终验收后，采购人收到供应商开具的足额有效发票后10个工作日内，</w:t>
            </w:r>
            <w:r>
              <w:rPr>
                <w:rFonts w:hint="eastAsia"/>
                <w:lang w:val="en-US" w:eastAsia="zh-CN"/>
              </w:rPr>
              <w:t>一次性支付完合同总额的剩余50%</w:t>
            </w:r>
            <w:r>
              <w:rPr>
                <w:rFonts w:hint="default" w:ascii="宋体" w:hAnsi="宋体" w:eastAsia="宋体" w:cs="宋体"/>
                <w:color w:val="auto"/>
                <w:kern w:val="0"/>
                <w:sz w:val="21"/>
                <w:szCs w:val="21"/>
                <w:highlight w:val="none"/>
                <w:lang w:val="en-US" w:eastAsia="zh-CN"/>
              </w:rPr>
              <w:t>。</w:t>
            </w:r>
          </w:p>
        </w:tc>
      </w:tr>
      <w:tr>
        <w:tblPrEx>
          <w:tblCellMar>
            <w:top w:w="0" w:type="dxa"/>
            <w:left w:w="108" w:type="dxa"/>
            <w:bottom w:w="0" w:type="dxa"/>
            <w:right w:w="108" w:type="dxa"/>
          </w:tblCellMar>
        </w:tblPrEx>
        <w:trPr>
          <w:trHeight w:val="782"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z w:val="21"/>
                <w:szCs w:val="21"/>
                <w:highlight w:val="none"/>
              </w:rPr>
            </w:pPr>
            <w:r>
              <w:rPr>
                <w:rFonts w:hint="eastAsia"/>
                <w:highlight w:val="none"/>
              </w:rPr>
              <w:t>售后服务及响应时间要求</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pStyle w:val="37"/>
              <w:spacing w:after="0" w:line="360" w:lineRule="auto"/>
              <w:ind w:left="0" w:leftChars="0" w:firstLine="0" w:firstLineChars="0"/>
              <w:rPr>
                <w:highlight w:val="none"/>
              </w:rPr>
            </w:pPr>
            <w:r>
              <w:rPr>
                <w:rFonts w:hint="eastAsia"/>
                <w:highlight w:val="none"/>
              </w:rPr>
              <w:t>1.质量保证期：满足国家、行业有关要求（自提交服务成果并验收合格之日起计）。</w:t>
            </w:r>
          </w:p>
          <w:p>
            <w:pPr>
              <w:pStyle w:val="37"/>
              <w:spacing w:after="0" w:line="360" w:lineRule="auto"/>
              <w:ind w:left="0" w:leftChars="0" w:firstLine="0" w:firstLineChars="0"/>
              <w:rPr>
                <w:rFonts w:hint="default"/>
                <w:color w:val="auto"/>
                <w:highlight w:val="none"/>
                <w:lang w:val="en-US" w:eastAsia="zh-CN"/>
              </w:rPr>
            </w:pPr>
            <w:r>
              <w:rPr>
                <w:rFonts w:hint="eastAsia"/>
                <w:highlight w:val="none"/>
              </w:rPr>
              <w:t>2.处理问题响应时间：电话响应时间要求为7×8小时，中标供应商在接到采购人处理问题通知后8小时内响应，3小时内到达现场。</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验收标准</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pStyle w:val="37"/>
              <w:spacing w:after="0" w:line="360" w:lineRule="auto"/>
              <w:ind w:left="0" w:leftChars="0" w:firstLine="0" w:firstLineChars="0"/>
              <w:rPr>
                <w:sz w:val="21"/>
                <w:szCs w:val="21"/>
                <w:highlight w:val="none"/>
              </w:rPr>
            </w:pPr>
            <w:r>
              <w:rPr>
                <w:rFonts w:hint="eastAsia"/>
                <w:sz w:val="21"/>
                <w:szCs w:val="21"/>
                <w:highlight w:val="none"/>
              </w:rPr>
              <w:t>1.提供数据知识产权研究报告1份。</w:t>
            </w:r>
          </w:p>
          <w:p>
            <w:pPr>
              <w:pStyle w:val="37"/>
              <w:spacing w:after="0" w:line="360" w:lineRule="auto"/>
              <w:ind w:left="0" w:leftChars="0" w:firstLine="0" w:firstLineChars="0"/>
              <w:rPr>
                <w:sz w:val="21"/>
                <w:szCs w:val="21"/>
                <w:highlight w:val="none"/>
              </w:rPr>
            </w:pPr>
            <w:r>
              <w:rPr>
                <w:rFonts w:hint="eastAsia"/>
                <w:sz w:val="21"/>
                <w:szCs w:val="21"/>
                <w:highlight w:val="none"/>
              </w:rPr>
              <w:t>2.提供数据知识产权登记相关指南文件1份。</w:t>
            </w:r>
          </w:p>
          <w:p>
            <w:pPr>
              <w:pStyle w:val="37"/>
              <w:spacing w:after="0" w:line="360" w:lineRule="auto"/>
              <w:ind w:left="0" w:leftChars="0" w:firstLine="0" w:firstLineChars="0"/>
              <w:rPr>
                <w:sz w:val="21"/>
                <w:szCs w:val="21"/>
                <w:highlight w:val="none"/>
              </w:rPr>
            </w:pPr>
            <w:r>
              <w:rPr>
                <w:rFonts w:hint="eastAsia"/>
                <w:sz w:val="21"/>
                <w:szCs w:val="21"/>
                <w:highlight w:val="none"/>
              </w:rPr>
              <w:t>3.提供贴合中国（广西）—东盟区域产业与跨境数据知识产权保护合作的建议书。</w:t>
            </w:r>
          </w:p>
          <w:p>
            <w:pPr>
              <w:spacing w:line="360" w:lineRule="auto"/>
              <w:ind w:firstLine="0" w:firstLineChars="0"/>
              <w:rPr>
                <w:rFonts w:hint="eastAsia"/>
                <w:sz w:val="21"/>
                <w:szCs w:val="21"/>
                <w:highlight w:val="none"/>
              </w:rPr>
            </w:pPr>
            <w:r>
              <w:rPr>
                <w:rFonts w:hint="eastAsia"/>
                <w:sz w:val="21"/>
                <w:szCs w:val="21"/>
                <w:highlight w:val="none"/>
              </w:rPr>
              <w:t>4.提供数据知识产权登记、公证服务相关记录。</w:t>
            </w:r>
          </w:p>
          <w:p>
            <w:pPr>
              <w:pStyle w:val="16"/>
              <w:spacing w:line="360" w:lineRule="auto"/>
              <w:rPr>
                <w:rFonts w:hint="default" w:eastAsia="宋体"/>
                <w:lang w:val="en-US" w:eastAsia="zh-CN"/>
              </w:rPr>
            </w:pPr>
            <w:r>
              <w:rPr>
                <w:rFonts w:hint="eastAsia"/>
                <w:sz w:val="21"/>
                <w:szCs w:val="21"/>
                <w:highlight w:val="none"/>
                <w:lang w:val="en-US" w:eastAsia="zh-CN"/>
              </w:rPr>
              <w:t>提供</w:t>
            </w:r>
            <w:r>
              <w:rPr>
                <w:rFonts w:hint="eastAsia"/>
                <w:lang w:val="en-US" w:eastAsia="zh-CN"/>
              </w:rPr>
              <w:t>纸质版和电子版材料各1份。</w:t>
            </w:r>
          </w:p>
          <w:p>
            <w:pPr>
              <w:pStyle w:val="18"/>
              <w:spacing w:line="360" w:lineRule="auto"/>
              <w:rPr>
                <w:rFonts w:hint="eastAsia"/>
                <w:sz w:val="21"/>
                <w:szCs w:val="21"/>
                <w:highlight w:val="none"/>
              </w:rPr>
            </w:pPr>
            <w:r>
              <w:rPr>
                <w:rFonts w:hint="eastAsia"/>
                <w:sz w:val="21"/>
                <w:szCs w:val="21"/>
                <w:highlight w:val="none"/>
              </w:rPr>
              <w:t>按项目需求表——服务技术参数及功能要求——最终成果要求验收</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highlight w:val="none"/>
              </w:rPr>
              <w:t>知识产权与保密</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pStyle w:val="18"/>
              <w:spacing w:line="360" w:lineRule="auto"/>
              <w:rPr>
                <w:rFonts w:hint="default"/>
                <w:color w:val="auto"/>
                <w:sz w:val="21"/>
                <w:szCs w:val="21"/>
                <w:highlight w:val="none"/>
                <w:lang w:val="en-US" w:eastAsia="zh-CN"/>
              </w:rPr>
            </w:pPr>
            <w:r>
              <w:rPr>
                <w:rFonts w:hint="eastAsia"/>
                <w:sz w:val="21"/>
                <w:szCs w:val="21"/>
                <w:highlight w:val="none"/>
              </w:rPr>
              <w:t>（1）服务成果的知识产权、著作权、所有权等归采购人所有，采购人有权将该服务成果用于任何目的。（2）供应商承诺保证所提供的全部服务不会侵犯任何第三方的专利权、商标权或著作权权利。（3</w:t>
            </w:r>
            <w:r>
              <w:rPr>
                <w:rFonts w:hint="eastAsia"/>
                <w:sz w:val="21"/>
                <w:szCs w:val="21"/>
                <w:highlight w:val="none"/>
                <w:lang w:eastAsia="zh-CN"/>
              </w:rPr>
              <w:t>）</w:t>
            </w:r>
            <w:r>
              <w:rPr>
                <w:rFonts w:hint="eastAsia"/>
                <w:sz w:val="21"/>
                <w:szCs w:val="21"/>
                <w:highlight w:val="none"/>
              </w:rPr>
              <w:t>成交供应商在项目实施过程中，必须严格遵守采购人各项管理规定，必须对本项目所有项目信息以及接触到数据予以保密，在任何情况下，禁止复制、传播、引用所接触到的采购人各类业务数据、工作要求和工作措施等信息，且未经采购人书面许可，成交供应商不得以任何形式向第三方透露本项目的任何内容。若有违反本条款约定须承担相应的法律责任。</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default" w:eastAsia="宋体"/>
                <w:highlight w:val="none"/>
                <w:lang w:val="en-US" w:eastAsia="zh-CN"/>
              </w:rPr>
            </w:pPr>
            <w:r>
              <w:rPr>
                <w:rFonts w:hint="eastAsia"/>
                <w:highlight w:val="none"/>
                <w:lang w:val="en-US" w:eastAsia="zh-CN"/>
              </w:rPr>
              <w:t>其他要求</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pStyle w:val="18"/>
              <w:spacing w:line="360" w:lineRule="auto"/>
              <w:rPr>
                <w:rFonts w:hint="default" w:eastAsia="宋体"/>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供应商可根据采购人实际情况，制定针对性项目服务方案</w:t>
            </w:r>
            <w:r>
              <w:rPr>
                <w:rFonts w:hint="eastAsia" w:ascii="宋体" w:hAnsi="宋体" w:cs="宋体"/>
                <w:i w:val="0"/>
                <w:iCs w:val="0"/>
                <w:color w:val="auto"/>
                <w:kern w:val="0"/>
                <w:sz w:val="21"/>
                <w:szCs w:val="21"/>
                <w:highlight w:val="none"/>
                <w:u w:val="none"/>
                <w:lang w:val="en-US" w:eastAsia="zh-CN" w:bidi="ar"/>
              </w:rPr>
              <w:t>、培训方案、履约能力等</w:t>
            </w:r>
            <w:r>
              <w:rPr>
                <w:rFonts w:hint="eastAsia" w:ascii="宋体" w:hAnsi="宋体" w:eastAsia="宋体" w:cs="宋体"/>
                <w:i w:val="0"/>
                <w:iCs w:val="0"/>
                <w:color w:val="auto"/>
                <w:kern w:val="0"/>
                <w:sz w:val="21"/>
                <w:szCs w:val="21"/>
                <w:highlight w:val="none"/>
                <w:u w:val="none"/>
                <w:lang w:val="en-US" w:eastAsia="zh-CN" w:bidi="ar"/>
              </w:rPr>
              <w:t>，保证工作规范有序进行。</w:t>
            </w:r>
            <w:r>
              <w:rPr>
                <w:rFonts w:ascii="宋体" w:hAnsi="宋体" w:cs="仿宋"/>
                <w:sz w:val="21"/>
                <w:szCs w:val="21"/>
                <w:highlight w:val="none"/>
              </w:rPr>
              <w:t>本项目的项目负责人</w:t>
            </w:r>
            <w:r>
              <w:rPr>
                <w:rFonts w:hint="eastAsia" w:ascii="宋体" w:hAnsi="宋体" w:cs="仿宋"/>
                <w:sz w:val="21"/>
                <w:szCs w:val="21"/>
                <w:highlight w:val="none"/>
                <w:lang w:eastAsia="zh-CN"/>
              </w:rPr>
              <w:t>、</w:t>
            </w:r>
            <w:r>
              <w:rPr>
                <w:rFonts w:hint="eastAsia" w:ascii="宋体" w:hAnsi="宋体" w:cs="仿宋"/>
                <w:sz w:val="21"/>
                <w:szCs w:val="21"/>
                <w:highlight w:val="none"/>
                <w:lang w:val="en-US" w:eastAsia="zh-CN"/>
              </w:rPr>
              <w:t>技术负责人、其他团队人员</w:t>
            </w:r>
            <w:r>
              <w:rPr>
                <w:rFonts w:ascii="宋体" w:hAnsi="宋体" w:cs="仿宋"/>
                <w:sz w:val="21"/>
                <w:szCs w:val="21"/>
                <w:highlight w:val="none"/>
              </w:rPr>
              <w:t>具备</w:t>
            </w:r>
            <w:r>
              <w:rPr>
                <w:rFonts w:hint="eastAsia" w:ascii="宋体" w:hAnsi="宋体" w:cs="仿宋"/>
                <w:sz w:val="21"/>
                <w:szCs w:val="21"/>
                <w:highlight w:val="none"/>
                <w:lang w:val="en-US" w:eastAsia="zh-CN"/>
              </w:rPr>
              <w:t>职称证书的优先考虑。</w:t>
            </w:r>
            <w:r>
              <w:rPr>
                <w:rFonts w:hint="eastAsia" w:ascii="宋体" w:hAnsi="宋体" w:eastAsia="宋体" w:cs="仿宋"/>
                <w:sz w:val="21"/>
                <w:szCs w:val="21"/>
                <w:highlight w:val="none"/>
              </w:rPr>
              <w:t>在知识产权或标准化相关领域获得</w:t>
            </w:r>
            <w:r>
              <w:rPr>
                <w:rFonts w:hint="eastAsia" w:ascii="宋体" w:hAnsi="宋体" w:cs="仿宋"/>
                <w:sz w:val="21"/>
                <w:szCs w:val="21"/>
                <w:highlight w:val="none"/>
                <w:lang w:val="en-US" w:eastAsia="zh-CN"/>
              </w:rPr>
              <w:t>县级（含）以上</w:t>
            </w:r>
            <w:r>
              <w:rPr>
                <w:rFonts w:hint="eastAsia" w:ascii="宋体" w:hAnsi="宋体" w:eastAsia="宋体" w:cs="仿宋"/>
                <w:sz w:val="21"/>
                <w:szCs w:val="21"/>
                <w:highlight w:val="none"/>
              </w:rPr>
              <w:t>奖</w:t>
            </w:r>
            <w:r>
              <w:rPr>
                <w:rFonts w:hint="eastAsia" w:ascii="宋体" w:hAnsi="宋体" w:cs="仿宋"/>
                <w:sz w:val="21"/>
                <w:szCs w:val="21"/>
                <w:highlight w:val="none"/>
                <w:lang w:val="en-US" w:eastAsia="zh-CN"/>
              </w:rPr>
              <w:t>项</w:t>
            </w:r>
            <w:r>
              <w:rPr>
                <w:rFonts w:hint="eastAsia" w:ascii="宋体" w:hAnsi="宋体" w:cs="仿宋"/>
                <w:sz w:val="21"/>
                <w:szCs w:val="21"/>
                <w:highlight w:val="none"/>
                <w:lang w:eastAsia="zh-CN"/>
              </w:rPr>
              <w:t>的</w:t>
            </w:r>
            <w:r>
              <w:rPr>
                <w:rFonts w:hint="eastAsia" w:ascii="宋体" w:hAnsi="宋体" w:cs="仿宋"/>
                <w:sz w:val="21"/>
                <w:szCs w:val="21"/>
                <w:highlight w:val="none"/>
                <w:lang w:val="en-US" w:eastAsia="zh-CN"/>
              </w:rPr>
              <w:t>、</w:t>
            </w:r>
            <w:r>
              <w:rPr>
                <w:rFonts w:hint="eastAsia" w:ascii="宋体" w:hAnsi="宋体" w:eastAsia="宋体" w:cs="仿宋"/>
                <w:sz w:val="21"/>
                <w:szCs w:val="21"/>
                <w:highlight w:val="none"/>
              </w:rPr>
              <w:t>熟悉标准制定流程，参与过行业、地方标准编制，具有相关知识产权保护或标准化技术支撑委托服务经验</w:t>
            </w:r>
            <w:r>
              <w:rPr>
                <w:rFonts w:hint="eastAsia" w:ascii="宋体" w:hAnsi="宋体" w:cs="仿宋"/>
                <w:sz w:val="21"/>
                <w:szCs w:val="21"/>
                <w:highlight w:val="none"/>
                <w:lang w:eastAsia="zh-CN"/>
              </w:rPr>
              <w:t>、</w:t>
            </w:r>
            <w:r>
              <w:rPr>
                <w:rFonts w:hint="eastAsia" w:ascii="宋体" w:hAnsi="宋体" w:cs="仿宋"/>
                <w:sz w:val="21"/>
                <w:szCs w:val="21"/>
                <w:highlight w:val="none"/>
              </w:rPr>
              <w:t>承担过类似项目</w:t>
            </w:r>
            <w:r>
              <w:rPr>
                <w:rFonts w:ascii="宋体" w:hAnsi="宋体" w:cs="仿宋"/>
                <w:sz w:val="21"/>
                <w:szCs w:val="21"/>
                <w:highlight w:val="none"/>
              </w:rPr>
              <w:t>服务经历</w:t>
            </w:r>
            <w:r>
              <w:rPr>
                <w:rFonts w:hint="eastAsia" w:ascii="宋体" w:hAnsi="宋体" w:cs="仿宋"/>
                <w:sz w:val="21"/>
                <w:szCs w:val="21"/>
                <w:highlight w:val="none"/>
                <w:lang w:eastAsia="zh-CN"/>
              </w:rPr>
              <w:t>的</w:t>
            </w:r>
            <w:r>
              <w:rPr>
                <w:rFonts w:hint="eastAsia" w:ascii="宋体" w:hAnsi="宋体" w:cs="仿宋"/>
                <w:sz w:val="21"/>
                <w:szCs w:val="21"/>
                <w:highlight w:val="none"/>
                <w:lang w:val="en-US" w:eastAsia="zh-CN"/>
              </w:rPr>
              <w:t>优先考虑。</w:t>
            </w:r>
          </w:p>
        </w:tc>
      </w:tr>
    </w:tbl>
    <w:p>
      <w:pPr>
        <w:pStyle w:val="2"/>
        <w:rPr>
          <w:rFonts w:hint="eastAsia" w:ascii="宋体" w:hAnsi="宋体"/>
          <w:color w:val="auto"/>
          <w:szCs w:val="21"/>
          <w:highlight w:val="none"/>
        </w:rPr>
      </w:pPr>
      <w:r>
        <w:rPr>
          <w:rFonts w:hint="eastAsia" w:ascii="宋体" w:hAnsi="宋体"/>
          <w:b/>
          <w:color w:val="auto"/>
          <w:sz w:val="32"/>
          <w:highlight w:val="none"/>
        </w:rPr>
        <w:br w:type="page"/>
      </w: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3"/>
        <w:spacing w:line="400" w:lineRule="exact"/>
        <w:rPr>
          <w:rFonts w:ascii="方正小标宋简体" w:eastAsia="方正小标宋简体"/>
          <w:color w:val="auto"/>
          <w:highlight w:val="none"/>
        </w:rPr>
      </w:pPr>
      <w:bookmarkStart w:id="51" w:name="_Toc92355025"/>
      <w:r>
        <w:rPr>
          <w:rFonts w:hint="eastAsia" w:ascii="方正小标宋简体" w:eastAsia="方正小标宋简体"/>
          <w:color w:val="auto"/>
          <w:highlight w:val="none"/>
        </w:rPr>
        <w:t>第三章  供应商须知</w:t>
      </w:r>
      <w:bookmarkEnd w:id="48"/>
      <w:bookmarkEnd w:id="49"/>
      <w:bookmarkEnd w:id="51"/>
    </w:p>
    <w:p>
      <w:pPr>
        <w:jc w:val="center"/>
        <w:rPr>
          <w:rFonts w:hint="eastAsia" w:ascii="仿宋_GB2312" w:hAnsi="宋体" w:eastAsia="仿宋_GB2312"/>
          <w:b/>
          <w:color w:val="auto"/>
          <w:sz w:val="32"/>
          <w:szCs w:val="32"/>
          <w:highlight w:val="none"/>
        </w:rPr>
      </w:pPr>
      <w:bookmarkStart w:id="52" w:name="_Toc350325671"/>
      <w:bookmarkStart w:id="53" w:name="_Toc357157408"/>
      <w:bookmarkStart w:id="54" w:name="_Toc354479499"/>
      <w:bookmarkStart w:id="55" w:name="_Toc358477281"/>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8"/>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5"/>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5"/>
                <w:rFonts w:hint="eastAsia" w:ascii="宋体" w:hAnsi="宋体" w:cs="宋体"/>
                <w:color w:val="auto"/>
                <w:kern w:val="0"/>
                <w:szCs w:val="21"/>
                <w:highlight w:val="none"/>
                <w:u w:val="none"/>
              </w:rPr>
              <w:t>项目名称：</w:t>
            </w:r>
            <w:r>
              <w:rPr>
                <w:rStyle w:val="45"/>
                <w:rFonts w:hint="eastAsia" w:ascii="宋体" w:hAnsi="宋体" w:cs="宋体"/>
                <w:color w:val="auto"/>
                <w:kern w:val="0"/>
                <w:szCs w:val="21"/>
                <w:highlight w:val="none"/>
                <w:u w:val="none"/>
                <w:lang w:eastAsia="zh-CN"/>
              </w:rPr>
              <w:t xml:space="preserve">钦州市市场监管局知识产权保护体系建设 </w:t>
            </w:r>
          </w:p>
          <w:p>
            <w:pPr>
              <w:widowControl/>
              <w:spacing w:line="440" w:lineRule="exact"/>
              <w:rPr>
                <w:rFonts w:hint="eastAsia" w:ascii="宋体" w:hAnsi="宋体" w:eastAsia="宋体"/>
                <w:color w:val="auto"/>
                <w:szCs w:val="21"/>
                <w:highlight w:val="none"/>
                <w:lang w:eastAsia="zh-CN"/>
              </w:rPr>
            </w:pPr>
            <w:r>
              <w:rPr>
                <w:rStyle w:val="45"/>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QZZC2025-C3-990368-QZSZ</w:t>
            </w:r>
          </w:p>
        </w:tc>
      </w:tr>
      <w:tr>
        <w:tblPrEx>
          <w:tblCellMar>
            <w:top w:w="0" w:type="dxa"/>
            <w:left w:w="108" w:type="dxa"/>
            <w:bottom w:w="0" w:type="dxa"/>
            <w:right w:w="108" w:type="dxa"/>
          </w:tblCellMar>
        </w:tblPrEx>
        <w:trPr>
          <w:trHeight w:val="26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5"/>
                <w:rFonts w:hint="eastAsia" w:ascii="宋体" w:hAnsi="宋体"/>
                <w:color w:val="auto"/>
                <w:szCs w:val="21"/>
                <w:highlight w:val="none"/>
                <w:u w:val="none"/>
              </w:rPr>
            </w:pPr>
            <w:r>
              <w:rPr>
                <w:rStyle w:val="45"/>
                <w:rFonts w:ascii="宋体" w:hAnsi="宋体"/>
                <w:color w:val="auto"/>
                <w:szCs w:val="21"/>
                <w:highlight w:val="none"/>
                <w:u w:val="none"/>
              </w:rPr>
              <w:fldChar w:fldCharType="begin"/>
            </w:r>
            <w:r>
              <w:rPr>
                <w:rStyle w:val="45"/>
                <w:rFonts w:ascii="宋体" w:hAnsi="宋体"/>
                <w:color w:val="auto"/>
                <w:szCs w:val="21"/>
                <w:highlight w:val="none"/>
                <w:u w:val="none"/>
              </w:rPr>
              <w:instrText xml:space="preserve"> </w:instrText>
            </w:r>
            <w:r>
              <w:rPr>
                <w:rStyle w:val="45"/>
                <w:rFonts w:hint="eastAsia" w:ascii="宋体" w:hAnsi="宋体"/>
                <w:color w:val="auto"/>
                <w:szCs w:val="21"/>
                <w:highlight w:val="none"/>
                <w:u w:val="none"/>
              </w:rPr>
              <w:instrText xml:space="preserve">HYPERLINK </w:instrText>
            </w:r>
            <w:r>
              <w:rPr>
                <w:rStyle w:val="45"/>
                <w:rFonts w:ascii="宋体" w:hAnsi="宋体"/>
                <w:color w:val="auto"/>
                <w:szCs w:val="21"/>
                <w:highlight w:val="none"/>
                <w:u w:val="none"/>
              </w:rPr>
              <w:instrText xml:space="preserve"> \l "_一、总_则" </w:instrText>
            </w:r>
            <w:r>
              <w:rPr>
                <w:rStyle w:val="45"/>
                <w:rFonts w:ascii="宋体" w:hAnsi="宋体"/>
                <w:color w:val="auto"/>
                <w:szCs w:val="21"/>
                <w:highlight w:val="none"/>
                <w:u w:val="none"/>
              </w:rPr>
              <w:fldChar w:fldCharType="separate"/>
            </w:r>
            <w:r>
              <w:rPr>
                <w:rStyle w:val="45"/>
                <w:rFonts w:hint="eastAsia" w:ascii="宋体" w:hAnsi="宋体"/>
                <w:color w:val="auto"/>
                <w:szCs w:val="21"/>
                <w:highlight w:val="none"/>
                <w:u w:val="none"/>
              </w:rPr>
              <w:t>供应商资格：</w:t>
            </w:r>
          </w:p>
          <w:p>
            <w:pPr>
              <w:spacing w:line="440" w:lineRule="exact"/>
              <w:rPr>
                <w:rStyle w:val="45"/>
                <w:rFonts w:hint="eastAsia" w:ascii="宋体" w:hAnsi="宋体"/>
                <w:color w:val="auto"/>
                <w:szCs w:val="21"/>
                <w:highlight w:val="none"/>
                <w:u w:val="none"/>
              </w:rPr>
            </w:pPr>
            <w:r>
              <w:rPr>
                <w:rStyle w:val="45"/>
                <w:rFonts w:hint="eastAsia" w:ascii="宋体" w:hAnsi="宋体"/>
                <w:color w:val="auto"/>
                <w:szCs w:val="21"/>
                <w:highlight w:val="none"/>
                <w:u w:val="none"/>
              </w:rPr>
              <w:t>1.满足《中华人民共和国政府采购法》第二十二条规定</w:t>
            </w:r>
          </w:p>
          <w:p>
            <w:pPr>
              <w:spacing w:line="440" w:lineRule="exact"/>
              <w:rPr>
                <w:rStyle w:val="45"/>
                <w:rFonts w:hint="eastAsia" w:ascii="宋体" w:hAnsi="宋体" w:eastAsia="宋体"/>
                <w:color w:val="auto"/>
                <w:szCs w:val="21"/>
                <w:highlight w:val="none"/>
                <w:u w:val="none"/>
                <w:lang w:eastAsia="zh-CN"/>
              </w:rPr>
            </w:pPr>
            <w:r>
              <w:rPr>
                <w:rStyle w:val="45"/>
                <w:rFonts w:hint="eastAsia" w:ascii="宋体" w:hAnsi="宋体"/>
                <w:color w:val="auto"/>
                <w:szCs w:val="21"/>
                <w:highlight w:val="none"/>
                <w:u w:val="none"/>
              </w:rPr>
              <w:t>2.落实政府采购政策需满足的资格要求：</w:t>
            </w:r>
            <w:r>
              <w:rPr>
                <w:rStyle w:val="45"/>
                <w:rFonts w:hint="eastAsia" w:ascii="宋体" w:hAnsi="宋体"/>
                <w:color w:val="auto"/>
                <w:szCs w:val="21"/>
                <w:highlight w:val="none"/>
                <w:u w:val="none"/>
                <w:lang w:val="en-US" w:eastAsia="zh-CN"/>
              </w:rPr>
              <w:t>无</w:t>
            </w:r>
          </w:p>
          <w:p>
            <w:pPr>
              <w:spacing w:line="440" w:lineRule="exact"/>
              <w:rPr>
                <w:rFonts w:hint="eastAsia" w:ascii="宋体" w:hAnsi="宋体"/>
                <w:color w:val="auto"/>
                <w:szCs w:val="21"/>
                <w:highlight w:val="none"/>
              </w:rPr>
            </w:pPr>
            <w:r>
              <w:rPr>
                <w:rStyle w:val="45"/>
                <w:rFonts w:hint="eastAsia" w:ascii="宋体" w:hAnsi="宋体"/>
                <w:color w:val="auto"/>
                <w:szCs w:val="21"/>
                <w:highlight w:val="none"/>
                <w:u w:val="none"/>
              </w:rPr>
              <w:t>3.本项目的特定资格要求：无</w:t>
            </w:r>
            <w:r>
              <w:rPr>
                <w:rStyle w:val="45"/>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5"/>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5"/>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5"/>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5"/>
                <w:rFonts w:hint="eastAsia" w:ascii="宋体" w:hAnsi="宋体" w:cs="宋体"/>
                <w:color w:val="auto"/>
                <w:kern w:val="0"/>
                <w:szCs w:val="21"/>
                <w:highlight w:val="none"/>
                <w:u w:val="none"/>
              </w:rPr>
              <w:t>响应文件提交截止时间及开启时间：</w:t>
            </w:r>
            <w:r>
              <w:rPr>
                <w:rStyle w:val="45"/>
                <w:rFonts w:hint="eastAsia" w:ascii="宋体" w:hAnsi="宋体"/>
                <w:color w:val="auto"/>
                <w:szCs w:val="21"/>
                <w:highlight w:val="none"/>
                <w:u w:val="none"/>
              </w:rPr>
              <w:t>202</w:t>
            </w:r>
            <w:r>
              <w:rPr>
                <w:rStyle w:val="45"/>
                <w:rFonts w:hint="eastAsia" w:ascii="宋体" w:hAnsi="宋体"/>
                <w:color w:val="auto"/>
                <w:szCs w:val="21"/>
                <w:highlight w:val="none"/>
                <w:u w:val="none"/>
                <w:lang w:val="en-US" w:eastAsia="zh-CN"/>
              </w:rPr>
              <w:t>5</w:t>
            </w:r>
            <w:r>
              <w:rPr>
                <w:rStyle w:val="45"/>
                <w:rFonts w:hint="eastAsia" w:ascii="宋体" w:hAnsi="宋体"/>
                <w:color w:val="auto"/>
                <w:szCs w:val="21"/>
                <w:highlight w:val="none"/>
                <w:u w:val="none"/>
              </w:rPr>
              <w:t>年</w:t>
            </w:r>
            <w:r>
              <w:rPr>
                <w:rStyle w:val="45"/>
                <w:rFonts w:hint="eastAsia" w:ascii="宋体" w:hAnsi="宋体"/>
                <w:color w:val="auto"/>
                <w:szCs w:val="21"/>
                <w:highlight w:val="none"/>
                <w:u w:val="none"/>
                <w:lang w:val="en-US" w:eastAsia="zh-CN"/>
              </w:rPr>
              <w:t>12月18</w:t>
            </w:r>
            <w:r>
              <w:rPr>
                <w:rStyle w:val="45"/>
                <w:rFonts w:hint="eastAsia" w:ascii="宋体" w:hAnsi="宋体"/>
                <w:color w:val="auto"/>
                <w:szCs w:val="21"/>
                <w:highlight w:val="none"/>
                <w:u w:val="none"/>
              </w:rPr>
              <w:t>日</w:t>
            </w:r>
            <w:r>
              <w:rPr>
                <w:rStyle w:val="45"/>
                <w:rFonts w:ascii="宋体" w:hAnsi="宋体"/>
                <w:color w:val="auto"/>
                <w:szCs w:val="21"/>
                <w:highlight w:val="none"/>
                <w:u w:val="none"/>
              </w:rPr>
              <w:t>09</w:t>
            </w:r>
            <w:r>
              <w:rPr>
                <w:rStyle w:val="45"/>
                <w:rFonts w:hint="eastAsia" w:ascii="宋体" w:hAnsi="宋体"/>
                <w:color w:val="auto"/>
                <w:szCs w:val="21"/>
                <w:highlight w:val="none"/>
                <w:u w:val="none"/>
              </w:rPr>
              <w:t>时</w:t>
            </w:r>
            <w:r>
              <w:rPr>
                <w:rStyle w:val="45"/>
                <w:rFonts w:ascii="宋体" w:hAnsi="宋体"/>
                <w:color w:val="auto"/>
                <w:szCs w:val="21"/>
                <w:highlight w:val="none"/>
                <w:u w:val="none"/>
              </w:rPr>
              <w:t>3</w:t>
            </w:r>
            <w:r>
              <w:rPr>
                <w:rStyle w:val="45"/>
                <w:rFonts w:hint="eastAsia" w:ascii="宋体" w:hAnsi="宋体"/>
                <w:color w:val="auto"/>
                <w:szCs w:val="21"/>
                <w:highlight w:val="none"/>
                <w:u w:val="none"/>
              </w:rPr>
              <w:t>0分。</w:t>
            </w:r>
          </w:p>
          <w:p>
            <w:pPr>
              <w:widowControl/>
              <w:spacing w:line="440" w:lineRule="exact"/>
              <w:rPr>
                <w:color w:val="auto"/>
                <w:highlight w:val="none"/>
              </w:rPr>
            </w:pPr>
            <w:r>
              <w:rPr>
                <w:rStyle w:val="45"/>
                <w:rFonts w:hint="eastAsia"/>
                <w:b/>
                <w:color w:val="auto"/>
                <w:szCs w:val="21"/>
                <w:highlight w:val="none"/>
                <w:u w:val="none"/>
              </w:rPr>
              <w:t>注意事项：</w:t>
            </w:r>
            <w:r>
              <w:rPr>
                <w:rStyle w:val="45"/>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5"/>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5"/>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5"/>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5"/>
                <w:rFonts w:hint="eastAsia" w:ascii="宋体" w:hAnsi="宋体" w:cs="宋体"/>
                <w:color w:val="auto"/>
                <w:kern w:val="0"/>
                <w:szCs w:val="21"/>
                <w:highlight w:val="none"/>
                <w:u w:val="none"/>
              </w:rPr>
              <w:t>评定方法：</w:t>
            </w:r>
            <w:r>
              <w:rPr>
                <w:rStyle w:val="45"/>
                <w:rFonts w:hint="eastAsia"/>
                <w:color w:val="auto"/>
                <w:highlight w:val="none"/>
                <w:u w:val="none"/>
              </w:rPr>
              <w:t>详见第四章《评定标准及推荐原则》。</w:t>
            </w:r>
            <w:r>
              <w:rPr>
                <w:rStyle w:val="45"/>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5"/>
                <w:rFonts w:hint="eastAsia" w:ascii="宋体" w:hAnsi="宋体" w:cs="宋体"/>
                <w:color w:val="auto"/>
                <w:kern w:val="0"/>
                <w:szCs w:val="21"/>
                <w:highlight w:val="none"/>
                <w:u w:val="none"/>
              </w:rPr>
              <w:t>代理服务费：</w:t>
            </w:r>
            <w:bookmarkStart w:id="56" w:name="OLE_LINK7"/>
            <w:r>
              <w:rPr>
                <w:rStyle w:val="45"/>
                <w:rFonts w:hint="eastAsia" w:ascii="宋体" w:hAnsi="宋体" w:cs="宋体"/>
                <w:color w:val="auto"/>
                <w:kern w:val="0"/>
                <w:szCs w:val="21"/>
                <w:highlight w:val="none"/>
                <w:u w:val="none"/>
              </w:rPr>
              <w:t>按钦州市物价局“钦市价费〔2013﹞4号”文件，以差额定率累进法计算。成交供应商须按成交金额缴纳相应的代理服务费。</w:t>
            </w:r>
            <w:bookmarkEnd w:id="56"/>
            <w:r>
              <w:rPr>
                <w:rStyle w:val="45"/>
                <w:rFonts w:hint="eastAsia" w:ascii="宋体" w:hAnsi="宋体" w:cs="宋体"/>
                <w:color w:val="auto"/>
                <w:kern w:val="0"/>
                <w:szCs w:val="21"/>
                <w:highlight w:val="none"/>
                <w:u w:val="none"/>
              </w:rPr>
              <w:fldChar w:fldCharType="end"/>
            </w:r>
          </w:p>
        </w:tc>
      </w:tr>
    </w:tbl>
    <w:p>
      <w:pPr>
        <w:rPr>
          <w:color w:val="auto"/>
          <w:highlight w:val="none"/>
        </w:rPr>
      </w:pPr>
      <w:bookmarkStart w:id="57" w:name="_Toc420505403"/>
    </w:p>
    <w:p>
      <w:pPr>
        <w:widowControl/>
        <w:jc w:val="left"/>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57"/>
    </w:p>
    <w:p>
      <w:pPr>
        <w:pStyle w:val="4"/>
        <w:spacing w:line="420" w:lineRule="exact"/>
        <w:rPr>
          <w:color w:val="auto"/>
          <w:highlight w:val="none"/>
        </w:rPr>
      </w:pPr>
      <w:bookmarkStart w:id="58" w:name="_一、总_则"/>
      <w:bookmarkEnd w:id="58"/>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 xml:space="preserve">钦州市市场监管局知识产权保护体系建设 </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QZZC2025-C3-990368-QZSZ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rFonts w:hint="eastAsia"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无</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59" w:name="_Toc353785281"/>
      <w:bookmarkStart w:id="60" w:name="_Toc352700410"/>
      <w:bookmarkStart w:id="61" w:name="_Toc254970530"/>
      <w:bookmarkStart w:id="62" w:name="_Toc254970671"/>
      <w:r>
        <w:rPr>
          <w:rFonts w:hint="eastAsia"/>
          <w:b/>
          <w:bCs/>
          <w:color w:val="auto"/>
          <w:highlight w:val="none"/>
        </w:rPr>
        <w:t>（五）代理委托</w:t>
      </w:r>
      <w:bookmarkEnd w:id="59"/>
      <w:bookmarkEnd w:id="60"/>
      <w:bookmarkEnd w:id="61"/>
      <w:bookmarkEnd w:id="62"/>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3" w:name="_Toc254970531"/>
      <w:bookmarkStart w:id="64" w:name="_Toc254970672"/>
      <w:bookmarkStart w:id="65" w:name="_Toc353785282"/>
      <w:bookmarkStart w:id="66" w:name="_Toc352700411"/>
      <w:r>
        <w:rPr>
          <w:rFonts w:hint="eastAsia"/>
          <w:b/>
          <w:bCs/>
          <w:color w:val="auto"/>
          <w:highlight w:val="none"/>
        </w:rPr>
        <w:t>（六）磋商费用</w:t>
      </w:r>
      <w:bookmarkEnd w:id="63"/>
      <w:bookmarkEnd w:id="64"/>
      <w:bookmarkEnd w:id="65"/>
      <w:bookmarkEnd w:id="66"/>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67" w:name="_Toc353785283"/>
      <w:bookmarkStart w:id="68" w:name="_Toc352700413"/>
      <w:r>
        <w:rPr>
          <w:rFonts w:hint="eastAsia"/>
          <w:b/>
          <w:bCs/>
          <w:color w:val="auto"/>
          <w:highlight w:val="none"/>
        </w:rPr>
        <w:t>（七）转包与分包</w:t>
      </w:r>
      <w:bookmarkEnd w:id="67"/>
      <w:bookmarkEnd w:id="68"/>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69" w:name="_Toc353785284"/>
      <w:bookmarkStart w:id="70" w:name="_Toc254970673"/>
      <w:bookmarkStart w:id="71" w:name="_Toc352700414"/>
      <w:bookmarkStart w:id="72" w:name="_Toc254970532"/>
      <w:r>
        <w:rPr>
          <w:rFonts w:hint="eastAsia"/>
          <w:b/>
          <w:bCs/>
          <w:color w:val="auto"/>
          <w:highlight w:val="none"/>
        </w:rPr>
        <w:t>（八）特别说明</w:t>
      </w:r>
      <w:bookmarkEnd w:id="69"/>
      <w:bookmarkEnd w:id="70"/>
      <w:bookmarkEnd w:id="71"/>
      <w:bookmarkEnd w:id="72"/>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Style w:val="23"/>
        <w:snapToGrid w:val="0"/>
        <w:spacing w:line="406"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3.本项目接受银行、保险、石油石化、电力、电信行业的投标人分支机构参与投标。</w:t>
      </w:r>
    </w:p>
    <w:p>
      <w:pPr>
        <w:spacing w:line="406" w:lineRule="exact"/>
        <w:ind w:firstLine="211" w:firstLineChars="100"/>
        <w:rPr>
          <w:b/>
          <w:bCs/>
          <w:color w:val="auto"/>
          <w:highlight w:val="none"/>
        </w:rPr>
      </w:pPr>
      <w:bookmarkStart w:id="73" w:name="_Toc254970533"/>
      <w:bookmarkStart w:id="74" w:name="_Toc352700415"/>
      <w:bookmarkStart w:id="75" w:name="_Toc254970674"/>
      <w:bookmarkStart w:id="76" w:name="_Toc353785285"/>
      <w:r>
        <w:rPr>
          <w:rFonts w:hint="eastAsia"/>
          <w:b/>
          <w:bCs/>
          <w:color w:val="auto"/>
          <w:highlight w:val="none"/>
        </w:rPr>
        <w:t>（九）询问、质疑和投诉</w:t>
      </w:r>
      <w:bookmarkEnd w:id="73"/>
      <w:bookmarkEnd w:id="74"/>
      <w:bookmarkEnd w:id="75"/>
      <w:bookmarkEnd w:id="76"/>
    </w:p>
    <w:p>
      <w:pPr>
        <w:pStyle w:val="23"/>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3"/>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3"/>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06" w:lineRule="exact"/>
        <w:ind w:firstLine="420"/>
        <w:rPr>
          <w:color w:val="auto"/>
          <w:highlight w:val="none"/>
        </w:rPr>
      </w:pPr>
      <w:r>
        <w:rPr>
          <w:rFonts w:hint="eastAsia"/>
          <w:color w:val="auto"/>
          <w:highlight w:val="none"/>
        </w:rPr>
        <w:t>采购监管部门联系方式：钦州市财政局      0777-</w:t>
      </w:r>
      <w:r>
        <w:rPr>
          <w:color w:val="auto"/>
          <w:highlight w:val="none"/>
        </w:rPr>
        <w:t>2895258</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5"/>
          <w:rFonts w:hint="eastAsia" w:hAnsi="宋体"/>
          <w:color w:val="auto"/>
          <w:highlight w:val="none"/>
          <w:u w:val="none"/>
        </w:rPr>
        <w:t>广西政府采购网</w:t>
      </w:r>
      <w:r>
        <w:rPr>
          <w:rStyle w:val="45"/>
          <w:rFonts w:hint="eastAsia" w:hAnsi="宋体"/>
          <w:color w:val="auto"/>
          <w:highlight w:val="none"/>
          <w:u w:val="none"/>
        </w:rPr>
        <w:fldChar w:fldCharType="end"/>
      </w:r>
      <w:r>
        <w:rPr>
          <w:rFonts w:hint="eastAsia" w:hAnsi="宋体"/>
          <w:color w:val="auto"/>
          <w:highlight w:val="none"/>
        </w:rPr>
        <w:t>。</w:t>
      </w:r>
    </w:p>
    <w:p>
      <w:pPr>
        <w:pStyle w:val="4"/>
        <w:spacing w:line="406" w:lineRule="exact"/>
        <w:rPr>
          <w:color w:val="auto"/>
          <w:highlight w:val="none"/>
        </w:rPr>
      </w:pPr>
      <w:bookmarkStart w:id="77" w:name="_Toc353785286"/>
      <w:bookmarkStart w:id="78" w:name="_Toc352700416"/>
      <w:r>
        <w:rPr>
          <w:rFonts w:hint="eastAsia"/>
          <w:color w:val="auto"/>
          <w:highlight w:val="none"/>
        </w:rPr>
        <w:t>二、竞争性磋商采购文件</w:t>
      </w:r>
      <w:bookmarkEnd w:id="77"/>
      <w:bookmarkEnd w:id="78"/>
    </w:p>
    <w:p>
      <w:pPr>
        <w:spacing w:line="406" w:lineRule="exact"/>
        <w:ind w:firstLine="211" w:firstLineChars="100"/>
        <w:rPr>
          <w:b/>
          <w:bCs/>
          <w:color w:val="auto"/>
          <w:highlight w:val="none"/>
        </w:rPr>
      </w:pPr>
      <w:bookmarkStart w:id="79" w:name="_Toc352700417"/>
      <w:bookmarkStart w:id="80" w:name="_Toc353785287"/>
      <w:r>
        <w:rPr>
          <w:rFonts w:hint="eastAsia"/>
          <w:b/>
          <w:bCs/>
          <w:color w:val="auto"/>
          <w:highlight w:val="none"/>
        </w:rPr>
        <w:t>（一）竞争性磋商采购文件的组成</w:t>
      </w:r>
      <w:bookmarkEnd w:id="79"/>
      <w:bookmarkEnd w:id="80"/>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81" w:name="_Toc353785289"/>
      <w:bookmarkStart w:id="82" w:name="_Toc352700419"/>
      <w:r>
        <w:rPr>
          <w:rFonts w:hint="eastAsia"/>
          <w:b/>
          <w:bCs/>
          <w:color w:val="auto"/>
          <w:highlight w:val="none"/>
        </w:rPr>
        <w:t>（二）竞争性磋商采购文件的澄清与修改</w:t>
      </w:r>
      <w:bookmarkEnd w:id="81"/>
      <w:bookmarkEnd w:id="82"/>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4"/>
        <w:spacing w:line="406" w:lineRule="exact"/>
        <w:rPr>
          <w:color w:val="auto"/>
          <w:highlight w:val="none"/>
        </w:rPr>
      </w:pPr>
      <w:bookmarkStart w:id="83" w:name="_三、响应文件"/>
      <w:bookmarkEnd w:id="83"/>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84"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85"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85"/>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86" w:name="_Hlk108683109"/>
      <w:r>
        <w:rPr>
          <w:rFonts w:hint="eastAsia" w:hAnsi="宋体"/>
          <w:color w:val="auto"/>
          <w:spacing w:val="-4"/>
          <w:highlight w:val="none"/>
        </w:rPr>
        <w:t>(格式见第六章)</w:t>
      </w:r>
      <w:bookmarkEnd w:id="86"/>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rPr>
          <w:rFonts w:hint="eastAsia" w:ascii="宋体" w:hAnsi="宋体"/>
          <w:b w:val="0"/>
          <w:bCs/>
          <w:color w:val="auto"/>
          <w:szCs w:val="21"/>
          <w:highlight w:val="none"/>
        </w:rPr>
      </w:pPr>
      <w:r>
        <w:rPr>
          <w:rFonts w:hint="eastAsia" w:ascii="宋体" w:hAnsi="宋体"/>
          <w:b w:val="0"/>
          <w:bCs/>
          <w:color w:val="auto"/>
          <w:szCs w:val="21"/>
          <w:highlight w:val="none"/>
        </w:rPr>
        <w:t>★(4)商务技术响应表(格式见第六章)</w:t>
      </w:r>
    </w:p>
    <w:p>
      <w:pPr>
        <w:numPr>
          <w:ilvl w:val="0"/>
          <w:numId w:val="0"/>
        </w:numPr>
        <w:snapToGrid w:val="0"/>
        <w:spacing w:line="406" w:lineRule="exact"/>
        <w:ind w:firstLine="630" w:firstLineChars="300"/>
        <w:rPr>
          <w:rFonts w:hint="eastAsia" w:ascii="宋体" w:hAnsi="宋体"/>
          <w:b w:val="0"/>
          <w:bCs/>
          <w:color w:val="auto"/>
          <w:szCs w:val="21"/>
          <w:highlight w:val="none"/>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5</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《项目需求》中要求必须提供的材料</w:t>
      </w:r>
    </w:p>
    <w:p>
      <w:pPr>
        <w:numPr>
          <w:ilvl w:val="0"/>
          <w:numId w:val="0"/>
        </w:numPr>
        <w:snapToGrid w:val="0"/>
        <w:spacing w:line="406" w:lineRule="exact"/>
        <w:ind w:firstLine="422" w:firstLineChars="200"/>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87"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87"/>
      <w:r>
        <w:rPr>
          <w:rFonts w:hint="eastAsia" w:ascii="宋体" w:hAnsi="宋体"/>
          <w:bCs/>
          <w:color w:val="auto"/>
          <w:szCs w:val="21"/>
          <w:highlight w:val="none"/>
        </w:rPr>
        <w:t>(格式见第六章)。</w:t>
      </w:r>
    </w:p>
    <w:bookmarkEnd w:id="84"/>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88" w:name="_Hlk90906323"/>
      <w:r>
        <w:rPr>
          <w:rFonts w:hint="eastAsia" w:ascii="宋体" w:hAnsi="宋体"/>
          <w:color w:val="auto"/>
          <w:szCs w:val="21"/>
          <w:highlight w:val="none"/>
        </w:rPr>
        <w:t>②</w:t>
      </w:r>
      <w:bookmarkStart w:id="89"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9"/>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90" w:name="_Toc254970537"/>
      <w:bookmarkStart w:id="91" w:name="_Toc352700422"/>
      <w:bookmarkStart w:id="92" w:name="_Toc353785292"/>
      <w:bookmarkStart w:id="93" w:name="_Toc254970678"/>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88"/>
    <w:p>
      <w:pPr>
        <w:spacing w:line="406" w:lineRule="exact"/>
        <w:ind w:firstLine="211" w:firstLineChars="100"/>
        <w:rPr>
          <w:color w:val="auto"/>
          <w:highlight w:val="none"/>
        </w:rPr>
      </w:pPr>
      <w:r>
        <w:rPr>
          <w:rFonts w:hint="eastAsia"/>
          <w:b/>
          <w:bCs/>
          <w:color w:val="auto"/>
          <w:highlight w:val="none"/>
        </w:rPr>
        <w:t>（四）响应文件的语言及计量</w:t>
      </w:r>
      <w:bookmarkEnd w:id="90"/>
      <w:bookmarkEnd w:id="91"/>
      <w:bookmarkEnd w:id="92"/>
      <w:bookmarkEnd w:id="93"/>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06" w:lineRule="exact"/>
        <w:ind w:firstLine="211" w:firstLineChars="100"/>
        <w:rPr>
          <w:rFonts w:hint="eastAsia" w:ascii="宋体" w:hAnsi="宋体" w:eastAsia="宋体"/>
          <w:color w:val="auto"/>
          <w:sz w:val="21"/>
          <w:szCs w:val="21"/>
          <w:highlight w:val="none"/>
        </w:rPr>
      </w:pPr>
      <w:bookmarkStart w:id="94" w:name="_（五）报价"/>
      <w:bookmarkEnd w:id="94"/>
      <w:bookmarkStart w:id="95" w:name="_Toc353785293"/>
      <w:bookmarkStart w:id="96" w:name="_Toc352700423"/>
      <w:bookmarkStart w:id="97" w:name="_Toc254970538"/>
      <w:bookmarkStart w:id="98" w:name="_Toc254970679"/>
      <w:r>
        <w:rPr>
          <w:rFonts w:hint="eastAsia" w:ascii="宋体" w:hAnsi="宋体" w:eastAsia="宋体"/>
          <w:color w:val="auto"/>
          <w:sz w:val="21"/>
          <w:szCs w:val="21"/>
          <w:highlight w:val="none"/>
        </w:rPr>
        <w:t>（五）报价</w:t>
      </w:r>
      <w:bookmarkEnd w:id="95"/>
      <w:bookmarkEnd w:id="96"/>
      <w:bookmarkEnd w:id="97"/>
      <w:bookmarkEnd w:id="98"/>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4"/>
        <w:spacing w:before="0" w:after="0" w:line="406" w:lineRule="exact"/>
        <w:ind w:firstLine="211" w:firstLineChars="100"/>
        <w:rPr>
          <w:rFonts w:hint="eastAsia" w:ascii="宋体" w:hAnsi="宋体" w:eastAsia="宋体"/>
          <w:color w:val="auto"/>
          <w:sz w:val="21"/>
          <w:szCs w:val="21"/>
          <w:highlight w:val="none"/>
        </w:rPr>
      </w:pPr>
      <w:bookmarkStart w:id="99" w:name="_（六）磋商保证金"/>
      <w:bookmarkEnd w:id="99"/>
      <w:bookmarkStart w:id="100" w:name="_Toc254970682"/>
      <w:bookmarkStart w:id="101" w:name="_Toc254970541"/>
      <w:bookmarkStart w:id="102" w:name="_Toc353785295"/>
      <w:bookmarkStart w:id="103" w:name="_Toc352700425"/>
      <w:r>
        <w:rPr>
          <w:rFonts w:hint="eastAsia" w:ascii="宋体" w:hAnsi="宋体" w:eastAsia="宋体"/>
          <w:color w:val="auto"/>
          <w:sz w:val="21"/>
          <w:szCs w:val="21"/>
          <w:highlight w:val="none"/>
        </w:rPr>
        <w:t>（六）磋商保证金</w:t>
      </w:r>
      <w:bookmarkEnd w:id="100"/>
      <w:bookmarkEnd w:id="101"/>
      <w:bookmarkEnd w:id="102"/>
      <w:bookmarkEnd w:id="103"/>
    </w:p>
    <w:p>
      <w:pPr>
        <w:snapToGrid w:val="0"/>
        <w:spacing w:line="406" w:lineRule="exact"/>
        <w:ind w:firstLine="420" w:firstLineChars="200"/>
        <w:rPr>
          <w:color w:val="auto"/>
          <w:highlight w:val="none"/>
        </w:rPr>
      </w:pPr>
      <w:bookmarkStart w:id="104" w:name="_Toc254970683"/>
      <w:bookmarkStart w:id="105" w:name="_Toc254970542"/>
      <w:bookmarkStart w:id="106" w:name="_Toc352700426"/>
      <w:bookmarkStart w:id="107" w:name="_Toc353785296"/>
      <w:r>
        <w:rPr>
          <w:rFonts w:hint="eastAsia" w:ascii="宋体" w:hAnsi="宋体"/>
          <w:color w:val="auto"/>
          <w:szCs w:val="21"/>
          <w:highlight w:val="none"/>
        </w:rPr>
        <w:t>本项目免收磋商保证金。</w:t>
      </w:r>
    </w:p>
    <w:bookmarkEnd w:id="104"/>
    <w:bookmarkEnd w:id="105"/>
    <w:bookmarkEnd w:id="106"/>
    <w:bookmarkEnd w:id="107"/>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08" w:name="_Hlk91772691"/>
      <w:r>
        <w:rPr>
          <w:rFonts w:hint="eastAsia" w:ascii="宋体" w:hAnsi="宋体"/>
          <w:color w:val="auto"/>
          <w:szCs w:val="21"/>
          <w:highlight w:val="none"/>
        </w:rPr>
        <w:t>政府采购云平台</w:t>
      </w:r>
      <w:bookmarkEnd w:id="108"/>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4"/>
        <w:spacing w:line="406" w:lineRule="exact"/>
        <w:rPr>
          <w:color w:val="auto"/>
          <w:highlight w:val="none"/>
        </w:rPr>
      </w:pPr>
      <w:bookmarkStart w:id="109" w:name="_四、响应文件开启"/>
      <w:bookmarkEnd w:id="109"/>
      <w:r>
        <w:rPr>
          <w:rFonts w:hint="eastAsia"/>
          <w:color w:val="auto"/>
          <w:highlight w:val="none"/>
        </w:rPr>
        <w:t>四、</w:t>
      </w:r>
      <w:bookmarkStart w:id="110" w:name="_Toc352700430"/>
      <w:bookmarkStart w:id="111" w:name="_Toc353785300"/>
      <w:r>
        <w:rPr>
          <w:rFonts w:hint="eastAsia"/>
          <w:color w:val="auto"/>
          <w:highlight w:val="none"/>
        </w:rPr>
        <w:t>响应文件开启</w:t>
      </w:r>
    </w:p>
    <w:bookmarkEnd w:id="110"/>
    <w:bookmarkEnd w:id="111"/>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2" w:name="_Hlk90300735"/>
      <w:r>
        <w:rPr>
          <w:rFonts w:hint="eastAsia"/>
          <w:color w:val="auto"/>
          <w:highlight w:val="none"/>
        </w:rPr>
        <w:t>政采云远程开标大厅</w:t>
      </w:r>
      <w:bookmarkEnd w:id="112"/>
      <w:r>
        <w:rPr>
          <w:rFonts w:hint="eastAsia"/>
          <w:color w:val="auto"/>
          <w:highlight w:val="none"/>
        </w:rPr>
        <w:t>进行响应文件开启，供应商法定代表人或委托代理人须按时登录</w:t>
      </w:r>
      <w:bookmarkStart w:id="113" w:name="_Hlk90300780"/>
      <w:r>
        <w:rPr>
          <w:rFonts w:hint="eastAsia"/>
          <w:color w:val="auto"/>
          <w:highlight w:val="none"/>
        </w:rPr>
        <w:t>政采云远程开标大厅</w:t>
      </w:r>
      <w:bookmarkEnd w:id="113"/>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14" w:name="_Toc353785301"/>
      <w:bookmarkStart w:id="115" w:name="_Toc35270043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14"/>
      <w:bookmarkEnd w:id="115"/>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06" w:lineRule="exact"/>
        <w:rPr>
          <w:rFonts w:hint="eastAsia" w:ascii="宋体" w:hAnsi="宋体"/>
          <w:color w:val="auto"/>
          <w:szCs w:val="21"/>
          <w:highlight w:val="none"/>
        </w:rPr>
      </w:pPr>
      <w:bookmarkStart w:id="116" w:name="_五、评审与磋商"/>
      <w:bookmarkEnd w:id="116"/>
      <w:bookmarkStart w:id="117" w:name="_Toc254970545"/>
      <w:bookmarkStart w:id="118" w:name="_Toc353785302"/>
      <w:bookmarkStart w:id="119" w:name="_Toc352700432"/>
      <w:bookmarkStart w:id="120" w:name="_Toc254970686"/>
      <w:r>
        <w:rPr>
          <w:rFonts w:hint="eastAsia"/>
          <w:color w:val="auto"/>
          <w:highlight w:val="none"/>
        </w:rPr>
        <w:t>五、</w:t>
      </w:r>
      <w:bookmarkEnd w:id="117"/>
      <w:bookmarkEnd w:id="118"/>
      <w:bookmarkEnd w:id="119"/>
      <w:bookmarkEnd w:id="120"/>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21" w:name="_Toc353785303"/>
      <w:bookmarkStart w:id="122" w:name="_Toc35270043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21"/>
      <w:bookmarkEnd w:id="122"/>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3"/>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3"/>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3"/>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3"/>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3"/>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23" w:name="_Hlk101270484"/>
      <w:r>
        <w:rPr>
          <w:rFonts w:hint="eastAsia"/>
          <w:color w:val="auto"/>
          <w:highlight w:val="none"/>
        </w:rPr>
        <w:t>市场竞争不充分的科研项目，以及需要扶持的科技成果转化项目</w:t>
      </w:r>
      <w:bookmarkEnd w:id="123"/>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3"/>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24" w:name="_Hlk92462362"/>
      <w:r>
        <w:rPr>
          <w:rFonts w:hint="eastAsia" w:hAnsi="宋体"/>
          <w:bCs/>
          <w:color w:val="auto"/>
          <w:highlight w:val="none"/>
        </w:rPr>
        <w:t>澄清、说明或者更正</w:t>
      </w:r>
      <w:bookmarkEnd w:id="124"/>
      <w:r>
        <w:rPr>
          <w:rFonts w:hint="eastAsia" w:hAnsi="宋体"/>
          <w:bCs/>
          <w:color w:val="auto"/>
          <w:highlight w:val="none"/>
        </w:rPr>
        <w:t>。供应商的澄清、说明或者更正不得超出响应文件的范围或者改变响应文件的实质性内容。</w:t>
      </w:r>
    </w:p>
    <w:p>
      <w:pPr>
        <w:pStyle w:val="23"/>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3"/>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3"/>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3"/>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3"/>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4"/>
        <w:spacing w:line="406" w:lineRule="exact"/>
        <w:rPr>
          <w:color w:val="auto"/>
          <w:highlight w:val="none"/>
        </w:rPr>
      </w:pPr>
      <w:r>
        <w:rPr>
          <w:rFonts w:hint="eastAsia"/>
          <w:color w:val="auto"/>
          <w:highlight w:val="none"/>
        </w:rPr>
        <w:t>六、确定成交供应商</w:t>
      </w:r>
    </w:p>
    <w:p>
      <w:pPr>
        <w:pStyle w:val="23"/>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3"/>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4"/>
        <w:spacing w:line="406" w:lineRule="exact"/>
        <w:rPr>
          <w:color w:val="auto"/>
          <w:highlight w:val="none"/>
        </w:rPr>
      </w:pPr>
      <w:r>
        <w:rPr>
          <w:rFonts w:hint="eastAsia"/>
          <w:color w:val="auto"/>
          <w:highlight w:val="none"/>
        </w:rPr>
        <w:t>七、结果公告</w:t>
      </w:r>
    </w:p>
    <w:p>
      <w:pPr>
        <w:pStyle w:val="23"/>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4"/>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25"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25"/>
    <w:p>
      <w:pPr>
        <w:pStyle w:val="4"/>
        <w:spacing w:line="406" w:lineRule="exact"/>
        <w:rPr>
          <w:color w:val="auto"/>
          <w:highlight w:val="none"/>
        </w:rPr>
      </w:pPr>
      <w:bookmarkStart w:id="126" w:name="_十、其他事项"/>
      <w:bookmarkEnd w:id="126"/>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27" w:name="_Hlk94168058"/>
      <w:r>
        <w:rPr>
          <w:rFonts w:hint="eastAsia" w:hAnsi="宋体"/>
          <w:color w:val="auto"/>
          <w:highlight w:val="none"/>
        </w:rPr>
        <w:t>（一）</w:t>
      </w:r>
      <w:bookmarkEnd w:id="127"/>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p>
      <w:pPr>
        <w:spacing w:line="406" w:lineRule="exact"/>
        <w:ind w:firstLine="420" w:firstLineChars="200"/>
        <w:rPr>
          <w:rFonts w:hint="eastAsia" w:hAnsi="宋体"/>
          <w:bCs/>
          <w:color w:val="auto"/>
          <w:highlight w:val="none"/>
        </w:rPr>
      </w:pPr>
    </w:p>
    <w:tbl>
      <w:tblPr>
        <w:tblStyle w:val="38"/>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3"/>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28"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w:t>
      </w:r>
      <w:r>
        <w:rPr>
          <w:rFonts w:hint="eastAsia"/>
          <w:color w:val="auto"/>
          <w:highlight w:val="none"/>
        </w:rPr>
        <w:t xml:space="preserve">陈启梅 </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28"/>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3"/>
        <w:spacing w:line="400" w:lineRule="exact"/>
        <w:rPr>
          <w:rFonts w:hint="eastAsia" w:ascii="方正小标宋_GBK" w:hAnsi="宋体" w:eastAsia="方正小标宋_GBK"/>
          <w:color w:val="auto"/>
          <w:highlight w:val="none"/>
        </w:rPr>
      </w:pPr>
      <w:bookmarkStart w:id="129" w:name="_第四章__评定标准及推荐原则"/>
      <w:bookmarkEnd w:id="129"/>
      <w:bookmarkStart w:id="130" w:name="_Toc92355026"/>
      <w:r>
        <w:rPr>
          <w:rFonts w:hint="eastAsia" w:ascii="方正小标宋_GBK" w:hAnsi="宋体" w:eastAsia="方正小标宋_GBK"/>
          <w:color w:val="auto"/>
          <w:highlight w:val="none"/>
        </w:rPr>
        <w:t>第四章  评定标准及推荐原则</w:t>
      </w:r>
      <w:bookmarkEnd w:id="130"/>
    </w:p>
    <w:p>
      <w:pPr>
        <w:pStyle w:val="23"/>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3"/>
        <w:spacing w:line="500" w:lineRule="exact"/>
        <w:jc w:val="center"/>
        <w:rPr>
          <w:rFonts w:hint="eastAsia" w:hAnsi="宋体"/>
          <w:b/>
          <w:bCs/>
          <w:color w:val="auto"/>
          <w:sz w:val="44"/>
          <w:szCs w:val="44"/>
          <w:highlight w:val="none"/>
        </w:rPr>
      </w:pPr>
      <w:bookmarkStart w:id="131" w:name="_Hlk92463826"/>
      <w:r>
        <w:rPr>
          <w:rFonts w:hint="eastAsia" w:hAnsi="宋体"/>
          <w:b/>
          <w:bCs/>
          <w:color w:val="auto"/>
          <w:sz w:val="44"/>
          <w:szCs w:val="44"/>
          <w:highlight w:val="none"/>
        </w:rPr>
        <w:t>评定标准及推荐原则</w:t>
      </w:r>
    </w:p>
    <w:bookmarkEnd w:id="131"/>
    <w:p>
      <w:pPr>
        <w:rPr>
          <w:color w:val="auto"/>
          <w:highlight w:val="none"/>
        </w:rPr>
      </w:pPr>
    </w:p>
    <w:p>
      <w:pPr>
        <w:pStyle w:val="23"/>
        <w:spacing w:line="460" w:lineRule="exact"/>
        <w:rPr>
          <w:rFonts w:hint="eastAsia" w:hAnsi="宋体"/>
          <w:b/>
          <w:bCs/>
          <w:color w:val="auto"/>
          <w:highlight w:val="none"/>
        </w:rPr>
      </w:pPr>
      <w:r>
        <w:rPr>
          <w:rFonts w:hint="eastAsia" w:hAnsi="宋体"/>
          <w:b/>
          <w:bCs/>
          <w:color w:val="auto"/>
          <w:highlight w:val="none"/>
        </w:rPr>
        <w:t>一、评审原则</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2" w:name="_Hlk89353643"/>
      <w:r>
        <w:rPr>
          <w:rFonts w:hint="eastAsia" w:hAnsi="宋体"/>
          <w:bCs/>
          <w:color w:val="auto"/>
          <w:highlight w:val="none"/>
        </w:rPr>
        <w:t>由采购人代表和评审专家共3人以上单数组成，其中评审专家人数不得少于磋商小组成员总数的2/3。</w:t>
      </w:r>
      <w:bookmarkEnd w:id="132"/>
    </w:p>
    <w:p>
      <w:pPr>
        <w:pStyle w:val="23"/>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3"/>
        <w:spacing w:line="460" w:lineRule="exact"/>
        <w:rPr>
          <w:rFonts w:hint="eastAsia" w:hAnsi="宋体"/>
          <w:b/>
          <w:bCs/>
          <w:color w:val="auto"/>
          <w:highlight w:val="none"/>
        </w:rPr>
      </w:pPr>
      <w:r>
        <w:rPr>
          <w:rFonts w:hint="eastAsia" w:hAnsi="宋体"/>
          <w:b/>
          <w:bCs/>
          <w:color w:val="auto"/>
          <w:highlight w:val="none"/>
        </w:rPr>
        <w:t>二、评分细则</w:t>
      </w:r>
    </w:p>
    <w:p>
      <w:pPr>
        <w:spacing w:line="460" w:lineRule="exact"/>
        <w:ind w:firstLine="211" w:firstLineChars="100"/>
        <w:rPr>
          <w:b/>
          <w:bCs/>
          <w:color w:val="auto"/>
          <w:highlight w:val="none"/>
        </w:rPr>
      </w:pPr>
      <w:r>
        <w:rPr>
          <w:rFonts w:hint="eastAsia"/>
          <w:b/>
          <w:bCs/>
          <w:color w:val="auto"/>
          <w:highlight w:val="none"/>
        </w:rPr>
        <w:t>（一）磋商报价得分（</w:t>
      </w:r>
      <w:r>
        <w:rPr>
          <w:rFonts w:hint="eastAsia"/>
          <w:b/>
          <w:bCs/>
          <w:color w:val="auto"/>
          <w:highlight w:val="none"/>
          <w:lang w:val="en-US" w:eastAsia="zh-CN"/>
        </w:rPr>
        <w:t>20</w:t>
      </w:r>
      <w:r>
        <w:rPr>
          <w:rFonts w:hint="eastAsia"/>
          <w:b/>
          <w:bCs/>
          <w:color w:val="auto"/>
          <w:highlight w:val="none"/>
        </w:rPr>
        <w:t>分）</w:t>
      </w:r>
    </w:p>
    <w:p>
      <w:pPr>
        <w:spacing w:line="460" w:lineRule="exact"/>
        <w:ind w:firstLine="420"/>
        <w:jc w:val="left"/>
        <w:rPr>
          <w:rFonts w:hint="eastAsia" w:ascii="宋体" w:hAnsi="宋体" w:cs="Courier New"/>
          <w:color w:val="auto"/>
          <w:szCs w:val="21"/>
          <w:highlight w:val="none"/>
        </w:rPr>
      </w:pPr>
      <w:r>
        <w:rPr>
          <w:rFonts w:ascii="宋体" w:hAnsi="宋体" w:cs="Courier New"/>
          <w:color w:val="auto"/>
          <w:szCs w:val="21"/>
          <w:highlight w:val="none"/>
        </w:rPr>
        <w:t>满足磋商文件要求且最后报价最低的供应商的价格为磋商基准价，其价格分为满分。其他供应商的价格分统一按照下列公式计算：</w:t>
      </w:r>
    </w:p>
    <w:p>
      <w:pPr>
        <w:spacing w:line="460" w:lineRule="exact"/>
        <w:ind w:firstLine="420"/>
        <w:jc w:val="left"/>
        <w:rPr>
          <w:rFonts w:hint="eastAsia" w:ascii="宋体" w:hAnsi="宋体" w:cs="Courier New"/>
          <w:color w:val="auto"/>
          <w:szCs w:val="21"/>
          <w:highlight w:val="none"/>
        </w:rPr>
      </w:pPr>
      <w:r>
        <w:rPr>
          <w:rFonts w:ascii="宋体" w:hAnsi="宋体" w:cs="Courier New"/>
          <w:color w:val="auto"/>
          <w:szCs w:val="21"/>
          <w:highlight w:val="none"/>
        </w:rPr>
        <w:t>磋商报价得分=（磋商基准价/最后</w:t>
      </w:r>
      <w:r>
        <w:rPr>
          <w:rFonts w:hint="eastAsia" w:ascii="宋体" w:hAnsi="宋体" w:cs="Courier New"/>
          <w:color w:val="auto"/>
          <w:szCs w:val="21"/>
          <w:highlight w:val="none"/>
        </w:rPr>
        <w:t>磋商</w:t>
      </w:r>
      <w:r>
        <w:rPr>
          <w:rFonts w:ascii="宋体" w:hAnsi="宋体" w:cs="Courier New"/>
          <w:color w:val="auto"/>
          <w:szCs w:val="21"/>
          <w:highlight w:val="none"/>
        </w:rPr>
        <w:t>报价）×</w:t>
      </w:r>
      <w:r>
        <w:rPr>
          <w:rFonts w:hint="eastAsia" w:ascii="宋体" w:hAnsi="宋体" w:cs="Courier New"/>
          <w:color w:val="auto"/>
          <w:szCs w:val="21"/>
          <w:highlight w:val="none"/>
          <w:lang w:val="en-US" w:eastAsia="zh-CN"/>
        </w:rPr>
        <w:t>20</w:t>
      </w:r>
      <w:r>
        <w:rPr>
          <w:rFonts w:hint="eastAsia" w:ascii="宋体" w:hAnsi="宋体" w:cs="Courier New"/>
          <w:color w:val="auto"/>
          <w:szCs w:val="21"/>
          <w:highlight w:val="none"/>
        </w:rPr>
        <w:t>分</w:t>
      </w:r>
    </w:p>
    <w:p>
      <w:pPr>
        <w:widowControl/>
        <w:spacing w:line="500" w:lineRule="exact"/>
        <w:ind w:firstLine="42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注：</w:t>
      </w:r>
    </w:p>
    <w:p>
      <w:pPr>
        <w:widowControl/>
        <w:spacing w:line="500" w:lineRule="exact"/>
        <w:ind w:firstLine="0" w:firstLineChars="0"/>
        <w:jc w:val="left"/>
        <w:rPr>
          <w:rFonts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提供的</w:t>
      </w:r>
      <w:r>
        <w:rPr>
          <w:rFonts w:hint="eastAsia" w:ascii="宋体" w:hAnsi="宋体" w:cs="Courier New"/>
          <w:color w:val="auto"/>
          <w:szCs w:val="21"/>
          <w:highlight w:val="none"/>
          <w:lang w:val="en-US" w:eastAsia="zh-CN"/>
        </w:rPr>
        <w:t>服务</w:t>
      </w:r>
      <w:r>
        <w:rPr>
          <w:rFonts w:hint="eastAsia" w:ascii="宋体" w:hAnsi="宋体" w:cs="Courier New"/>
          <w:color w:val="auto"/>
          <w:szCs w:val="21"/>
          <w:highlight w:val="none"/>
        </w:rPr>
        <w:t>符合《政府采购促进中小企业发展管理办法》（财库﹝2020﹞46号）规定，并在</w:t>
      </w:r>
      <w:r>
        <w:rPr>
          <w:rFonts w:hint="eastAsia" w:ascii="宋体" w:hAnsi="宋体" w:cs="Courier New"/>
          <w:color w:val="auto"/>
          <w:szCs w:val="21"/>
          <w:highlight w:val="none"/>
          <w:lang w:val="en-US" w:eastAsia="zh-CN"/>
        </w:rPr>
        <w:t>响应</w:t>
      </w:r>
      <w:r>
        <w:rPr>
          <w:rFonts w:hint="eastAsia" w:ascii="宋体" w:hAnsi="宋体" w:cs="Courier New"/>
          <w:color w:val="auto"/>
          <w:szCs w:val="21"/>
          <w:highlight w:val="none"/>
        </w:rPr>
        <w:t>文件中提供《中小企业声明函》（格式见第六章，</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须对声明的真实性负责）。评审中将对小微型企业报价给予</w:t>
      </w:r>
      <w:r>
        <w:rPr>
          <w:rFonts w:ascii="宋体" w:hAnsi="宋体" w:cs="Courier New"/>
          <w:color w:val="auto"/>
          <w:szCs w:val="21"/>
          <w:highlight w:val="none"/>
        </w:rPr>
        <w:t>2</w:t>
      </w:r>
      <w:r>
        <w:rPr>
          <w:rFonts w:hint="eastAsia" w:ascii="宋体" w:hAnsi="宋体" w:cs="Courier New"/>
          <w:color w:val="auto"/>
          <w:szCs w:val="21"/>
          <w:highlight w:val="none"/>
        </w:rPr>
        <w:t>0%的扣除，扣除后的价格为评标价。</w:t>
      </w:r>
    </w:p>
    <w:p>
      <w:pPr>
        <w:widowControl/>
        <w:spacing w:line="500" w:lineRule="exact"/>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0" w:firstLineChars="0"/>
        <w:jc w:val="left"/>
        <w:rPr>
          <w:rFonts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rPr>
      </w:pPr>
      <w:bookmarkStart w:id="133" w:name="_Hlk93484329"/>
      <w:r>
        <w:rPr>
          <w:rFonts w:hint="eastAsia" w:ascii="Calibri" w:hAnsi="宋体" w:cs="Courier New"/>
          <w:color w:val="auto"/>
          <w:highlight w:val="none"/>
          <w:lang w:eastAsia="zh-CN"/>
        </w:rPr>
        <w:t>供应商</w:t>
      </w:r>
      <w:r>
        <w:rPr>
          <w:rFonts w:hint="eastAsia" w:hAnsi="宋体" w:cs="Courier New"/>
          <w:color w:val="auto"/>
          <w:highlight w:val="none"/>
        </w:rPr>
        <w:t>获得政策性价格扣除的，评标价=</w:t>
      </w:r>
      <w:r>
        <w:rPr>
          <w:rFonts w:hint="eastAsia" w:hAnsi="宋体" w:cs="Courier New"/>
          <w:color w:val="auto"/>
          <w:highlight w:val="none"/>
          <w:lang w:val="en-US" w:eastAsia="zh-CN"/>
        </w:rPr>
        <w:t>供应商最后磋商</w:t>
      </w:r>
      <w:r>
        <w:rPr>
          <w:rFonts w:hint="eastAsia" w:hAnsi="宋体" w:cs="Courier New"/>
          <w:color w:val="auto"/>
          <w:highlight w:val="none"/>
        </w:rPr>
        <w:t>报价×（1-</w:t>
      </w:r>
      <w:r>
        <w:rPr>
          <w:rFonts w:hAnsi="宋体" w:cs="Courier New"/>
          <w:color w:val="auto"/>
          <w:highlight w:val="none"/>
        </w:rPr>
        <w:t>2</w:t>
      </w:r>
      <w:r>
        <w:rPr>
          <w:rFonts w:hint="eastAsia" w:hAnsi="宋体" w:cs="Courier New"/>
          <w:color w:val="auto"/>
          <w:highlight w:val="none"/>
        </w:rPr>
        <w:t>0%），否则评标价=</w:t>
      </w:r>
      <w:r>
        <w:rPr>
          <w:rFonts w:hint="eastAsia" w:hAnsi="宋体" w:cs="Courier New"/>
          <w:color w:val="auto"/>
          <w:highlight w:val="none"/>
          <w:lang w:val="en-US" w:eastAsia="zh-CN"/>
        </w:rPr>
        <w:t>供应商最后磋商</w:t>
      </w:r>
      <w:r>
        <w:rPr>
          <w:rFonts w:hint="eastAsia" w:hAnsi="宋体" w:cs="Courier New"/>
          <w:color w:val="auto"/>
          <w:highlight w:val="none"/>
        </w:rPr>
        <w:t>报价。满足招标文件全部实质性要求的</w:t>
      </w:r>
      <w:r>
        <w:rPr>
          <w:rFonts w:hint="eastAsia" w:hAnsi="宋体" w:cs="Courier New"/>
          <w:color w:val="auto"/>
          <w:highlight w:val="none"/>
          <w:lang w:eastAsia="zh-CN"/>
        </w:rPr>
        <w:t>供应商</w:t>
      </w:r>
      <w:r>
        <w:rPr>
          <w:rFonts w:hint="eastAsia" w:hAnsi="宋体" w:cs="Courier New"/>
          <w:color w:val="auto"/>
          <w:highlight w:val="none"/>
        </w:rPr>
        <w:t>最低评标价为</w:t>
      </w:r>
      <w:r>
        <w:rPr>
          <w:rFonts w:hint="eastAsia" w:hAnsi="宋体" w:cs="Courier New"/>
          <w:color w:val="auto"/>
          <w:highlight w:val="none"/>
          <w:lang w:val="en-US" w:eastAsia="zh-CN"/>
        </w:rPr>
        <w:t>磋商</w:t>
      </w:r>
      <w:r>
        <w:rPr>
          <w:rFonts w:hint="eastAsia" w:hAnsi="宋体" w:cs="Courier New"/>
          <w:color w:val="auto"/>
          <w:highlight w:val="none"/>
        </w:rPr>
        <w:t>基准价。</w:t>
      </w:r>
      <w:r>
        <w:rPr>
          <w:rFonts w:hint="eastAsia" w:ascii="Calibri" w:hAnsi="宋体" w:cs="Courier New"/>
          <w:color w:val="auto"/>
          <w:highlight w:val="none"/>
        </w:rPr>
        <w:t>评标价仅作评标时使用，</w:t>
      </w:r>
      <w:r>
        <w:rPr>
          <w:rFonts w:hint="eastAsia" w:ascii="Calibri" w:hAnsi="宋体" w:cs="Courier New"/>
          <w:color w:val="auto"/>
          <w:highlight w:val="none"/>
          <w:lang w:val="en-US" w:eastAsia="zh-CN"/>
        </w:rPr>
        <w:t>成交</w:t>
      </w:r>
      <w:r>
        <w:rPr>
          <w:rFonts w:hint="eastAsia" w:ascii="Calibri" w:hAnsi="宋体" w:cs="Courier New"/>
          <w:color w:val="auto"/>
          <w:highlight w:val="none"/>
        </w:rPr>
        <w:t>金额＝</w:t>
      </w:r>
      <w:r>
        <w:rPr>
          <w:rFonts w:hint="eastAsia" w:ascii="Calibri" w:hAnsi="宋体" w:cs="Courier New"/>
          <w:color w:val="auto"/>
          <w:highlight w:val="none"/>
          <w:lang w:val="en-US" w:eastAsia="zh-CN"/>
        </w:rPr>
        <w:t>磋商</w:t>
      </w:r>
      <w:r>
        <w:rPr>
          <w:rFonts w:hint="eastAsia" w:ascii="Calibri" w:hAnsi="宋体" w:cs="Courier New"/>
          <w:color w:val="auto"/>
          <w:highlight w:val="none"/>
        </w:rPr>
        <w:t>报价</w:t>
      </w:r>
      <w:r>
        <w:rPr>
          <w:rFonts w:hint="eastAsia" w:hAnsi="宋体" w:cs="Courier New"/>
          <w:color w:val="auto"/>
          <w:highlight w:val="none"/>
        </w:rPr>
        <w:t>。</w:t>
      </w:r>
      <w:bookmarkEnd w:id="133"/>
    </w:p>
    <w:p>
      <w:pPr>
        <w:widowControl/>
        <w:spacing w:line="440" w:lineRule="exact"/>
        <w:ind w:firstLine="282" w:firstLineChars="134"/>
        <w:rPr>
          <w:rFonts w:ascii="宋体" w:hAnsi="宋体" w:cs="宋体"/>
          <w:b/>
          <w:bCs/>
          <w:color w:val="auto"/>
          <w:spacing w:val="-12"/>
          <w:kern w:val="0"/>
          <w:szCs w:val="21"/>
          <w:highlight w:val="none"/>
        </w:rPr>
      </w:pPr>
      <w:r>
        <w:rPr>
          <w:rFonts w:hint="eastAsia" w:ascii="宋体" w:hAnsi="宋体" w:cs="宋体"/>
          <w:b/>
          <w:bCs/>
          <w:color w:val="auto"/>
          <w:kern w:val="0"/>
          <w:szCs w:val="21"/>
          <w:highlight w:val="none"/>
        </w:rPr>
        <w:t>（二）技术</w:t>
      </w:r>
      <w:r>
        <w:rPr>
          <w:rFonts w:hint="eastAsia" w:ascii="宋体" w:hAnsi="宋体" w:cs="宋体"/>
          <w:b/>
          <w:bCs/>
          <w:color w:val="auto"/>
          <w:kern w:val="0"/>
          <w:szCs w:val="21"/>
          <w:highlight w:val="none"/>
          <w:lang w:val="en-US" w:eastAsia="zh-CN"/>
        </w:rPr>
        <w:t>分</w:t>
      </w:r>
      <w:r>
        <w:rPr>
          <w:rFonts w:hint="eastAsia" w:ascii="宋体" w:hAnsi="宋体" w:cs="宋体"/>
          <w:b/>
          <w:bCs/>
          <w:color w:val="auto"/>
          <w:spacing w:val="-12"/>
          <w:kern w:val="0"/>
          <w:szCs w:val="21"/>
          <w:highlight w:val="none"/>
        </w:rPr>
        <w:t>（</w:t>
      </w:r>
      <w:r>
        <w:rPr>
          <w:rFonts w:hint="eastAsia" w:ascii="宋体" w:hAnsi="宋体" w:cs="宋体"/>
          <w:b/>
          <w:bCs/>
          <w:color w:val="auto"/>
          <w:spacing w:val="-12"/>
          <w:kern w:val="0"/>
          <w:szCs w:val="21"/>
          <w:highlight w:val="none"/>
          <w:lang w:val="en-US" w:eastAsia="zh-CN"/>
        </w:rPr>
        <w:t>56</w:t>
      </w:r>
      <w:r>
        <w:rPr>
          <w:rFonts w:hint="eastAsia" w:ascii="宋体" w:hAnsi="宋体" w:cs="宋体"/>
          <w:b/>
          <w:bCs/>
          <w:color w:val="auto"/>
          <w:spacing w:val="-12"/>
          <w:kern w:val="0"/>
          <w:szCs w:val="21"/>
          <w:highlight w:val="none"/>
        </w:rPr>
        <w:t>分）</w:t>
      </w:r>
    </w:p>
    <w:p>
      <w:pPr>
        <w:spacing w:line="360" w:lineRule="auto"/>
        <w:ind w:firstLine="422" w:firstLineChars="200"/>
        <w:rPr>
          <w:rFonts w:hint="eastAsia" w:ascii="宋体" w:hAnsi="宋体" w:cs="仿宋"/>
          <w:szCs w:val="21"/>
          <w:highlight w:val="none"/>
        </w:rPr>
      </w:pPr>
      <w:r>
        <w:rPr>
          <w:rFonts w:hint="eastAsia" w:ascii="宋体" w:hAnsi="宋体" w:cs="宋体"/>
          <w:b/>
          <w:bCs/>
          <w:color w:val="auto"/>
          <w:kern w:val="0"/>
          <w:szCs w:val="21"/>
          <w:highlight w:val="none"/>
          <w:lang w:val="en-US" w:eastAsia="zh-CN" w:bidi="ar"/>
        </w:rPr>
        <w:t>1.</w:t>
      </w:r>
      <w:r>
        <w:rPr>
          <w:rFonts w:ascii="宋体" w:hAnsi="宋体" w:cs="仿宋"/>
          <w:b/>
          <w:bCs/>
          <w:szCs w:val="21"/>
          <w:highlight w:val="none"/>
        </w:rPr>
        <w:t>服务方案分</w:t>
      </w:r>
      <w:r>
        <w:rPr>
          <w:rFonts w:hint="eastAsia" w:ascii="宋体" w:hAnsi="宋体" w:cs="仿宋"/>
          <w:szCs w:val="21"/>
          <w:highlight w:val="none"/>
        </w:rPr>
        <w:t>（</w:t>
      </w:r>
      <w:r>
        <w:rPr>
          <w:rFonts w:hint="eastAsia" w:ascii="宋体" w:hAnsi="宋体" w:cs="仿宋"/>
          <w:szCs w:val="21"/>
          <w:highlight w:val="none"/>
          <w:lang w:val="en-US" w:eastAsia="zh-CN"/>
        </w:rPr>
        <w:t>16</w:t>
      </w:r>
      <w:r>
        <w:rPr>
          <w:rFonts w:ascii="宋体" w:hAnsi="宋体" w:cs="仿宋"/>
          <w:szCs w:val="21"/>
          <w:highlight w:val="none"/>
        </w:rPr>
        <w:t>分</w:t>
      </w:r>
      <w:r>
        <w:rPr>
          <w:rFonts w:hint="eastAsia" w:ascii="宋体" w:hAnsi="宋体" w:cs="仿宋"/>
          <w:szCs w:val="21"/>
          <w:highlight w:val="none"/>
        </w:rPr>
        <w:t>）</w:t>
      </w:r>
    </w:p>
    <w:p>
      <w:pPr>
        <w:spacing w:line="360" w:lineRule="auto"/>
        <w:ind w:firstLine="420" w:firstLineChars="200"/>
        <w:rPr>
          <w:rFonts w:hint="eastAsia"/>
          <w:highlight w:val="none"/>
        </w:rPr>
      </w:pPr>
      <w:r>
        <w:rPr>
          <w:rFonts w:ascii="宋体" w:hAnsi="宋体" w:cs="仿宋"/>
          <w:szCs w:val="21"/>
          <w:highlight w:val="none"/>
        </w:rPr>
        <w:t>服务工作方案</w:t>
      </w:r>
      <w:r>
        <w:rPr>
          <w:rFonts w:hint="eastAsia" w:ascii="宋体" w:hAnsi="宋体" w:cs="仿宋"/>
          <w:szCs w:val="21"/>
          <w:highlight w:val="none"/>
          <w:lang w:val="en-US" w:eastAsia="zh-CN"/>
        </w:rPr>
        <w:t>满足项目需求且</w:t>
      </w:r>
      <w:r>
        <w:rPr>
          <w:rFonts w:ascii="宋体" w:hAnsi="宋体" w:cs="仿宋"/>
          <w:szCs w:val="21"/>
          <w:highlight w:val="none"/>
        </w:rPr>
        <w:t>包括以下内容：</w:t>
      </w:r>
      <w:bookmarkStart w:id="134" w:name="OLE_LINK2"/>
      <w:r>
        <w:rPr>
          <w:rFonts w:hint="default" w:ascii="宋体" w:hAnsi="宋体"/>
          <w:color w:val="000000"/>
          <w:sz w:val="21"/>
          <w:szCs w:val="21"/>
          <w:highlight w:val="none"/>
        </w:rPr>
        <w:t>①</w:t>
      </w:r>
      <w:r>
        <w:rPr>
          <w:rFonts w:ascii="宋体" w:hAnsi="宋体" w:cs="仿宋"/>
          <w:szCs w:val="21"/>
          <w:highlight w:val="none"/>
        </w:rPr>
        <w:t>服务工作目标理解、</w:t>
      </w:r>
      <w:r>
        <w:rPr>
          <w:rFonts w:hint="default" w:ascii="宋体" w:hAnsi="宋体"/>
          <w:color w:val="000000"/>
          <w:sz w:val="21"/>
          <w:szCs w:val="21"/>
          <w:highlight w:val="none"/>
        </w:rPr>
        <w:t>②</w:t>
      </w:r>
      <w:r>
        <w:rPr>
          <w:rFonts w:ascii="宋体" w:hAnsi="宋体" w:cs="仿宋"/>
          <w:szCs w:val="21"/>
          <w:highlight w:val="none"/>
        </w:rPr>
        <w:t>实施保障体系、</w:t>
      </w:r>
      <w:r>
        <w:rPr>
          <w:rFonts w:hint="default" w:ascii="宋体" w:hAnsi="宋体"/>
          <w:color w:val="000000"/>
          <w:sz w:val="21"/>
          <w:szCs w:val="21"/>
          <w:highlight w:val="none"/>
        </w:rPr>
        <w:t>③</w:t>
      </w:r>
      <w:r>
        <w:rPr>
          <w:rFonts w:ascii="宋体" w:hAnsi="宋体" w:cs="仿宋"/>
          <w:szCs w:val="21"/>
          <w:highlight w:val="none"/>
        </w:rPr>
        <w:t>服务工作方法、</w:t>
      </w:r>
      <w:r>
        <w:rPr>
          <w:rFonts w:hint="default" w:ascii="宋体" w:hAnsi="宋体"/>
          <w:color w:val="000000"/>
          <w:sz w:val="21"/>
          <w:szCs w:val="21"/>
          <w:highlight w:val="none"/>
        </w:rPr>
        <w:t>④</w:t>
      </w:r>
      <w:r>
        <w:rPr>
          <w:rFonts w:ascii="宋体" w:hAnsi="宋体" w:cs="仿宋"/>
          <w:szCs w:val="21"/>
          <w:highlight w:val="none"/>
        </w:rPr>
        <w:t>实施进度控制、</w:t>
      </w:r>
      <w:r>
        <w:rPr>
          <w:rFonts w:hint="default" w:ascii="宋体" w:hAnsi="宋体" w:cs="宋体"/>
          <w:sz w:val="21"/>
          <w:szCs w:val="21"/>
          <w:highlight w:val="none"/>
        </w:rPr>
        <w:t>⑤</w:t>
      </w:r>
      <w:r>
        <w:rPr>
          <w:rFonts w:ascii="宋体" w:hAnsi="宋体" w:cs="仿宋"/>
          <w:szCs w:val="21"/>
          <w:highlight w:val="none"/>
        </w:rPr>
        <w:t>实施过程风险和难点分析控制、</w:t>
      </w:r>
      <w:r>
        <w:rPr>
          <w:rFonts w:hint="default" w:ascii="宋体" w:hAnsi="宋体"/>
          <w:color w:val="000000"/>
          <w:sz w:val="21"/>
          <w:szCs w:val="21"/>
          <w:highlight w:val="none"/>
        </w:rPr>
        <w:t>⑥</w:t>
      </w:r>
      <w:r>
        <w:rPr>
          <w:rFonts w:ascii="宋体" w:hAnsi="宋体" w:cs="仿宋"/>
          <w:szCs w:val="21"/>
          <w:highlight w:val="none"/>
        </w:rPr>
        <w:t>服务保障、</w:t>
      </w:r>
      <w:r>
        <w:rPr>
          <w:rFonts w:hint="default" w:ascii="宋体" w:hAnsi="宋体"/>
          <w:color w:val="000000"/>
          <w:sz w:val="21"/>
          <w:szCs w:val="21"/>
          <w:highlight w:val="none"/>
        </w:rPr>
        <w:t>⑦</w:t>
      </w:r>
      <w:r>
        <w:rPr>
          <w:rFonts w:ascii="宋体" w:hAnsi="宋体" w:cs="仿宋"/>
          <w:szCs w:val="21"/>
          <w:highlight w:val="none"/>
        </w:rPr>
        <w:t>验收方案</w:t>
      </w:r>
      <w:r>
        <w:rPr>
          <w:rFonts w:hint="eastAsia" w:ascii="宋体" w:hAnsi="宋体" w:cs="仿宋"/>
          <w:szCs w:val="21"/>
          <w:highlight w:val="none"/>
        </w:rPr>
        <w:t>、</w:t>
      </w:r>
      <w:r>
        <w:rPr>
          <w:rFonts w:hint="eastAsia" w:ascii="宋体" w:hAnsi="宋体" w:eastAsia="宋体" w:cs="宋体"/>
          <w:szCs w:val="21"/>
          <w:highlight w:val="none"/>
        </w:rPr>
        <w:t>⑧</w:t>
      </w:r>
      <w:r>
        <w:rPr>
          <w:rFonts w:hint="eastAsia" w:ascii="宋体" w:hAnsi="宋体" w:cs="仿宋"/>
          <w:szCs w:val="21"/>
          <w:highlight w:val="none"/>
        </w:rPr>
        <w:t>服务质量保证方案</w:t>
      </w:r>
      <w:r>
        <w:rPr>
          <w:rFonts w:ascii="宋体" w:hAnsi="宋体" w:cs="仿宋"/>
          <w:szCs w:val="21"/>
          <w:highlight w:val="none"/>
        </w:rPr>
        <w:t>等</w:t>
      </w:r>
      <w:r>
        <w:rPr>
          <w:rFonts w:hint="eastAsia" w:ascii="宋体" w:hAnsi="宋体" w:cs="仿宋"/>
          <w:szCs w:val="21"/>
          <w:highlight w:val="none"/>
        </w:rPr>
        <w:t>，</w:t>
      </w:r>
      <w:r>
        <w:rPr>
          <w:rFonts w:hint="eastAsia" w:ascii="宋体" w:hAnsi="宋体" w:cs="仿宋"/>
          <w:szCs w:val="21"/>
          <w:highlight w:val="none"/>
          <w:lang w:val="en-US" w:eastAsia="zh-CN"/>
        </w:rPr>
        <w:t>每有一项得2分，满分16分，</w:t>
      </w:r>
      <w:r>
        <w:rPr>
          <w:rFonts w:hint="eastAsia" w:ascii="宋体" w:hAnsi="宋体" w:cs="仿宋"/>
          <w:szCs w:val="21"/>
          <w:highlight w:val="none"/>
        </w:rPr>
        <w:t>内容不齐全不得分。</w:t>
      </w:r>
      <w:bookmarkEnd w:id="134"/>
    </w:p>
    <w:p>
      <w:pPr>
        <w:spacing w:line="360" w:lineRule="auto"/>
        <w:ind w:firstLine="422" w:firstLineChars="200"/>
        <w:rPr>
          <w:rFonts w:hint="default"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2.培训方案分（15分）</w:t>
      </w:r>
    </w:p>
    <w:p>
      <w:pPr>
        <w:spacing w:line="360" w:lineRule="auto"/>
        <w:ind w:firstLine="420" w:firstLineChars="200"/>
        <w:rPr>
          <w:rFonts w:hint="eastAsia" w:ascii="宋体" w:hAnsi="宋体" w:eastAsia="宋体" w:cs="宋体"/>
          <w:b/>
          <w:bCs/>
          <w:color w:val="auto"/>
          <w:kern w:val="0"/>
          <w:szCs w:val="21"/>
          <w:highlight w:val="none"/>
          <w:lang w:val="en-US" w:eastAsia="zh-CN" w:bidi="ar"/>
        </w:rPr>
      </w:pPr>
      <w:r>
        <w:rPr>
          <w:rFonts w:hint="eastAsia" w:ascii="宋体" w:hAnsi="宋体" w:cs="宋体"/>
          <w:szCs w:val="21"/>
          <w:highlight w:val="none"/>
          <w:lang w:eastAsia="zh-CN"/>
        </w:rPr>
        <w:t>提供满足项目需求</w:t>
      </w:r>
      <w:r>
        <w:rPr>
          <w:rFonts w:hint="eastAsia" w:ascii="宋体" w:hAnsi="宋体" w:cs="宋体"/>
          <w:szCs w:val="21"/>
          <w:highlight w:val="none"/>
          <w:lang w:val="en-US" w:eastAsia="zh-CN"/>
        </w:rPr>
        <w:t>且</w:t>
      </w:r>
      <w:r>
        <w:rPr>
          <w:rFonts w:hint="eastAsia" w:ascii="宋体" w:hAnsi="宋体" w:cs="宋体"/>
          <w:szCs w:val="21"/>
          <w:highlight w:val="none"/>
          <w:lang w:eastAsia="zh-CN"/>
        </w:rPr>
        <w:t>具体的</w:t>
      </w:r>
      <w:r>
        <w:rPr>
          <w:rFonts w:hint="eastAsia" w:ascii="宋体" w:hAnsi="宋体" w:cs="宋体"/>
          <w:szCs w:val="21"/>
          <w:highlight w:val="none"/>
          <w:lang w:val="en-US" w:eastAsia="zh-CN"/>
        </w:rPr>
        <w:t>培训</w:t>
      </w:r>
      <w:r>
        <w:rPr>
          <w:rFonts w:hint="eastAsia" w:ascii="宋体" w:hAnsi="宋体" w:cs="宋体"/>
          <w:szCs w:val="21"/>
          <w:highlight w:val="none"/>
          <w:lang w:eastAsia="zh-CN"/>
        </w:rPr>
        <w:t>服务方案，包括</w:t>
      </w:r>
      <w:r>
        <w:rPr>
          <w:rFonts w:hint="default" w:ascii="宋体" w:hAnsi="宋体"/>
          <w:color w:val="000000"/>
          <w:sz w:val="21"/>
          <w:szCs w:val="21"/>
          <w:highlight w:val="none"/>
        </w:rPr>
        <w:t>①</w:t>
      </w:r>
      <w:r>
        <w:rPr>
          <w:rFonts w:hint="eastAsia" w:ascii="宋体" w:hAnsi="宋体" w:cs="宋体"/>
          <w:szCs w:val="21"/>
          <w:highlight w:val="none"/>
          <w:lang w:eastAsia="zh-CN"/>
        </w:rPr>
        <w:t>宣讲活动组织方式、</w:t>
      </w:r>
      <w:r>
        <w:rPr>
          <w:rFonts w:hint="default" w:ascii="宋体" w:hAnsi="宋体"/>
          <w:color w:val="000000"/>
          <w:sz w:val="21"/>
          <w:szCs w:val="21"/>
          <w:highlight w:val="none"/>
        </w:rPr>
        <w:t>②</w:t>
      </w:r>
      <w:r>
        <w:rPr>
          <w:rFonts w:hint="eastAsia" w:ascii="宋体" w:hAnsi="宋体" w:cs="宋体"/>
          <w:szCs w:val="21"/>
          <w:highlight w:val="none"/>
          <w:lang w:eastAsia="zh-CN"/>
        </w:rPr>
        <w:t>宣讲的途径、</w:t>
      </w:r>
      <w:r>
        <w:rPr>
          <w:rFonts w:hint="default" w:ascii="宋体" w:hAnsi="宋体"/>
          <w:color w:val="000000"/>
          <w:sz w:val="21"/>
          <w:szCs w:val="21"/>
          <w:highlight w:val="none"/>
        </w:rPr>
        <w:t>③</w:t>
      </w:r>
      <w:r>
        <w:rPr>
          <w:rFonts w:hint="eastAsia" w:ascii="宋体" w:hAnsi="宋体" w:cs="宋体"/>
          <w:szCs w:val="21"/>
          <w:highlight w:val="none"/>
          <w:lang w:eastAsia="zh-CN"/>
        </w:rPr>
        <w:t>宣讲所需材料、</w:t>
      </w:r>
      <w:r>
        <w:rPr>
          <w:rFonts w:hint="default" w:ascii="宋体" w:hAnsi="宋体"/>
          <w:color w:val="000000"/>
          <w:sz w:val="21"/>
          <w:szCs w:val="21"/>
          <w:highlight w:val="none"/>
        </w:rPr>
        <w:t>④</w:t>
      </w:r>
      <w:r>
        <w:rPr>
          <w:rFonts w:hint="eastAsia" w:ascii="宋体" w:hAnsi="宋体"/>
          <w:color w:val="000000"/>
          <w:sz w:val="21"/>
          <w:szCs w:val="21"/>
          <w:highlight w:val="none"/>
          <w:lang w:val="en-US" w:eastAsia="zh-CN"/>
        </w:rPr>
        <w:t>培训流程、</w:t>
      </w:r>
      <w:r>
        <w:rPr>
          <w:rFonts w:hint="default" w:ascii="宋体" w:hAnsi="宋体" w:cs="宋体"/>
          <w:sz w:val="21"/>
          <w:szCs w:val="21"/>
          <w:highlight w:val="none"/>
        </w:rPr>
        <w:t>⑤</w:t>
      </w:r>
      <w:r>
        <w:rPr>
          <w:rFonts w:hint="eastAsia" w:ascii="宋体" w:hAnsi="宋体" w:cs="宋体"/>
          <w:sz w:val="21"/>
          <w:szCs w:val="21"/>
          <w:highlight w:val="none"/>
          <w:lang w:val="en-US" w:eastAsia="zh-CN"/>
        </w:rPr>
        <w:t>核心课程内容</w:t>
      </w:r>
      <w:r>
        <w:rPr>
          <w:rFonts w:hint="eastAsia" w:ascii="宋体" w:hAnsi="宋体" w:cs="宋体"/>
          <w:szCs w:val="21"/>
          <w:highlight w:val="none"/>
          <w:lang w:eastAsia="zh-CN"/>
        </w:rPr>
        <w:t>等，</w:t>
      </w:r>
      <w:r>
        <w:rPr>
          <w:rFonts w:hint="eastAsia" w:ascii="宋体" w:hAnsi="宋体" w:cs="仿宋"/>
          <w:szCs w:val="21"/>
          <w:highlight w:val="none"/>
          <w:lang w:val="en-US" w:eastAsia="zh-CN"/>
        </w:rPr>
        <w:t>每有一项得3分，内容不齐全不得分。</w:t>
      </w:r>
      <w:r>
        <w:rPr>
          <w:rFonts w:hint="eastAsia" w:ascii="宋体" w:hAnsi="宋体" w:cs="宋体"/>
          <w:szCs w:val="21"/>
          <w:highlight w:val="none"/>
          <w:lang w:eastAsia="zh-CN"/>
        </w:rPr>
        <w:t>根据方案进行评审，</w:t>
      </w:r>
      <w:r>
        <w:rPr>
          <w:rFonts w:hint="eastAsia" w:ascii="宋体" w:hAnsi="宋体" w:cs="宋体"/>
          <w:szCs w:val="21"/>
          <w:highlight w:val="none"/>
          <w:lang w:val="en-US" w:eastAsia="zh-CN"/>
        </w:rPr>
        <w:t>满分为15分</w:t>
      </w:r>
      <w:r>
        <w:rPr>
          <w:rFonts w:hint="eastAsia" w:ascii="宋体" w:hAnsi="宋体" w:cs="仿宋"/>
          <w:szCs w:val="21"/>
          <w:highlight w:val="none"/>
          <w:lang w:eastAsia="zh-CN"/>
        </w:rPr>
        <w:t>。</w:t>
      </w:r>
    </w:p>
    <w:p>
      <w:pPr>
        <w:spacing w:line="360" w:lineRule="auto"/>
        <w:ind w:firstLine="422" w:firstLineChars="200"/>
        <w:rPr>
          <w:rFonts w:hint="eastAsia" w:ascii="宋体" w:hAnsi="宋体" w:cs="仿宋"/>
          <w:b/>
          <w:bCs/>
          <w:szCs w:val="21"/>
          <w:highlight w:val="none"/>
        </w:rPr>
      </w:pPr>
      <w:r>
        <w:rPr>
          <w:rFonts w:hint="eastAsia" w:ascii="宋体" w:hAnsi="宋体" w:cs="宋体"/>
          <w:b/>
          <w:bCs/>
          <w:color w:val="auto"/>
          <w:kern w:val="0"/>
          <w:szCs w:val="21"/>
          <w:highlight w:val="none"/>
          <w:lang w:val="en-US" w:eastAsia="zh-CN" w:bidi="ar"/>
        </w:rPr>
        <w:t>3.</w:t>
      </w:r>
      <w:r>
        <w:rPr>
          <w:rFonts w:ascii="宋体" w:hAnsi="宋体" w:cs="仿宋"/>
          <w:b/>
          <w:bCs/>
          <w:szCs w:val="21"/>
          <w:highlight w:val="none"/>
        </w:rPr>
        <w:t>履约能力分</w:t>
      </w:r>
      <w:r>
        <w:rPr>
          <w:rFonts w:hint="eastAsia" w:ascii="宋体" w:hAnsi="宋体" w:cs="仿宋"/>
          <w:b/>
          <w:bCs/>
          <w:szCs w:val="21"/>
          <w:highlight w:val="none"/>
        </w:rPr>
        <w:t>（</w:t>
      </w:r>
      <w:r>
        <w:rPr>
          <w:rFonts w:hint="eastAsia" w:ascii="宋体" w:hAnsi="宋体" w:cs="仿宋"/>
          <w:b/>
          <w:bCs/>
          <w:szCs w:val="21"/>
          <w:highlight w:val="none"/>
          <w:lang w:val="en-US" w:eastAsia="zh-CN"/>
        </w:rPr>
        <w:t>25</w:t>
      </w:r>
      <w:r>
        <w:rPr>
          <w:rFonts w:ascii="宋体" w:hAnsi="宋体" w:cs="仿宋"/>
          <w:b/>
          <w:bCs/>
          <w:szCs w:val="21"/>
          <w:highlight w:val="none"/>
        </w:rPr>
        <w:t>分</w:t>
      </w:r>
      <w:r>
        <w:rPr>
          <w:rFonts w:hint="eastAsia" w:ascii="宋体" w:hAnsi="宋体" w:cs="仿宋"/>
          <w:b/>
          <w:bCs/>
          <w:szCs w:val="21"/>
          <w:highlight w:val="none"/>
        </w:rPr>
        <w:t>）</w:t>
      </w:r>
    </w:p>
    <w:p>
      <w:pPr>
        <w:spacing w:line="360" w:lineRule="auto"/>
        <w:ind w:firstLine="420" w:firstLineChars="200"/>
        <w:rPr>
          <w:rFonts w:hint="default" w:ascii="宋体" w:hAnsi="宋体" w:eastAsia="宋体" w:cs="仿宋"/>
          <w:szCs w:val="21"/>
          <w:highlight w:val="none"/>
          <w:lang w:val="en-US" w:eastAsia="zh-CN"/>
        </w:rPr>
      </w:pPr>
      <w:r>
        <w:rPr>
          <w:rFonts w:hint="eastAsia" w:ascii="宋体" w:hAnsi="宋体" w:cs="仿宋"/>
          <w:szCs w:val="21"/>
          <w:highlight w:val="none"/>
          <w:lang w:val="en-US" w:eastAsia="zh-CN"/>
        </w:rPr>
        <w:t>3</w:t>
      </w:r>
      <w:r>
        <w:rPr>
          <w:rFonts w:ascii="宋体" w:hAnsi="宋体" w:cs="仿宋"/>
          <w:szCs w:val="21"/>
          <w:highlight w:val="none"/>
        </w:rPr>
        <w:t>.1拟投入本项目的项目负责人具备高级技术职称</w:t>
      </w:r>
      <w:r>
        <w:rPr>
          <w:rFonts w:hint="eastAsia" w:ascii="宋体" w:hAnsi="宋体" w:cs="仿宋"/>
          <w:szCs w:val="21"/>
          <w:highlight w:val="none"/>
          <w:lang w:val="en-US" w:eastAsia="zh-CN"/>
        </w:rPr>
        <w:t>或以上的得5</w:t>
      </w:r>
      <w:r>
        <w:rPr>
          <w:rFonts w:ascii="宋体" w:hAnsi="宋体" w:cs="仿宋"/>
          <w:szCs w:val="21"/>
          <w:highlight w:val="none"/>
        </w:rPr>
        <w:t>分；具备工程师</w:t>
      </w:r>
      <w:r>
        <w:rPr>
          <w:rFonts w:hint="eastAsia" w:ascii="宋体" w:hAnsi="宋体" w:cs="仿宋"/>
          <w:szCs w:val="21"/>
          <w:highlight w:val="none"/>
          <w:lang w:val="en-US" w:eastAsia="zh-CN"/>
        </w:rPr>
        <w:t>职称的得3分，具备初级</w:t>
      </w:r>
      <w:r>
        <w:rPr>
          <w:rFonts w:ascii="宋体" w:hAnsi="宋体" w:cs="仿宋"/>
          <w:szCs w:val="21"/>
          <w:highlight w:val="none"/>
        </w:rPr>
        <w:t>技术职称</w:t>
      </w:r>
      <w:r>
        <w:rPr>
          <w:rFonts w:hint="eastAsia" w:ascii="宋体" w:hAnsi="宋体" w:cs="仿宋"/>
          <w:szCs w:val="21"/>
          <w:highlight w:val="none"/>
          <w:lang w:val="en-US" w:eastAsia="zh-CN"/>
        </w:rPr>
        <w:t>的</w:t>
      </w:r>
      <w:r>
        <w:rPr>
          <w:rFonts w:ascii="宋体" w:hAnsi="宋体" w:cs="仿宋"/>
          <w:szCs w:val="21"/>
          <w:highlight w:val="none"/>
        </w:rPr>
        <w:t>，得1分。</w:t>
      </w:r>
      <w:r>
        <w:rPr>
          <w:rFonts w:hint="eastAsia"/>
          <w:highlight w:val="none"/>
          <w:lang w:eastAsia="zh-CN"/>
        </w:rPr>
        <w:t>（</w:t>
      </w:r>
      <w:r>
        <w:rPr>
          <w:rFonts w:hint="eastAsia"/>
          <w:highlight w:val="none"/>
          <w:lang w:val="en-US" w:eastAsia="zh-CN"/>
        </w:rPr>
        <w:t>满分5分）</w:t>
      </w:r>
    </w:p>
    <w:p>
      <w:pPr>
        <w:spacing w:line="360" w:lineRule="auto"/>
        <w:ind w:firstLine="420" w:firstLineChars="200"/>
        <w:rPr>
          <w:rFonts w:hint="eastAsia" w:ascii="宋体" w:hAnsi="宋体" w:cs="仿宋"/>
          <w:szCs w:val="21"/>
          <w:highlight w:val="none"/>
        </w:rPr>
      </w:pPr>
      <w:r>
        <w:rPr>
          <w:rFonts w:hint="eastAsia" w:ascii="宋体" w:hAnsi="宋体" w:cs="仿宋"/>
          <w:szCs w:val="21"/>
          <w:highlight w:val="none"/>
          <w:lang w:val="en-US" w:eastAsia="zh-CN"/>
        </w:rPr>
        <w:t>3</w:t>
      </w:r>
      <w:r>
        <w:rPr>
          <w:rFonts w:ascii="宋体" w:hAnsi="宋体" w:cs="仿宋"/>
          <w:szCs w:val="21"/>
          <w:highlight w:val="none"/>
        </w:rPr>
        <w:t>.2拟投入本项目的项目技术负责人具备高级技术职称</w:t>
      </w:r>
      <w:r>
        <w:rPr>
          <w:rFonts w:hint="eastAsia" w:ascii="宋体" w:hAnsi="宋体" w:cs="仿宋"/>
          <w:szCs w:val="21"/>
          <w:highlight w:val="none"/>
          <w:lang w:val="en-US" w:eastAsia="zh-CN"/>
        </w:rPr>
        <w:t>或以上的</w:t>
      </w:r>
      <w:r>
        <w:rPr>
          <w:rFonts w:ascii="宋体" w:hAnsi="宋体" w:cs="仿宋"/>
          <w:szCs w:val="21"/>
          <w:highlight w:val="none"/>
        </w:rPr>
        <w:t>得5分；具备工程师</w:t>
      </w:r>
      <w:r>
        <w:rPr>
          <w:rFonts w:hint="eastAsia" w:ascii="宋体" w:hAnsi="宋体" w:cs="仿宋"/>
          <w:szCs w:val="21"/>
          <w:highlight w:val="none"/>
          <w:lang w:val="en-US" w:eastAsia="zh-CN"/>
        </w:rPr>
        <w:t>职称的</w:t>
      </w:r>
      <w:r>
        <w:rPr>
          <w:rFonts w:ascii="宋体" w:hAnsi="宋体" w:cs="仿宋"/>
          <w:szCs w:val="21"/>
          <w:highlight w:val="none"/>
        </w:rPr>
        <w:t>得3分；具备</w:t>
      </w:r>
      <w:r>
        <w:rPr>
          <w:rFonts w:hint="eastAsia" w:ascii="宋体" w:hAnsi="宋体" w:cs="仿宋"/>
          <w:szCs w:val="21"/>
          <w:highlight w:val="none"/>
          <w:lang w:val="en-US" w:eastAsia="zh-CN"/>
        </w:rPr>
        <w:t>初级</w:t>
      </w:r>
      <w:r>
        <w:rPr>
          <w:rFonts w:ascii="宋体" w:hAnsi="宋体" w:cs="仿宋"/>
          <w:szCs w:val="21"/>
          <w:highlight w:val="none"/>
        </w:rPr>
        <w:t>技术职称得1分。</w:t>
      </w:r>
      <w:r>
        <w:rPr>
          <w:rFonts w:hint="eastAsia"/>
          <w:highlight w:val="none"/>
          <w:lang w:eastAsia="zh-CN"/>
        </w:rPr>
        <w:t>（</w:t>
      </w:r>
      <w:r>
        <w:rPr>
          <w:rFonts w:hint="eastAsia"/>
          <w:highlight w:val="none"/>
          <w:lang w:val="en-US" w:eastAsia="zh-CN"/>
        </w:rPr>
        <w:t>满分5分）</w:t>
      </w:r>
    </w:p>
    <w:p>
      <w:pPr>
        <w:spacing w:line="360" w:lineRule="auto"/>
        <w:ind w:left="787" w:leftChars="190" w:hanging="388" w:hangingChars="185"/>
        <w:rPr>
          <w:rFonts w:hint="eastAsia" w:ascii="宋体" w:hAnsi="宋体" w:cs="仿宋"/>
          <w:szCs w:val="21"/>
          <w:highlight w:val="none"/>
        </w:rPr>
      </w:pPr>
      <w:r>
        <w:rPr>
          <w:rFonts w:hint="eastAsia" w:ascii="黑体" w:hAnsi="黑体" w:eastAsia="黑体" w:cs="仿宋"/>
          <w:szCs w:val="21"/>
          <w:highlight w:val="none"/>
        </w:rPr>
        <w:t>注：</w:t>
      </w:r>
      <w:r>
        <w:rPr>
          <w:rFonts w:hint="eastAsia" w:ascii="宋体" w:hAnsi="宋体" w:cs="仿宋"/>
          <w:szCs w:val="21"/>
          <w:highlight w:val="none"/>
        </w:rPr>
        <w:t>项目负责人、项目技术负责人为同一人的，不累计加分。</w:t>
      </w:r>
      <w:r>
        <w:rPr>
          <w:rFonts w:ascii="宋体" w:hAnsi="宋体" w:cs="仿宋"/>
          <w:szCs w:val="21"/>
          <w:highlight w:val="none"/>
        </w:rPr>
        <w:t>应提供项目负责人、项目技术负责人专业技术职称证书并加盖单位公章。</w:t>
      </w:r>
    </w:p>
    <w:p>
      <w:pPr>
        <w:widowControl/>
        <w:spacing w:line="360" w:lineRule="auto"/>
        <w:ind w:firstLine="420" w:firstLineChars="200"/>
        <w:jc w:val="left"/>
        <w:outlineLvl w:val="9"/>
        <w:rPr>
          <w:rFonts w:hint="eastAsia" w:ascii="黑体" w:hAnsi="黑体" w:eastAsia="黑体" w:cs="仿宋"/>
          <w:szCs w:val="21"/>
          <w:highlight w:val="none"/>
        </w:rPr>
      </w:pPr>
      <w:r>
        <w:rPr>
          <w:rFonts w:hint="eastAsia" w:ascii="宋体" w:hAnsi="宋体" w:cs="仿宋"/>
          <w:szCs w:val="21"/>
          <w:highlight w:val="none"/>
          <w:lang w:val="en-US" w:eastAsia="zh-CN"/>
        </w:rPr>
        <w:t>3</w:t>
      </w:r>
      <w:r>
        <w:rPr>
          <w:rFonts w:ascii="宋体" w:hAnsi="宋体" w:cs="仿宋"/>
          <w:szCs w:val="21"/>
          <w:highlight w:val="none"/>
        </w:rPr>
        <w:t>.3除项目负责人和技术负责人外的其他人员配备情况，</w:t>
      </w:r>
      <w:r>
        <w:rPr>
          <w:rFonts w:hint="eastAsia" w:ascii="宋体" w:hAnsi="宋体" w:eastAsia="宋体" w:cs="宋体"/>
          <w:sz w:val="21"/>
          <w:szCs w:val="21"/>
          <w:highlight w:val="none"/>
        </w:rPr>
        <w:t>团队人员</w:t>
      </w:r>
      <w:r>
        <w:rPr>
          <w:rFonts w:hint="eastAsia" w:ascii="宋体" w:hAnsi="宋体" w:cs="宋体"/>
          <w:sz w:val="21"/>
          <w:szCs w:val="21"/>
          <w:highlight w:val="none"/>
          <w:lang w:val="en-US" w:eastAsia="zh-CN"/>
        </w:rPr>
        <w:t>具备初级（含）技术职称资格以上的，每提供1</w:t>
      </w:r>
      <w:r>
        <w:rPr>
          <w:rFonts w:hint="eastAsia" w:ascii="宋体" w:hAnsi="宋体" w:eastAsia="宋体" w:cs="宋体"/>
          <w:sz w:val="21"/>
          <w:szCs w:val="21"/>
          <w:highlight w:val="none"/>
        </w:rPr>
        <w:t>人的得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分，提供人员清单，不符合不得分</w:t>
      </w:r>
      <w:r>
        <w:rPr>
          <w:rFonts w:ascii="宋体" w:hAnsi="宋体" w:cs="仿宋"/>
          <w:color w:val="000000" w:themeColor="text1"/>
          <w:szCs w:val="21"/>
          <w:highlight w:val="none"/>
          <w14:textFill>
            <w14:solidFill>
              <w14:schemeClr w14:val="tx1"/>
            </w14:solidFill>
          </w14:textFill>
        </w:rPr>
        <w:t>。（满分</w:t>
      </w:r>
      <w:r>
        <w:rPr>
          <w:rFonts w:hint="eastAsia" w:ascii="宋体" w:hAnsi="宋体" w:cs="仿宋"/>
          <w:color w:val="000000" w:themeColor="text1"/>
          <w:szCs w:val="21"/>
          <w:highlight w:val="none"/>
          <w:lang w:val="en-US" w:eastAsia="zh-CN"/>
          <w14:textFill>
            <w14:solidFill>
              <w14:schemeClr w14:val="tx1"/>
            </w14:solidFill>
          </w14:textFill>
        </w:rPr>
        <w:t>15</w:t>
      </w:r>
      <w:r>
        <w:rPr>
          <w:rFonts w:ascii="宋体" w:hAnsi="宋体" w:cs="仿宋"/>
          <w:color w:val="000000" w:themeColor="text1"/>
          <w:szCs w:val="21"/>
          <w:highlight w:val="none"/>
          <w14:textFill>
            <w14:solidFill>
              <w14:schemeClr w14:val="tx1"/>
            </w14:solidFill>
          </w14:textFill>
        </w:rPr>
        <w:t>分）</w:t>
      </w:r>
    </w:p>
    <w:p>
      <w:pPr>
        <w:widowControl/>
        <w:spacing w:line="500" w:lineRule="exact"/>
        <w:ind w:firstLine="422" w:firstLineChars="200"/>
        <w:jc w:val="left"/>
        <w:outlineLvl w:val="9"/>
        <w:rPr>
          <w:rFonts w:hint="eastAsia"/>
          <w:highlight w:val="none"/>
          <w:lang w:val="en-US" w:eastAsia="zh-CN"/>
        </w:rPr>
      </w:pPr>
      <w:r>
        <w:rPr>
          <w:rFonts w:hint="eastAsia" w:ascii="宋体" w:hAnsi="宋体" w:cs="宋体"/>
          <w:b/>
          <w:bCs/>
          <w:color w:val="auto"/>
          <w:kern w:val="0"/>
          <w:szCs w:val="21"/>
          <w:highlight w:val="none"/>
          <w:lang w:val="en-US" w:eastAsia="zh-CN" w:bidi="ar"/>
        </w:rPr>
        <w:t>（三）商务</w:t>
      </w:r>
      <w:r>
        <w:rPr>
          <w:rFonts w:hint="eastAsia" w:ascii="宋体" w:hAnsi="宋体" w:eastAsia="宋体" w:cs="宋体"/>
          <w:b/>
          <w:bCs/>
          <w:color w:val="auto"/>
          <w:kern w:val="0"/>
          <w:szCs w:val="21"/>
          <w:highlight w:val="none"/>
          <w:lang w:val="en-US" w:eastAsia="zh-CN" w:bidi="ar"/>
        </w:rPr>
        <w:t>分(</w:t>
      </w:r>
      <w:r>
        <w:rPr>
          <w:rFonts w:hint="eastAsia" w:ascii="宋体" w:hAnsi="宋体" w:cs="宋体"/>
          <w:b/>
          <w:bCs/>
          <w:color w:val="auto"/>
          <w:kern w:val="0"/>
          <w:szCs w:val="21"/>
          <w:highlight w:val="none"/>
          <w:lang w:val="en-US" w:eastAsia="zh-CN" w:bidi="ar"/>
        </w:rPr>
        <w:t>24</w:t>
      </w:r>
      <w:r>
        <w:rPr>
          <w:rFonts w:hint="eastAsia" w:ascii="宋体" w:hAnsi="宋体" w:eastAsia="宋体" w:cs="宋体"/>
          <w:b/>
          <w:bCs/>
          <w:color w:val="auto"/>
          <w:kern w:val="0"/>
          <w:szCs w:val="21"/>
          <w:highlight w:val="none"/>
          <w:lang w:val="en-US" w:eastAsia="zh-CN" w:bidi="ar"/>
        </w:rPr>
        <w:t>分)</w:t>
      </w:r>
    </w:p>
    <w:p>
      <w:pPr>
        <w:spacing w:line="360" w:lineRule="auto"/>
        <w:ind w:firstLine="420" w:firstLineChars="200"/>
        <w:rPr>
          <w:rFonts w:hint="eastAsia" w:ascii="宋体" w:hAnsi="宋体" w:eastAsia="宋体" w:cs="仿宋"/>
          <w:szCs w:val="21"/>
          <w:highlight w:val="none"/>
        </w:rPr>
      </w:pPr>
      <w:r>
        <w:rPr>
          <w:rFonts w:hint="eastAsia" w:ascii="宋体" w:hAnsi="宋体" w:cs="仿宋"/>
          <w:szCs w:val="21"/>
          <w:highlight w:val="none"/>
          <w:lang w:val="en-US" w:eastAsia="zh-CN"/>
        </w:rPr>
        <w:t>1.</w:t>
      </w:r>
      <w:r>
        <w:rPr>
          <w:rFonts w:hint="eastAsia" w:ascii="宋体" w:hAnsi="宋体" w:eastAsia="宋体" w:cs="仿宋"/>
          <w:szCs w:val="21"/>
          <w:highlight w:val="none"/>
        </w:rPr>
        <w:t>至投标截止日期止，竞标人在知识产权或标准化相关领域获得</w:t>
      </w:r>
      <w:r>
        <w:rPr>
          <w:rFonts w:hint="eastAsia" w:ascii="宋体" w:hAnsi="宋体" w:cs="仿宋"/>
          <w:szCs w:val="21"/>
          <w:highlight w:val="none"/>
          <w:lang w:val="en-US" w:eastAsia="zh-CN"/>
        </w:rPr>
        <w:t>县级（含）以上</w:t>
      </w:r>
      <w:r>
        <w:rPr>
          <w:rFonts w:hint="eastAsia" w:ascii="宋体" w:hAnsi="宋体" w:eastAsia="宋体" w:cs="仿宋"/>
          <w:szCs w:val="21"/>
          <w:highlight w:val="none"/>
        </w:rPr>
        <w:t>奖</w:t>
      </w:r>
      <w:r>
        <w:rPr>
          <w:rFonts w:hint="eastAsia" w:ascii="宋体" w:hAnsi="宋体" w:cs="仿宋"/>
          <w:szCs w:val="21"/>
          <w:highlight w:val="none"/>
          <w:lang w:val="en-US" w:eastAsia="zh-CN"/>
        </w:rPr>
        <w:t>项</w:t>
      </w:r>
      <w:r>
        <w:rPr>
          <w:rFonts w:hint="eastAsia" w:ascii="宋体" w:hAnsi="宋体" w:eastAsia="宋体" w:cs="仿宋"/>
          <w:szCs w:val="21"/>
          <w:highlight w:val="none"/>
        </w:rPr>
        <w:t>，并能提供材料的，</w:t>
      </w:r>
      <w:r>
        <w:rPr>
          <w:rFonts w:hint="eastAsia" w:ascii="宋体" w:hAnsi="宋体" w:cs="仿宋"/>
          <w:szCs w:val="21"/>
          <w:highlight w:val="none"/>
          <w:lang w:val="en-US" w:eastAsia="zh-CN"/>
        </w:rPr>
        <w:t>县级奖项</w:t>
      </w:r>
      <w:r>
        <w:rPr>
          <w:rFonts w:hint="eastAsia" w:ascii="宋体" w:hAnsi="宋体" w:eastAsia="宋体" w:cs="仿宋"/>
          <w:szCs w:val="21"/>
          <w:highlight w:val="none"/>
        </w:rPr>
        <w:t>每项得</w:t>
      </w:r>
      <w:r>
        <w:rPr>
          <w:rFonts w:hint="eastAsia" w:ascii="宋体" w:hAnsi="宋体" w:cs="仿宋"/>
          <w:szCs w:val="21"/>
          <w:highlight w:val="none"/>
          <w:lang w:val="en-US" w:eastAsia="zh-CN"/>
        </w:rPr>
        <w:t>2</w:t>
      </w:r>
      <w:r>
        <w:rPr>
          <w:rFonts w:hint="eastAsia" w:ascii="宋体" w:hAnsi="宋体" w:eastAsia="宋体" w:cs="仿宋"/>
          <w:szCs w:val="21"/>
          <w:highlight w:val="none"/>
        </w:rPr>
        <w:t>分</w:t>
      </w:r>
      <w:r>
        <w:rPr>
          <w:rFonts w:hint="eastAsia" w:ascii="宋体" w:hAnsi="宋体" w:cs="仿宋"/>
          <w:szCs w:val="21"/>
          <w:highlight w:val="none"/>
          <w:lang w:eastAsia="zh-CN"/>
        </w:rPr>
        <w:t>，</w:t>
      </w:r>
      <w:r>
        <w:rPr>
          <w:rFonts w:hint="eastAsia" w:ascii="宋体" w:hAnsi="宋体" w:cs="仿宋"/>
          <w:szCs w:val="21"/>
          <w:highlight w:val="none"/>
          <w:lang w:val="en-US" w:eastAsia="zh-CN"/>
        </w:rPr>
        <w:t>市级以上奖项每项得3分</w:t>
      </w:r>
      <w:r>
        <w:rPr>
          <w:rFonts w:hint="eastAsia" w:ascii="宋体" w:hAnsi="宋体" w:eastAsia="宋体" w:cs="仿宋"/>
          <w:szCs w:val="21"/>
          <w:highlight w:val="none"/>
        </w:rPr>
        <w:t>。（满分1</w:t>
      </w:r>
      <w:r>
        <w:rPr>
          <w:rFonts w:hint="eastAsia" w:ascii="宋体" w:hAnsi="宋体" w:cs="仿宋"/>
          <w:szCs w:val="21"/>
          <w:highlight w:val="none"/>
          <w:lang w:val="en-US" w:eastAsia="zh-CN"/>
        </w:rPr>
        <w:t>2</w:t>
      </w:r>
      <w:r>
        <w:rPr>
          <w:rFonts w:hint="eastAsia" w:ascii="宋体" w:hAnsi="宋体" w:eastAsia="宋体" w:cs="仿宋"/>
          <w:szCs w:val="21"/>
          <w:highlight w:val="none"/>
        </w:rPr>
        <w:t>分）</w:t>
      </w:r>
    </w:p>
    <w:p>
      <w:pPr>
        <w:spacing w:line="360" w:lineRule="auto"/>
        <w:ind w:firstLine="420" w:firstLineChars="200"/>
        <w:rPr>
          <w:rFonts w:hint="eastAsia" w:ascii="宋体" w:hAnsi="宋体" w:eastAsia="宋体" w:cs="仿宋"/>
          <w:szCs w:val="21"/>
          <w:highlight w:val="none"/>
        </w:rPr>
      </w:pPr>
      <w:r>
        <w:rPr>
          <w:rFonts w:hint="eastAsia" w:ascii="宋体" w:hAnsi="宋体" w:cs="仿宋"/>
          <w:szCs w:val="21"/>
          <w:highlight w:val="none"/>
          <w:lang w:val="en-US" w:eastAsia="zh-CN"/>
        </w:rPr>
        <w:t>2.</w:t>
      </w:r>
      <w:r>
        <w:rPr>
          <w:rFonts w:hint="eastAsia" w:ascii="宋体" w:hAnsi="宋体" w:eastAsia="宋体" w:cs="仿宋"/>
          <w:szCs w:val="21"/>
          <w:highlight w:val="none"/>
        </w:rPr>
        <w:t>至投标截止日期止，竞标人熟悉标准制定流程，参与过行业、地方标准编制，具有相关知识产权保护或标准化技术支撑委托服务经验，并能提供已发布的标准文件和证明材料的，每项标准得2分。（满分1</w:t>
      </w:r>
      <w:r>
        <w:rPr>
          <w:rFonts w:hint="eastAsia" w:ascii="宋体" w:hAnsi="宋体" w:cs="仿宋"/>
          <w:szCs w:val="21"/>
          <w:highlight w:val="none"/>
          <w:lang w:val="en-US" w:eastAsia="zh-CN"/>
        </w:rPr>
        <w:t>2</w:t>
      </w:r>
      <w:r>
        <w:rPr>
          <w:rFonts w:hint="eastAsia" w:ascii="宋体" w:hAnsi="宋体" w:eastAsia="宋体" w:cs="仿宋"/>
          <w:szCs w:val="21"/>
          <w:highlight w:val="none"/>
        </w:rPr>
        <w:t>分）</w:t>
      </w:r>
    </w:p>
    <w:p>
      <w:pPr>
        <w:spacing w:line="360" w:lineRule="auto"/>
        <w:ind w:firstLine="420" w:firstLineChars="200"/>
        <w:rPr>
          <w:rFonts w:hint="eastAsia" w:ascii="宋体" w:hAnsi="宋体" w:cs="Courier New"/>
          <w:color w:val="auto"/>
          <w:szCs w:val="21"/>
          <w:highlight w:val="none"/>
          <w:lang w:val="en-US" w:eastAsia="zh-CN"/>
        </w:rPr>
      </w:pPr>
      <w:bookmarkStart w:id="154" w:name="_GoBack"/>
      <w:r>
        <w:rPr>
          <w:rFonts w:ascii="宋体" w:hAnsi="宋体" w:cs="仿宋"/>
          <w:szCs w:val="21"/>
          <w:highlight w:val="none"/>
        </w:rPr>
        <w:t>1～</w:t>
      </w:r>
      <w:r>
        <w:rPr>
          <w:rFonts w:hint="eastAsia" w:ascii="宋体" w:hAnsi="宋体" w:cs="仿宋"/>
          <w:szCs w:val="21"/>
          <w:highlight w:val="none"/>
          <w:lang w:val="en-US" w:eastAsia="zh-CN"/>
        </w:rPr>
        <w:t>2</w:t>
      </w:r>
      <w:r>
        <w:rPr>
          <w:rFonts w:ascii="宋体" w:hAnsi="宋体" w:cs="仿宋"/>
          <w:szCs w:val="21"/>
          <w:highlight w:val="none"/>
        </w:rPr>
        <w:t>项证明应提供</w:t>
      </w:r>
      <w:r>
        <w:rPr>
          <w:rFonts w:hint="eastAsia" w:ascii="宋体" w:hAnsi="宋体" w:cs="仿宋"/>
          <w:szCs w:val="21"/>
          <w:highlight w:val="none"/>
        </w:rPr>
        <w:t>材料</w:t>
      </w:r>
      <w:r>
        <w:rPr>
          <w:rFonts w:ascii="宋体" w:hAnsi="宋体" w:cs="仿宋"/>
          <w:szCs w:val="21"/>
          <w:highlight w:val="none"/>
        </w:rPr>
        <w:t>并加盖单位公章，不提供不得分。</w:t>
      </w:r>
    </w:p>
    <w:bookmarkEnd w:id="154"/>
    <w:p>
      <w:pPr>
        <w:spacing w:line="460" w:lineRule="exact"/>
        <w:ind w:firstLine="420"/>
        <w:jc w:val="left"/>
        <w:rPr>
          <w:rFonts w:hint="eastAsia"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三、总得分=（一）磋商报价得分+（二）技术分+（三）商务分</w:t>
      </w:r>
    </w:p>
    <w:p>
      <w:pPr>
        <w:pStyle w:val="23"/>
        <w:spacing w:line="460" w:lineRule="exact"/>
        <w:ind w:firstLine="422" w:firstLineChars="200"/>
        <w:rPr>
          <w:rFonts w:hint="eastAsia" w:hAnsi="宋体"/>
          <w:b/>
          <w:bCs/>
          <w:color w:val="auto"/>
          <w:highlight w:val="none"/>
        </w:rPr>
      </w:pPr>
      <w:r>
        <w:rPr>
          <w:rFonts w:hint="eastAsia"/>
          <w:b/>
          <w:bCs/>
          <w:color w:val="auto"/>
          <w:highlight w:val="none"/>
        </w:rPr>
        <w:t>四</w:t>
      </w:r>
      <w:r>
        <w:rPr>
          <w:rFonts w:hint="eastAsia" w:hAnsi="宋体"/>
          <w:b/>
          <w:bCs/>
          <w:color w:val="auto"/>
          <w:highlight w:val="none"/>
        </w:rPr>
        <w:t>、成交供应商的推荐</w:t>
      </w:r>
    </w:p>
    <w:p>
      <w:pPr>
        <w:pStyle w:val="23"/>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ascii="方正小标宋_GBK" w:eastAsia="方正小标宋_GBK"/>
          <w:color w:val="auto"/>
          <w:highlight w:val="none"/>
        </w:rPr>
      </w:pPr>
      <w:bookmarkStart w:id="135" w:name="_Toc92355027"/>
      <w:r>
        <w:rPr>
          <w:rFonts w:hint="eastAsia" w:ascii="方正小标宋_GBK" w:eastAsia="方正小标宋_GBK"/>
          <w:color w:val="auto"/>
          <w:highlight w:val="none"/>
        </w:rPr>
        <w:t>第五章  合同文本</w:t>
      </w:r>
      <w:bookmarkEnd w:id="135"/>
    </w:p>
    <w:p>
      <w:pPr>
        <w:pStyle w:val="23"/>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3"/>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3"/>
        <w:spacing w:line="500" w:lineRule="exact"/>
        <w:jc w:val="center"/>
        <w:rPr>
          <w:rFonts w:ascii="方正小标宋_GBK" w:hAnsi="宋体" w:eastAsia="方正小标宋_GBK"/>
          <w:color w:val="auto"/>
          <w:sz w:val="48"/>
          <w:szCs w:val="48"/>
          <w:highlight w:val="none"/>
        </w:rPr>
      </w:pPr>
      <w:r>
        <w:rPr>
          <w:rFonts w:hint="eastAsia" w:ascii="方正小标宋_GBK" w:hAnsi="宋体" w:eastAsia="方正小标宋_GBK"/>
          <w:color w:val="auto"/>
          <w:sz w:val="48"/>
          <w:szCs w:val="48"/>
          <w:highlight w:val="none"/>
        </w:rPr>
        <w:t>钦州市政府采购合同</w:t>
      </w:r>
    </w:p>
    <w:p>
      <w:pPr>
        <w:snapToGrid w:val="0"/>
        <w:rPr>
          <w:rFonts w:ascii="宋体" w:hAnsi="宋体"/>
          <w:color w:val="auto"/>
          <w:szCs w:val="21"/>
          <w:highlight w:val="none"/>
        </w:rPr>
      </w:pPr>
    </w:p>
    <w:p>
      <w:pPr>
        <w:snapToGrid w:val="0"/>
        <w:spacing w:before="120" w:line="360" w:lineRule="auto"/>
        <w:ind w:left="6930" w:leftChars="3200" w:right="480" w:hanging="210" w:hangingChars="100"/>
        <w:jc w:val="left"/>
        <w:rPr>
          <w:rFonts w:ascii="宋体" w:hAnsi="宋体" w:eastAsia="宋体" w:cs="Times New Roman"/>
          <w:bCs/>
          <w:color w:val="auto"/>
          <w:szCs w:val="21"/>
          <w:highlight w:val="none"/>
          <w:u w:val="single"/>
        </w:rPr>
      </w:pP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eastAsia="宋体" w:cs="Times New Roman"/>
          <w:bCs/>
          <w:color w:val="auto"/>
          <w:szCs w:val="21"/>
          <w:highlight w:val="none"/>
        </w:rPr>
        <w:t>合同编号：</w:t>
      </w:r>
    </w:p>
    <w:p>
      <w:pPr>
        <w:wordWrap w:val="0"/>
        <w:spacing w:line="360" w:lineRule="auto"/>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项目名称：</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项目编号：</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分标号（有分标时填写）：</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采购单位（甲方）：</w:t>
      </w:r>
      <w:r>
        <w:rPr>
          <w:rFonts w:hint="eastAsia" w:ascii="宋体" w:hAnsi="宋体" w:eastAsia="宋体" w:cs="Times New Roman"/>
          <w:color w:val="auto"/>
          <w:szCs w:val="20"/>
          <w:highlight w:val="none"/>
          <w:u w:val="single"/>
        </w:rPr>
        <w:t xml:space="preserve">                                </w:t>
      </w:r>
    </w:p>
    <w:p>
      <w:pPr>
        <w:wordWrap w:val="0"/>
        <w:spacing w:line="360" w:lineRule="auto"/>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成交供应商（乙方）：</w:t>
      </w:r>
      <w:r>
        <w:rPr>
          <w:rFonts w:hint="eastAsia" w:ascii="宋体" w:hAnsi="宋体" w:eastAsia="宋体" w:cs="Times New Roman"/>
          <w:color w:val="auto"/>
          <w:szCs w:val="20"/>
          <w:highlight w:val="none"/>
          <w:u w:val="single"/>
        </w:rPr>
        <w:t xml:space="preserve">                              </w:t>
      </w:r>
    </w:p>
    <w:p>
      <w:pPr>
        <w:spacing w:line="360" w:lineRule="auto"/>
        <w:ind w:firstLine="420" w:firstLineChars="200"/>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 xml:space="preserve">根据 </w:t>
      </w:r>
      <w:r>
        <w:rPr>
          <w:rFonts w:hint="eastAsia"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项目的采购结果，甲方接受乙方对本项目的竞标，甲、乙双方同意签署本合同（以下简称合同）。</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  采购内容</w:t>
      </w:r>
    </w:p>
    <w:p>
      <w:pPr>
        <w:tabs>
          <w:tab w:val="left" w:pos="5220"/>
        </w:tabs>
        <w:spacing w:line="360" w:lineRule="auto"/>
        <w:ind w:firstLine="420" w:firstLineChars="200"/>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1.1 服务名称：</w:t>
      </w:r>
      <w:r>
        <w:rPr>
          <w:rFonts w:hint="eastAsia" w:ascii="宋体" w:hAnsi="宋体" w:eastAsia="宋体" w:cs="Times New Roman"/>
          <w:color w:val="auto"/>
          <w:szCs w:val="20"/>
          <w:highlight w:val="none"/>
          <w:u w:val="single"/>
        </w:rPr>
        <w:t xml:space="preserve">                        </w:t>
      </w:r>
    </w:p>
    <w:p>
      <w:pPr>
        <w:tabs>
          <w:tab w:val="left" w:pos="522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1.2 数量：</w:t>
      </w:r>
      <w:r>
        <w:rPr>
          <w:rFonts w:hint="eastAsia" w:ascii="宋体" w:hAnsi="宋体" w:eastAsia="宋体" w:cs="Times New Roman"/>
          <w:color w:val="auto"/>
          <w:szCs w:val="20"/>
          <w:highlight w:val="none"/>
          <w:u w:val="single"/>
        </w:rPr>
        <w:t xml:space="preserve">                           </w:t>
      </w:r>
    </w:p>
    <w:p>
      <w:pPr>
        <w:tabs>
          <w:tab w:val="left" w:pos="522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 xml:space="preserve">1.2 </w:t>
      </w:r>
      <w:r>
        <w:rPr>
          <w:rFonts w:hint="eastAsia" w:ascii="宋体" w:hAnsi="Courier New" w:eastAsia="宋体" w:cs="Times New Roman"/>
          <w:color w:val="auto"/>
          <w:szCs w:val="21"/>
          <w:highlight w:val="none"/>
        </w:rPr>
        <w:t>服务内容及要求</w:t>
      </w:r>
      <w:r>
        <w:rPr>
          <w:rFonts w:hint="eastAsia" w:ascii="Times New Roman" w:hAnsi="Times New Roman" w:eastAsia="宋体" w:cs="Times New Roman"/>
          <w:color w:val="auto"/>
          <w:szCs w:val="20"/>
          <w:highlight w:val="none"/>
        </w:rPr>
        <w:t>：</w:t>
      </w:r>
      <w:r>
        <w:rPr>
          <w:rFonts w:hint="eastAsia" w:ascii="宋体" w:hAnsi="宋体" w:eastAsia="宋体" w:cs="Times New Roman"/>
          <w:color w:val="auto"/>
          <w:szCs w:val="20"/>
          <w:highlight w:val="none"/>
          <w:u w:val="single"/>
        </w:rPr>
        <w:t>详见合同附件中技术要求偏离表</w:t>
      </w:r>
    </w:p>
    <w:p>
      <w:pPr>
        <w:tabs>
          <w:tab w:val="left" w:pos="5145"/>
        </w:tabs>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2.  合同金额</w:t>
      </w:r>
    </w:p>
    <w:p>
      <w:pPr>
        <w:spacing w:line="360" w:lineRule="auto"/>
        <w:ind w:firstLine="411" w:firstLineChars="196"/>
        <w:rPr>
          <w:rFonts w:ascii="宋体" w:hAnsi="宋体" w:eastAsia="宋体" w:cs="Times New Roman"/>
          <w:b/>
          <w:bCs/>
          <w:color w:val="auto"/>
          <w:sz w:val="24"/>
          <w:szCs w:val="20"/>
          <w:highlight w:val="none"/>
        </w:rPr>
      </w:pPr>
      <w:r>
        <w:rPr>
          <w:rFonts w:hint="eastAsia" w:ascii="宋体" w:hAnsi="宋体" w:eastAsia="宋体" w:cs="Times New Roman"/>
          <w:color w:val="auto"/>
          <w:szCs w:val="20"/>
          <w:highlight w:val="none"/>
        </w:rPr>
        <w:t>2.1 本合同金额为（大写）人民币</w:t>
      </w:r>
      <w:r>
        <w:rPr>
          <w:rFonts w:hint="eastAsia"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w:t>
      </w:r>
      <w:r>
        <w:rPr>
          <w:rFonts w:hint="eastAsia"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元）。（详见竞标报价表）</w:t>
      </w:r>
    </w:p>
    <w:p>
      <w:pPr>
        <w:tabs>
          <w:tab w:val="left" w:pos="5940"/>
        </w:tabs>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3.  提交服务成果时间和地点</w:t>
      </w:r>
    </w:p>
    <w:p>
      <w:pPr>
        <w:tabs>
          <w:tab w:val="left" w:pos="5250"/>
          <w:tab w:val="left" w:pos="5940"/>
        </w:tabs>
        <w:spacing w:line="360" w:lineRule="auto"/>
        <w:ind w:firstLine="411" w:firstLineChars="196"/>
        <w:rPr>
          <w:rFonts w:ascii="宋体" w:hAnsi="宋体" w:eastAsia="宋体" w:cs="Times New Roman"/>
          <w:bCs/>
          <w:color w:val="auto"/>
          <w:szCs w:val="20"/>
          <w:highlight w:val="none"/>
        </w:rPr>
      </w:pPr>
      <w:r>
        <w:rPr>
          <w:rFonts w:hint="eastAsia" w:ascii="宋体" w:hAnsi="宋体" w:eastAsia="宋体" w:cs="Times New Roman"/>
          <w:bCs/>
          <w:color w:val="auto"/>
          <w:szCs w:val="20"/>
          <w:highlight w:val="none"/>
        </w:rPr>
        <w:t>3.1 服务时间</w:t>
      </w:r>
      <w:r>
        <w:rPr>
          <w:rFonts w:hint="eastAsia" w:ascii="宋体" w:hAnsi="Courier New" w:eastAsia="宋体" w:cs="Times New Roman"/>
          <w:bCs/>
          <w:color w:val="auto"/>
          <w:szCs w:val="20"/>
          <w:highlight w:val="none"/>
        </w:rPr>
        <w:t>：</w:t>
      </w:r>
      <w:r>
        <w:rPr>
          <w:rFonts w:hint="eastAsia" w:ascii="宋体" w:hAnsi="Courier New" w:eastAsia="宋体" w:cs="Times New Roman"/>
          <w:bCs/>
          <w:color w:val="auto"/>
          <w:szCs w:val="20"/>
          <w:highlight w:val="none"/>
          <w:u w:val="single"/>
        </w:rPr>
        <w:t xml:space="preserve">                         </w:t>
      </w:r>
    </w:p>
    <w:p>
      <w:pPr>
        <w:tabs>
          <w:tab w:val="left" w:pos="5940"/>
        </w:tabs>
        <w:spacing w:line="360" w:lineRule="auto"/>
        <w:ind w:firstLine="411" w:firstLineChars="196"/>
        <w:rPr>
          <w:rFonts w:ascii="宋体" w:hAnsi="宋体" w:eastAsia="宋体" w:cs="Times New Roman"/>
          <w:b/>
          <w:bCs/>
          <w:color w:val="auto"/>
          <w:sz w:val="24"/>
          <w:szCs w:val="20"/>
          <w:highlight w:val="none"/>
        </w:rPr>
      </w:pPr>
      <w:r>
        <w:rPr>
          <w:rFonts w:hint="eastAsia" w:ascii="宋体" w:hAnsi="宋体" w:eastAsia="宋体" w:cs="Times New Roman"/>
          <w:bCs/>
          <w:color w:val="auto"/>
          <w:szCs w:val="20"/>
          <w:highlight w:val="none"/>
        </w:rPr>
        <w:t xml:space="preserve">3.2 </w:t>
      </w:r>
      <w:r>
        <w:rPr>
          <w:rFonts w:hint="eastAsia" w:ascii="宋体" w:hAnsi="Courier New" w:eastAsia="宋体" w:cs="Times New Roman"/>
          <w:bCs/>
          <w:color w:val="auto"/>
          <w:szCs w:val="20"/>
          <w:highlight w:val="none"/>
        </w:rPr>
        <w:t>提交服务成果</w:t>
      </w:r>
      <w:r>
        <w:rPr>
          <w:rFonts w:hint="eastAsia" w:ascii="宋体" w:hAnsi="宋体" w:eastAsia="宋体" w:cs="Times New Roman"/>
          <w:bCs/>
          <w:color w:val="auto"/>
          <w:szCs w:val="20"/>
          <w:highlight w:val="none"/>
        </w:rPr>
        <w:t>地点：</w:t>
      </w:r>
      <w:r>
        <w:rPr>
          <w:rFonts w:hint="eastAsia" w:ascii="宋体" w:hAnsi="宋体" w:eastAsia="宋体" w:cs="Times New Roman"/>
          <w:color w:val="auto"/>
          <w:szCs w:val="20"/>
          <w:highlight w:val="none"/>
          <w:u w:val="single"/>
        </w:rPr>
        <w:t xml:space="preserve">                 </w:t>
      </w:r>
    </w:p>
    <w:p>
      <w:pPr>
        <w:tabs>
          <w:tab w:val="left" w:pos="5940"/>
        </w:tabs>
        <w:spacing w:line="360" w:lineRule="auto"/>
        <w:ind w:firstLine="411" w:firstLineChars="196"/>
        <w:rPr>
          <w:rFonts w:ascii="宋体" w:hAnsi="宋体" w:eastAsia="宋体" w:cs="Times New Roman"/>
          <w:b/>
          <w:bCs/>
          <w:color w:val="auto"/>
          <w:sz w:val="24"/>
          <w:szCs w:val="20"/>
          <w:highlight w:val="none"/>
        </w:rPr>
      </w:pPr>
      <w:r>
        <w:rPr>
          <w:rFonts w:hint="eastAsia" w:ascii="宋体" w:hAnsi="宋体" w:eastAsia="宋体" w:cs="Times New Roman"/>
          <w:bCs/>
          <w:color w:val="auto"/>
          <w:szCs w:val="20"/>
          <w:highlight w:val="none"/>
        </w:rPr>
        <w:t xml:space="preserve">3.3 </w:t>
      </w:r>
      <w:r>
        <w:rPr>
          <w:rFonts w:hint="eastAsia" w:ascii="宋体" w:hAnsi="宋体" w:eastAsia="宋体" w:cs="Times New Roman"/>
          <w:color w:val="auto"/>
          <w:szCs w:val="20"/>
          <w:highlight w:val="none"/>
        </w:rPr>
        <w:t>乙方必须按竞标文件承诺的服务响应条款向甲方提供服务。</w:t>
      </w:r>
    </w:p>
    <w:p>
      <w:pPr>
        <w:spacing w:line="360" w:lineRule="auto"/>
        <w:ind w:left="410" w:hanging="410" w:hangingChars="170"/>
        <w:rPr>
          <w:rFonts w:ascii="宋体" w:hAnsi="宋体" w:eastAsia="宋体" w:cs="Times New Roman"/>
          <w:b/>
          <w:color w:val="auto"/>
          <w:szCs w:val="20"/>
          <w:highlight w:val="none"/>
        </w:rPr>
      </w:pPr>
      <w:r>
        <w:rPr>
          <w:rFonts w:hint="eastAsia" w:ascii="宋体" w:hAnsi="宋体" w:eastAsia="宋体" w:cs="Times New Roman"/>
          <w:b/>
          <w:bCs/>
          <w:color w:val="auto"/>
          <w:sz w:val="24"/>
          <w:szCs w:val="20"/>
          <w:highlight w:val="none"/>
        </w:rPr>
        <w:t>4.  产权</w:t>
      </w:r>
    </w:p>
    <w:p>
      <w:pPr>
        <w:spacing w:line="360" w:lineRule="auto"/>
        <w:ind w:firstLine="420" w:firstLineChars="200"/>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 xml:space="preserve">4.1 </w:t>
      </w:r>
      <w:r>
        <w:rPr>
          <w:rFonts w:hint="eastAsia" w:ascii="Times New Roman" w:hAnsi="Times New Roman" w:eastAsia="宋体" w:cs="Times New Roman"/>
          <w:color w:val="auto"/>
          <w:szCs w:val="20"/>
          <w:highlight w:val="none"/>
        </w:rPr>
        <w:t>乙方应保证所提供的服务或其任何一部分均不会侵犯任何第三方的专利权、商标权或著作权</w:t>
      </w:r>
      <w:r>
        <w:rPr>
          <w:rFonts w:hint="eastAsia" w:ascii="宋体" w:hAnsi="宋体" w:eastAsia="宋体" w:cs="Times New Roman"/>
          <w:bCs/>
          <w:color w:val="auto"/>
          <w:szCs w:val="20"/>
          <w:highlight w:val="none"/>
        </w:rPr>
        <w:t>。</w:t>
      </w:r>
    </w:p>
    <w:p>
      <w:pPr>
        <w:spacing w:line="360" w:lineRule="auto"/>
        <w:ind w:firstLine="420" w:firstLineChars="200"/>
        <w:rPr>
          <w:rFonts w:ascii="宋体" w:hAnsi="宋体" w:eastAsia="宋体" w:cs="Times New Roman"/>
          <w:b/>
          <w:color w:val="auto"/>
          <w:szCs w:val="20"/>
          <w:highlight w:val="none"/>
        </w:rPr>
      </w:pPr>
      <w:r>
        <w:rPr>
          <w:rFonts w:hint="eastAsia" w:ascii="宋体" w:hAnsi="宋体" w:eastAsia="宋体" w:cs="Times New Roman"/>
          <w:color w:val="auto"/>
          <w:szCs w:val="20"/>
          <w:highlight w:val="none"/>
        </w:rPr>
        <w:t>4.2 乙方保证所交付服务的所有权完全属于乙方且无任何抵押、查封等产权瑕疵。如乙方所交付服务有产权瑕疵的，视为乙方违约，按照本合同第10.</w:t>
      </w:r>
      <w:r>
        <w:rPr>
          <w:rFonts w:ascii="宋体" w:hAnsi="宋体" w:eastAsia="宋体" w:cs="Times New Roman"/>
          <w:color w:val="auto"/>
          <w:szCs w:val="20"/>
          <w:highlight w:val="none"/>
        </w:rPr>
        <w:t>6</w:t>
      </w:r>
      <w:r>
        <w:rPr>
          <w:rFonts w:hint="eastAsia" w:ascii="宋体" w:hAnsi="宋体" w:eastAsia="宋体" w:cs="Times New Roman"/>
          <w:color w:val="auto"/>
          <w:szCs w:val="20"/>
          <w:highlight w:val="none"/>
        </w:rPr>
        <w:t>款的约定处理。但在已经全部支付完合同款后才发现有产权瑕疵的，乙方除了支付违约金还应负担甲方由此产生的一切损失。</w:t>
      </w:r>
    </w:p>
    <w:p>
      <w:pPr>
        <w:spacing w:line="360" w:lineRule="auto"/>
        <w:rPr>
          <w:rFonts w:ascii="宋体" w:hAnsi="宋体" w:eastAsia="宋体" w:cs="Times New Roman"/>
          <w:b/>
          <w:color w:val="auto"/>
          <w:szCs w:val="20"/>
          <w:highlight w:val="none"/>
        </w:rPr>
      </w:pPr>
      <w:r>
        <w:rPr>
          <w:rFonts w:hint="eastAsia" w:ascii="宋体" w:hAnsi="宋体" w:eastAsia="宋体" w:cs="Times New Roman"/>
          <w:b/>
          <w:bCs/>
          <w:color w:val="auto"/>
          <w:sz w:val="24"/>
          <w:szCs w:val="20"/>
          <w:highlight w:val="none"/>
        </w:rPr>
        <w:t>5.  技术资料</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5.1 甲方应向乙方提供提交服务成果所必需的有关数据、资料等。</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6.  验收</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6.1 乙方应对提交的服务成果作出全面检查和整理，并列出清单，作为甲方验收和使用的技术条件依据，清单应随提交的服务成果交给甲方。</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6.2 乙方在指定地点提交服务成果后，甲方应在规定的时间内依据采购合同、竞争性磋商文件、乙方的响应文件等组织验收，验收完毕后作出书面验收报告。验收时乙方必须在现场。</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6.3 对复杂的服务，甲方可请国家认可的专业机构参与验收，并由其出具验收报告，相关费用由甲方承担。</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7.  合同款支付</w:t>
      </w:r>
    </w:p>
    <w:p>
      <w:pPr>
        <w:widowControl/>
        <w:numPr>
          <w:ilvl w:val="0"/>
          <w:numId w:val="0"/>
        </w:numPr>
        <w:spacing w:before="0" w:line="440" w:lineRule="exact"/>
        <w:ind w:firstLine="0"/>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rPr>
        <w:t>付款条件：</w:t>
      </w:r>
      <w:r>
        <w:rPr>
          <w:rFonts w:hint="eastAsia" w:ascii="宋体" w:hAnsi="宋体" w:eastAsia="宋体" w:cs="Times New Roman"/>
          <w:color w:val="auto"/>
          <w:szCs w:val="20"/>
          <w:highlight w:val="none"/>
          <w:u w:val="single"/>
          <w:lang w:val="en-US" w:eastAsia="zh-CN"/>
        </w:rPr>
        <w:t xml:space="preserve">      </w:t>
      </w:r>
      <w:r>
        <w:rPr>
          <w:rFonts w:hint="eastAsia" w:ascii="宋体" w:hAnsi="宋体" w:eastAsia="宋体" w:cs="Times New Roman"/>
          <w:color w:val="auto"/>
          <w:szCs w:val="20"/>
          <w:highlight w:val="none"/>
          <w:lang w:val="en-US" w:eastAsia="zh-CN"/>
        </w:rPr>
        <w:t xml:space="preserve">   。</w:t>
      </w:r>
    </w:p>
    <w:p>
      <w:pPr>
        <w:widowControl/>
        <w:numPr>
          <w:ilvl w:val="0"/>
          <w:numId w:val="0"/>
        </w:numPr>
        <w:spacing w:line="440" w:lineRule="exact"/>
        <w:rPr>
          <w:rFonts w:hint="eastAsia" w:ascii="Times New Roman" w:hAnsi="Times New Roman" w:eastAsia="宋体" w:cs="Times New Roman"/>
          <w:color w:val="auto"/>
          <w:highlight w:val="none"/>
          <w:u w:val="single"/>
          <w:lang w:val="en-US" w:eastAsia="zh-CN"/>
        </w:rPr>
      </w:pPr>
      <w:r>
        <w:rPr>
          <w:rFonts w:hint="eastAsia" w:ascii="宋体" w:hAnsi="宋体" w:eastAsia="宋体" w:cs="Times New Roman"/>
          <w:b/>
          <w:bCs/>
          <w:color w:val="auto"/>
          <w:sz w:val="24"/>
          <w:szCs w:val="20"/>
          <w:highlight w:val="none"/>
        </w:rPr>
        <w:t>履约保证金</w:t>
      </w:r>
      <w:r>
        <w:rPr>
          <w:rFonts w:hint="eastAsia" w:ascii="Times New Roman" w:hAnsi="Times New Roman" w:eastAsia="宋体" w:cs="Times New Roman"/>
          <w:color w:val="auto"/>
          <w:highlight w:val="none"/>
          <w:u w:val="single"/>
          <w:lang w:eastAsia="zh-CN"/>
        </w:rPr>
        <w:t xml:space="preserve"> </w:t>
      </w:r>
      <w:r>
        <w:rPr>
          <w:rFonts w:hint="eastAsia" w:ascii="Times New Roman" w:hAnsi="Times New Roman" w:eastAsia="宋体" w:cs="Times New Roman"/>
          <w:color w:val="auto"/>
          <w:highlight w:val="none"/>
          <w:u w:val="single"/>
          <w:lang w:val="en-US" w:eastAsia="zh-CN"/>
        </w:rPr>
        <w:t xml:space="preserve">            。</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9.  售后服务要求</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9</w:t>
      </w:r>
      <w:r>
        <w:rPr>
          <w:rFonts w:hint="eastAsia" w:ascii="宋体" w:hAnsi="宋体" w:eastAsia="宋体" w:cs="Times New Roman"/>
          <w:color w:val="auto"/>
          <w:szCs w:val="20"/>
          <w:highlight w:val="none"/>
        </w:rPr>
        <w:t>.1 乙方提供服务的质量保证期为：</w:t>
      </w:r>
      <w:r>
        <w:rPr>
          <w:rFonts w:hint="eastAsia" w:ascii="宋体" w:hAnsi="宋体" w:eastAsia="宋体" w:cs="Times New Roman"/>
          <w:color w:val="auto"/>
          <w:szCs w:val="20"/>
          <w:highlight w:val="none"/>
          <w:u w:val="single"/>
        </w:rPr>
        <w:t xml:space="preserve">　　　3年　　　   </w:t>
      </w:r>
      <w:r>
        <w:rPr>
          <w:rFonts w:hint="eastAsia" w:ascii="宋体" w:hAnsi="宋体" w:eastAsia="宋体" w:cs="Times New Roman"/>
          <w:color w:val="auto"/>
          <w:szCs w:val="20"/>
          <w:highlight w:val="none"/>
        </w:rPr>
        <w:t>（自提交服务验收合格之日起计）</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9</w:t>
      </w:r>
      <w:r>
        <w:rPr>
          <w:rFonts w:hint="eastAsia" w:ascii="宋体" w:hAnsi="宋体" w:eastAsia="宋体" w:cs="Times New Roman"/>
          <w:color w:val="auto"/>
          <w:szCs w:val="20"/>
          <w:highlight w:val="none"/>
        </w:rPr>
        <w:t>.2在本合同约定的质量保证期内，乙方应对服务出现的问题负责处理解决并承担一切费用。</w:t>
      </w:r>
    </w:p>
    <w:p>
      <w:pPr>
        <w:tabs>
          <w:tab w:val="left" w:pos="5250"/>
        </w:tabs>
        <w:spacing w:line="360" w:lineRule="auto"/>
        <w:ind w:firstLine="420" w:firstLineChars="200"/>
        <w:rPr>
          <w:rFonts w:ascii="宋体" w:hAnsi="宋体" w:eastAsia="宋体" w:cs="Times New Roman"/>
          <w:color w:val="auto"/>
          <w:szCs w:val="20"/>
          <w:highlight w:val="none"/>
          <w:u w:val="single"/>
        </w:rPr>
      </w:pPr>
      <w:r>
        <w:rPr>
          <w:rFonts w:ascii="宋体" w:hAnsi="宋体" w:eastAsia="宋体" w:cs="Times New Roman"/>
          <w:color w:val="auto"/>
          <w:szCs w:val="20"/>
          <w:highlight w:val="none"/>
        </w:rPr>
        <w:t>9</w:t>
      </w:r>
      <w:r>
        <w:rPr>
          <w:rFonts w:hint="eastAsia" w:ascii="宋体" w:hAnsi="宋体" w:eastAsia="宋体" w:cs="Times New Roman"/>
          <w:color w:val="auto"/>
          <w:szCs w:val="20"/>
          <w:highlight w:val="none"/>
        </w:rPr>
        <w:t>.3 其他售后服务要求：</w:t>
      </w:r>
      <w:r>
        <w:rPr>
          <w:rFonts w:hint="eastAsia" w:ascii="宋体" w:hAnsi="宋体" w:eastAsia="宋体" w:cs="Times New Roman"/>
          <w:color w:val="auto"/>
          <w:szCs w:val="20"/>
          <w:highlight w:val="none"/>
          <w:u w:val="single"/>
        </w:rPr>
        <w:t>按响应文件商务条款偏离表内容执行。</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10.  违约责任</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10</w:t>
      </w:r>
      <w:r>
        <w:rPr>
          <w:rFonts w:hint="eastAsia" w:ascii="宋体" w:hAnsi="宋体" w:eastAsia="宋体" w:cs="Times New Roman"/>
          <w:color w:val="auto"/>
          <w:szCs w:val="20"/>
          <w:highlight w:val="none"/>
        </w:rPr>
        <w:t>.1 甲方无正当理由拒收服务的，甲方向乙方偿付拒收服务费总值的百分之五违约金。</w:t>
      </w:r>
    </w:p>
    <w:p>
      <w:pPr>
        <w:spacing w:line="360" w:lineRule="auto"/>
        <w:ind w:firstLine="420" w:firstLineChars="200"/>
        <w:rPr>
          <w:rFonts w:ascii="宋体" w:hAnsi="宋体" w:eastAsia="宋体" w:cs="Times New Roman"/>
          <w:color w:val="auto"/>
          <w:szCs w:val="20"/>
          <w:highlight w:val="none"/>
        </w:rPr>
      </w:pPr>
      <w:r>
        <w:rPr>
          <w:rFonts w:ascii="宋体" w:hAnsi="宋体" w:eastAsia="宋体" w:cs="Times New Roman"/>
          <w:color w:val="auto"/>
          <w:szCs w:val="20"/>
          <w:highlight w:val="none"/>
        </w:rPr>
        <w:t>10</w:t>
      </w:r>
      <w:r>
        <w:rPr>
          <w:rFonts w:hint="eastAsia" w:ascii="宋体" w:hAnsi="宋体" w:eastAsia="宋体" w:cs="Times New Roman"/>
          <w:color w:val="auto"/>
          <w:szCs w:val="20"/>
          <w:highlight w:val="none"/>
        </w:rPr>
        <w:t>.2 甲方无故逾期验收或办理合同款支付手续的，甲方应按逾期付款总额每日万分之五向乙方支付违约金。</w:t>
      </w:r>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szCs w:val="20"/>
          <w:highlight w:val="none"/>
        </w:rPr>
        <w:t>10</w:t>
      </w:r>
      <w:r>
        <w:rPr>
          <w:rFonts w:hint="eastAsia" w:ascii="宋体" w:hAnsi="宋体" w:eastAsia="宋体" w:cs="Times New Roman"/>
          <w:color w:val="auto"/>
          <w:szCs w:val="20"/>
          <w:highlight w:val="none"/>
        </w:rPr>
        <w:t>.3</w:t>
      </w:r>
      <w:r>
        <w:rPr>
          <w:rFonts w:hint="eastAsia" w:ascii="宋体" w:hAnsi="宋体" w:eastAsia="宋体" w:cs="Times New Roman"/>
          <w:color w:val="auto"/>
          <w:highlight w:val="none"/>
        </w:rPr>
        <w:t>甲方有权依据磋商文件、响应文件及乙方的磋商承诺对乙方的服务人员进行管理或要求更换，对于甲方要求更换服务人员的，乙方应无条件及时更换；乙方拒绝更换的，甲方有权终止合同，不予支付剩余服务费用，乙方按本合同总价的</w:t>
      </w:r>
      <w:r>
        <w:rPr>
          <w:rFonts w:ascii="宋体" w:hAnsi="宋体" w:eastAsia="宋体" w:cs="Times New Roman"/>
          <w:color w:val="auto"/>
          <w:highlight w:val="none"/>
        </w:rPr>
        <w:t>2</w:t>
      </w:r>
      <w:r>
        <w:rPr>
          <w:rFonts w:hint="eastAsia" w:ascii="宋体" w:hAnsi="宋体" w:eastAsia="宋体" w:cs="Times New Roman"/>
          <w:color w:val="auto"/>
          <w:highlight w:val="none"/>
        </w:rPr>
        <w:t>0%向甲方支付违约金，由此导致甲方其他损失的，乙方应当承担责任。</w:t>
      </w:r>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10.</w:t>
      </w:r>
      <w:r>
        <w:rPr>
          <w:rFonts w:hint="eastAsia" w:ascii="宋体" w:hAnsi="宋体" w:eastAsia="宋体" w:cs="Times New Roman"/>
          <w:color w:val="auto"/>
          <w:highlight w:val="none"/>
        </w:rPr>
        <w:t>4</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乙方提供的服务按合同约定考核不合格的，按合同总金额的5%承担违约责任并应当及时进行整改。如乙方拒绝整改或考核多次不合格的，</w:t>
      </w:r>
      <w:bookmarkStart w:id="136" w:name="_Hlk77949524"/>
      <w:r>
        <w:rPr>
          <w:rFonts w:hint="eastAsia" w:ascii="宋体" w:hAnsi="宋体" w:eastAsia="宋体" w:cs="Times New Roman"/>
          <w:color w:val="auto"/>
          <w:highlight w:val="none"/>
        </w:rPr>
        <w:t>甲方有权解除合同，并不予支付相应服务费用，乙方按合同总金额的20%向甲方支付违约金，造成甲方损失的，还应赔偿甲方损失。</w:t>
      </w:r>
      <w:bookmarkEnd w:id="136"/>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10.5</w:t>
      </w:r>
      <w:r>
        <w:rPr>
          <w:rFonts w:hint="eastAsia" w:ascii="宋体" w:hAnsi="宋体" w:eastAsia="宋体" w:cs="Times New Roman"/>
          <w:color w:val="auto"/>
          <w:highlight w:val="none"/>
        </w:rPr>
        <w:t>乙方未按磋商文件、响应文件及合同约定对故障设备等进行维修、更换处理的，应当及时整改，保证系统的正常运行。如乙方不及时整改或拒绝整改，甲方有权解除合同，并不予支付相应服务费用，乙方按合同总金额的20%向甲方支付违约金，造成甲方损失的，还应赔偿甲方损失。</w:t>
      </w:r>
    </w:p>
    <w:p>
      <w:pPr>
        <w:widowControl/>
        <w:spacing w:before="120" w:line="348"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10.6</w:t>
      </w:r>
      <w:r>
        <w:rPr>
          <w:rFonts w:hint="eastAsia" w:ascii="宋体" w:hAnsi="宋体" w:eastAsia="宋体" w:cs="Times New Roman"/>
          <w:color w:val="auto"/>
          <w:highlight w:val="none"/>
        </w:rPr>
        <w:t>乙方提供的服务（包括设备等）如侵犯了第三方合法权益而引发的任何纠纷或诉讼，均由乙方负责交涉并承担全部责任。甲方有权解除合同，合同金额没有支付的，不再支付；已经支付的，甲方有权追回，且乙方应按合同金额20%向甲方支付违约金，造成甲方损失的，还应赔偿甲方损失。</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11.  不可抗力事件处理</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11.1 在合同有效期内，任何一方因不可抗力事件导致不能履行合同，则合同履行期可延长，其延长期与不可抗力影响期相同。</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11.2 不可抗力事件发生后，应立即通知对方，并寄送有关权威机构出具的证明。</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11.3 不可抗力事件延续120天以上，双方应通过友好协商，确定是否继续履行合同。</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12.  诉讼</w:t>
      </w:r>
    </w:p>
    <w:p>
      <w:pPr>
        <w:tabs>
          <w:tab w:val="left" w:pos="0"/>
        </w:tabs>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w:t>
      </w:r>
      <w:r>
        <w:rPr>
          <w:rFonts w:ascii="宋体" w:hAnsi="宋体" w:eastAsia="宋体" w:cs="Times New Roman"/>
          <w:color w:val="auto"/>
          <w:szCs w:val="20"/>
          <w:highlight w:val="none"/>
        </w:rPr>
        <w:t>2</w:t>
      </w:r>
      <w:r>
        <w:rPr>
          <w:rFonts w:hint="eastAsia" w:ascii="宋体" w:hAnsi="宋体" w:eastAsia="宋体" w:cs="Times New Roman"/>
          <w:color w:val="auto"/>
          <w:szCs w:val="20"/>
          <w:highlight w:val="none"/>
        </w:rPr>
        <w:t>.1 双方在执行合同中所发生的一切争议，应通过协商解决。如协商不成，可向甲方所在地有管辖权的人民法院提起诉讼。</w:t>
      </w:r>
    </w:p>
    <w:p>
      <w:pPr>
        <w:spacing w:line="360" w:lineRule="auto"/>
        <w:rPr>
          <w:rFonts w:ascii="宋体" w:hAnsi="宋体"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13.  合同生效及其它</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13.1 合同经双方法定代表人或授权委托代理人签字并加盖单位公章后生效。</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13.2下述合同附件为本合同不可分割的部分并与本合同具有同等效力：</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（1）中标（或成交）通知书；</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（2）采购文件项目需求表；</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（3）采购文件的澄清和修改；</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（4）响应函、报价表；</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（5）商务要求偏离表、技术偏离表、售后服务承诺书；</w:t>
      </w:r>
    </w:p>
    <w:p>
      <w:pPr>
        <w:spacing w:line="440" w:lineRule="exact"/>
        <w:ind w:firstLine="420" w:firstLineChars="200"/>
        <w:rPr>
          <w:color w:val="auto"/>
          <w:highlight w:val="none"/>
        </w:rPr>
      </w:pPr>
      <w:r>
        <w:rPr>
          <w:rFonts w:hint="eastAsia" w:ascii="宋体" w:hAnsi="宋体" w:eastAsia="宋体" w:cs="Times New Roman"/>
          <w:color w:val="auto"/>
          <w:highlight w:val="none"/>
        </w:rPr>
        <w:t>13.3本合同的实质性条款凡是与采购文件采购需求有冲突的，一律以采购需求的约定为准</w:t>
      </w:r>
      <w:r>
        <w:rPr>
          <w:rFonts w:hint="eastAsia" w:ascii="Times New Roman" w:hAnsi="Times New Roman" w:eastAsia="宋体" w:cs="Times New Roman"/>
          <w:color w:val="auto"/>
          <w:highlight w:val="none"/>
        </w:rPr>
        <w:t>。</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13.4 本合同未尽事宜，遵照《中华人民共和国民法典》有关条文执行。</w:t>
      </w:r>
    </w:p>
    <w:p>
      <w:pPr>
        <w:spacing w:line="360" w:lineRule="auto"/>
        <w:ind w:firstLine="420" w:firstLineChars="200"/>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13.5 本合同一式伍份，甲乙双方各执贰份，招标代理机构壹份。</w:t>
      </w:r>
    </w:p>
    <w:p>
      <w:pPr>
        <w:snapToGrid w:val="0"/>
        <w:spacing w:line="440" w:lineRule="exact"/>
        <w:rPr>
          <w:rFonts w:ascii="宋体" w:hAnsi="宋体"/>
          <w:color w:val="auto"/>
          <w:szCs w:val="21"/>
          <w:highlight w:val="none"/>
        </w:rPr>
      </w:pPr>
    </w:p>
    <w:p>
      <w:pPr>
        <w:rPr>
          <w:color w:val="auto"/>
          <w:highlight w:val="none"/>
        </w:rPr>
      </w:pPr>
      <w:r>
        <w:rPr>
          <w:color w:val="auto"/>
          <w:highlight w:val="none"/>
        </w:rPr>
        <w:br w:type="page"/>
      </w:r>
    </w:p>
    <w:p>
      <w:pPr>
        <w:rPr>
          <w:color w:val="auto"/>
          <w:highlight w:val="none"/>
        </w:rPr>
      </w:pPr>
    </w:p>
    <w:tbl>
      <w:tblPr>
        <w:tblStyle w:val="38"/>
        <w:tblpPr w:leftFromText="180" w:rightFromText="180" w:vertAnchor="page" w:horzAnchor="margin" w:tblpY="16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6"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auto"/>
                <w:szCs w:val="21"/>
                <w:highlight w:val="none"/>
              </w:rPr>
            </w:pPr>
            <w:r>
              <w:rPr>
                <w:rFonts w:hint="eastAsia" w:ascii="宋体" w:hAnsi="宋体"/>
                <w:color w:val="auto"/>
                <w:szCs w:val="21"/>
                <w:highlight w:val="none"/>
              </w:rPr>
              <w:t>甲方（盖章）</w:t>
            </w:r>
          </w:p>
          <w:p>
            <w:pPr>
              <w:snapToGrid w:val="0"/>
              <w:spacing w:line="320" w:lineRule="exact"/>
              <w:jc w:val="right"/>
              <w:rPr>
                <w:rFonts w:ascii="宋体" w:hAnsi="宋体"/>
                <w:color w:val="auto"/>
                <w:szCs w:val="21"/>
                <w:highlight w:val="none"/>
              </w:rPr>
            </w:pPr>
          </w:p>
          <w:p>
            <w:pPr>
              <w:snapToGrid w:val="0"/>
              <w:spacing w:line="320" w:lineRule="exact"/>
              <w:jc w:val="right"/>
              <w:rPr>
                <w:rFonts w:ascii="宋体" w:hAnsi="宋体"/>
                <w:color w:val="auto"/>
                <w:szCs w:val="21"/>
                <w:highlight w:val="none"/>
              </w:rPr>
            </w:pPr>
            <w:r>
              <w:rPr>
                <w:rFonts w:hint="eastAsia" w:ascii="宋体" w:hAnsi="宋体"/>
                <w:color w:val="auto"/>
                <w:szCs w:val="21"/>
                <w:highlight w:val="none"/>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35" w:firstLineChars="17"/>
              <w:rPr>
                <w:rFonts w:ascii="宋体" w:hAnsi="宋体"/>
                <w:color w:val="auto"/>
                <w:szCs w:val="21"/>
                <w:highlight w:val="none"/>
              </w:rPr>
            </w:pPr>
            <w:r>
              <w:rPr>
                <w:rFonts w:hint="eastAsia" w:ascii="宋体" w:hAnsi="宋体"/>
                <w:color w:val="auto"/>
                <w:szCs w:val="21"/>
                <w:highlight w:val="none"/>
              </w:rPr>
              <w:t>乙方（盖章）</w:t>
            </w:r>
          </w:p>
          <w:p>
            <w:pPr>
              <w:snapToGrid w:val="0"/>
              <w:spacing w:line="320" w:lineRule="exact"/>
              <w:ind w:firstLine="35" w:firstLineChars="17"/>
              <w:jc w:val="right"/>
              <w:rPr>
                <w:rFonts w:ascii="宋体" w:hAnsi="宋体"/>
                <w:color w:val="auto"/>
                <w:szCs w:val="21"/>
                <w:highlight w:val="none"/>
              </w:rPr>
            </w:pPr>
            <w:r>
              <w:rPr>
                <w:rFonts w:hint="eastAsia" w:ascii="宋体" w:hAnsi="宋体"/>
                <w:color w:val="auto"/>
                <w:szCs w:val="21"/>
                <w:highlight w:val="none"/>
              </w:rPr>
              <w:t xml:space="preserve"> </w:t>
            </w:r>
          </w:p>
          <w:p>
            <w:pPr>
              <w:snapToGrid w:val="0"/>
              <w:spacing w:line="320" w:lineRule="exact"/>
              <w:ind w:firstLine="35" w:firstLineChars="17"/>
              <w:jc w:val="right"/>
              <w:rPr>
                <w:rFonts w:ascii="宋体" w:hAnsi="宋体"/>
                <w:color w:val="auto"/>
                <w:szCs w:val="21"/>
                <w:highlight w:val="none"/>
              </w:rPr>
            </w:pPr>
            <w:r>
              <w:rPr>
                <w:rFonts w:hint="eastAsia" w:ascii="宋体" w:hAnsi="宋体"/>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单位地址：</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电话：</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账号：</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highlight w:val="none"/>
              </w:rPr>
            </w:pPr>
            <w:r>
              <w:rPr>
                <w:rFonts w:hint="eastAsia" w:ascii="宋体" w:hAnsi="宋体"/>
                <w:color w:val="auto"/>
                <w:szCs w:val="21"/>
                <w:highlight w:val="none"/>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rPr>
                <w:rFonts w:ascii="宋体" w:hAnsi="宋体"/>
                <w:color w:val="auto"/>
                <w:szCs w:val="21"/>
                <w:highlight w:val="none"/>
              </w:rPr>
            </w:pPr>
            <w:r>
              <w:rPr>
                <w:rFonts w:hint="eastAsia" w:ascii="宋体" w:hAnsi="宋体"/>
                <w:color w:val="auto"/>
                <w:szCs w:val="21"/>
                <w:highlight w:val="none"/>
              </w:rPr>
              <w:t>经办人：</w:t>
            </w:r>
          </w:p>
        </w:tc>
      </w:tr>
    </w:tbl>
    <w:p>
      <w:pPr>
        <w:widowControl/>
        <w:jc w:val="left"/>
        <w:rPr>
          <w:rFonts w:hint="eastAsia" w:ascii="宋体" w:hAnsi="宋体"/>
          <w:bCs/>
          <w:color w:val="auto"/>
          <w:szCs w:val="21"/>
          <w:highlight w:val="none"/>
        </w:rPr>
      </w:pPr>
      <w:r>
        <w:rPr>
          <w:color w:val="auto"/>
          <w:highlight w:val="none"/>
        </w:rPr>
        <w:br w:type="page"/>
      </w:r>
    </w:p>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p>
    <w:p>
      <w:pPr>
        <w:rPr>
          <w:color w:val="auto"/>
          <w:highlight w:val="none"/>
        </w:rPr>
      </w:pPr>
    </w:p>
    <w:p>
      <w:pPr>
        <w:pStyle w:val="23"/>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方正小标宋_GBK" w:eastAsia="方正小标宋_GBK"/>
          <w:color w:val="auto"/>
          <w:highlight w:val="none"/>
        </w:rPr>
      </w:pPr>
      <w:bookmarkStart w:id="137" w:name="_Toc397585460"/>
      <w:bookmarkStart w:id="138" w:name="_Toc92355028"/>
      <w:r>
        <w:rPr>
          <w:rFonts w:hint="eastAsia" w:ascii="方正小标宋_GBK" w:hAnsi="方正小标宋_GBK" w:eastAsia="方正小标宋_GBK"/>
          <w:color w:val="auto"/>
          <w:highlight w:val="none"/>
        </w:rPr>
        <w:t>第六章  响应文件格式</w:t>
      </w:r>
      <w:bookmarkEnd w:id="137"/>
      <w:bookmarkEnd w:id="138"/>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39"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40"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40"/>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5"/>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41"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41"/>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42"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42"/>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43" w:name="_Hlk60836554"/>
      <w:r>
        <w:rPr>
          <w:rFonts w:hint="eastAsia" w:ascii="宋体" w:hAnsi="宋体"/>
          <w:bCs/>
          <w:color w:val="auto"/>
          <w:szCs w:val="21"/>
          <w:highlight w:val="none"/>
        </w:rPr>
        <w:t>（财库﹝2020﹞46号）</w:t>
      </w:r>
      <w:bookmarkEnd w:id="143"/>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44" w:name="_Hlk108682836"/>
      <w:r>
        <w:rPr>
          <w:rFonts w:hint="eastAsia" w:ascii="宋体" w:hAnsi="宋体"/>
          <w:bCs/>
          <w:color w:val="auto"/>
          <w:szCs w:val="21"/>
          <w:highlight w:val="none"/>
        </w:rPr>
        <w:t>服务全部由符合政策要求的中小企业承接</w:t>
      </w:r>
      <w:bookmarkEnd w:id="144"/>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45"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45"/>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46"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46"/>
      <w:r>
        <w:rPr>
          <w:rFonts w:hint="eastAsia" w:hAnsi="宋体"/>
          <w:bCs/>
          <w:color w:val="auto"/>
          <w:sz w:val="18"/>
          <w:szCs w:val="18"/>
          <w:highlight w:val="none"/>
        </w:rPr>
        <w:t>上一年度数据，无上一年度数据的新成立企业可不填报。</w:t>
      </w:r>
      <w:bookmarkEnd w:id="139"/>
    </w:p>
    <w:p>
      <w:pPr>
        <w:pStyle w:val="5"/>
        <w:rPr>
          <w:color w:val="auto"/>
          <w:highlight w:val="none"/>
        </w:rPr>
      </w:pPr>
      <w:r>
        <w:rPr>
          <w:color w:val="auto"/>
          <w:highlight w:val="none"/>
        </w:rPr>
        <w:br w:type="page"/>
      </w:r>
    </w:p>
    <w:tbl>
      <w:tblPr>
        <w:tblStyle w:val="38"/>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47"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48"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48"/>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47"/>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3"/>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49"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49"/>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50" w:name="_Hlk92702324"/>
      <w:r>
        <w:rPr>
          <w:rFonts w:hint="eastAsia" w:ascii="仿宋" w:hAnsi="仿宋" w:eastAsia="仿宋" w:cs="黑体"/>
          <w:b/>
          <w:color w:val="auto"/>
          <w:sz w:val="32"/>
          <w:szCs w:val="32"/>
          <w:highlight w:val="none"/>
        </w:rPr>
        <w:t>磋 商 函</w:t>
      </w:r>
      <w:bookmarkEnd w:id="150"/>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3"/>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51"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51"/>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52" w:name="_Hlk92702799"/>
      <w:r>
        <w:rPr>
          <w:rFonts w:hint="eastAsia" w:ascii="仿宋_GB2312" w:hAnsi="宋体" w:eastAsia="仿宋_GB2312"/>
          <w:b/>
          <w:color w:val="auto"/>
          <w:sz w:val="28"/>
          <w:szCs w:val="28"/>
          <w:highlight w:val="none"/>
        </w:rPr>
        <w:t>商务</w:t>
      </w:r>
      <w:r>
        <w:rPr>
          <w:rFonts w:hint="eastAsia" w:ascii="仿宋_GB2312" w:hAnsi="宋体" w:eastAsia="仿宋_GB2312"/>
          <w:b/>
          <w:color w:val="auto"/>
          <w:sz w:val="28"/>
          <w:szCs w:val="28"/>
          <w:highlight w:val="none"/>
          <w:lang w:val="en-US" w:eastAsia="zh-CN"/>
        </w:rPr>
        <w:t>技术</w:t>
      </w:r>
      <w:r>
        <w:rPr>
          <w:rFonts w:hint="eastAsia" w:ascii="仿宋_GB2312" w:hAnsi="宋体" w:eastAsia="仿宋_GB2312"/>
          <w:b/>
          <w:color w:val="auto"/>
          <w:sz w:val="28"/>
          <w:szCs w:val="28"/>
          <w:highlight w:val="none"/>
        </w:rPr>
        <w:t>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b/>
          <w:color w:val="auto"/>
          <w:szCs w:val="21"/>
          <w:highlight w:val="none"/>
        </w:rPr>
      </w:pPr>
    </w:p>
    <w:p>
      <w:pPr>
        <w:rPr>
          <w:color w:val="auto"/>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52"/>
      <w:bookmarkStart w:id="153"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153"/>
    <w:p>
      <w:pPr>
        <w:rPr>
          <w:color w:val="auto"/>
          <w:highlight w:val="none"/>
        </w:rPr>
      </w:pPr>
    </w:p>
    <w:p>
      <w:pPr>
        <w:rPr>
          <w:color w:val="auto"/>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8"/>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582"/>
        <w:gridCol w:w="1978"/>
        <w:gridCol w:w="1184"/>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8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582"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1978" w:type="dxa"/>
            <w:vAlign w:val="center"/>
          </w:tcPr>
          <w:p>
            <w:pPr>
              <w:autoSpaceDE w:val="0"/>
              <w:autoSpaceDN w:val="0"/>
              <w:adjustRightInd w:val="0"/>
              <w:jc w:val="center"/>
              <w:rPr>
                <w:rFonts w:hint="eastAsia" w:ascii="宋体" w:hAnsi="宋体"/>
                <w:color w:val="auto"/>
                <w:highlight w:val="none"/>
              </w:rPr>
            </w:pPr>
            <w:r>
              <w:rPr>
                <w:rFonts w:hint="eastAsia" w:ascii="宋体" w:hAnsi="宋体"/>
                <w:color w:val="auto"/>
                <w:highlight w:val="none"/>
              </w:rPr>
              <w:t>身份证号</w:t>
            </w:r>
          </w:p>
        </w:tc>
        <w:tc>
          <w:tcPr>
            <w:tcW w:w="118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237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8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582" w:type="dxa"/>
            <w:vAlign w:val="center"/>
          </w:tcPr>
          <w:p>
            <w:pPr>
              <w:autoSpaceDE w:val="0"/>
              <w:autoSpaceDN w:val="0"/>
              <w:adjustRightInd w:val="0"/>
              <w:rPr>
                <w:rFonts w:hint="eastAsia" w:ascii="宋体" w:hAnsi="宋体"/>
                <w:color w:val="auto"/>
                <w:highlight w:val="none"/>
                <w:lang w:val="zh-CN"/>
              </w:rPr>
            </w:pPr>
          </w:p>
        </w:tc>
        <w:tc>
          <w:tcPr>
            <w:tcW w:w="1978" w:type="dxa"/>
          </w:tcPr>
          <w:p>
            <w:pPr>
              <w:autoSpaceDE w:val="0"/>
              <w:autoSpaceDN w:val="0"/>
              <w:adjustRightInd w:val="0"/>
              <w:rPr>
                <w:rFonts w:hint="eastAsia" w:ascii="宋体" w:hAnsi="宋体"/>
                <w:color w:val="auto"/>
                <w:highlight w:val="none"/>
                <w:lang w:val="zh-CN"/>
              </w:rPr>
            </w:pPr>
          </w:p>
        </w:tc>
        <w:tc>
          <w:tcPr>
            <w:tcW w:w="1184" w:type="dxa"/>
          </w:tcPr>
          <w:p>
            <w:pPr>
              <w:autoSpaceDE w:val="0"/>
              <w:autoSpaceDN w:val="0"/>
              <w:adjustRightInd w:val="0"/>
              <w:rPr>
                <w:rFonts w:hint="eastAsia" w:ascii="宋体" w:hAnsi="宋体"/>
                <w:color w:val="auto"/>
                <w:highlight w:val="none"/>
                <w:lang w:val="zh-CN"/>
              </w:rPr>
            </w:pPr>
          </w:p>
        </w:tc>
        <w:tc>
          <w:tcPr>
            <w:tcW w:w="2373"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8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582" w:type="dxa"/>
            <w:vAlign w:val="center"/>
          </w:tcPr>
          <w:p>
            <w:pPr>
              <w:autoSpaceDE w:val="0"/>
              <w:autoSpaceDN w:val="0"/>
              <w:adjustRightInd w:val="0"/>
              <w:rPr>
                <w:rFonts w:hint="eastAsia" w:ascii="宋体" w:hAnsi="宋体"/>
                <w:color w:val="auto"/>
                <w:highlight w:val="none"/>
                <w:lang w:val="zh-CN"/>
              </w:rPr>
            </w:pPr>
          </w:p>
        </w:tc>
        <w:tc>
          <w:tcPr>
            <w:tcW w:w="1978" w:type="dxa"/>
          </w:tcPr>
          <w:p>
            <w:pPr>
              <w:autoSpaceDE w:val="0"/>
              <w:autoSpaceDN w:val="0"/>
              <w:adjustRightInd w:val="0"/>
              <w:rPr>
                <w:rFonts w:hint="eastAsia" w:ascii="宋体" w:hAnsi="宋体"/>
                <w:color w:val="auto"/>
                <w:highlight w:val="none"/>
                <w:lang w:val="zh-CN"/>
              </w:rPr>
            </w:pPr>
          </w:p>
        </w:tc>
        <w:tc>
          <w:tcPr>
            <w:tcW w:w="1184" w:type="dxa"/>
          </w:tcPr>
          <w:p>
            <w:pPr>
              <w:autoSpaceDE w:val="0"/>
              <w:autoSpaceDN w:val="0"/>
              <w:adjustRightInd w:val="0"/>
              <w:rPr>
                <w:rFonts w:hint="eastAsia" w:ascii="宋体" w:hAnsi="宋体"/>
                <w:color w:val="auto"/>
                <w:highlight w:val="none"/>
                <w:lang w:val="zh-CN"/>
              </w:rPr>
            </w:pPr>
          </w:p>
        </w:tc>
        <w:tc>
          <w:tcPr>
            <w:tcW w:w="2373"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8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582" w:type="dxa"/>
            <w:vAlign w:val="center"/>
          </w:tcPr>
          <w:p>
            <w:pPr>
              <w:autoSpaceDE w:val="0"/>
              <w:autoSpaceDN w:val="0"/>
              <w:adjustRightInd w:val="0"/>
              <w:rPr>
                <w:rFonts w:hint="eastAsia" w:ascii="宋体" w:hAnsi="宋体"/>
                <w:color w:val="auto"/>
                <w:highlight w:val="none"/>
                <w:lang w:val="zh-CN"/>
              </w:rPr>
            </w:pPr>
          </w:p>
        </w:tc>
        <w:tc>
          <w:tcPr>
            <w:tcW w:w="1978" w:type="dxa"/>
          </w:tcPr>
          <w:p>
            <w:pPr>
              <w:autoSpaceDE w:val="0"/>
              <w:autoSpaceDN w:val="0"/>
              <w:adjustRightInd w:val="0"/>
              <w:rPr>
                <w:rFonts w:hint="eastAsia" w:ascii="宋体" w:hAnsi="宋体"/>
                <w:color w:val="auto"/>
                <w:highlight w:val="none"/>
                <w:lang w:val="zh-CN"/>
              </w:rPr>
            </w:pPr>
          </w:p>
        </w:tc>
        <w:tc>
          <w:tcPr>
            <w:tcW w:w="1184" w:type="dxa"/>
          </w:tcPr>
          <w:p>
            <w:pPr>
              <w:autoSpaceDE w:val="0"/>
              <w:autoSpaceDN w:val="0"/>
              <w:adjustRightInd w:val="0"/>
              <w:rPr>
                <w:rFonts w:hint="eastAsia" w:ascii="宋体" w:hAnsi="宋体"/>
                <w:color w:val="auto"/>
                <w:highlight w:val="none"/>
                <w:lang w:val="zh-CN"/>
              </w:rPr>
            </w:pPr>
          </w:p>
        </w:tc>
        <w:tc>
          <w:tcPr>
            <w:tcW w:w="2373"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8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582" w:type="dxa"/>
          </w:tcPr>
          <w:p>
            <w:pPr>
              <w:autoSpaceDE w:val="0"/>
              <w:autoSpaceDN w:val="0"/>
              <w:adjustRightInd w:val="0"/>
              <w:rPr>
                <w:rFonts w:hint="eastAsia" w:ascii="宋体" w:hAnsi="宋体"/>
                <w:color w:val="auto"/>
                <w:highlight w:val="none"/>
                <w:lang w:val="zh-CN"/>
              </w:rPr>
            </w:pPr>
          </w:p>
        </w:tc>
        <w:tc>
          <w:tcPr>
            <w:tcW w:w="1978" w:type="dxa"/>
          </w:tcPr>
          <w:p>
            <w:pPr>
              <w:autoSpaceDE w:val="0"/>
              <w:autoSpaceDN w:val="0"/>
              <w:adjustRightInd w:val="0"/>
              <w:rPr>
                <w:rFonts w:hint="eastAsia" w:ascii="宋体" w:hAnsi="宋体"/>
                <w:color w:val="auto"/>
                <w:highlight w:val="none"/>
                <w:lang w:val="zh-CN"/>
              </w:rPr>
            </w:pPr>
          </w:p>
        </w:tc>
        <w:tc>
          <w:tcPr>
            <w:tcW w:w="1184" w:type="dxa"/>
          </w:tcPr>
          <w:p>
            <w:pPr>
              <w:autoSpaceDE w:val="0"/>
              <w:autoSpaceDN w:val="0"/>
              <w:adjustRightInd w:val="0"/>
              <w:rPr>
                <w:rFonts w:hint="eastAsia" w:ascii="宋体" w:hAnsi="宋体"/>
                <w:color w:val="auto"/>
                <w:highlight w:val="none"/>
                <w:lang w:val="zh-CN"/>
              </w:rPr>
            </w:pPr>
          </w:p>
        </w:tc>
        <w:tc>
          <w:tcPr>
            <w:tcW w:w="2373"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rFonts w:hint="eastAsia" w:ascii="宋体" w:hAnsi="宋体"/>
          <w:bCs/>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提供所配置人员姓名、身份证、岗位、职称等证明材料。</w:t>
      </w:r>
    </w:p>
    <w:p>
      <w:pPr>
        <w:rPr>
          <w:color w:val="auto"/>
          <w:highlight w:val="none"/>
        </w:rPr>
      </w:pPr>
    </w:p>
    <w:p>
      <w:pPr>
        <w:rPr>
          <w:color w:val="auto"/>
          <w:highlight w:val="none"/>
        </w:rPr>
      </w:pP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pStyle w:val="101"/>
        <w:rPr>
          <w:rFonts w:hint="eastAsia" w:ascii="宋体" w:hAnsi="宋体" w:cs="宋体"/>
          <w:color w:val="auto"/>
          <w:sz w:val="21"/>
          <w:szCs w:val="21"/>
          <w:highlight w:val="none"/>
        </w:rPr>
      </w:pPr>
    </w:p>
    <w:p>
      <w:pPr>
        <w:pStyle w:val="101"/>
        <w:rPr>
          <w:rFonts w:hint="eastAsia" w:ascii="宋体" w:hAnsi="宋体" w:cs="宋体"/>
          <w:color w:val="auto"/>
          <w:sz w:val="21"/>
          <w:szCs w:val="21"/>
          <w:highlight w:val="none"/>
        </w:rPr>
      </w:pPr>
    </w:p>
    <w:bookmarkEnd w:id="52"/>
    <w:bookmarkEnd w:id="53"/>
    <w:bookmarkEnd w:id="54"/>
    <w:bookmarkEnd w:id="55"/>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8"/>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元整</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3"/>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3"/>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7"/>
          <w:jc w:val="center"/>
        </w:pPr>
        <w:r>
          <w:fldChar w:fldCharType="begin"/>
        </w:r>
        <w:r>
          <w:instrText xml:space="preserve">PAGE   \* MERGEFORMAT</w:instrText>
        </w:r>
        <w:r>
          <w:fldChar w:fldCharType="separate"/>
        </w:r>
        <w:r>
          <w:t>2</w:t>
        </w:r>
        <w: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 xml:space="preserve">钦州市政府采购中心             </w:t>
    </w:r>
    <w:r>
      <w:rPr>
        <w:rFonts w:hint="eastAsia"/>
        <w:lang w:val="en-US" w:eastAsia="zh-CN"/>
      </w:rPr>
      <w:t xml:space="preserve">           </w:t>
    </w:r>
    <w:r>
      <w:rPr>
        <w:rFonts w:hint="eastAsia"/>
        <w:lang w:eastAsia="zh-CN"/>
      </w:rPr>
      <w:t xml:space="preserve">钦州市市场监管局知识产权保护体系建设 </w:t>
    </w:r>
    <w:r>
      <w:rPr>
        <w:rFonts w:hint="eastAsia"/>
      </w:rPr>
      <w:t>(</w:t>
    </w:r>
    <w:r>
      <w:rPr>
        <w:rFonts w:hint="eastAsia"/>
        <w:lang w:eastAsia="zh-CN"/>
      </w:rPr>
      <w:t>QZZC2025-C3-990368-QZSZ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4010"/>
    <w:multiLevelType w:val="singleLevel"/>
    <w:tmpl w:val="80A74010"/>
    <w:lvl w:ilvl="0" w:tentative="0">
      <w:start w:val="1"/>
      <w:numFmt w:val="chineseCounting"/>
      <w:suff w:val="nothing"/>
      <w:lvlText w:val="%1、"/>
      <w:lvlJc w:val="left"/>
      <w:rPr>
        <w:rFonts w:hint="eastAsia"/>
      </w:rPr>
    </w:lvl>
  </w:abstractNum>
  <w:abstractNum w:abstractNumId="1">
    <w:nsid w:val="EB3F07FC"/>
    <w:multiLevelType w:val="singleLevel"/>
    <w:tmpl w:val="EB3F07FC"/>
    <w:lvl w:ilvl="0" w:tentative="0">
      <w:start w:val="1"/>
      <w:numFmt w:val="chineseCounting"/>
      <w:suff w:val="nothing"/>
      <w:lvlText w:val="%1、"/>
      <w:lvlJc w:val="left"/>
      <w:rPr>
        <w:rFonts w:hint="eastAsia"/>
      </w:rPr>
    </w:lvl>
  </w:abstractNum>
  <w:abstractNum w:abstractNumId="2">
    <w:nsid w:val="00000007"/>
    <w:multiLevelType w:val="multilevel"/>
    <w:tmpl w:val="00000007"/>
    <w:lvl w:ilvl="0" w:tentative="0">
      <w:start w:val="1"/>
      <w:numFmt w:val="chineseCountingThousand"/>
      <w:pStyle w:val="21"/>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7"/>
      <w:suff w:val="nothing"/>
      <w:lvlText w:val=""/>
      <w:lvlJc w:val="left"/>
      <w:pPr>
        <w:ind w:left="142" w:firstLine="0"/>
      </w:pPr>
      <w:rPr>
        <w:rFonts w:hint="eastAsia"/>
      </w:rPr>
    </w:lvl>
    <w:lvl w:ilvl="5" w:tentative="0">
      <w:start w:val="1"/>
      <w:numFmt w:val="none"/>
      <w:pStyle w:val="9"/>
      <w:suff w:val="nothing"/>
      <w:lvlText w:val=""/>
      <w:lvlJc w:val="left"/>
      <w:pPr>
        <w:ind w:left="142" w:firstLine="0"/>
      </w:pPr>
      <w:rPr>
        <w:rFonts w:hint="eastAsia"/>
      </w:rPr>
    </w:lvl>
    <w:lvl w:ilvl="6" w:tentative="0">
      <w:start w:val="1"/>
      <w:numFmt w:val="none"/>
      <w:pStyle w:val="10"/>
      <w:suff w:val="nothing"/>
      <w:lvlText w:val=""/>
      <w:lvlJc w:val="left"/>
      <w:pPr>
        <w:ind w:left="142" w:firstLine="0"/>
      </w:pPr>
      <w:rPr>
        <w:rFonts w:hint="eastAsia"/>
      </w:rPr>
    </w:lvl>
    <w:lvl w:ilvl="7" w:tentative="0">
      <w:start w:val="1"/>
      <w:numFmt w:val="none"/>
      <w:pStyle w:val="11"/>
      <w:suff w:val="nothing"/>
      <w:lvlText w:val=""/>
      <w:lvlJc w:val="left"/>
      <w:pPr>
        <w:ind w:left="142" w:firstLine="0"/>
      </w:pPr>
      <w:rPr>
        <w:rFonts w:hint="eastAsia"/>
      </w:rPr>
    </w:lvl>
    <w:lvl w:ilvl="8" w:tentative="0">
      <w:start w:val="1"/>
      <w:numFmt w:val="none"/>
      <w:pStyle w:val="12"/>
      <w:suff w:val="nothing"/>
      <w:lvlText w:val=""/>
      <w:lvlJc w:val="left"/>
      <w:pPr>
        <w:ind w:left="142" w:firstLine="0"/>
      </w:pPr>
      <w:rPr>
        <w:rFonts w:hint="eastAsia"/>
      </w:rPr>
    </w:lvl>
  </w:abstractNum>
  <w:abstractNum w:abstractNumId="3">
    <w:nsid w:val="6B44802A"/>
    <w:multiLevelType w:val="singleLevel"/>
    <w:tmpl w:val="6B44802A"/>
    <w:lvl w:ilvl="0" w:tentative="0">
      <w:start w:val="1"/>
      <w:numFmt w:val="chineseCounting"/>
      <w:suff w:val="nothing"/>
      <w:lvlText w:val="%1、"/>
      <w:lvlJc w:val="left"/>
      <w:rPr>
        <w:rFonts w:hint="eastAsia"/>
      </w:rPr>
    </w:lvl>
  </w:abstractNum>
  <w:abstractNum w:abstractNumId="4">
    <w:nsid w:val="6B97D770"/>
    <w:multiLevelType w:val="singleLevel"/>
    <w:tmpl w:val="6B97D770"/>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1F72"/>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882"/>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1658"/>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918"/>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67"/>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6528CA"/>
    <w:rsid w:val="017054B6"/>
    <w:rsid w:val="01AC75F0"/>
    <w:rsid w:val="01BF37C7"/>
    <w:rsid w:val="01BF5575"/>
    <w:rsid w:val="01DB1C83"/>
    <w:rsid w:val="01FB5C4F"/>
    <w:rsid w:val="020957FD"/>
    <w:rsid w:val="0213141D"/>
    <w:rsid w:val="02491AB4"/>
    <w:rsid w:val="024A0BB7"/>
    <w:rsid w:val="0256548E"/>
    <w:rsid w:val="027345B1"/>
    <w:rsid w:val="02890D36"/>
    <w:rsid w:val="029370C7"/>
    <w:rsid w:val="029B0E51"/>
    <w:rsid w:val="02BD75DA"/>
    <w:rsid w:val="02CD5745"/>
    <w:rsid w:val="02D7069C"/>
    <w:rsid w:val="02FF41F8"/>
    <w:rsid w:val="0314419D"/>
    <w:rsid w:val="03AF786B"/>
    <w:rsid w:val="03B66A47"/>
    <w:rsid w:val="03D12F2D"/>
    <w:rsid w:val="03F86B1C"/>
    <w:rsid w:val="04602913"/>
    <w:rsid w:val="04E24159"/>
    <w:rsid w:val="04E81B1A"/>
    <w:rsid w:val="05097AD0"/>
    <w:rsid w:val="050A7344"/>
    <w:rsid w:val="05CC0E93"/>
    <w:rsid w:val="06120F43"/>
    <w:rsid w:val="06443FD4"/>
    <w:rsid w:val="068273C6"/>
    <w:rsid w:val="06AA58F0"/>
    <w:rsid w:val="06AF2ACB"/>
    <w:rsid w:val="06C70D2A"/>
    <w:rsid w:val="06CB5095"/>
    <w:rsid w:val="06F47713"/>
    <w:rsid w:val="071C5217"/>
    <w:rsid w:val="07277E4A"/>
    <w:rsid w:val="0748600C"/>
    <w:rsid w:val="08073E22"/>
    <w:rsid w:val="083420ED"/>
    <w:rsid w:val="084A7A59"/>
    <w:rsid w:val="08822685"/>
    <w:rsid w:val="08B0222D"/>
    <w:rsid w:val="08C41BCC"/>
    <w:rsid w:val="08FA104A"/>
    <w:rsid w:val="08FA57C7"/>
    <w:rsid w:val="095A0B90"/>
    <w:rsid w:val="0983332C"/>
    <w:rsid w:val="09863BAB"/>
    <w:rsid w:val="09AA1547"/>
    <w:rsid w:val="09AA4D5C"/>
    <w:rsid w:val="09B07128"/>
    <w:rsid w:val="09B63701"/>
    <w:rsid w:val="09E85885"/>
    <w:rsid w:val="0A20501F"/>
    <w:rsid w:val="0A344626"/>
    <w:rsid w:val="0A765FB8"/>
    <w:rsid w:val="0A814349"/>
    <w:rsid w:val="0AED6133"/>
    <w:rsid w:val="0AF8308E"/>
    <w:rsid w:val="0B97173B"/>
    <w:rsid w:val="0BB04180"/>
    <w:rsid w:val="0BC22AFC"/>
    <w:rsid w:val="0BCF2858"/>
    <w:rsid w:val="0BD55995"/>
    <w:rsid w:val="0BF91683"/>
    <w:rsid w:val="0C006EB6"/>
    <w:rsid w:val="0C483CB5"/>
    <w:rsid w:val="0C5F0057"/>
    <w:rsid w:val="0CC0267A"/>
    <w:rsid w:val="0D8D654B"/>
    <w:rsid w:val="0D8F7828"/>
    <w:rsid w:val="0D984ECC"/>
    <w:rsid w:val="0DA914DF"/>
    <w:rsid w:val="0DE335FC"/>
    <w:rsid w:val="0DFE7425"/>
    <w:rsid w:val="0E0130FC"/>
    <w:rsid w:val="0E213113"/>
    <w:rsid w:val="0E263246"/>
    <w:rsid w:val="0E3015D7"/>
    <w:rsid w:val="0E6A02CB"/>
    <w:rsid w:val="0EC266A4"/>
    <w:rsid w:val="0F9067A2"/>
    <w:rsid w:val="0FB71F81"/>
    <w:rsid w:val="0FC87CEA"/>
    <w:rsid w:val="10036F74"/>
    <w:rsid w:val="101500B2"/>
    <w:rsid w:val="10507C42"/>
    <w:rsid w:val="105A7962"/>
    <w:rsid w:val="109C3C4F"/>
    <w:rsid w:val="10E36DA6"/>
    <w:rsid w:val="114F5A7F"/>
    <w:rsid w:val="11513D10"/>
    <w:rsid w:val="115C57C9"/>
    <w:rsid w:val="11692E07"/>
    <w:rsid w:val="116A4DD1"/>
    <w:rsid w:val="117143B2"/>
    <w:rsid w:val="117F087D"/>
    <w:rsid w:val="11AE4CBE"/>
    <w:rsid w:val="11C40985"/>
    <w:rsid w:val="11F62C07"/>
    <w:rsid w:val="11FA08A7"/>
    <w:rsid w:val="124F3295"/>
    <w:rsid w:val="12A54313"/>
    <w:rsid w:val="12D44BF8"/>
    <w:rsid w:val="13737B75"/>
    <w:rsid w:val="138403CC"/>
    <w:rsid w:val="13B43E61"/>
    <w:rsid w:val="13CE5AEB"/>
    <w:rsid w:val="13D53E63"/>
    <w:rsid w:val="13DD5026"/>
    <w:rsid w:val="13F84916"/>
    <w:rsid w:val="14326271"/>
    <w:rsid w:val="147719A1"/>
    <w:rsid w:val="148122B0"/>
    <w:rsid w:val="14891625"/>
    <w:rsid w:val="148C1946"/>
    <w:rsid w:val="14B8240A"/>
    <w:rsid w:val="1527796B"/>
    <w:rsid w:val="154C7218"/>
    <w:rsid w:val="15677C26"/>
    <w:rsid w:val="15FF6FFD"/>
    <w:rsid w:val="16323F16"/>
    <w:rsid w:val="165A3666"/>
    <w:rsid w:val="167F30CD"/>
    <w:rsid w:val="16826719"/>
    <w:rsid w:val="16C43094"/>
    <w:rsid w:val="16D73B4B"/>
    <w:rsid w:val="16E80C72"/>
    <w:rsid w:val="16F05578"/>
    <w:rsid w:val="17016D2B"/>
    <w:rsid w:val="172A3039"/>
    <w:rsid w:val="17707100"/>
    <w:rsid w:val="177121C5"/>
    <w:rsid w:val="17853822"/>
    <w:rsid w:val="17D07FA5"/>
    <w:rsid w:val="17E06C0C"/>
    <w:rsid w:val="183343B1"/>
    <w:rsid w:val="18947263"/>
    <w:rsid w:val="18992D98"/>
    <w:rsid w:val="18B01F9D"/>
    <w:rsid w:val="18BF3C55"/>
    <w:rsid w:val="18D47700"/>
    <w:rsid w:val="18E5482D"/>
    <w:rsid w:val="196C5A40"/>
    <w:rsid w:val="198463D0"/>
    <w:rsid w:val="19BE215E"/>
    <w:rsid w:val="19BE3F0C"/>
    <w:rsid w:val="19C2556A"/>
    <w:rsid w:val="19C41B53"/>
    <w:rsid w:val="19C56CED"/>
    <w:rsid w:val="1A1A2CBB"/>
    <w:rsid w:val="1A2608F3"/>
    <w:rsid w:val="1A2C356C"/>
    <w:rsid w:val="1A336B23"/>
    <w:rsid w:val="1A6A51B6"/>
    <w:rsid w:val="1B7A20B5"/>
    <w:rsid w:val="1B9C202B"/>
    <w:rsid w:val="1BAF1D5E"/>
    <w:rsid w:val="1BCD57AB"/>
    <w:rsid w:val="1C0E1A98"/>
    <w:rsid w:val="1C444B9D"/>
    <w:rsid w:val="1C490289"/>
    <w:rsid w:val="1C5E5533"/>
    <w:rsid w:val="1C6F4FB4"/>
    <w:rsid w:val="1CA6768D"/>
    <w:rsid w:val="1CB331B1"/>
    <w:rsid w:val="1CB735C0"/>
    <w:rsid w:val="1CDB5968"/>
    <w:rsid w:val="1CDC20BC"/>
    <w:rsid w:val="1CE70364"/>
    <w:rsid w:val="1D00218C"/>
    <w:rsid w:val="1D1F6145"/>
    <w:rsid w:val="1D3F6767"/>
    <w:rsid w:val="1D4F1A4B"/>
    <w:rsid w:val="1D540E0F"/>
    <w:rsid w:val="1D54432D"/>
    <w:rsid w:val="1D9425D3"/>
    <w:rsid w:val="1DB60C13"/>
    <w:rsid w:val="1E2D620F"/>
    <w:rsid w:val="1E422931"/>
    <w:rsid w:val="1E8944C5"/>
    <w:rsid w:val="1E8F7C25"/>
    <w:rsid w:val="1EB65B04"/>
    <w:rsid w:val="1F5E4382"/>
    <w:rsid w:val="1F8F2FC4"/>
    <w:rsid w:val="1FA31BDA"/>
    <w:rsid w:val="1FF24910"/>
    <w:rsid w:val="20174376"/>
    <w:rsid w:val="20325EC0"/>
    <w:rsid w:val="203B0065"/>
    <w:rsid w:val="20621846"/>
    <w:rsid w:val="208244E5"/>
    <w:rsid w:val="210F451A"/>
    <w:rsid w:val="212154AC"/>
    <w:rsid w:val="215A09BE"/>
    <w:rsid w:val="21BD09EA"/>
    <w:rsid w:val="21C734F7"/>
    <w:rsid w:val="21D2510C"/>
    <w:rsid w:val="21E64541"/>
    <w:rsid w:val="22B60C01"/>
    <w:rsid w:val="23104625"/>
    <w:rsid w:val="231879A1"/>
    <w:rsid w:val="239A46F7"/>
    <w:rsid w:val="23C15E1B"/>
    <w:rsid w:val="23CB7951"/>
    <w:rsid w:val="24005895"/>
    <w:rsid w:val="24030E99"/>
    <w:rsid w:val="2411343C"/>
    <w:rsid w:val="24170DE9"/>
    <w:rsid w:val="24213A15"/>
    <w:rsid w:val="249B1639"/>
    <w:rsid w:val="249F6523"/>
    <w:rsid w:val="25B84A72"/>
    <w:rsid w:val="25C44DD5"/>
    <w:rsid w:val="25D42F45"/>
    <w:rsid w:val="26062EC3"/>
    <w:rsid w:val="2699467B"/>
    <w:rsid w:val="26B50755"/>
    <w:rsid w:val="26C1503C"/>
    <w:rsid w:val="26CA35AD"/>
    <w:rsid w:val="26D11723"/>
    <w:rsid w:val="27541A0C"/>
    <w:rsid w:val="27C27F53"/>
    <w:rsid w:val="27C351B9"/>
    <w:rsid w:val="27CC3C98"/>
    <w:rsid w:val="27DC6979"/>
    <w:rsid w:val="28B1694E"/>
    <w:rsid w:val="28BC0562"/>
    <w:rsid w:val="2939535D"/>
    <w:rsid w:val="29437F8A"/>
    <w:rsid w:val="29747D10"/>
    <w:rsid w:val="29787C34"/>
    <w:rsid w:val="29EE3795"/>
    <w:rsid w:val="2A2D713F"/>
    <w:rsid w:val="2A423861"/>
    <w:rsid w:val="2A63541A"/>
    <w:rsid w:val="2A8F5EDF"/>
    <w:rsid w:val="2AA84B6D"/>
    <w:rsid w:val="2ABF0192"/>
    <w:rsid w:val="2AC70BB0"/>
    <w:rsid w:val="2AFB6893"/>
    <w:rsid w:val="2B012530"/>
    <w:rsid w:val="2B844FB6"/>
    <w:rsid w:val="2B9176D3"/>
    <w:rsid w:val="2B937D0B"/>
    <w:rsid w:val="2BE90905"/>
    <w:rsid w:val="2C0C6D59"/>
    <w:rsid w:val="2C314CC2"/>
    <w:rsid w:val="2CB23755"/>
    <w:rsid w:val="2D014873"/>
    <w:rsid w:val="2D4B38B1"/>
    <w:rsid w:val="2D9B373B"/>
    <w:rsid w:val="2DA55B88"/>
    <w:rsid w:val="2E1E06B9"/>
    <w:rsid w:val="2E786928"/>
    <w:rsid w:val="2EB61B31"/>
    <w:rsid w:val="2EF8259B"/>
    <w:rsid w:val="2EFC30B5"/>
    <w:rsid w:val="2F064E19"/>
    <w:rsid w:val="2F2954D5"/>
    <w:rsid w:val="2F5F095E"/>
    <w:rsid w:val="2F665BC2"/>
    <w:rsid w:val="2F737C64"/>
    <w:rsid w:val="2F794705"/>
    <w:rsid w:val="2F9959A7"/>
    <w:rsid w:val="2FDE4A00"/>
    <w:rsid w:val="2FFD0E93"/>
    <w:rsid w:val="30240B15"/>
    <w:rsid w:val="30450A8C"/>
    <w:rsid w:val="30A957E4"/>
    <w:rsid w:val="30AC28B9"/>
    <w:rsid w:val="30BE4A0D"/>
    <w:rsid w:val="30C56DD2"/>
    <w:rsid w:val="30EE1123"/>
    <w:rsid w:val="313F372D"/>
    <w:rsid w:val="316F5DC0"/>
    <w:rsid w:val="31843689"/>
    <w:rsid w:val="318A2BFA"/>
    <w:rsid w:val="3198766B"/>
    <w:rsid w:val="319D0DD6"/>
    <w:rsid w:val="31A812D2"/>
    <w:rsid w:val="31ED5251"/>
    <w:rsid w:val="31F2079F"/>
    <w:rsid w:val="32DE1F01"/>
    <w:rsid w:val="32FA2EAF"/>
    <w:rsid w:val="32FD283D"/>
    <w:rsid w:val="331630E9"/>
    <w:rsid w:val="335F6FD7"/>
    <w:rsid w:val="34027DEA"/>
    <w:rsid w:val="34087045"/>
    <w:rsid w:val="34B52199"/>
    <w:rsid w:val="34C131AF"/>
    <w:rsid w:val="34E87C04"/>
    <w:rsid w:val="352B64A2"/>
    <w:rsid w:val="352E7D40"/>
    <w:rsid w:val="35301D0A"/>
    <w:rsid w:val="35452190"/>
    <w:rsid w:val="35476355"/>
    <w:rsid w:val="356928AF"/>
    <w:rsid w:val="356E280A"/>
    <w:rsid w:val="35BC513F"/>
    <w:rsid w:val="35D501BC"/>
    <w:rsid w:val="35D579E0"/>
    <w:rsid w:val="35DB17EF"/>
    <w:rsid w:val="35F727E8"/>
    <w:rsid w:val="36013D27"/>
    <w:rsid w:val="36025D97"/>
    <w:rsid w:val="36B26ACA"/>
    <w:rsid w:val="36DB3EF8"/>
    <w:rsid w:val="36E47B9D"/>
    <w:rsid w:val="37110C64"/>
    <w:rsid w:val="37164F30"/>
    <w:rsid w:val="373A43A5"/>
    <w:rsid w:val="374641B3"/>
    <w:rsid w:val="375A12C0"/>
    <w:rsid w:val="37CB5D1A"/>
    <w:rsid w:val="3859271F"/>
    <w:rsid w:val="38673C95"/>
    <w:rsid w:val="38733E42"/>
    <w:rsid w:val="38C2712E"/>
    <w:rsid w:val="38E2156D"/>
    <w:rsid w:val="39271D01"/>
    <w:rsid w:val="394F0285"/>
    <w:rsid w:val="39A62C24"/>
    <w:rsid w:val="39D06D45"/>
    <w:rsid w:val="39DF7ECE"/>
    <w:rsid w:val="3A0A0D7C"/>
    <w:rsid w:val="3A29797A"/>
    <w:rsid w:val="3A3E409C"/>
    <w:rsid w:val="3A432417"/>
    <w:rsid w:val="3A5B7D04"/>
    <w:rsid w:val="3A8221F6"/>
    <w:rsid w:val="3A993EAE"/>
    <w:rsid w:val="3AAC1E33"/>
    <w:rsid w:val="3ABB3E24"/>
    <w:rsid w:val="3AC53AEC"/>
    <w:rsid w:val="3AFB781A"/>
    <w:rsid w:val="3B1D351E"/>
    <w:rsid w:val="3B2575DE"/>
    <w:rsid w:val="3B2714BA"/>
    <w:rsid w:val="3B365BA1"/>
    <w:rsid w:val="3B60677A"/>
    <w:rsid w:val="3B941916"/>
    <w:rsid w:val="3BAC19BF"/>
    <w:rsid w:val="3C682428"/>
    <w:rsid w:val="3D3222CC"/>
    <w:rsid w:val="3D417B8C"/>
    <w:rsid w:val="3D4402AC"/>
    <w:rsid w:val="3D4C5F1D"/>
    <w:rsid w:val="3D803103"/>
    <w:rsid w:val="3D821555"/>
    <w:rsid w:val="3D88553F"/>
    <w:rsid w:val="3D8D7280"/>
    <w:rsid w:val="3DDA0A65"/>
    <w:rsid w:val="3DFF671E"/>
    <w:rsid w:val="3E157CEF"/>
    <w:rsid w:val="3E1A5671"/>
    <w:rsid w:val="3E3F4B8A"/>
    <w:rsid w:val="3E3F7E22"/>
    <w:rsid w:val="3E481E73"/>
    <w:rsid w:val="3E546A69"/>
    <w:rsid w:val="3E667CEF"/>
    <w:rsid w:val="3EAB41B0"/>
    <w:rsid w:val="3ED34AA0"/>
    <w:rsid w:val="3EF73899"/>
    <w:rsid w:val="3F2A54AE"/>
    <w:rsid w:val="3F6E789D"/>
    <w:rsid w:val="3F747F0C"/>
    <w:rsid w:val="3FE04FF8"/>
    <w:rsid w:val="3FED2FEE"/>
    <w:rsid w:val="40B118C6"/>
    <w:rsid w:val="40D01EC3"/>
    <w:rsid w:val="40EB11DB"/>
    <w:rsid w:val="412874F2"/>
    <w:rsid w:val="412C5A7C"/>
    <w:rsid w:val="41AD2FCF"/>
    <w:rsid w:val="41BD0482"/>
    <w:rsid w:val="41C73BAC"/>
    <w:rsid w:val="41CD680D"/>
    <w:rsid w:val="41FF0A9A"/>
    <w:rsid w:val="42014C57"/>
    <w:rsid w:val="42161379"/>
    <w:rsid w:val="42323CE4"/>
    <w:rsid w:val="424B1F31"/>
    <w:rsid w:val="42703746"/>
    <w:rsid w:val="4294099C"/>
    <w:rsid w:val="429F227D"/>
    <w:rsid w:val="42AF6075"/>
    <w:rsid w:val="42CF43AB"/>
    <w:rsid w:val="42D53EF1"/>
    <w:rsid w:val="42ED4D97"/>
    <w:rsid w:val="42EE6E5E"/>
    <w:rsid w:val="43204EC2"/>
    <w:rsid w:val="436E046A"/>
    <w:rsid w:val="438576C5"/>
    <w:rsid w:val="43AD2778"/>
    <w:rsid w:val="43C845C3"/>
    <w:rsid w:val="43E837B0"/>
    <w:rsid w:val="43FE2FD4"/>
    <w:rsid w:val="44352F81"/>
    <w:rsid w:val="45123FBD"/>
    <w:rsid w:val="45336CAD"/>
    <w:rsid w:val="455C6204"/>
    <w:rsid w:val="45CF5A88"/>
    <w:rsid w:val="45D264C6"/>
    <w:rsid w:val="45E05E02"/>
    <w:rsid w:val="46737A24"/>
    <w:rsid w:val="46885E2A"/>
    <w:rsid w:val="46B207D1"/>
    <w:rsid w:val="46CA0433"/>
    <w:rsid w:val="46E52FDC"/>
    <w:rsid w:val="476C2AAB"/>
    <w:rsid w:val="47833F1C"/>
    <w:rsid w:val="47865EBD"/>
    <w:rsid w:val="47CC58C3"/>
    <w:rsid w:val="48043633"/>
    <w:rsid w:val="48270D4B"/>
    <w:rsid w:val="48516FB5"/>
    <w:rsid w:val="48AF2AEE"/>
    <w:rsid w:val="48B459D5"/>
    <w:rsid w:val="48FF5A97"/>
    <w:rsid w:val="49452A17"/>
    <w:rsid w:val="49497D40"/>
    <w:rsid w:val="498875C7"/>
    <w:rsid w:val="49B303BC"/>
    <w:rsid w:val="4A8561FD"/>
    <w:rsid w:val="4A9216E3"/>
    <w:rsid w:val="4AC05B12"/>
    <w:rsid w:val="4AE820F1"/>
    <w:rsid w:val="4B4D6D1A"/>
    <w:rsid w:val="4B814AAE"/>
    <w:rsid w:val="4BC845F3"/>
    <w:rsid w:val="4BCA036B"/>
    <w:rsid w:val="4C2F6420"/>
    <w:rsid w:val="4C520360"/>
    <w:rsid w:val="4C662717"/>
    <w:rsid w:val="4CB13567"/>
    <w:rsid w:val="4D037E68"/>
    <w:rsid w:val="4D10647F"/>
    <w:rsid w:val="4D3B3249"/>
    <w:rsid w:val="4D5A571F"/>
    <w:rsid w:val="4DF705E5"/>
    <w:rsid w:val="4E2D4BE1"/>
    <w:rsid w:val="4E3F66C2"/>
    <w:rsid w:val="4E634927"/>
    <w:rsid w:val="4E782796"/>
    <w:rsid w:val="4E9E6D0A"/>
    <w:rsid w:val="4EFB3A84"/>
    <w:rsid w:val="4F105D44"/>
    <w:rsid w:val="4F355850"/>
    <w:rsid w:val="4F416688"/>
    <w:rsid w:val="4F5C4B3F"/>
    <w:rsid w:val="4F5D14F6"/>
    <w:rsid w:val="4F8B14B0"/>
    <w:rsid w:val="4F963C4E"/>
    <w:rsid w:val="4FB671CF"/>
    <w:rsid w:val="4FEE276A"/>
    <w:rsid w:val="4FF37764"/>
    <w:rsid w:val="4FFD7F4B"/>
    <w:rsid w:val="501F5F01"/>
    <w:rsid w:val="506D2760"/>
    <w:rsid w:val="50BF05A8"/>
    <w:rsid w:val="511F641F"/>
    <w:rsid w:val="515801C7"/>
    <w:rsid w:val="51E152C2"/>
    <w:rsid w:val="51E504F4"/>
    <w:rsid w:val="52077FA0"/>
    <w:rsid w:val="52495986"/>
    <w:rsid w:val="52846D9A"/>
    <w:rsid w:val="528F2655"/>
    <w:rsid w:val="52D374D1"/>
    <w:rsid w:val="52F61E27"/>
    <w:rsid w:val="533F163E"/>
    <w:rsid w:val="53661218"/>
    <w:rsid w:val="53691AF8"/>
    <w:rsid w:val="53EB4DFF"/>
    <w:rsid w:val="53F02939"/>
    <w:rsid w:val="545A6004"/>
    <w:rsid w:val="545C6276"/>
    <w:rsid w:val="54853500"/>
    <w:rsid w:val="54892426"/>
    <w:rsid w:val="54C939AE"/>
    <w:rsid w:val="54DD6AF9"/>
    <w:rsid w:val="552542AB"/>
    <w:rsid w:val="553B7BE4"/>
    <w:rsid w:val="553E46F9"/>
    <w:rsid w:val="55546EF7"/>
    <w:rsid w:val="556C60B3"/>
    <w:rsid w:val="557E5D22"/>
    <w:rsid w:val="55910872"/>
    <w:rsid w:val="5593550C"/>
    <w:rsid w:val="55943798"/>
    <w:rsid w:val="55A35789"/>
    <w:rsid w:val="55A510D2"/>
    <w:rsid w:val="55AF412E"/>
    <w:rsid w:val="561A74D1"/>
    <w:rsid w:val="56A417B8"/>
    <w:rsid w:val="57283E0B"/>
    <w:rsid w:val="574A1DC1"/>
    <w:rsid w:val="57570AA4"/>
    <w:rsid w:val="57C00B06"/>
    <w:rsid w:val="57C546E0"/>
    <w:rsid w:val="57CC0FC7"/>
    <w:rsid w:val="58021570"/>
    <w:rsid w:val="580E5197"/>
    <w:rsid w:val="58276B38"/>
    <w:rsid w:val="5831455A"/>
    <w:rsid w:val="58485292"/>
    <w:rsid w:val="5863030F"/>
    <w:rsid w:val="5906339C"/>
    <w:rsid w:val="592616D2"/>
    <w:rsid w:val="59341B00"/>
    <w:rsid w:val="594971F2"/>
    <w:rsid w:val="59667A2A"/>
    <w:rsid w:val="598C458B"/>
    <w:rsid w:val="59DE0E81"/>
    <w:rsid w:val="59F55223"/>
    <w:rsid w:val="59FF35B4"/>
    <w:rsid w:val="5A166E71"/>
    <w:rsid w:val="5AC71F19"/>
    <w:rsid w:val="5AE470AA"/>
    <w:rsid w:val="5B242EC8"/>
    <w:rsid w:val="5B301727"/>
    <w:rsid w:val="5B5A5DEF"/>
    <w:rsid w:val="5BC56904"/>
    <w:rsid w:val="5BDE576D"/>
    <w:rsid w:val="5C0A6E8C"/>
    <w:rsid w:val="5C7659A5"/>
    <w:rsid w:val="5C87614D"/>
    <w:rsid w:val="5CC1326B"/>
    <w:rsid w:val="5CC929ED"/>
    <w:rsid w:val="5CCE483C"/>
    <w:rsid w:val="5CEC2D02"/>
    <w:rsid w:val="5CF349E8"/>
    <w:rsid w:val="5D215911"/>
    <w:rsid w:val="5D2353DA"/>
    <w:rsid w:val="5D3A4C25"/>
    <w:rsid w:val="5D44739C"/>
    <w:rsid w:val="5D541157"/>
    <w:rsid w:val="5DA36C6E"/>
    <w:rsid w:val="5DAD189A"/>
    <w:rsid w:val="5DB744C7"/>
    <w:rsid w:val="5E0D40E7"/>
    <w:rsid w:val="5E4529A4"/>
    <w:rsid w:val="5E8E6FD6"/>
    <w:rsid w:val="5EBC3A41"/>
    <w:rsid w:val="5EC24ED2"/>
    <w:rsid w:val="5EC65064"/>
    <w:rsid w:val="5ED864A3"/>
    <w:rsid w:val="5F074FDA"/>
    <w:rsid w:val="5F304531"/>
    <w:rsid w:val="5F6D531F"/>
    <w:rsid w:val="5FAE2505"/>
    <w:rsid w:val="5FD66420"/>
    <w:rsid w:val="5FE00EBE"/>
    <w:rsid w:val="5FE33352"/>
    <w:rsid w:val="5FE377F5"/>
    <w:rsid w:val="5FE5531C"/>
    <w:rsid w:val="60056797"/>
    <w:rsid w:val="604D556C"/>
    <w:rsid w:val="60F8107F"/>
    <w:rsid w:val="61094D40"/>
    <w:rsid w:val="614172DE"/>
    <w:rsid w:val="6160574F"/>
    <w:rsid w:val="61AB7E6A"/>
    <w:rsid w:val="61F23D20"/>
    <w:rsid w:val="61F42ED5"/>
    <w:rsid w:val="621E68C3"/>
    <w:rsid w:val="627548E7"/>
    <w:rsid w:val="62CA7939"/>
    <w:rsid w:val="62CC4571"/>
    <w:rsid w:val="62E35058"/>
    <w:rsid w:val="631A52DC"/>
    <w:rsid w:val="63411AEC"/>
    <w:rsid w:val="634405AB"/>
    <w:rsid w:val="636A546F"/>
    <w:rsid w:val="64405703"/>
    <w:rsid w:val="6511265D"/>
    <w:rsid w:val="651C4271"/>
    <w:rsid w:val="652C7549"/>
    <w:rsid w:val="655D7702"/>
    <w:rsid w:val="65767F1F"/>
    <w:rsid w:val="65833B69"/>
    <w:rsid w:val="65992D50"/>
    <w:rsid w:val="65A74E21"/>
    <w:rsid w:val="65A93AD5"/>
    <w:rsid w:val="65F45900"/>
    <w:rsid w:val="662B3EC2"/>
    <w:rsid w:val="663366B5"/>
    <w:rsid w:val="663F4188"/>
    <w:rsid w:val="664D59C9"/>
    <w:rsid w:val="6656236E"/>
    <w:rsid w:val="66754F1F"/>
    <w:rsid w:val="66B25BAB"/>
    <w:rsid w:val="6709601B"/>
    <w:rsid w:val="67796A91"/>
    <w:rsid w:val="67CC4F63"/>
    <w:rsid w:val="6808013C"/>
    <w:rsid w:val="681E586F"/>
    <w:rsid w:val="68490BA5"/>
    <w:rsid w:val="68686AEA"/>
    <w:rsid w:val="6872092B"/>
    <w:rsid w:val="687234C5"/>
    <w:rsid w:val="68A320F0"/>
    <w:rsid w:val="68C10A03"/>
    <w:rsid w:val="68E54CA7"/>
    <w:rsid w:val="691702F9"/>
    <w:rsid w:val="692E7F1E"/>
    <w:rsid w:val="69430A4C"/>
    <w:rsid w:val="69584DB0"/>
    <w:rsid w:val="697D0373"/>
    <w:rsid w:val="69847A9A"/>
    <w:rsid w:val="6997407C"/>
    <w:rsid w:val="6A242849"/>
    <w:rsid w:val="6A610B7E"/>
    <w:rsid w:val="6A753740"/>
    <w:rsid w:val="6A7C5CBA"/>
    <w:rsid w:val="6ADF78E5"/>
    <w:rsid w:val="6B032AFA"/>
    <w:rsid w:val="6B0B3C2C"/>
    <w:rsid w:val="6B236581"/>
    <w:rsid w:val="6B3837F7"/>
    <w:rsid w:val="6B6B7660"/>
    <w:rsid w:val="6B7874F8"/>
    <w:rsid w:val="6B8D0D02"/>
    <w:rsid w:val="6BA51E03"/>
    <w:rsid w:val="6BD6020E"/>
    <w:rsid w:val="6C0818DE"/>
    <w:rsid w:val="6C335661"/>
    <w:rsid w:val="6C5775A1"/>
    <w:rsid w:val="6C584782"/>
    <w:rsid w:val="6C6B6BA9"/>
    <w:rsid w:val="6C7C2B89"/>
    <w:rsid w:val="6CB30AE5"/>
    <w:rsid w:val="6D5A0320"/>
    <w:rsid w:val="6D5D0BE7"/>
    <w:rsid w:val="6E307E8D"/>
    <w:rsid w:val="6E92338D"/>
    <w:rsid w:val="6E9543B1"/>
    <w:rsid w:val="6E957F0D"/>
    <w:rsid w:val="6EA50F15"/>
    <w:rsid w:val="6EB215D3"/>
    <w:rsid w:val="6EE82732"/>
    <w:rsid w:val="6F1218C9"/>
    <w:rsid w:val="6F143527"/>
    <w:rsid w:val="6F35142D"/>
    <w:rsid w:val="6F392F8E"/>
    <w:rsid w:val="6F685621"/>
    <w:rsid w:val="6F6F34B7"/>
    <w:rsid w:val="6FE0340A"/>
    <w:rsid w:val="6FE10C9C"/>
    <w:rsid w:val="70257F20"/>
    <w:rsid w:val="70375E28"/>
    <w:rsid w:val="703F45D4"/>
    <w:rsid w:val="70593DDE"/>
    <w:rsid w:val="707D334E"/>
    <w:rsid w:val="70DF5DB7"/>
    <w:rsid w:val="714F4CEB"/>
    <w:rsid w:val="71883D59"/>
    <w:rsid w:val="72111FA0"/>
    <w:rsid w:val="72401A80"/>
    <w:rsid w:val="72465CF0"/>
    <w:rsid w:val="7261486E"/>
    <w:rsid w:val="726D505F"/>
    <w:rsid w:val="728A58AF"/>
    <w:rsid w:val="7298562B"/>
    <w:rsid w:val="729A4E44"/>
    <w:rsid w:val="72BC63B0"/>
    <w:rsid w:val="72D46DF2"/>
    <w:rsid w:val="73047240"/>
    <w:rsid w:val="73331C5E"/>
    <w:rsid w:val="73651863"/>
    <w:rsid w:val="737361D7"/>
    <w:rsid w:val="73BC5F3C"/>
    <w:rsid w:val="73D96AEE"/>
    <w:rsid w:val="74125278"/>
    <w:rsid w:val="744A3547"/>
    <w:rsid w:val="7474619D"/>
    <w:rsid w:val="748563E6"/>
    <w:rsid w:val="749E1D55"/>
    <w:rsid w:val="74B3733F"/>
    <w:rsid w:val="74D13C69"/>
    <w:rsid w:val="74FC0CE6"/>
    <w:rsid w:val="75435570"/>
    <w:rsid w:val="75A977E2"/>
    <w:rsid w:val="762F0AE4"/>
    <w:rsid w:val="765E373E"/>
    <w:rsid w:val="768D3BBF"/>
    <w:rsid w:val="76912AA8"/>
    <w:rsid w:val="76936197"/>
    <w:rsid w:val="769413F2"/>
    <w:rsid w:val="76FA22C3"/>
    <w:rsid w:val="77000D51"/>
    <w:rsid w:val="770943E5"/>
    <w:rsid w:val="775B41FB"/>
    <w:rsid w:val="77B75398"/>
    <w:rsid w:val="77B92EBE"/>
    <w:rsid w:val="77C51ADB"/>
    <w:rsid w:val="786E0F20"/>
    <w:rsid w:val="78827754"/>
    <w:rsid w:val="788F00C3"/>
    <w:rsid w:val="78A53442"/>
    <w:rsid w:val="79004B1D"/>
    <w:rsid w:val="799E2892"/>
    <w:rsid w:val="79AE6327"/>
    <w:rsid w:val="7A1712DC"/>
    <w:rsid w:val="7A2D6D03"/>
    <w:rsid w:val="7A604F75"/>
    <w:rsid w:val="7A6510DB"/>
    <w:rsid w:val="7AA15E8B"/>
    <w:rsid w:val="7AC878BC"/>
    <w:rsid w:val="7AD2618C"/>
    <w:rsid w:val="7AEA7832"/>
    <w:rsid w:val="7AF244C2"/>
    <w:rsid w:val="7B530520"/>
    <w:rsid w:val="7B674F74"/>
    <w:rsid w:val="7B6E2211"/>
    <w:rsid w:val="7C484810"/>
    <w:rsid w:val="7C4A4A2C"/>
    <w:rsid w:val="7C8313D5"/>
    <w:rsid w:val="7C9E6B26"/>
    <w:rsid w:val="7CB1637A"/>
    <w:rsid w:val="7CD07583"/>
    <w:rsid w:val="7D033D2B"/>
    <w:rsid w:val="7D0564AB"/>
    <w:rsid w:val="7D1961AD"/>
    <w:rsid w:val="7D382AD7"/>
    <w:rsid w:val="7D5052A6"/>
    <w:rsid w:val="7D670C49"/>
    <w:rsid w:val="7D8C697F"/>
    <w:rsid w:val="7D990C4B"/>
    <w:rsid w:val="7DC224E6"/>
    <w:rsid w:val="7DE50961"/>
    <w:rsid w:val="7E2E5E9D"/>
    <w:rsid w:val="7E3D09A0"/>
    <w:rsid w:val="7E813419"/>
    <w:rsid w:val="7E867872"/>
    <w:rsid w:val="7F0204F0"/>
    <w:rsid w:val="7F106C3A"/>
    <w:rsid w:val="7FBE4DEA"/>
    <w:rsid w:val="7FD22FF6"/>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4"/>
    <w:qFormat/>
    <w:uiPriority w:val="9"/>
    <w:pPr>
      <w:keepNext/>
      <w:keepLines/>
      <w:spacing w:before="260" w:after="260" w:line="400" w:lineRule="exact"/>
      <w:outlineLvl w:val="1"/>
    </w:pPr>
    <w:rPr>
      <w:rFonts w:ascii="Arial" w:hAnsi="Arial" w:eastAsia="黑体"/>
      <w:b/>
      <w:bCs/>
      <w:sz w:val="24"/>
      <w:szCs w:val="32"/>
    </w:rPr>
  </w:style>
  <w:style w:type="paragraph" w:styleId="5">
    <w:name w:val="heading 3"/>
    <w:basedOn w:val="1"/>
    <w:next w:val="1"/>
    <w:link w:val="60"/>
    <w:qFormat/>
    <w:uiPriority w:val="9"/>
    <w:pPr>
      <w:keepNext/>
      <w:keepLines/>
      <w:spacing w:before="260" w:after="260" w:line="416" w:lineRule="auto"/>
      <w:outlineLvl w:val="2"/>
    </w:pPr>
    <w:rPr>
      <w:b/>
      <w:bCs/>
      <w:sz w:val="32"/>
      <w:szCs w:val="32"/>
    </w:rPr>
  </w:style>
  <w:style w:type="paragraph" w:styleId="6">
    <w:name w:val="heading 4"/>
    <w:basedOn w:val="1"/>
    <w:next w:val="1"/>
    <w:link w:val="1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8"/>
    <w:link w:val="128"/>
    <w:qFormat/>
    <w:uiPriority w:val="9"/>
    <w:pPr>
      <w:keepNext/>
      <w:keepLines/>
      <w:numPr>
        <w:ilvl w:val="4"/>
        <w:numId w:val="1"/>
      </w:numPr>
      <w:spacing w:before="280" w:after="290" w:line="376" w:lineRule="auto"/>
      <w:outlineLvl w:val="4"/>
    </w:pPr>
    <w:rPr>
      <w:b/>
      <w:sz w:val="28"/>
    </w:rPr>
  </w:style>
  <w:style w:type="paragraph" w:styleId="9">
    <w:name w:val="heading 6"/>
    <w:basedOn w:val="1"/>
    <w:next w:val="8"/>
    <w:link w:val="129"/>
    <w:qFormat/>
    <w:uiPriority w:val="9"/>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30"/>
    <w:qFormat/>
    <w:uiPriority w:val="9"/>
    <w:pPr>
      <w:keepNext/>
      <w:keepLines/>
      <w:numPr>
        <w:ilvl w:val="6"/>
        <w:numId w:val="1"/>
      </w:numPr>
      <w:spacing w:before="240" w:after="64" w:line="320" w:lineRule="auto"/>
      <w:outlineLvl w:val="6"/>
    </w:pPr>
    <w:rPr>
      <w:b/>
      <w:sz w:val="24"/>
    </w:rPr>
  </w:style>
  <w:style w:type="paragraph" w:styleId="11">
    <w:name w:val="heading 8"/>
    <w:basedOn w:val="1"/>
    <w:next w:val="8"/>
    <w:link w:val="131"/>
    <w:qFormat/>
    <w:uiPriority w:val="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32"/>
    <w:qFormat/>
    <w:uiPriority w:val="9"/>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Normal Indent"/>
    <w:basedOn w:val="1"/>
    <w:link w:val="58"/>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35"/>
    <w:pPr>
      <w:spacing w:before="152" w:after="160"/>
    </w:pPr>
    <w:rPr>
      <w:rFonts w:ascii="Arial" w:hAnsi="Arial" w:eastAsia="黑体" w:cs="Arial"/>
      <w:sz w:val="20"/>
      <w:szCs w:val="20"/>
    </w:rPr>
  </w:style>
  <w:style w:type="paragraph" w:styleId="15">
    <w:name w:val="Document Map"/>
    <w:basedOn w:val="1"/>
    <w:link w:val="134"/>
    <w:qFormat/>
    <w:uiPriority w:val="99"/>
    <w:pPr>
      <w:shd w:val="clear" w:color="auto" w:fill="000080"/>
    </w:pPr>
  </w:style>
  <w:style w:type="paragraph" w:styleId="16">
    <w:name w:val="annotation text"/>
    <w:basedOn w:val="1"/>
    <w:link w:val="74"/>
    <w:qFormat/>
    <w:uiPriority w:val="99"/>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9"/>
    <w:link w:val="135"/>
    <w:qFormat/>
    <w:uiPriority w:val="0"/>
    <w:pPr>
      <w:spacing w:line="380" w:lineRule="exact"/>
    </w:pPr>
    <w:rPr>
      <w:sz w:val="24"/>
    </w:rPr>
  </w:style>
  <w:style w:type="paragraph" w:styleId="19">
    <w:name w:val="toc 2"/>
    <w:basedOn w:val="1"/>
    <w:next w:val="1"/>
    <w:qFormat/>
    <w:uiPriority w:val="39"/>
    <w:pPr>
      <w:tabs>
        <w:tab w:val="right" w:leader="dot" w:pos="9072"/>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20">
    <w:name w:val="Body Text Indent"/>
    <w:basedOn w:val="1"/>
    <w:link w:val="67"/>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6"/>
    <w:link w:val="54"/>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link w:val="73"/>
    <w:qFormat/>
    <w:uiPriority w:val="99"/>
    <w:rPr>
      <w:sz w:val="18"/>
      <w:szCs w:val="18"/>
      <w:lang w:val="zh-CN"/>
    </w:rPr>
  </w:style>
  <w:style w:type="paragraph" w:styleId="27">
    <w:name w:val="footer"/>
    <w:basedOn w:val="1"/>
    <w:link w:val="69"/>
    <w:qFormat/>
    <w:uiPriority w:val="99"/>
    <w:pPr>
      <w:tabs>
        <w:tab w:val="center" w:pos="4153"/>
        <w:tab w:val="right" w:pos="8306"/>
      </w:tabs>
      <w:snapToGrid w:val="0"/>
      <w:jc w:val="left"/>
    </w:pPr>
    <w:rPr>
      <w:sz w:val="18"/>
      <w:szCs w:val="18"/>
      <w:lang w:val="zh-CN"/>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Subtitle"/>
    <w:basedOn w:val="1"/>
    <w:next w:val="1"/>
    <w:link w:val="72"/>
    <w:qFormat/>
    <w:uiPriority w:val="0"/>
    <w:pPr>
      <w:spacing w:line="312" w:lineRule="auto"/>
      <w:ind w:left="200" w:leftChars="200"/>
      <w:jc w:val="left"/>
      <w:outlineLvl w:val="1"/>
    </w:pPr>
    <w:rPr>
      <w:rFonts w:ascii="Cambria" w:hAnsi="Cambria"/>
      <w:b/>
      <w:bCs/>
      <w:kern w:val="28"/>
      <w:sz w:val="28"/>
      <w:szCs w:val="32"/>
    </w:rPr>
  </w:style>
  <w:style w:type="paragraph" w:styleId="31">
    <w:name w:val="List"/>
    <w:basedOn w:val="1"/>
    <w:qFormat/>
    <w:uiPriority w:val="0"/>
    <w:pPr>
      <w:ind w:left="200" w:hanging="200" w:hangingChars="200"/>
    </w:pPr>
    <w:rPr>
      <w:sz w:val="28"/>
    </w:rPr>
  </w:style>
  <w:style w:type="paragraph" w:styleId="32">
    <w:name w:val="Body Text Indent 3"/>
    <w:basedOn w:val="1"/>
    <w:qFormat/>
    <w:uiPriority w:val="0"/>
    <w:pPr>
      <w:spacing w:after="120"/>
      <w:ind w:left="420" w:leftChars="200"/>
    </w:pPr>
    <w:rPr>
      <w:sz w:val="16"/>
      <w:szCs w:val="16"/>
    </w:rPr>
  </w:style>
  <w:style w:type="paragraph" w:styleId="33">
    <w:name w:val="Body Text 2"/>
    <w:basedOn w:val="1"/>
    <w:qFormat/>
    <w:uiPriority w:val="0"/>
    <w:pPr>
      <w:spacing w:after="120" w:line="480" w:lineRule="auto"/>
    </w:p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6"/>
    <w:next w:val="16"/>
    <w:link w:val="85"/>
    <w:qFormat/>
    <w:uiPriority w:val="0"/>
    <w:rPr>
      <w:b/>
      <w:bCs/>
    </w:rPr>
  </w:style>
  <w:style w:type="paragraph" w:styleId="37">
    <w:name w:val="Body Text First Indent 2"/>
    <w:basedOn w:val="20"/>
    <w:qFormat/>
    <w:uiPriority w:val="0"/>
    <w:pPr>
      <w:autoSpaceDE/>
      <w:autoSpaceDN/>
      <w:spacing w:line="312" w:lineRule="atLeast"/>
      <w:ind w:left="420" w:leftChars="200" w:firstLine="420" w:firstLineChars="200"/>
      <w:textAlignment w:val="baseline"/>
    </w:pPr>
    <w:rPr>
      <w:rFonts w:ascii="Times New Roman" w:eastAsia="宋体"/>
      <w:sz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basedOn w:val="40"/>
    <w:unhideWhenUsed/>
    <w:qFormat/>
    <w:uiPriority w:val="99"/>
    <w:rPr>
      <w:color w:val="954F72" w:themeColor="followedHyperlink"/>
      <w:u w:val="single"/>
      <w14:textFill>
        <w14:solidFill>
          <w14:schemeClr w14:val="folHlink"/>
        </w14:solidFill>
      </w14:textFill>
    </w:rPr>
  </w:style>
  <w:style w:type="character" w:styleId="44">
    <w:name w:val="Emphasis"/>
    <w:qFormat/>
    <w:uiPriority w:val="0"/>
    <w:rPr>
      <w:rFonts w:ascii="Times New Roman" w:hAnsi="Times New Roman" w:eastAsia="宋体" w:cs="Times New Roman"/>
      <w:color w:val="CC0033"/>
    </w:rPr>
  </w:style>
  <w:style w:type="character" w:styleId="45">
    <w:name w:val="Hyperlink"/>
    <w:qFormat/>
    <w:uiPriority w:val="99"/>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character" w:customStyle="1" w:styleId="47">
    <w:name w:val="font21"/>
    <w:qFormat/>
    <w:uiPriority w:val="0"/>
    <w:rPr>
      <w:rFonts w:hint="eastAsia" w:ascii="宋体" w:hAnsi="宋体" w:eastAsia="宋体" w:cs="宋体"/>
      <w:color w:val="000000"/>
      <w:sz w:val="20"/>
      <w:szCs w:val="20"/>
    </w:rPr>
  </w:style>
  <w:style w:type="character" w:customStyle="1" w:styleId="48">
    <w:name w:val="st1"/>
    <w:qFormat/>
    <w:uiPriority w:val="0"/>
    <w:rPr>
      <w:rFonts w:ascii="Times New Roman" w:hAnsi="Times New Roman" w:eastAsia="宋体" w:cs="Times New Roman"/>
    </w:rPr>
  </w:style>
  <w:style w:type="character" w:customStyle="1" w:styleId="49">
    <w:name w:val="标题 1 字符"/>
    <w:link w:val="3"/>
    <w:qFormat/>
    <w:uiPriority w:val="9"/>
    <w:rPr>
      <w:rFonts w:ascii="Times New Roman" w:hAnsi="Times New Roman" w:eastAsia="仿宋_GB2312" w:cs="Times New Roman"/>
      <w:b/>
      <w:bCs/>
      <w:kern w:val="44"/>
      <w:sz w:val="44"/>
      <w:szCs w:val="44"/>
      <w:lang w:val="en-US" w:eastAsia="zh-CN" w:bidi="ar-SA"/>
    </w:rPr>
  </w:style>
  <w:style w:type="character" w:customStyle="1" w:styleId="50">
    <w:name w:val="ca-2"/>
    <w:qFormat/>
    <w:uiPriority w:val="0"/>
    <w:rPr>
      <w:rFonts w:ascii="Times New Roman" w:hAnsi="Times New Roman" w:eastAsia="宋体" w:cs="Times New Roman"/>
    </w:rPr>
  </w:style>
  <w:style w:type="character" w:customStyle="1" w:styleId="51">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2">
    <w:name w:val="1ji Char"/>
    <w:link w:val="53"/>
    <w:qFormat/>
    <w:uiPriority w:val="0"/>
    <w:rPr>
      <w:rFonts w:ascii="宋体" w:hAnsi="宋体" w:eastAsia="仿宋_GB2312" w:cs="Times New Roman"/>
      <w:b/>
      <w:bCs/>
      <w:kern w:val="44"/>
      <w:sz w:val="36"/>
      <w:szCs w:val="44"/>
      <w:lang w:val="en-US" w:eastAsia="zh-CN" w:bidi="ar-SA"/>
    </w:rPr>
  </w:style>
  <w:style w:type="paragraph" w:customStyle="1" w:styleId="53">
    <w:name w:val="1ji"/>
    <w:basedOn w:val="3"/>
    <w:link w:val="52"/>
    <w:qFormat/>
    <w:uiPriority w:val="0"/>
    <w:pPr>
      <w:keepLines w:val="0"/>
      <w:widowControl/>
      <w:spacing w:before="0" w:after="0" w:line="240" w:lineRule="auto"/>
    </w:pPr>
    <w:rPr>
      <w:rFonts w:ascii="宋体" w:hAnsi="宋体"/>
      <w:sz w:val="36"/>
    </w:rPr>
  </w:style>
  <w:style w:type="character" w:customStyle="1" w:styleId="54">
    <w:name w:val="纯文本 字符"/>
    <w:link w:val="23"/>
    <w:qFormat/>
    <w:uiPriority w:val="0"/>
    <w:rPr>
      <w:rFonts w:ascii="宋体" w:hAnsi="Courier New" w:eastAsia="宋体" w:cs="Courier New"/>
      <w:kern w:val="2"/>
      <w:sz w:val="21"/>
      <w:szCs w:val="21"/>
      <w:lang w:val="en-US" w:eastAsia="zh-CN" w:bidi="ar-SA"/>
    </w:rPr>
  </w:style>
  <w:style w:type="character" w:customStyle="1" w:styleId="55">
    <w:name w:val="font41"/>
    <w:qFormat/>
    <w:uiPriority w:val="0"/>
    <w:rPr>
      <w:rFonts w:hint="default" w:ascii="Times New Roman" w:hAnsi="Times New Roman" w:eastAsia="宋体" w:cs="Times New Roman"/>
      <w:color w:val="000000"/>
      <w:sz w:val="20"/>
      <w:szCs w:val="20"/>
    </w:rPr>
  </w:style>
  <w:style w:type="character" w:customStyle="1" w:styleId="56">
    <w:name w:val="font31"/>
    <w:qFormat/>
    <w:uiPriority w:val="0"/>
    <w:rPr>
      <w:rFonts w:hint="default" w:ascii="Times New Roman" w:hAnsi="Times New Roman" w:eastAsia="宋体" w:cs="Times New Roman"/>
      <w:color w:val="000000"/>
      <w:sz w:val="20"/>
      <w:szCs w:val="20"/>
    </w:rPr>
  </w:style>
  <w:style w:type="character" w:customStyle="1" w:styleId="57">
    <w:name w:val="apple-style-span"/>
    <w:qFormat/>
    <w:uiPriority w:val="0"/>
    <w:rPr>
      <w:rFonts w:ascii="Times New Roman" w:hAnsi="Times New Roman" w:eastAsia="宋体" w:cs="Times New Roman"/>
    </w:rPr>
  </w:style>
  <w:style w:type="character" w:customStyle="1" w:styleId="58">
    <w:name w:val="正文缩进 字符"/>
    <w:link w:val="8"/>
    <w:qFormat/>
    <w:uiPriority w:val="0"/>
    <w:rPr>
      <w:rFonts w:ascii="Times New Roman" w:hAnsi="Times New Roman" w:eastAsia="宋体" w:cs="Times New Roman"/>
      <w:kern w:val="2"/>
      <w:sz w:val="21"/>
      <w:lang w:val="en-US" w:eastAsia="zh-CN" w:bidi="ar-SA"/>
    </w:rPr>
  </w:style>
  <w:style w:type="character" w:customStyle="1" w:styleId="59">
    <w:name w:val="font51"/>
    <w:qFormat/>
    <w:uiPriority w:val="0"/>
    <w:rPr>
      <w:rFonts w:hint="default" w:ascii="Times New Roman" w:hAnsi="Times New Roman" w:eastAsia="宋体" w:cs="Times New Roman"/>
      <w:color w:val="000000"/>
      <w:sz w:val="20"/>
      <w:szCs w:val="20"/>
    </w:rPr>
  </w:style>
  <w:style w:type="character" w:customStyle="1" w:styleId="60">
    <w:name w:val="标题 3 字符"/>
    <w:link w:val="5"/>
    <w:qFormat/>
    <w:uiPriority w:val="9"/>
    <w:rPr>
      <w:rFonts w:ascii="Times New Roman" w:hAnsi="Times New Roman" w:eastAsia="宋体" w:cs="Times New Roman"/>
      <w:b/>
      <w:bCs/>
      <w:kern w:val="2"/>
      <w:sz w:val="32"/>
      <w:szCs w:val="32"/>
      <w:lang w:val="en-US" w:eastAsia="zh-CN" w:bidi="ar-SA"/>
    </w:rPr>
  </w:style>
  <w:style w:type="character" w:customStyle="1" w:styleId="61">
    <w:name w:val="apple-converted-space"/>
    <w:qFormat/>
    <w:uiPriority w:val="0"/>
    <w:rPr>
      <w:rFonts w:ascii="Times New Roman" w:hAnsi="Times New Roman" w:eastAsia="宋体" w:cs="Times New Roman"/>
    </w:rPr>
  </w:style>
  <w:style w:type="character" w:customStyle="1" w:styleId="62">
    <w:name w:val="Header Char"/>
    <w:qFormat/>
    <w:uiPriority w:val="0"/>
    <w:rPr>
      <w:rFonts w:ascii="Calibri" w:hAnsi="Calibri" w:eastAsia="宋体" w:cs="Times New Roman"/>
      <w:kern w:val="2"/>
      <w:sz w:val="18"/>
      <w:szCs w:val="18"/>
      <w:lang w:val="en-US" w:eastAsia="zh-CN" w:bidi="ar-SA"/>
    </w:rPr>
  </w:style>
  <w:style w:type="character" w:customStyle="1" w:styleId="63">
    <w:name w:val="Footer Char"/>
    <w:qFormat/>
    <w:uiPriority w:val="0"/>
    <w:rPr>
      <w:rFonts w:ascii="Calibri" w:hAnsi="Calibri" w:eastAsia="宋体" w:cs="Times New Roman"/>
      <w:kern w:val="2"/>
      <w:sz w:val="18"/>
      <w:szCs w:val="18"/>
      <w:lang w:val="en-US" w:eastAsia="zh-CN" w:bidi="ar-SA"/>
    </w:rPr>
  </w:style>
  <w:style w:type="character" w:customStyle="1" w:styleId="64">
    <w:name w:val="Plain Text Char"/>
    <w:qFormat/>
    <w:uiPriority w:val="0"/>
    <w:rPr>
      <w:rFonts w:ascii="宋体" w:hAnsi="Courier New" w:eastAsia="宋体" w:cs="Times New Roman"/>
      <w:lang w:bidi="ar-SA"/>
    </w:rPr>
  </w:style>
  <w:style w:type="character" w:customStyle="1" w:styleId="65">
    <w:name w:val="普通文字 Char Char3"/>
    <w:qFormat/>
    <w:uiPriority w:val="0"/>
    <w:rPr>
      <w:rFonts w:ascii="宋体" w:hAnsi="Times New Roman" w:eastAsia="宋体" w:cs="Courier New"/>
      <w:kern w:val="2"/>
      <w:sz w:val="21"/>
      <w:szCs w:val="21"/>
      <w:lang w:val="en-US" w:eastAsia="zh-CN" w:bidi="ar-SA"/>
    </w:rPr>
  </w:style>
  <w:style w:type="character" w:customStyle="1" w:styleId="66">
    <w:name w:val="样式 正文 +"/>
    <w:qFormat/>
    <w:uiPriority w:val="0"/>
    <w:rPr>
      <w:rFonts w:ascii="Times New Roman" w:hAnsi="Times New Roman" w:eastAsia="宋体" w:cs="Times New Roman"/>
      <w:kern w:val="0"/>
      <w:sz w:val="28"/>
    </w:rPr>
  </w:style>
  <w:style w:type="character" w:customStyle="1" w:styleId="67">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8">
    <w:name w:val="普通文字 Char Char2"/>
    <w:qFormat/>
    <w:uiPriority w:val="0"/>
    <w:rPr>
      <w:rFonts w:ascii="宋体" w:hAnsi="Courier New" w:eastAsia="宋体" w:cs="Times New Roman"/>
      <w:kern w:val="2"/>
      <w:sz w:val="21"/>
      <w:lang w:val="en-US" w:eastAsia="zh-CN" w:bidi="ar-SA"/>
    </w:rPr>
  </w:style>
  <w:style w:type="character" w:customStyle="1" w:styleId="69">
    <w:name w:val="页脚 字符"/>
    <w:link w:val="27"/>
    <w:qFormat/>
    <w:uiPriority w:val="99"/>
    <w:rPr>
      <w:rFonts w:ascii="Times New Roman" w:hAnsi="Times New Roman" w:eastAsia="宋体" w:cs="Times New Roman"/>
      <w:kern w:val="2"/>
      <w:sz w:val="18"/>
      <w:szCs w:val="18"/>
    </w:rPr>
  </w:style>
  <w:style w:type="character" w:customStyle="1" w:styleId="70">
    <w:name w:val="样式 宋体 小四"/>
    <w:qFormat/>
    <w:uiPriority w:val="0"/>
    <w:rPr>
      <w:rFonts w:ascii="宋体" w:hAnsi="宋体" w:eastAsia="宋体" w:cs="Times New Roman"/>
      <w:sz w:val="24"/>
    </w:rPr>
  </w:style>
  <w:style w:type="character" w:customStyle="1" w:styleId="71">
    <w:name w:val="页眉 字符"/>
    <w:link w:val="28"/>
    <w:qFormat/>
    <w:uiPriority w:val="99"/>
    <w:rPr>
      <w:rFonts w:ascii="Times New Roman" w:hAnsi="Times New Roman" w:eastAsia="宋体" w:cs="Times New Roman"/>
      <w:kern w:val="2"/>
      <w:sz w:val="18"/>
      <w:szCs w:val="18"/>
      <w:lang w:val="en-US" w:eastAsia="zh-CN" w:bidi="ar-SA"/>
    </w:rPr>
  </w:style>
  <w:style w:type="character" w:customStyle="1" w:styleId="72">
    <w:name w:val="副标题 字符"/>
    <w:link w:val="30"/>
    <w:qFormat/>
    <w:uiPriority w:val="0"/>
    <w:rPr>
      <w:rFonts w:ascii="Cambria" w:hAnsi="Cambria" w:eastAsia="宋体" w:cs="Times New Roman"/>
      <w:b/>
      <w:bCs/>
      <w:kern w:val="28"/>
      <w:sz w:val="28"/>
      <w:szCs w:val="32"/>
      <w:lang w:val="en-US" w:eastAsia="zh-CN" w:bidi="ar-SA"/>
    </w:rPr>
  </w:style>
  <w:style w:type="character" w:customStyle="1" w:styleId="73">
    <w:name w:val="批注框文本 字符"/>
    <w:link w:val="26"/>
    <w:qFormat/>
    <w:uiPriority w:val="99"/>
    <w:rPr>
      <w:rFonts w:ascii="Times New Roman" w:hAnsi="Times New Roman" w:eastAsia="宋体" w:cs="Times New Roman"/>
      <w:kern w:val="2"/>
      <w:sz w:val="18"/>
      <w:szCs w:val="18"/>
    </w:rPr>
  </w:style>
  <w:style w:type="character" w:customStyle="1" w:styleId="74">
    <w:name w:val="批注文字 字符"/>
    <w:link w:val="16"/>
    <w:qFormat/>
    <w:uiPriority w:val="99"/>
    <w:rPr>
      <w:rFonts w:ascii="Times New Roman" w:hAnsi="Times New Roman" w:eastAsia="宋体" w:cs="Times New Roman"/>
      <w:kern w:val="2"/>
      <w:sz w:val="21"/>
      <w:szCs w:val="24"/>
      <w:lang w:val="en-US" w:eastAsia="zh-CN" w:bidi="ar-SA"/>
    </w:rPr>
  </w:style>
  <w:style w:type="character" w:customStyle="1" w:styleId="75">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6">
    <w:name w:val="ca-1"/>
    <w:qFormat/>
    <w:uiPriority w:val="0"/>
    <w:rPr>
      <w:rFonts w:ascii="Times New Roman" w:hAnsi="Times New Roman" w:eastAsia="宋体" w:cs="Times New Roman"/>
    </w:rPr>
  </w:style>
  <w:style w:type="character" w:customStyle="1" w:styleId="77">
    <w:name w:val="正文360首行缩进 Char"/>
    <w:link w:val="78"/>
    <w:qFormat/>
    <w:uiPriority w:val="0"/>
    <w:rPr>
      <w:rFonts w:ascii="Times New Roman" w:hAnsi="Times New Roman" w:eastAsia="宋体" w:cs="Times New Roman"/>
      <w:sz w:val="24"/>
      <w:szCs w:val="24"/>
    </w:rPr>
  </w:style>
  <w:style w:type="paragraph" w:customStyle="1" w:styleId="78">
    <w:name w:val="正文360首行缩进"/>
    <w:basedOn w:val="1"/>
    <w:link w:val="77"/>
    <w:qFormat/>
    <w:uiPriority w:val="0"/>
    <w:pPr>
      <w:widowControl/>
      <w:spacing w:before="120" w:line="300" w:lineRule="auto"/>
      <w:ind w:firstLine="200"/>
      <w:jc w:val="left"/>
    </w:pPr>
    <w:rPr>
      <w:kern w:val="0"/>
      <w:sz w:val="24"/>
    </w:rPr>
  </w:style>
  <w:style w:type="character" w:customStyle="1" w:styleId="79">
    <w:name w:val="List Paragraph Char"/>
    <w:link w:val="80"/>
    <w:qFormat/>
    <w:locked/>
    <w:uiPriority w:val="0"/>
    <w:rPr>
      <w:rFonts w:ascii="宋体" w:hAnsi="宋体" w:cs="宋体"/>
      <w:sz w:val="24"/>
      <w:szCs w:val="24"/>
    </w:rPr>
  </w:style>
  <w:style w:type="paragraph" w:customStyle="1" w:styleId="80">
    <w:name w:val="列表段落1"/>
    <w:basedOn w:val="1"/>
    <w:link w:val="79"/>
    <w:qFormat/>
    <w:uiPriority w:val="0"/>
    <w:pPr>
      <w:widowControl/>
      <w:ind w:firstLine="420" w:firstLineChars="200"/>
      <w:jc w:val="left"/>
    </w:pPr>
    <w:rPr>
      <w:rFonts w:ascii="宋体" w:hAnsi="宋体"/>
      <w:kern w:val="0"/>
      <w:sz w:val="24"/>
      <w:lang w:val="zh-CN"/>
    </w:rPr>
  </w:style>
  <w:style w:type="character" w:customStyle="1" w:styleId="81">
    <w:name w:val="yyii"/>
    <w:qFormat/>
    <w:uiPriority w:val="0"/>
    <w:rPr>
      <w:rFonts w:ascii="Times New Roman" w:hAnsi="Times New Roman" w:eastAsia="宋体" w:cs="Times New Roman"/>
    </w:rPr>
  </w:style>
  <w:style w:type="character" w:customStyle="1" w:styleId="82">
    <w:name w:val="纯文本 Char1"/>
    <w:qFormat/>
    <w:uiPriority w:val="0"/>
    <w:rPr>
      <w:rFonts w:ascii="宋体" w:hAnsi="Courier New" w:eastAsia="宋体" w:cs="Times New Roman"/>
      <w:kern w:val="2"/>
      <w:sz w:val="21"/>
    </w:rPr>
  </w:style>
  <w:style w:type="character" w:customStyle="1" w:styleId="83">
    <w:name w:val="标题 1 Char1"/>
    <w:qFormat/>
    <w:uiPriority w:val="0"/>
    <w:rPr>
      <w:rFonts w:ascii="Times New Roman" w:hAnsi="Times New Roman" w:eastAsia="宋体" w:cs="Times New Roman"/>
      <w:b/>
      <w:bCs/>
      <w:kern w:val="44"/>
      <w:sz w:val="44"/>
      <w:szCs w:val="44"/>
    </w:rPr>
  </w:style>
  <w:style w:type="character" w:customStyle="1" w:styleId="84">
    <w:name w:val="标题 2 字符"/>
    <w:link w:val="4"/>
    <w:qFormat/>
    <w:uiPriority w:val="9"/>
    <w:rPr>
      <w:rFonts w:ascii="Arial" w:hAnsi="Arial" w:eastAsia="黑体"/>
      <w:b/>
      <w:bCs/>
      <w:kern w:val="2"/>
      <w:sz w:val="24"/>
      <w:szCs w:val="32"/>
    </w:rPr>
  </w:style>
  <w:style w:type="character" w:customStyle="1" w:styleId="85">
    <w:name w:val="批注主题 字符"/>
    <w:link w:val="36"/>
    <w:qFormat/>
    <w:uiPriority w:val="0"/>
    <w:rPr>
      <w:rFonts w:ascii="Times New Roman" w:hAnsi="Times New Roman" w:eastAsia="宋体" w:cs="Times New Roman"/>
      <w:b/>
      <w:bCs/>
      <w:kern w:val="2"/>
      <w:sz w:val="21"/>
      <w:szCs w:val="24"/>
      <w:lang w:val="en-US" w:eastAsia="zh-CN" w:bidi="ar-SA"/>
    </w:rPr>
  </w:style>
  <w:style w:type="paragraph" w:customStyle="1" w:styleId="86">
    <w:name w:val="目录 11"/>
    <w:basedOn w:val="1"/>
    <w:next w:val="1"/>
    <w:qFormat/>
    <w:uiPriority w:val="39"/>
  </w:style>
  <w:style w:type="paragraph" w:customStyle="1" w:styleId="87">
    <w:name w:val="目录 21"/>
    <w:basedOn w:val="1"/>
    <w:next w:val="1"/>
    <w:qFormat/>
    <w:uiPriority w:val="39"/>
    <w:pPr>
      <w:tabs>
        <w:tab w:val="right" w:leader="dot" w:pos="9402"/>
      </w:tabs>
      <w:ind w:left="718" w:leftChars="200" w:hanging="298" w:hangingChars="142"/>
    </w:pPr>
  </w:style>
  <w:style w:type="paragraph" w:customStyle="1" w:styleId="88">
    <w:name w:val="目录 31"/>
    <w:basedOn w:val="1"/>
    <w:next w:val="1"/>
    <w:qFormat/>
    <w:uiPriority w:val="39"/>
    <w:pPr>
      <w:ind w:left="840" w:leftChars="400"/>
    </w:pPr>
  </w:style>
  <w:style w:type="paragraph" w:customStyle="1" w:styleId="89">
    <w:name w:val="正文首行缩进1"/>
    <w:basedOn w:val="18"/>
    <w:qFormat/>
    <w:uiPriority w:val="0"/>
    <w:pPr>
      <w:spacing w:after="120" w:line="240" w:lineRule="auto"/>
      <w:ind w:firstLine="420" w:firstLineChars="100"/>
    </w:pPr>
    <w:rPr>
      <w:sz w:val="21"/>
    </w:rPr>
  </w:style>
  <w:style w:type="paragraph" w:customStyle="1" w:styleId="90">
    <w:name w:val="Char Char1 Char Char Char Char"/>
    <w:basedOn w:val="15"/>
    <w:qFormat/>
    <w:uiPriority w:val="0"/>
    <w:rPr>
      <w:rFonts w:ascii="Tahoma" w:hAnsi="Tahoma"/>
      <w:sz w:val="24"/>
    </w:rPr>
  </w:style>
  <w:style w:type="paragraph" w:customStyle="1" w:styleId="91">
    <w:name w:val="列出段落1"/>
    <w:basedOn w:val="1"/>
    <w:qFormat/>
    <w:uiPriority w:val="99"/>
    <w:pPr>
      <w:ind w:firstLine="420" w:firstLineChars="200"/>
    </w:pPr>
    <w:rPr>
      <w:rFonts w:ascii="Calibri" w:hAnsi="Calibri"/>
    </w:rPr>
  </w:style>
  <w:style w:type="paragraph" w:customStyle="1" w:styleId="92">
    <w:name w:val="Char Char Char1 Char"/>
    <w:basedOn w:val="15"/>
    <w:qFormat/>
    <w:uiPriority w:val="0"/>
  </w:style>
  <w:style w:type="paragraph" w:customStyle="1" w:styleId="93">
    <w:name w:val="pa-5"/>
    <w:basedOn w:val="1"/>
    <w:qFormat/>
    <w:uiPriority w:val="0"/>
    <w:pPr>
      <w:widowControl/>
      <w:spacing w:before="150" w:after="150"/>
      <w:jc w:val="left"/>
    </w:pPr>
    <w:rPr>
      <w:rFonts w:ascii="宋体" w:hAnsi="宋体" w:cs="宋体"/>
      <w:kern w:val="0"/>
      <w:sz w:val="24"/>
    </w:rPr>
  </w:style>
  <w:style w:type="paragraph" w:customStyle="1" w:styleId="9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5">
    <w:name w:val="Char Char1 Char Char Char Char1"/>
    <w:basedOn w:val="15"/>
    <w:qFormat/>
    <w:uiPriority w:val="0"/>
    <w:rPr>
      <w:rFonts w:ascii="Tahoma" w:hAnsi="Tahoma"/>
      <w:sz w:val="24"/>
    </w:rPr>
  </w:style>
  <w:style w:type="paragraph" w:customStyle="1" w:styleId="96">
    <w:name w:val="_Style 35"/>
    <w:basedOn w:val="15"/>
    <w:qFormat/>
    <w:uiPriority w:val="0"/>
    <w:pPr>
      <w:widowControl/>
      <w:ind w:firstLine="454"/>
      <w:jc w:val="left"/>
    </w:pPr>
  </w:style>
  <w:style w:type="paragraph" w:customStyle="1" w:styleId="97">
    <w:name w:val="5 Char Char Char Char Char Char Char Char Char Char"/>
    <w:basedOn w:val="1"/>
    <w:qFormat/>
    <w:uiPriority w:val="0"/>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9">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0">
    <w:name w:val="默认段落字体 Para Char"/>
    <w:basedOn w:val="1"/>
    <w:qFormat/>
    <w:uiPriority w:val="0"/>
    <w:rPr>
      <w:szCs w:val="2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_Style 7"/>
    <w:basedOn w:val="15"/>
    <w:qFormat/>
    <w:uiPriority w:val="0"/>
  </w:style>
  <w:style w:type="paragraph" w:customStyle="1" w:styleId="10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6">
    <w:name w:val="样式 小四 行距: 1.5 倍行距"/>
    <w:basedOn w:val="1"/>
    <w:qFormat/>
    <w:uiPriority w:val="0"/>
    <w:pPr>
      <w:spacing w:line="360" w:lineRule="auto"/>
      <w:ind w:firstLine="480" w:firstLineChars="200"/>
    </w:pPr>
    <w:rPr>
      <w:rFonts w:cs="宋体"/>
      <w:sz w:val="24"/>
      <w:szCs w:val="20"/>
    </w:rPr>
  </w:style>
  <w:style w:type="paragraph" w:customStyle="1" w:styleId="107">
    <w:name w:val="p0"/>
    <w:basedOn w:val="1"/>
    <w:qFormat/>
    <w:uiPriority w:val="0"/>
    <w:pPr>
      <w:widowControl/>
    </w:pPr>
    <w:rPr>
      <w:rFonts w:ascii="宋体" w:hAnsi="宋体" w:cs="宋体"/>
      <w:kern w:val="0"/>
      <w:szCs w:val="21"/>
    </w:rPr>
  </w:style>
  <w:style w:type="paragraph" w:customStyle="1" w:styleId="108">
    <w:name w:val="Char Char Char Char Char Char Char Char Char Char Char Char"/>
    <w:basedOn w:val="1"/>
    <w:qFormat/>
    <w:uiPriority w:val="0"/>
    <w:pPr>
      <w:widowControl/>
      <w:spacing w:after="160" w:line="240" w:lineRule="exact"/>
      <w:jc w:val="left"/>
    </w:pPr>
  </w:style>
  <w:style w:type="paragraph" w:customStyle="1" w:styleId="109">
    <w:name w:val="Char Char Char1 Char1"/>
    <w:basedOn w:val="1"/>
    <w:qFormat/>
    <w:uiPriority w:val="0"/>
    <w:rPr>
      <w:rFonts w:ascii="Calibri" w:hAnsi="Calibri"/>
      <w:szCs w:val="22"/>
    </w:rPr>
  </w:style>
  <w:style w:type="paragraph" w:customStyle="1" w:styleId="110">
    <w:name w:val="Char Char Char Char Char Char Char"/>
    <w:basedOn w:val="1"/>
    <w:qFormat/>
    <w:uiPriority w:val="0"/>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Char"/>
    <w:basedOn w:val="15"/>
    <w:qFormat/>
    <w:uiPriority w:val="0"/>
    <w:pPr>
      <w:widowControl/>
      <w:ind w:firstLine="454"/>
      <w:jc w:val="left"/>
    </w:pPr>
    <w:rPr>
      <w:rFonts w:ascii="Tahoma" w:hAnsi="Tahoma" w:cs="宋体"/>
      <w:kern w:val="0"/>
      <w:sz w:val="24"/>
      <w:szCs w:val="20"/>
    </w:rPr>
  </w:style>
  <w:style w:type="paragraph" w:customStyle="1" w:styleId="116">
    <w:name w:val="Char1"/>
    <w:basedOn w:val="15"/>
    <w:qFormat/>
    <w:uiPriority w:val="0"/>
    <w:pPr>
      <w:widowControl/>
      <w:ind w:firstLine="454"/>
      <w:jc w:val="left"/>
    </w:pPr>
    <w:rPr>
      <w:rFonts w:ascii="Tahoma" w:hAnsi="Tahoma" w:cs="宋体"/>
      <w:kern w:val="0"/>
      <w:sz w:val="24"/>
      <w:szCs w:val="20"/>
    </w:rPr>
  </w:style>
  <w:style w:type="paragraph" w:customStyle="1" w:styleId="117">
    <w:name w:val="1"/>
    <w:basedOn w:val="1"/>
    <w:next w:val="23"/>
    <w:qFormat/>
    <w:uiPriority w:val="0"/>
    <w:rPr>
      <w:rFonts w:ascii="宋体" w:hAnsi="Courier New"/>
      <w:szCs w:val="20"/>
    </w:rPr>
  </w:style>
  <w:style w:type="paragraph" w:customStyle="1" w:styleId="118">
    <w:name w:val="_Style 2"/>
    <w:basedOn w:val="1"/>
    <w:qFormat/>
    <w:uiPriority w:val="0"/>
    <w:pPr>
      <w:ind w:firstLine="420" w:firstLineChars="200"/>
    </w:pPr>
  </w:style>
  <w:style w:type="paragraph" w:customStyle="1" w:styleId="119">
    <w:name w:val="正文段"/>
    <w:basedOn w:val="1"/>
    <w:qFormat/>
    <w:uiPriority w:val="0"/>
    <w:pPr>
      <w:widowControl/>
      <w:snapToGrid w:val="0"/>
      <w:spacing w:after="156" w:afterLines="50"/>
      <w:ind w:firstLine="200" w:firstLineChars="200"/>
    </w:pPr>
    <w:rPr>
      <w:kern w:val="0"/>
      <w:sz w:val="24"/>
      <w:szCs w:val="20"/>
    </w:rPr>
  </w:style>
  <w:style w:type="paragraph" w:customStyle="1" w:styleId="120">
    <w:name w:val="列出段落"/>
    <w:basedOn w:val="1"/>
    <w:qFormat/>
    <w:uiPriority w:val="34"/>
    <w:pPr>
      <w:ind w:firstLine="420" w:firstLineChars="200"/>
    </w:pPr>
    <w:rPr>
      <w:rFonts w:ascii="Calibri" w:hAnsi="Calibri"/>
      <w:szCs w:val="22"/>
    </w:rPr>
  </w:style>
  <w:style w:type="paragraph" w:customStyle="1" w:styleId="12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未处理的提及1"/>
    <w:basedOn w:val="40"/>
    <w:unhideWhenUsed/>
    <w:qFormat/>
    <w:uiPriority w:val="99"/>
    <w:rPr>
      <w:color w:val="605E5C"/>
      <w:shd w:val="clear" w:color="auto" w:fill="E1DFDD"/>
    </w:rPr>
  </w:style>
  <w:style w:type="character" w:customStyle="1" w:styleId="123">
    <w:name w:val="font81"/>
    <w:basedOn w:val="40"/>
    <w:qFormat/>
    <w:uiPriority w:val="0"/>
    <w:rPr>
      <w:rFonts w:hint="eastAsia" w:ascii="宋体" w:hAnsi="宋体" w:eastAsia="宋体" w:cs="宋体"/>
      <w:color w:val="000000"/>
      <w:sz w:val="18"/>
      <w:szCs w:val="18"/>
      <w:u w:val="none"/>
    </w:rPr>
  </w:style>
  <w:style w:type="paragraph" w:customStyle="1" w:styleId="124">
    <w:name w:val="列表段落2"/>
    <w:basedOn w:val="1"/>
    <w:qFormat/>
    <w:uiPriority w:val="34"/>
    <w:pPr>
      <w:ind w:firstLine="420" w:firstLineChars="200"/>
    </w:pPr>
  </w:style>
  <w:style w:type="character" w:customStyle="1" w:styleId="125">
    <w:name w:val="未处理的提及2"/>
    <w:basedOn w:val="40"/>
    <w:unhideWhenUsed/>
    <w:qFormat/>
    <w:uiPriority w:val="99"/>
    <w:rPr>
      <w:color w:val="605E5C"/>
      <w:shd w:val="clear" w:color="auto" w:fill="E1DFDD"/>
    </w:rPr>
  </w:style>
  <w:style w:type="character" w:customStyle="1" w:styleId="126">
    <w:name w:val="纯文本 字符1"/>
    <w:qFormat/>
    <w:uiPriority w:val="0"/>
    <w:rPr>
      <w:rFonts w:ascii="宋体" w:hAnsi="Courier New" w:eastAsia="宋体" w:cs="Courier New"/>
      <w:kern w:val="2"/>
      <w:sz w:val="21"/>
      <w:szCs w:val="21"/>
      <w:lang w:val="en-US" w:eastAsia="zh-CN" w:bidi="ar-SA"/>
    </w:rPr>
  </w:style>
  <w:style w:type="character" w:customStyle="1" w:styleId="127">
    <w:name w:val="标题 4 字符"/>
    <w:basedOn w:val="40"/>
    <w:link w:val="6"/>
    <w:qFormat/>
    <w:uiPriority w:val="9"/>
    <w:rPr>
      <w:rFonts w:asciiTheme="majorHAnsi" w:hAnsiTheme="majorHAnsi" w:eastAsiaTheme="majorEastAsia" w:cstheme="majorBidi"/>
      <w:b/>
      <w:bCs/>
      <w:kern w:val="2"/>
      <w:sz w:val="28"/>
      <w:szCs w:val="28"/>
    </w:rPr>
  </w:style>
  <w:style w:type="character" w:customStyle="1" w:styleId="128">
    <w:name w:val="标题 5 字符"/>
    <w:basedOn w:val="40"/>
    <w:link w:val="7"/>
    <w:qFormat/>
    <w:uiPriority w:val="9"/>
    <w:rPr>
      <w:b/>
      <w:kern w:val="2"/>
      <w:sz w:val="28"/>
      <w:szCs w:val="24"/>
    </w:rPr>
  </w:style>
  <w:style w:type="character" w:customStyle="1" w:styleId="129">
    <w:name w:val="标题 6 字符"/>
    <w:basedOn w:val="40"/>
    <w:link w:val="9"/>
    <w:qFormat/>
    <w:uiPriority w:val="9"/>
    <w:rPr>
      <w:rFonts w:ascii="Arial" w:hAnsi="Arial" w:eastAsia="黑体"/>
      <w:b/>
      <w:kern w:val="2"/>
      <w:sz w:val="24"/>
      <w:szCs w:val="24"/>
    </w:rPr>
  </w:style>
  <w:style w:type="character" w:customStyle="1" w:styleId="130">
    <w:name w:val="标题 7 字符"/>
    <w:basedOn w:val="40"/>
    <w:link w:val="10"/>
    <w:qFormat/>
    <w:uiPriority w:val="9"/>
    <w:rPr>
      <w:b/>
      <w:kern w:val="2"/>
      <w:sz w:val="24"/>
      <w:szCs w:val="24"/>
    </w:rPr>
  </w:style>
  <w:style w:type="character" w:customStyle="1" w:styleId="131">
    <w:name w:val="标题 8 字符"/>
    <w:basedOn w:val="40"/>
    <w:link w:val="11"/>
    <w:qFormat/>
    <w:uiPriority w:val="9"/>
    <w:rPr>
      <w:rFonts w:ascii="Arial" w:hAnsi="Arial" w:eastAsia="黑体"/>
      <w:kern w:val="2"/>
      <w:sz w:val="24"/>
      <w:szCs w:val="24"/>
    </w:rPr>
  </w:style>
  <w:style w:type="character" w:customStyle="1" w:styleId="132">
    <w:name w:val="标题 9 字符"/>
    <w:basedOn w:val="40"/>
    <w:link w:val="12"/>
    <w:qFormat/>
    <w:uiPriority w:val="9"/>
    <w:rPr>
      <w:rFonts w:ascii="Arial" w:hAnsi="Arial" w:eastAsia="黑体"/>
      <w:kern w:val="2"/>
      <w:sz w:val="21"/>
      <w:szCs w:val="24"/>
    </w:rPr>
  </w:style>
  <w:style w:type="paragraph" w:customStyle="1" w:styleId="133">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4">
    <w:name w:val="文档结构图 字符"/>
    <w:basedOn w:val="40"/>
    <w:link w:val="15"/>
    <w:qFormat/>
    <w:uiPriority w:val="99"/>
    <w:rPr>
      <w:kern w:val="2"/>
      <w:sz w:val="21"/>
      <w:szCs w:val="24"/>
      <w:shd w:val="clear" w:color="auto" w:fill="000080"/>
    </w:rPr>
  </w:style>
  <w:style w:type="character" w:customStyle="1" w:styleId="135">
    <w:name w:val="正文文本 字符"/>
    <w:basedOn w:val="40"/>
    <w:link w:val="18"/>
    <w:qFormat/>
    <w:uiPriority w:val="0"/>
    <w:rPr>
      <w:kern w:val="2"/>
      <w:sz w:val="24"/>
      <w:szCs w:val="24"/>
    </w:rPr>
  </w:style>
  <w:style w:type="paragraph" w:customStyle="1" w:styleId="136">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7">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8">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9">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0">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1">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2">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3">
    <w:name w:val="网格型1"/>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正文文本 Char1"/>
    <w:basedOn w:val="40"/>
    <w:semiHidden/>
    <w:qFormat/>
    <w:uiPriority w:val="99"/>
    <w:rPr>
      <w:sz w:val="24"/>
    </w:rPr>
  </w:style>
  <w:style w:type="paragraph" w:customStyle="1" w:styleId="145">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6">
    <w:name w:val="占位符文本1"/>
    <w:semiHidden/>
    <w:qFormat/>
    <w:uiPriority w:val="99"/>
    <w:rPr>
      <w:color w:val="808080"/>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0">
    <w:name w:val="font01"/>
    <w:basedOn w:val="40"/>
    <w:qFormat/>
    <w:uiPriority w:val="0"/>
    <w:rPr>
      <w:rFonts w:hint="eastAsia" w:ascii="宋体" w:hAnsi="宋体" w:eastAsia="宋体" w:cs="宋体"/>
      <w:color w:val="000000"/>
      <w:sz w:val="24"/>
      <w:szCs w:val="24"/>
      <w:u w:val="none"/>
    </w:rPr>
  </w:style>
  <w:style w:type="paragraph" w:customStyle="1" w:styleId="151">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2">
    <w:name w:val="List Paragraph"/>
    <w:basedOn w:val="1"/>
    <w:qFormat/>
    <w:uiPriority w:val="99"/>
    <w:pPr>
      <w:ind w:firstLine="420" w:firstLineChars="200"/>
    </w:pPr>
  </w:style>
  <w:style w:type="character" w:customStyle="1" w:styleId="153">
    <w:name w:val="Unresolved Mention"/>
    <w:basedOn w:val="4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4879</Words>
  <Characters>5436</Characters>
  <Lines>147</Lines>
  <Paragraphs>41</Paragraphs>
  <TotalTime>20</TotalTime>
  <ScaleCrop>false</ScaleCrop>
  <LinksUpToDate>false</LinksUpToDate>
  <CharactersWithSpaces>5503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2025-12-02T08:54:00Z</cp:lastPrinted>
  <dcterms:modified xsi:type="dcterms:W3CDTF">2025-12-04T03:29:05Z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3A311B8340244EAF93FD01C2CA4DFE2C</vt:lpwstr>
  </property>
  <property fmtid="{D5CDD505-2E9C-101B-9397-08002B2CF9AE}" pid="4" name="KSOTemplateDocerSaveRecord">
    <vt:lpwstr>eyJoZGlkIjoiZTE3NjFiNWQzNWNhNmIzYjU1ODQ0NzE4OTUyMWI0YjEiLCJ1c2VySWQiOiI2NTY4NTEwODEifQ==</vt:lpwstr>
  </property>
</Properties>
</file>