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 w:leftChars="-1" w:firstLine="0" w:firstLineChars="0"/>
        <w:rPr>
          <w:highlight w:val="none"/>
        </w:rPr>
      </w:pPr>
    </w:p>
    <w:p>
      <w:pPr>
        <w:spacing w:before="156" w:beforeLines="50" w:line="1600" w:lineRule="exact"/>
        <w:ind w:left="634" w:leftChars="-64" w:hanging="768" w:hangingChars="64"/>
        <w:jc w:val="center"/>
        <w:rPr>
          <w:rFonts w:hint="eastAsia" w:ascii="方正小标宋_GBK" w:hAnsi="宋体" w:eastAsia="方正小标宋_GBK"/>
          <w:sz w:val="120"/>
          <w:szCs w:val="120"/>
          <w:highlight w:val="none"/>
        </w:rPr>
      </w:pPr>
      <w:r>
        <w:rPr>
          <w:rFonts w:hint="eastAsia" w:ascii="方正小标宋_GBK" w:hAnsi="宋体" w:eastAsia="方正小标宋_GBK"/>
          <w:sz w:val="120"/>
          <w:szCs w:val="120"/>
          <w:highlight w:val="none"/>
        </w:rPr>
        <w:t>招标文件</w:t>
      </w: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snapToGrid w:val="0"/>
        <w:spacing w:before="156" w:beforeLines="50" w:line="320" w:lineRule="exact"/>
        <w:ind w:left="2976" w:hanging="2976" w:hangingChars="954"/>
        <w:rPr>
          <w:rFonts w:hint="eastAsia" w:ascii="方正小标宋_GBK" w:hAnsi="宋体" w:eastAsia="方正小标宋_GBK"/>
          <w:sz w:val="30"/>
          <w:szCs w:val="72"/>
          <w:highlight w:val="none"/>
          <w:lang w:eastAsia="zh-CN"/>
        </w:rPr>
      </w:pPr>
      <w:r>
        <w:rPr>
          <w:rFonts w:hint="eastAsia" w:ascii="方正小标宋_GBK" w:hAnsi="宋体" w:eastAsia="方正小标宋_GBK"/>
          <w:spacing w:val="6"/>
          <w:sz w:val="30"/>
          <w:szCs w:val="72"/>
          <w:highlight w:val="none"/>
        </w:rPr>
        <w:t xml:space="preserve">        项目名称</w:t>
      </w:r>
      <w:r>
        <w:rPr>
          <w:rFonts w:hint="eastAsia" w:ascii="方正小标宋_GBK" w:hAnsi="宋体" w:eastAsia="方正小标宋_GBK"/>
          <w:sz w:val="30"/>
          <w:szCs w:val="72"/>
          <w:highlight w:val="none"/>
        </w:rPr>
        <w:t>:</w:t>
      </w:r>
      <w:bookmarkStart w:id="0" w:name="_Hlk179639570"/>
      <w:r>
        <w:rPr>
          <w:rFonts w:hint="eastAsia" w:ascii="方正小标宋_GBK" w:hAnsi="宋体" w:eastAsia="方正小标宋_GBK"/>
          <w:sz w:val="30"/>
          <w:szCs w:val="72"/>
          <w:highlight w:val="none"/>
          <w:lang w:eastAsia="zh-CN"/>
        </w:rPr>
        <w:t>2025年浦北县义务教育中小学教学设备</w:t>
      </w:r>
    </w:p>
    <w:bookmarkEnd w:id="0"/>
    <w:p>
      <w:pPr>
        <w:snapToGrid w:val="0"/>
        <w:spacing w:before="156" w:beforeLines="50"/>
        <w:ind w:firstLine="0" w:firstLineChars="0"/>
        <w:rPr>
          <w:rFonts w:hint="eastAsia" w:ascii="方正小标宋_GBK" w:hAnsi="宋体" w:eastAsia="宋体"/>
          <w:b/>
          <w:bCs/>
          <w:sz w:val="30"/>
          <w:szCs w:val="30"/>
          <w:highlight w:val="none"/>
          <w:lang w:eastAsia="zh-CN"/>
        </w:rPr>
      </w:pPr>
      <w:r>
        <w:rPr>
          <w:rFonts w:hint="eastAsia" w:ascii="方正小标宋_GBK" w:hAnsi="宋体" w:eastAsia="方正小标宋_GBK"/>
          <w:spacing w:val="6"/>
          <w:sz w:val="30"/>
          <w:szCs w:val="72"/>
          <w:highlight w:val="none"/>
        </w:rPr>
        <w:t xml:space="preserve">        项目编号</w:t>
      </w:r>
      <w:r>
        <w:rPr>
          <w:rFonts w:hint="eastAsia" w:ascii="方正小标宋_GBK" w:hAnsi="宋体" w:eastAsia="方正小标宋_GBK"/>
          <w:sz w:val="30"/>
          <w:szCs w:val="72"/>
          <w:highlight w:val="none"/>
        </w:rPr>
        <w:t>:</w:t>
      </w:r>
      <w:r>
        <w:rPr>
          <w:highlight w:val="none"/>
        </w:rPr>
        <w:t xml:space="preserve"> </w:t>
      </w:r>
      <w:r>
        <w:rPr>
          <w:rFonts w:hint="eastAsia" w:ascii="方正小标宋_GBK" w:hAnsi="宋体" w:eastAsia="方正小标宋_GBK"/>
          <w:bCs/>
          <w:sz w:val="30"/>
          <w:szCs w:val="30"/>
          <w:highlight w:val="none"/>
          <w:lang w:eastAsia="zh-CN"/>
        </w:rPr>
        <w:t>QZZC2025-G1-220230-QZSZ</w:t>
      </w: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ind w:left="-2" w:leftChars="-1" w:firstLine="0" w:firstLineChars="0"/>
        <w:rPr>
          <w:highlight w:val="none"/>
        </w:rPr>
      </w:pPr>
    </w:p>
    <w:p>
      <w:pPr>
        <w:spacing w:line="360" w:lineRule="exact"/>
        <w:ind w:firstLine="0" w:firstLineChars="0"/>
        <w:jc w:val="center"/>
        <w:rPr>
          <w:rFonts w:hint="eastAsia" w:ascii="方正小标宋_GBK" w:hAnsi="微软雅黑" w:eastAsia="方正小标宋_GBK"/>
          <w:sz w:val="32"/>
          <w:szCs w:val="32"/>
          <w:highlight w:val="none"/>
        </w:rPr>
      </w:pPr>
      <w:r>
        <w:rPr>
          <w:rFonts w:hint="eastAsia" w:ascii="方正小标宋_GBK" w:hAnsi="微软雅黑" w:eastAsia="方正小标宋_GBK"/>
          <w:sz w:val="32"/>
          <w:szCs w:val="32"/>
          <w:highlight w:val="none"/>
        </w:rPr>
        <w:t>钦州市政府采购中心</w:t>
      </w:r>
    </w:p>
    <w:p>
      <w:pPr>
        <w:snapToGrid w:val="0"/>
        <w:spacing w:before="156" w:beforeLines="50" w:line="360" w:lineRule="exact"/>
        <w:ind w:left="420" w:hanging="420" w:firstLineChars="0"/>
        <w:jc w:val="center"/>
        <w:rPr>
          <w:rFonts w:hint="eastAsia" w:ascii="方正小标宋_GBK" w:hAnsi="宋体" w:eastAsia="方正小标宋_GBK"/>
          <w:sz w:val="30"/>
          <w:szCs w:val="72"/>
          <w:highlight w:val="none"/>
          <w:lang w:eastAsia="zh-CN"/>
        </w:rPr>
      </w:pPr>
      <w:r>
        <w:rPr>
          <w:rFonts w:hint="eastAsia" w:ascii="方正小标宋_GBK" w:hAnsi="微软雅黑" w:eastAsia="方正小标宋_GBK"/>
          <w:sz w:val="32"/>
          <w:szCs w:val="32"/>
          <w:highlight w:val="none"/>
        </w:rPr>
        <w:t>2025年</w:t>
      </w:r>
      <w:r>
        <w:rPr>
          <w:rFonts w:hint="eastAsia" w:ascii="方正小标宋_GBK" w:hAnsi="微软雅黑" w:eastAsia="方正小标宋_GBK"/>
          <w:sz w:val="32"/>
          <w:szCs w:val="32"/>
          <w:highlight w:val="none"/>
          <w:lang w:eastAsia="zh-CN"/>
        </w:rPr>
        <w:t>1</w:t>
      </w:r>
      <w:r>
        <w:rPr>
          <w:rFonts w:hint="eastAsia" w:ascii="方正小标宋_GBK" w:hAnsi="微软雅黑" w:eastAsia="方正小标宋_GBK"/>
          <w:sz w:val="32"/>
          <w:szCs w:val="32"/>
          <w:highlight w:val="none"/>
          <w:lang w:val="en-US" w:eastAsia="zh-CN"/>
        </w:rPr>
        <w:t>2</w:t>
      </w:r>
      <w:r>
        <w:rPr>
          <w:rFonts w:hint="eastAsia" w:ascii="方正小标宋_GBK" w:hAnsi="微软雅黑" w:eastAsia="方正小标宋_GBK"/>
          <w:sz w:val="32"/>
          <w:szCs w:val="32"/>
          <w:highlight w:val="none"/>
          <w:lang w:eastAsia="zh-CN"/>
        </w:rPr>
        <w:t>月</w:t>
      </w:r>
    </w:p>
    <w:p>
      <w:pPr>
        <w:ind w:firstLine="0" w:firstLineChars="0"/>
        <w:rPr>
          <w:highlight w:val="none"/>
        </w:rPr>
      </w:pPr>
      <w:r>
        <w:rPr>
          <w:highlight w:val="none"/>
        </w:rPr>
        <w:br w:type="page"/>
      </w:r>
    </w:p>
    <w:p>
      <w:pPr>
        <w:ind w:firstLine="0" w:firstLineChars="0"/>
        <w:rPr>
          <w:highlight w:val="none"/>
        </w:rPr>
      </w:pPr>
    </w:p>
    <w:p>
      <w:pPr>
        <w:pStyle w:val="27"/>
        <w:ind w:firstLine="0" w:firstLineChars="0"/>
        <w:jc w:val="center"/>
        <w:rPr>
          <w:rFonts w:ascii="隶书" w:eastAsia="隶书"/>
          <w:b/>
          <w:sz w:val="44"/>
          <w:highlight w:val="none"/>
        </w:rPr>
      </w:pPr>
      <w:r>
        <w:rPr>
          <w:rFonts w:hint="eastAsia" w:ascii="隶书" w:eastAsia="隶书"/>
          <w:b/>
          <w:sz w:val="44"/>
          <w:highlight w:val="none"/>
        </w:rPr>
        <w:t>目   录</w:t>
      </w:r>
    </w:p>
    <w:p>
      <w:pPr>
        <w:ind w:firstLine="0" w:firstLineChars="0"/>
        <w:rPr>
          <w:highlight w:val="none"/>
        </w:rPr>
      </w:pPr>
    </w:p>
    <w:p>
      <w:pPr>
        <w:pStyle w:val="127"/>
        <w:spacing w:line="1000" w:lineRule="exact"/>
        <w:rPr>
          <w:rFonts w:hint="eastAsia" w:ascii="仿宋" w:hAnsi="仿宋" w:eastAsia="仿宋"/>
          <w:sz w:val="28"/>
          <w:szCs w:val="28"/>
          <w:highlight w:val="none"/>
        </w:rPr>
      </w:pPr>
      <w:r>
        <w:rPr>
          <w:rFonts w:ascii="宋体" w:hAnsi="宋体"/>
          <w:sz w:val="32"/>
          <w:szCs w:val="32"/>
          <w:highlight w:val="none"/>
        </w:rPr>
        <w:fldChar w:fldCharType="begin"/>
      </w:r>
      <w:r>
        <w:rPr>
          <w:rFonts w:ascii="宋体" w:hAnsi="宋体"/>
          <w:sz w:val="32"/>
          <w:szCs w:val="32"/>
          <w:highlight w:val="none"/>
        </w:rPr>
        <w:instrText xml:space="preserve"> </w:instrText>
      </w:r>
      <w:r>
        <w:rPr>
          <w:rFonts w:hint="eastAsia" w:ascii="宋体" w:hAnsi="宋体"/>
          <w:sz w:val="32"/>
          <w:szCs w:val="32"/>
          <w:highlight w:val="none"/>
        </w:rPr>
        <w:instrText xml:space="preserve">TOC \o "1-1" \h \z \u</w:instrText>
      </w:r>
      <w:r>
        <w:rPr>
          <w:rFonts w:ascii="宋体" w:hAnsi="宋体"/>
          <w:sz w:val="32"/>
          <w:szCs w:val="32"/>
          <w:highlight w:val="none"/>
        </w:rPr>
        <w:instrText xml:space="preserve"> </w:instrText>
      </w:r>
      <w:r>
        <w:rPr>
          <w:rFonts w:ascii="宋体" w:hAnsi="宋体"/>
          <w:sz w:val="32"/>
          <w:szCs w:val="32"/>
          <w:highlight w:val="none"/>
        </w:rPr>
        <w:fldChar w:fldCharType="separate"/>
      </w:r>
      <w:r>
        <w:rPr>
          <w:highlight w:val="none"/>
        </w:rPr>
        <w:fldChar w:fldCharType="begin"/>
      </w:r>
      <w:r>
        <w:rPr>
          <w:highlight w:val="none"/>
        </w:rPr>
        <w:instrText xml:space="preserve"> HYPERLINK \l "_Toc91512283" </w:instrText>
      </w:r>
      <w:r>
        <w:rPr>
          <w:highlight w:val="none"/>
        </w:rPr>
        <w:fldChar w:fldCharType="separate"/>
      </w:r>
      <w:r>
        <w:rPr>
          <w:rStyle w:val="58"/>
          <w:rFonts w:ascii="仿宋" w:hAnsi="仿宋" w:eastAsia="仿宋"/>
          <w:color w:val="auto"/>
          <w:sz w:val="28"/>
          <w:szCs w:val="28"/>
          <w:highlight w:val="none"/>
        </w:rPr>
        <w:t>第一章  公 告</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_Toc91512283 \h </w:instrText>
      </w:r>
      <w:r>
        <w:rPr>
          <w:rFonts w:ascii="仿宋" w:hAnsi="仿宋" w:eastAsia="仿宋"/>
          <w:sz w:val="28"/>
          <w:szCs w:val="28"/>
          <w:highlight w:val="none"/>
        </w:rPr>
        <w:fldChar w:fldCharType="separate"/>
      </w:r>
      <w:r>
        <w:rPr>
          <w:rFonts w:ascii="仿宋" w:hAnsi="仿宋" w:eastAsia="仿宋"/>
          <w:sz w:val="28"/>
          <w:szCs w:val="28"/>
          <w:highlight w:val="none"/>
        </w:rPr>
        <w:t>3</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27"/>
        <w:spacing w:line="1000" w:lineRule="exact"/>
        <w:rPr>
          <w:rFonts w:hint="eastAsia" w:ascii="仿宋" w:hAnsi="仿宋" w:eastAsia="仿宋"/>
          <w:sz w:val="28"/>
          <w:szCs w:val="28"/>
          <w:highlight w:val="none"/>
        </w:rPr>
      </w:pPr>
      <w:r>
        <w:rPr>
          <w:highlight w:val="none"/>
        </w:rPr>
        <w:fldChar w:fldCharType="begin"/>
      </w:r>
      <w:r>
        <w:rPr>
          <w:highlight w:val="none"/>
        </w:rPr>
        <w:instrText xml:space="preserve"> HYPERLINK \l "_Toc91512284" </w:instrText>
      </w:r>
      <w:r>
        <w:rPr>
          <w:highlight w:val="none"/>
        </w:rPr>
        <w:fldChar w:fldCharType="separate"/>
      </w:r>
      <w:r>
        <w:rPr>
          <w:rStyle w:val="58"/>
          <w:rFonts w:ascii="仿宋" w:hAnsi="仿宋" w:eastAsia="仿宋"/>
          <w:color w:val="auto"/>
          <w:sz w:val="28"/>
          <w:szCs w:val="28"/>
          <w:highlight w:val="none"/>
        </w:rPr>
        <w:t>第二章  项目需求</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_Toc91512284 \h </w:instrText>
      </w:r>
      <w:r>
        <w:rPr>
          <w:rFonts w:ascii="仿宋" w:hAnsi="仿宋" w:eastAsia="仿宋"/>
          <w:sz w:val="28"/>
          <w:szCs w:val="28"/>
          <w:highlight w:val="none"/>
        </w:rPr>
        <w:fldChar w:fldCharType="separate"/>
      </w:r>
      <w:r>
        <w:rPr>
          <w:rFonts w:ascii="仿宋" w:hAnsi="仿宋" w:eastAsia="仿宋"/>
          <w:sz w:val="28"/>
          <w:szCs w:val="28"/>
          <w:highlight w:val="none"/>
        </w:rPr>
        <w:t>8</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27"/>
        <w:spacing w:line="1000" w:lineRule="exact"/>
        <w:rPr>
          <w:rFonts w:hint="eastAsia" w:ascii="仿宋" w:hAnsi="仿宋" w:eastAsia="仿宋"/>
          <w:sz w:val="28"/>
          <w:szCs w:val="28"/>
          <w:highlight w:val="none"/>
        </w:rPr>
      </w:pPr>
      <w:r>
        <w:rPr>
          <w:highlight w:val="none"/>
        </w:rPr>
        <w:fldChar w:fldCharType="begin"/>
      </w:r>
      <w:r>
        <w:rPr>
          <w:highlight w:val="none"/>
        </w:rPr>
        <w:instrText xml:space="preserve"> HYPERLINK \l "_Toc91512285" </w:instrText>
      </w:r>
      <w:r>
        <w:rPr>
          <w:highlight w:val="none"/>
        </w:rPr>
        <w:fldChar w:fldCharType="separate"/>
      </w:r>
      <w:r>
        <w:rPr>
          <w:rStyle w:val="58"/>
          <w:rFonts w:ascii="仿宋" w:hAnsi="仿宋" w:eastAsia="仿宋"/>
          <w:color w:val="auto"/>
          <w:sz w:val="28"/>
          <w:szCs w:val="28"/>
          <w:highlight w:val="none"/>
        </w:rPr>
        <w:t>第三章  投标人须知及前</w:t>
      </w:r>
      <w:bookmarkStart w:id="1" w:name="_Hlt91583491"/>
      <w:bookmarkStart w:id="2" w:name="_Hlt91583492"/>
      <w:r>
        <w:rPr>
          <w:rStyle w:val="58"/>
          <w:rFonts w:ascii="仿宋" w:hAnsi="仿宋" w:eastAsia="仿宋"/>
          <w:color w:val="auto"/>
          <w:sz w:val="28"/>
          <w:szCs w:val="28"/>
          <w:highlight w:val="none"/>
        </w:rPr>
        <w:t>附</w:t>
      </w:r>
      <w:bookmarkEnd w:id="1"/>
      <w:bookmarkEnd w:id="2"/>
      <w:r>
        <w:rPr>
          <w:rStyle w:val="58"/>
          <w:rFonts w:ascii="仿宋" w:hAnsi="仿宋" w:eastAsia="仿宋"/>
          <w:color w:val="auto"/>
          <w:sz w:val="28"/>
          <w:szCs w:val="28"/>
          <w:highlight w:val="none"/>
        </w:rPr>
        <w:t>表</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_Toc91512285 \h </w:instrText>
      </w:r>
      <w:r>
        <w:rPr>
          <w:rFonts w:ascii="仿宋" w:hAnsi="仿宋" w:eastAsia="仿宋"/>
          <w:sz w:val="28"/>
          <w:szCs w:val="28"/>
          <w:highlight w:val="none"/>
        </w:rPr>
        <w:fldChar w:fldCharType="separate"/>
      </w:r>
      <w:r>
        <w:rPr>
          <w:rFonts w:ascii="仿宋" w:hAnsi="仿宋" w:eastAsia="仿宋"/>
          <w:sz w:val="28"/>
          <w:szCs w:val="28"/>
          <w:highlight w:val="none"/>
        </w:rPr>
        <w:t>133</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27"/>
        <w:spacing w:line="1000" w:lineRule="exact"/>
        <w:rPr>
          <w:rFonts w:hint="eastAsia" w:ascii="仿宋" w:hAnsi="仿宋" w:eastAsia="仿宋"/>
          <w:sz w:val="28"/>
          <w:szCs w:val="28"/>
          <w:highlight w:val="none"/>
        </w:rPr>
      </w:pPr>
      <w:r>
        <w:rPr>
          <w:highlight w:val="none"/>
        </w:rPr>
        <w:fldChar w:fldCharType="begin"/>
      </w:r>
      <w:r>
        <w:rPr>
          <w:highlight w:val="none"/>
        </w:rPr>
        <w:instrText xml:space="preserve"> HYPERLINK \l "_Toc91512286" </w:instrText>
      </w:r>
      <w:r>
        <w:rPr>
          <w:highlight w:val="none"/>
        </w:rPr>
        <w:fldChar w:fldCharType="separate"/>
      </w:r>
      <w:r>
        <w:rPr>
          <w:rStyle w:val="58"/>
          <w:rFonts w:ascii="仿宋" w:hAnsi="仿宋" w:eastAsia="仿宋"/>
          <w:color w:val="auto"/>
          <w:sz w:val="28"/>
          <w:szCs w:val="28"/>
          <w:highlight w:val="none"/>
        </w:rPr>
        <w:t>第四章  评</w:t>
      </w:r>
      <w:r>
        <w:rPr>
          <w:rStyle w:val="58"/>
          <w:rFonts w:hint="eastAsia" w:ascii="仿宋" w:hAnsi="仿宋" w:eastAsia="仿宋"/>
          <w:color w:val="auto"/>
          <w:sz w:val="28"/>
          <w:szCs w:val="28"/>
          <w:highlight w:val="none"/>
        </w:rPr>
        <w:t>定</w:t>
      </w:r>
      <w:r>
        <w:rPr>
          <w:rStyle w:val="58"/>
          <w:rFonts w:ascii="仿宋" w:hAnsi="仿宋" w:eastAsia="仿宋"/>
          <w:color w:val="auto"/>
          <w:sz w:val="28"/>
          <w:szCs w:val="28"/>
          <w:highlight w:val="none"/>
        </w:rPr>
        <w:t>标准及</w:t>
      </w:r>
      <w:r>
        <w:rPr>
          <w:rStyle w:val="58"/>
          <w:rFonts w:hint="eastAsia" w:ascii="仿宋" w:hAnsi="仿宋" w:eastAsia="仿宋"/>
          <w:color w:val="auto"/>
          <w:sz w:val="28"/>
          <w:szCs w:val="28"/>
          <w:highlight w:val="none"/>
        </w:rPr>
        <w:t>推荐原则</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_Toc91512286 \h </w:instrText>
      </w:r>
      <w:r>
        <w:rPr>
          <w:rFonts w:ascii="仿宋" w:hAnsi="仿宋" w:eastAsia="仿宋"/>
          <w:sz w:val="28"/>
          <w:szCs w:val="28"/>
          <w:highlight w:val="none"/>
        </w:rPr>
        <w:fldChar w:fldCharType="separate"/>
      </w:r>
      <w:r>
        <w:rPr>
          <w:rFonts w:ascii="仿宋" w:hAnsi="仿宋" w:eastAsia="仿宋"/>
          <w:sz w:val="28"/>
          <w:szCs w:val="28"/>
          <w:highlight w:val="none"/>
        </w:rPr>
        <w:t>146</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27"/>
        <w:spacing w:line="1000" w:lineRule="exact"/>
        <w:rPr>
          <w:rFonts w:hint="eastAsia" w:ascii="仿宋" w:hAnsi="仿宋" w:eastAsia="仿宋"/>
          <w:sz w:val="28"/>
          <w:szCs w:val="28"/>
          <w:highlight w:val="none"/>
        </w:rPr>
      </w:pPr>
      <w:r>
        <w:rPr>
          <w:highlight w:val="none"/>
        </w:rPr>
        <w:fldChar w:fldCharType="begin"/>
      </w:r>
      <w:r>
        <w:rPr>
          <w:highlight w:val="none"/>
        </w:rPr>
        <w:instrText xml:space="preserve"> HYPERLINK \l "_Toc91512287" </w:instrText>
      </w:r>
      <w:r>
        <w:rPr>
          <w:highlight w:val="none"/>
        </w:rPr>
        <w:fldChar w:fldCharType="separate"/>
      </w:r>
      <w:r>
        <w:rPr>
          <w:rStyle w:val="58"/>
          <w:rFonts w:ascii="仿宋" w:hAnsi="仿宋" w:eastAsia="仿宋"/>
          <w:color w:val="auto"/>
          <w:sz w:val="28"/>
          <w:szCs w:val="28"/>
          <w:highlight w:val="none"/>
        </w:rPr>
        <w:t>第五章  政府采购合同主要条款</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_Toc91512287 \h </w:instrText>
      </w:r>
      <w:r>
        <w:rPr>
          <w:rFonts w:ascii="仿宋" w:hAnsi="仿宋" w:eastAsia="仿宋"/>
          <w:sz w:val="28"/>
          <w:szCs w:val="28"/>
          <w:highlight w:val="none"/>
        </w:rPr>
        <w:fldChar w:fldCharType="separate"/>
      </w:r>
      <w:r>
        <w:rPr>
          <w:rFonts w:ascii="仿宋" w:hAnsi="仿宋" w:eastAsia="仿宋"/>
          <w:sz w:val="28"/>
          <w:szCs w:val="28"/>
          <w:highlight w:val="none"/>
        </w:rPr>
        <w:t>153</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pStyle w:val="127"/>
        <w:spacing w:line="1000" w:lineRule="exact"/>
        <w:rPr>
          <w:rFonts w:hint="eastAsia" w:ascii="仿宋" w:hAnsi="仿宋" w:eastAsia="仿宋"/>
          <w:sz w:val="28"/>
          <w:szCs w:val="28"/>
          <w:highlight w:val="none"/>
        </w:rPr>
      </w:pPr>
      <w:r>
        <w:rPr>
          <w:highlight w:val="none"/>
        </w:rPr>
        <w:fldChar w:fldCharType="begin"/>
      </w:r>
      <w:r>
        <w:rPr>
          <w:highlight w:val="none"/>
        </w:rPr>
        <w:instrText xml:space="preserve"> HYPERLINK \l "_Toc91512288" </w:instrText>
      </w:r>
      <w:r>
        <w:rPr>
          <w:highlight w:val="none"/>
        </w:rPr>
        <w:fldChar w:fldCharType="separate"/>
      </w:r>
      <w:r>
        <w:rPr>
          <w:rStyle w:val="58"/>
          <w:rFonts w:ascii="仿宋" w:hAnsi="仿宋" w:eastAsia="仿宋"/>
          <w:color w:val="auto"/>
          <w:sz w:val="28"/>
          <w:szCs w:val="28"/>
          <w:highlight w:val="none"/>
        </w:rPr>
        <w:t>第六章　投标文件格式</w:t>
      </w:r>
      <w:r>
        <w:rPr>
          <w:rFonts w:ascii="仿宋" w:hAnsi="仿宋" w:eastAsia="仿宋"/>
          <w:sz w:val="28"/>
          <w:szCs w:val="28"/>
          <w:highlight w:val="none"/>
        </w:rPr>
        <w:tab/>
      </w:r>
      <w:r>
        <w:rPr>
          <w:rFonts w:ascii="仿宋" w:hAnsi="仿宋" w:eastAsia="仿宋"/>
          <w:sz w:val="28"/>
          <w:szCs w:val="28"/>
          <w:highlight w:val="none"/>
        </w:rPr>
        <w:fldChar w:fldCharType="begin"/>
      </w:r>
      <w:r>
        <w:rPr>
          <w:rFonts w:ascii="仿宋" w:hAnsi="仿宋" w:eastAsia="仿宋"/>
          <w:sz w:val="28"/>
          <w:szCs w:val="28"/>
          <w:highlight w:val="none"/>
        </w:rPr>
        <w:instrText xml:space="preserve"> PAGEREF _Toc91512288 \h </w:instrText>
      </w:r>
      <w:r>
        <w:rPr>
          <w:rFonts w:ascii="仿宋" w:hAnsi="仿宋" w:eastAsia="仿宋"/>
          <w:sz w:val="28"/>
          <w:szCs w:val="28"/>
          <w:highlight w:val="none"/>
        </w:rPr>
        <w:fldChar w:fldCharType="separate"/>
      </w:r>
      <w:r>
        <w:rPr>
          <w:rFonts w:ascii="仿宋" w:hAnsi="仿宋" w:eastAsia="仿宋"/>
          <w:sz w:val="28"/>
          <w:szCs w:val="28"/>
          <w:highlight w:val="none"/>
        </w:rPr>
        <w:t>169</w:t>
      </w:r>
      <w:r>
        <w:rPr>
          <w:rFonts w:ascii="仿宋" w:hAnsi="仿宋" w:eastAsia="仿宋"/>
          <w:sz w:val="28"/>
          <w:szCs w:val="28"/>
          <w:highlight w:val="none"/>
        </w:rPr>
        <w:fldChar w:fldCharType="end"/>
      </w:r>
      <w:r>
        <w:rPr>
          <w:rFonts w:ascii="仿宋" w:hAnsi="仿宋" w:eastAsia="仿宋"/>
          <w:sz w:val="28"/>
          <w:szCs w:val="28"/>
          <w:highlight w:val="none"/>
        </w:rPr>
        <w:fldChar w:fldCharType="end"/>
      </w:r>
    </w:p>
    <w:p>
      <w:pPr>
        <w:ind w:left="-2" w:leftChars="-1" w:firstLine="0" w:firstLineChars="0"/>
        <w:rPr>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246" w:right="1106" w:bottom="1091" w:left="1080" w:header="851" w:footer="992" w:gutter="0"/>
          <w:pgBorders>
            <w:top w:val="none" w:sz="0" w:space="0"/>
            <w:left w:val="none" w:sz="0" w:space="0"/>
            <w:bottom w:val="none" w:sz="0" w:space="0"/>
            <w:right w:val="none" w:sz="0" w:space="0"/>
          </w:pgBorders>
          <w:cols w:space="720" w:num="1"/>
          <w:titlePg/>
          <w:docGrid w:type="lines" w:linePitch="312" w:charSpace="0"/>
        </w:sectPr>
      </w:pPr>
      <w:r>
        <w:rPr>
          <w:highlight w:val="none"/>
        </w:rPr>
        <w:fldChar w:fldCharType="end"/>
      </w:r>
    </w:p>
    <w:p>
      <w:pPr>
        <w:ind w:left="-2" w:leftChars="-1" w:firstLine="0" w:firstLineChars="0"/>
        <w:rPr>
          <w:highlight w:val="none"/>
        </w:rPr>
      </w:pPr>
    </w:p>
    <w:p>
      <w:pPr>
        <w:ind w:firstLine="0" w:firstLineChars="0"/>
        <w:rPr>
          <w:highlight w:val="none"/>
        </w:rPr>
      </w:pPr>
      <w:bookmarkStart w:id="3" w:name="_Toc91512283"/>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pStyle w:val="46"/>
        <w:ind w:left="0" w:leftChars="0" w:right="0" w:rightChars="0" w:firstLine="0" w:firstLineChars="0"/>
        <w:jc w:val="center"/>
        <w:rPr>
          <w:rFonts w:ascii="方正小标宋_GBK"/>
          <w:szCs w:val="44"/>
          <w:highlight w:val="none"/>
        </w:rPr>
      </w:pPr>
      <w:r>
        <w:rPr>
          <w:rFonts w:hint="eastAsia" w:ascii="方正小标宋_GBK"/>
          <w:szCs w:val="44"/>
          <w:highlight w:val="none"/>
        </w:rPr>
        <w:t>第一章  公 告</w:t>
      </w:r>
      <w:bookmarkEnd w:id="3"/>
    </w:p>
    <w:p>
      <w:pPr>
        <w:ind w:left="420" w:firstLine="0" w:firstLineChars="0"/>
        <w:rPr>
          <w:highlight w:val="none"/>
        </w:rPr>
      </w:pPr>
      <w:r>
        <w:rPr>
          <w:highlight w:val="none"/>
        </w:rPr>
        <w:br w:type="page"/>
      </w:r>
    </w:p>
    <w:p>
      <w:pPr>
        <w:spacing w:line="440" w:lineRule="exact"/>
        <w:ind w:firstLine="0" w:firstLineChars="0"/>
        <w:jc w:val="center"/>
        <w:rPr>
          <w:highlight w:val="none"/>
        </w:rPr>
      </w:pPr>
      <w:r>
        <w:rPr>
          <w:rFonts w:ascii="方正小标宋_GBK" w:eastAsia="方正小标宋_GBK"/>
          <w:b/>
          <w:bCs/>
          <w:sz w:val="36"/>
          <w:szCs w:val="36"/>
          <w:highlight w:val="none"/>
        </w:rPr>
        <w:t>钦州市政府采购中心</w:t>
      </w:r>
      <w:bookmarkStart w:id="4" w:name="_Hlk169687345"/>
      <w:r>
        <w:rPr>
          <w:rFonts w:ascii="方正小标宋_GBK" w:eastAsia="方正小标宋_GBK"/>
          <w:b/>
          <w:bCs/>
          <w:sz w:val="36"/>
          <w:szCs w:val="36"/>
          <w:highlight w:val="none"/>
        </w:rPr>
        <w:t>关于</w:t>
      </w:r>
      <w:bookmarkStart w:id="5" w:name="OLE_LINK24"/>
      <w:r>
        <w:rPr>
          <w:rFonts w:hint="eastAsia" w:ascii="方正小标宋_GBK" w:eastAsia="方正小标宋_GBK"/>
          <w:b/>
          <w:bCs/>
          <w:sz w:val="36"/>
          <w:szCs w:val="36"/>
          <w:highlight w:val="none"/>
          <w:lang w:eastAsia="zh-CN"/>
        </w:rPr>
        <w:t>2025年浦北县义务教育中小学教学设备</w:t>
      </w:r>
      <w:r>
        <w:rPr>
          <w:rFonts w:ascii="方正小标宋_GBK" w:eastAsia="方正小标宋_GBK"/>
          <w:b/>
          <w:bCs/>
          <w:sz w:val="36"/>
          <w:szCs w:val="36"/>
          <w:highlight w:val="none"/>
        </w:rPr>
        <w:t>(</w:t>
      </w:r>
      <w:r>
        <w:rPr>
          <w:rFonts w:hint="eastAsia" w:ascii="方正小标宋_GBK" w:eastAsia="方正小标宋_GBK"/>
          <w:b/>
          <w:bCs/>
          <w:sz w:val="36"/>
          <w:szCs w:val="36"/>
          <w:highlight w:val="none"/>
          <w:lang w:eastAsia="zh-CN"/>
        </w:rPr>
        <w:t>QZZC2025-G1-220230-QZSZ</w:t>
      </w:r>
      <w:r>
        <w:rPr>
          <w:rFonts w:ascii="方正小标宋_GBK" w:eastAsia="方正小标宋_GBK"/>
          <w:b/>
          <w:bCs/>
          <w:sz w:val="36"/>
          <w:szCs w:val="36"/>
          <w:highlight w:val="none"/>
        </w:rPr>
        <w:t>)</w:t>
      </w:r>
      <w:bookmarkEnd w:id="4"/>
      <w:bookmarkEnd w:id="5"/>
      <w:r>
        <w:rPr>
          <w:rFonts w:hint="eastAsia" w:ascii="方正小标宋_GBK" w:eastAsia="方正小标宋_GBK"/>
          <w:b/>
          <w:bCs/>
          <w:sz w:val="36"/>
          <w:szCs w:val="36"/>
          <w:highlight w:val="none"/>
        </w:rPr>
        <w:t>的招标公告</w:t>
      </w:r>
    </w:p>
    <w:p>
      <w:pPr>
        <w:pBdr>
          <w:top w:val="single" w:color="auto" w:sz="4" w:space="0"/>
          <w:left w:val="single" w:color="auto" w:sz="4" w:space="4"/>
          <w:bottom w:val="single" w:color="auto" w:sz="4" w:space="1"/>
          <w:right w:val="single" w:color="auto" w:sz="4" w:space="4"/>
        </w:pBdr>
        <w:spacing w:line="412" w:lineRule="exact"/>
        <w:ind w:firstLine="0" w:firstLineChars="0"/>
        <w:rPr>
          <w:rFonts w:hint="eastAsia" w:ascii="宋体" w:hAnsi="宋体"/>
          <w:szCs w:val="21"/>
          <w:highlight w:val="none"/>
        </w:rPr>
      </w:pPr>
      <w:r>
        <w:rPr>
          <w:rFonts w:hint="eastAsia" w:ascii="宋体" w:hAnsi="宋体"/>
          <w:szCs w:val="21"/>
          <w:highlight w:val="none"/>
        </w:rPr>
        <w:t>项目概况</w:t>
      </w:r>
    </w:p>
    <w:p>
      <w:pPr>
        <w:pBdr>
          <w:top w:val="single" w:color="auto" w:sz="4" w:space="0"/>
          <w:left w:val="single" w:color="auto" w:sz="4" w:space="4"/>
          <w:bottom w:val="single" w:color="auto" w:sz="4" w:space="1"/>
          <w:right w:val="single" w:color="auto" w:sz="4" w:space="4"/>
        </w:pBdr>
        <w:spacing w:line="412" w:lineRule="exact"/>
        <w:ind w:firstLine="420"/>
        <w:rPr>
          <w:rFonts w:hint="eastAsia" w:ascii="宋体" w:hAnsi="宋体"/>
          <w:szCs w:val="21"/>
          <w:highlight w:val="none"/>
        </w:rPr>
      </w:pPr>
      <w:r>
        <w:rPr>
          <w:rFonts w:hint="eastAsia" w:ascii="宋体" w:hAnsi="宋体"/>
          <w:bCs/>
          <w:szCs w:val="21"/>
          <w:highlight w:val="none"/>
          <w:lang w:eastAsia="zh-CN"/>
        </w:rPr>
        <w:t>2025年浦北县义务教育中小学教学设备</w:t>
      </w:r>
      <w:r>
        <w:rPr>
          <w:rFonts w:hint="eastAsia" w:ascii="宋体" w:hAnsi="宋体"/>
          <w:bCs/>
          <w:szCs w:val="21"/>
          <w:highlight w:val="none"/>
        </w:rPr>
        <w:t>招标</w:t>
      </w:r>
      <w:r>
        <w:rPr>
          <w:rFonts w:hint="eastAsia" w:ascii="宋体" w:hAnsi="宋体"/>
          <w:szCs w:val="21"/>
          <w:highlight w:val="none"/>
        </w:rPr>
        <w:t>项目的潜在投标人应在广西</w:t>
      </w:r>
      <w:r>
        <w:rPr>
          <w:highlight w:val="none"/>
        </w:rPr>
        <w:fldChar w:fldCharType="begin"/>
      </w:r>
      <w:r>
        <w:rPr>
          <w:highlight w:val="none"/>
        </w:rPr>
        <w:instrText xml:space="preserve"> HYPERLINK "https://www.zcygov.cn/" </w:instrText>
      </w:r>
      <w:r>
        <w:rPr>
          <w:highlight w:val="none"/>
        </w:rPr>
        <w:fldChar w:fldCharType="separate"/>
      </w:r>
      <w:r>
        <w:rPr>
          <w:rStyle w:val="58"/>
          <w:rFonts w:hint="eastAsia" w:ascii="宋体" w:hAnsi="宋体"/>
          <w:color w:val="auto"/>
          <w:szCs w:val="21"/>
          <w:highlight w:val="none"/>
          <w:u w:val="none"/>
        </w:rPr>
        <w:t>政府采购云平台</w:t>
      </w:r>
      <w:r>
        <w:rPr>
          <w:rStyle w:val="58"/>
          <w:rFonts w:hint="eastAsia" w:ascii="宋体" w:hAnsi="宋体"/>
          <w:color w:val="auto"/>
          <w:szCs w:val="21"/>
          <w:highlight w:val="none"/>
          <w:u w:val="none"/>
        </w:rPr>
        <w:fldChar w:fldCharType="end"/>
      </w:r>
      <w:r>
        <w:rPr>
          <w:rFonts w:hint="eastAsia" w:ascii="宋体" w:hAnsi="宋体"/>
          <w:szCs w:val="21"/>
          <w:highlight w:val="none"/>
        </w:rPr>
        <w:t>获取招标文件，并于2025年</w:t>
      </w:r>
      <w:r>
        <w:rPr>
          <w:rFonts w:hint="eastAsia" w:ascii="宋体" w:hAnsi="宋体"/>
          <w:szCs w:val="21"/>
          <w:highlight w:val="none"/>
          <w:lang w:val="en-US" w:eastAsia="zh-CN"/>
        </w:rPr>
        <w:t>12月25</w:t>
      </w:r>
      <w:r>
        <w:rPr>
          <w:rFonts w:hint="eastAsia" w:ascii="宋体" w:hAnsi="宋体"/>
          <w:szCs w:val="21"/>
          <w:highlight w:val="none"/>
        </w:rPr>
        <w:t>日</w:t>
      </w:r>
      <w:r>
        <w:rPr>
          <w:rFonts w:hint="eastAsia"/>
          <w:highlight w:val="none"/>
        </w:rPr>
        <w:t>09</w:t>
      </w:r>
      <w:r>
        <w:rPr>
          <w:highlight w:val="none"/>
        </w:rPr>
        <w:t>:</w:t>
      </w:r>
      <w:r>
        <w:rPr>
          <w:rFonts w:hint="eastAsia"/>
          <w:highlight w:val="none"/>
        </w:rPr>
        <w:t>3</w:t>
      </w:r>
      <w:r>
        <w:rPr>
          <w:highlight w:val="none"/>
        </w:rPr>
        <w:t>0</w:t>
      </w:r>
      <w:r>
        <w:rPr>
          <w:rFonts w:hint="eastAsia" w:ascii="宋体" w:hAnsi="宋体"/>
          <w:szCs w:val="21"/>
          <w:highlight w:val="none"/>
        </w:rPr>
        <w:t>（北京时间）前提交投标文件。</w:t>
      </w:r>
    </w:p>
    <w:p>
      <w:pPr>
        <w:spacing w:line="412" w:lineRule="exact"/>
        <w:ind w:firstLine="0" w:firstLineChars="0"/>
        <w:rPr>
          <w:b/>
          <w:highlight w:val="none"/>
        </w:rPr>
      </w:pPr>
      <w:bookmarkStart w:id="6" w:name="_Toc28359002"/>
      <w:bookmarkStart w:id="7" w:name="_Toc35393790"/>
      <w:bookmarkStart w:id="8" w:name="_Toc28359079"/>
      <w:bookmarkStart w:id="9" w:name="_Toc35393621"/>
      <w:bookmarkStart w:id="10" w:name="_Hlk24379207"/>
      <w:bookmarkStart w:id="11" w:name="_Hlk92355554"/>
      <w:r>
        <w:rPr>
          <w:rFonts w:hint="eastAsia"/>
          <w:b/>
          <w:highlight w:val="none"/>
        </w:rPr>
        <w:t>一、项目基本情况</w:t>
      </w:r>
      <w:bookmarkEnd w:id="6"/>
      <w:bookmarkEnd w:id="7"/>
      <w:bookmarkEnd w:id="8"/>
      <w:bookmarkEnd w:id="9"/>
    </w:p>
    <w:p>
      <w:pPr>
        <w:spacing w:line="412" w:lineRule="exact"/>
        <w:ind w:firstLine="420"/>
        <w:rPr>
          <w:rFonts w:hint="eastAsia" w:eastAsia="宋体"/>
          <w:highlight w:val="none"/>
          <w:lang w:eastAsia="zh-CN"/>
        </w:rPr>
      </w:pPr>
      <w:r>
        <w:rPr>
          <w:rFonts w:hint="eastAsia"/>
          <w:highlight w:val="none"/>
        </w:rPr>
        <w:t>项目编号：</w:t>
      </w:r>
      <w:r>
        <w:rPr>
          <w:rFonts w:hint="eastAsia"/>
          <w:highlight w:val="none"/>
          <w:lang w:eastAsia="zh-CN"/>
        </w:rPr>
        <w:t>QZZC2025-G1-220230-QZSZ</w:t>
      </w:r>
    </w:p>
    <w:p>
      <w:pPr>
        <w:spacing w:line="412" w:lineRule="exact"/>
        <w:ind w:firstLine="420"/>
        <w:rPr>
          <w:rFonts w:hint="eastAsia" w:eastAsia="宋体"/>
          <w:highlight w:val="none"/>
          <w:lang w:eastAsia="zh-CN"/>
        </w:rPr>
      </w:pPr>
      <w:r>
        <w:rPr>
          <w:rFonts w:hint="eastAsia"/>
          <w:highlight w:val="none"/>
        </w:rPr>
        <w:t>项目名称：</w:t>
      </w:r>
      <w:r>
        <w:rPr>
          <w:rFonts w:hint="eastAsia"/>
          <w:highlight w:val="none"/>
          <w:lang w:eastAsia="zh-CN"/>
        </w:rPr>
        <w:t>2025年浦北县义务教育中小学教学设备</w:t>
      </w:r>
    </w:p>
    <w:bookmarkEnd w:id="10"/>
    <w:p>
      <w:pPr>
        <w:spacing w:line="412" w:lineRule="exact"/>
        <w:ind w:firstLine="420"/>
        <w:rPr>
          <w:rFonts w:hint="eastAsia" w:eastAsia="宋体"/>
          <w:highlight w:val="none"/>
          <w:lang w:eastAsia="zh-CN"/>
        </w:rPr>
      </w:pPr>
      <w:r>
        <w:rPr>
          <w:rFonts w:hint="eastAsia"/>
          <w:highlight w:val="none"/>
        </w:rPr>
        <w:t>预算总金额(元</w:t>
      </w:r>
      <w:r>
        <w:rPr>
          <w:highlight w:val="none"/>
        </w:rPr>
        <w:t>)</w:t>
      </w:r>
      <w:r>
        <w:rPr>
          <w:rFonts w:hint="eastAsia"/>
          <w:highlight w:val="none"/>
        </w:rPr>
        <w:t>：</w:t>
      </w:r>
      <w:r>
        <w:rPr>
          <w:rFonts w:hint="eastAsia"/>
          <w:highlight w:val="none"/>
          <w:lang w:eastAsia="zh-CN"/>
        </w:rPr>
        <w:t>4,025,000.00</w:t>
      </w:r>
    </w:p>
    <w:p>
      <w:pPr>
        <w:spacing w:line="412" w:lineRule="exact"/>
        <w:ind w:firstLine="420"/>
        <w:rPr>
          <w:highlight w:val="none"/>
        </w:rPr>
      </w:pPr>
      <w:r>
        <w:rPr>
          <w:rFonts w:hint="eastAsia"/>
          <w:highlight w:val="none"/>
        </w:rPr>
        <w:t>采购需求：</w:t>
      </w:r>
    </w:p>
    <w:p>
      <w:pPr>
        <w:spacing w:line="412" w:lineRule="exact"/>
        <w:ind w:firstLine="420"/>
        <w:rPr>
          <w:highlight w:val="none"/>
        </w:rPr>
      </w:pPr>
    </w:p>
    <w:p>
      <w:pPr>
        <w:ind w:firstLine="420"/>
        <w:rPr>
          <w:highlight w:val="none"/>
        </w:rPr>
      </w:pPr>
      <w:bookmarkStart w:id="12" w:name="OLE_LINK9"/>
      <w:r>
        <w:rPr>
          <w:rFonts w:hint="eastAsia"/>
          <w:highlight w:val="none"/>
        </w:rPr>
        <w:t>标项一</w:t>
      </w:r>
    </w:p>
    <w:p>
      <w:pPr>
        <w:ind w:firstLine="420"/>
        <w:rPr>
          <w:rFonts w:hint="default" w:eastAsia="宋体"/>
          <w:highlight w:val="none"/>
          <w:lang w:val="en-US" w:eastAsia="zh-CN"/>
        </w:rPr>
      </w:pPr>
      <w:r>
        <w:rPr>
          <w:rFonts w:hint="eastAsia"/>
          <w:highlight w:val="none"/>
        </w:rPr>
        <w:t>标项名称：</w:t>
      </w:r>
      <w:r>
        <w:rPr>
          <w:rFonts w:hint="eastAsia"/>
          <w:highlight w:val="none"/>
          <w:lang w:eastAsia="zh-CN"/>
        </w:rPr>
        <w:t>2025年浦北县义务教育中小学教学设备</w:t>
      </w:r>
      <w:r>
        <w:rPr>
          <w:rFonts w:hint="eastAsia"/>
          <w:highlight w:val="none"/>
          <w:lang w:val="en-US" w:eastAsia="zh-CN"/>
        </w:rPr>
        <w:t xml:space="preserve">  一分标</w:t>
      </w:r>
    </w:p>
    <w:p>
      <w:pPr>
        <w:ind w:firstLine="420"/>
        <w:rPr>
          <w:highlight w:val="none"/>
        </w:rPr>
      </w:pPr>
      <w:r>
        <w:rPr>
          <w:rFonts w:hint="eastAsia"/>
          <w:highlight w:val="none"/>
        </w:rPr>
        <w:t>数量：1项</w:t>
      </w:r>
    </w:p>
    <w:p>
      <w:pPr>
        <w:ind w:firstLine="420"/>
        <w:rPr>
          <w:rFonts w:hint="default" w:eastAsia="宋体"/>
          <w:highlight w:val="none"/>
          <w:lang w:val="en-US" w:eastAsia="zh-CN"/>
        </w:rPr>
      </w:pPr>
      <w:r>
        <w:rPr>
          <w:rFonts w:hint="eastAsia"/>
          <w:highlight w:val="none"/>
        </w:rPr>
        <w:t>预算金额(元)：</w:t>
      </w:r>
      <w:r>
        <w:rPr>
          <w:rFonts w:hint="eastAsia"/>
          <w:highlight w:val="none"/>
          <w:lang w:val="en-US" w:eastAsia="zh-CN"/>
        </w:rPr>
        <w:t>1,980,000.00</w:t>
      </w:r>
    </w:p>
    <w:p>
      <w:pPr>
        <w:ind w:firstLine="420"/>
        <w:rPr>
          <w:rFonts w:hint="eastAsia"/>
          <w:b w:val="0"/>
          <w:bCs w:val="0"/>
          <w:color w:val="auto"/>
          <w:highlight w:val="none"/>
        </w:rPr>
      </w:pPr>
      <w:r>
        <w:rPr>
          <w:rFonts w:hint="eastAsia"/>
          <w:b w:val="0"/>
          <w:bCs w:val="0"/>
          <w:color w:val="auto"/>
          <w:highlight w:val="none"/>
        </w:rPr>
        <w:t>简要规格描述或项目基本概况介绍、用途：</w:t>
      </w:r>
      <w:r>
        <w:rPr>
          <w:rFonts w:hint="eastAsia" w:asciiTheme="majorEastAsia" w:hAnsiTheme="majorEastAsia" w:eastAsiaTheme="majorEastAsia" w:cstheme="majorEastAsia"/>
          <w:b w:val="0"/>
          <w:bCs w:val="0"/>
          <w:color w:val="auto"/>
          <w:sz w:val="21"/>
          <w:szCs w:val="21"/>
          <w:highlight w:val="none"/>
          <w:lang w:val="en-US" w:eastAsia="zh-CN"/>
        </w:rPr>
        <w:t>计算机、</w:t>
      </w:r>
      <w:r>
        <w:rPr>
          <w:rFonts w:hint="eastAsia" w:asciiTheme="majorEastAsia" w:hAnsiTheme="majorEastAsia" w:eastAsiaTheme="majorEastAsia" w:cstheme="majorEastAsia"/>
          <w:b w:val="0"/>
          <w:bCs w:val="0"/>
          <w:color w:val="auto"/>
          <w:sz w:val="21"/>
          <w:szCs w:val="21"/>
          <w:highlight w:val="none"/>
          <w:lang w:bidi="ar"/>
        </w:rPr>
        <w:t>学生机</w:t>
      </w:r>
      <w:r>
        <w:rPr>
          <w:rFonts w:hint="eastAsia" w:asciiTheme="majorEastAsia" w:hAnsiTheme="majorEastAsia" w:eastAsiaTheme="majorEastAsia" w:cstheme="majorEastAsia"/>
          <w:b w:val="0"/>
          <w:bCs w:val="0"/>
          <w:color w:val="auto"/>
          <w:sz w:val="21"/>
          <w:szCs w:val="21"/>
          <w:highlight w:val="none"/>
          <w:lang w:eastAsia="zh-CN" w:bidi="ar"/>
        </w:rPr>
        <w:t>、</w:t>
      </w:r>
      <w:r>
        <w:rPr>
          <w:rFonts w:hint="eastAsia" w:asciiTheme="majorEastAsia" w:hAnsiTheme="majorEastAsia" w:eastAsiaTheme="majorEastAsia" w:cstheme="majorEastAsia"/>
          <w:b w:val="0"/>
          <w:bCs w:val="0"/>
          <w:color w:val="auto"/>
          <w:sz w:val="21"/>
          <w:szCs w:val="21"/>
          <w:highlight w:val="none"/>
          <w:lang w:bidi="ar"/>
        </w:rPr>
        <w:t>国产化教师机</w:t>
      </w:r>
      <w:r>
        <w:rPr>
          <w:rFonts w:hint="eastAsia" w:asciiTheme="majorEastAsia" w:hAnsiTheme="majorEastAsia" w:eastAsiaTheme="majorEastAsia" w:cstheme="majorEastAsia"/>
          <w:b w:val="0"/>
          <w:bCs w:val="0"/>
          <w:color w:val="auto"/>
          <w:sz w:val="21"/>
          <w:szCs w:val="21"/>
          <w:highlight w:val="none"/>
          <w:lang w:eastAsia="zh-CN" w:bidi="ar"/>
        </w:rPr>
        <w:t>、</w:t>
      </w:r>
      <w:r>
        <w:rPr>
          <w:rFonts w:hint="eastAsia" w:asciiTheme="majorEastAsia" w:hAnsiTheme="majorEastAsia" w:eastAsiaTheme="majorEastAsia" w:cstheme="majorEastAsia"/>
          <w:b w:val="0"/>
          <w:bCs w:val="0"/>
          <w:color w:val="auto"/>
          <w:sz w:val="21"/>
          <w:szCs w:val="21"/>
          <w:highlight w:val="none"/>
          <w:lang w:val="en-US" w:eastAsia="zh-CN" w:bidi="ar"/>
        </w:rPr>
        <w:t>电子教学软件、</w:t>
      </w:r>
      <w:r>
        <w:rPr>
          <w:rFonts w:hint="eastAsia" w:asciiTheme="majorEastAsia" w:hAnsiTheme="majorEastAsia" w:eastAsiaTheme="majorEastAsia" w:cstheme="majorEastAsia"/>
          <w:b w:val="0"/>
          <w:bCs w:val="0"/>
          <w:color w:val="auto"/>
          <w:sz w:val="21"/>
          <w:szCs w:val="21"/>
          <w:highlight w:val="none"/>
          <w:lang w:bidi="ar"/>
        </w:rPr>
        <w:t>运维</w:t>
      </w:r>
      <w:r>
        <w:rPr>
          <w:rFonts w:hint="eastAsia" w:asciiTheme="majorEastAsia" w:hAnsiTheme="majorEastAsia" w:eastAsiaTheme="majorEastAsia" w:cstheme="majorEastAsia"/>
          <w:b w:val="0"/>
          <w:bCs w:val="0"/>
          <w:color w:val="auto"/>
          <w:sz w:val="21"/>
          <w:szCs w:val="21"/>
          <w:highlight w:val="none"/>
          <w:lang w:val="en-US" w:eastAsia="zh-CN" w:bidi="ar"/>
        </w:rPr>
        <w:t>管理软件</w:t>
      </w:r>
      <w:r>
        <w:rPr>
          <w:rFonts w:hint="eastAsia" w:asciiTheme="majorEastAsia" w:hAnsiTheme="majorEastAsia" w:eastAsiaTheme="majorEastAsia" w:cstheme="majorEastAsia"/>
          <w:b w:val="0"/>
          <w:bCs w:val="0"/>
          <w:color w:val="auto"/>
          <w:sz w:val="21"/>
          <w:szCs w:val="21"/>
          <w:highlight w:val="none"/>
          <w:lang w:bidi="ar"/>
        </w:rPr>
        <w:t>（云桌面）</w:t>
      </w:r>
      <w:r>
        <w:rPr>
          <w:rFonts w:hint="eastAsia" w:asciiTheme="majorEastAsia" w:hAnsiTheme="majorEastAsia" w:eastAsiaTheme="majorEastAsia" w:cstheme="majorEastAsia"/>
          <w:b w:val="0"/>
          <w:bCs w:val="0"/>
          <w:color w:val="auto"/>
          <w:sz w:val="21"/>
          <w:szCs w:val="21"/>
          <w:highlight w:val="none"/>
          <w:lang w:eastAsia="zh-CN" w:bidi="ar"/>
        </w:rPr>
        <w:t>、</w:t>
      </w:r>
      <w:r>
        <w:rPr>
          <w:rFonts w:hint="eastAsia" w:asciiTheme="majorEastAsia" w:hAnsiTheme="majorEastAsia" w:eastAsiaTheme="majorEastAsia" w:cstheme="majorEastAsia"/>
          <w:b w:val="0"/>
          <w:bCs w:val="0"/>
          <w:color w:val="auto"/>
          <w:sz w:val="21"/>
          <w:szCs w:val="21"/>
          <w:highlight w:val="none"/>
          <w:vertAlign w:val="baseline"/>
          <w:lang w:val="en-US" w:eastAsia="zh-CN"/>
        </w:rPr>
        <w:t>智能交互一体机、</w:t>
      </w:r>
      <w:r>
        <w:rPr>
          <w:rFonts w:hint="eastAsia" w:asciiTheme="majorEastAsia" w:hAnsiTheme="majorEastAsia" w:eastAsiaTheme="majorEastAsia" w:cstheme="majorEastAsia"/>
          <w:b w:val="0"/>
          <w:bCs w:val="0"/>
          <w:i w:val="0"/>
          <w:iCs w:val="0"/>
          <w:color w:val="auto"/>
          <w:kern w:val="0"/>
          <w:sz w:val="21"/>
          <w:szCs w:val="21"/>
          <w:highlight w:val="none"/>
          <w:u w:val="none"/>
          <w:lang w:val="en-US" w:eastAsia="zh-CN" w:bidi="ar"/>
        </w:rPr>
        <w:t>AI服务器、视频展台、推拉米黄板、</w:t>
      </w:r>
      <w:r>
        <w:rPr>
          <w:rFonts w:hint="eastAsia" w:asciiTheme="majorEastAsia" w:hAnsiTheme="majorEastAsia" w:eastAsiaTheme="majorEastAsia" w:cstheme="majorEastAsia"/>
          <w:b w:val="0"/>
          <w:bCs w:val="0"/>
          <w:color w:val="auto"/>
          <w:sz w:val="21"/>
          <w:szCs w:val="21"/>
          <w:highlight w:val="none"/>
        </w:rPr>
        <w:t>铁架床</w:t>
      </w:r>
      <w:r>
        <w:rPr>
          <w:rFonts w:hint="eastAsia" w:asciiTheme="majorEastAsia" w:hAnsiTheme="majorEastAsia" w:eastAsiaTheme="majorEastAsia" w:cstheme="majorEastAsia"/>
          <w:b w:val="0"/>
          <w:bCs w:val="0"/>
          <w:color w:val="auto"/>
          <w:sz w:val="21"/>
          <w:szCs w:val="21"/>
          <w:highlight w:val="none"/>
          <w:lang w:val="en-US" w:eastAsia="zh-CN"/>
        </w:rPr>
        <w:t>等，</w:t>
      </w:r>
      <w:r>
        <w:rPr>
          <w:rFonts w:hint="eastAsia"/>
          <w:b w:val="0"/>
          <w:bCs w:val="0"/>
          <w:color w:val="auto"/>
          <w:highlight w:val="none"/>
        </w:rPr>
        <w:t>详见招标文件。</w:t>
      </w:r>
    </w:p>
    <w:p>
      <w:pPr>
        <w:ind w:firstLine="420"/>
        <w:rPr>
          <w:highlight w:val="none"/>
        </w:rPr>
      </w:pPr>
      <w:r>
        <w:rPr>
          <w:rFonts w:hint="eastAsia"/>
          <w:highlight w:val="none"/>
        </w:rPr>
        <w:t>最高限价(如有)：</w:t>
      </w:r>
    </w:p>
    <w:p>
      <w:pPr>
        <w:ind w:firstLine="420"/>
        <w:rPr>
          <w:rFonts w:hint="eastAsia" w:eastAsia="宋体"/>
          <w:highlight w:val="none"/>
          <w:lang w:eastAsia="zh-CN"/>
        </w:rPr>
      </w:pPr>
      <w:r>
        <w:rPr>
          <w:rFonts w:hint="eastAsia"/>
          <w:highlight w:val="none"/>
        </w:rPr>
        <w:t>合同履行期限：</w:t>
      </w:r>
      <w:r>
        <w:rPr>
          <w:rFonts w:hint="default" w:ascii="宋体" w:hAnsi="宋体" w:cs="宋体"/>
          <w:sz w:val="21"/>
          <w:szCs w:val="21"/>
          <w:highlight w:val="none"/>
        </w:rPr>
        <w:t>签订合同后</w:t>
      </w:r>
      <w:r>
        <w:rPr>
          <w:rFonts w:hint="eastAsia" w:ascii="宋体" w:hAnsi="宋体" w:cs="宋体"/>
          <w:sz w:val="21"/>
          <w:szCs w:val="21"/>
          <w:highlight w:val="none"/>
          <w:lang w:val="en-US" w:eastAsia="zh-CN"/>
        </w:rPr>
        <w:t>30</w:t>
      </w:r>
      <w:r>
        <w:rPr>
          <w:rFonts w:hint="default" w:ascii="宋体" w:hAnsi="宋体" w:cs="宋体"/>
          <w:sz w:val="21"/>
          <w:szCs w:val="21"/>
          <w:highlight w:val="none"/>
        </w:rPr>
        <w:t>个工作日内安装调试竣工验收交付使用。</w:t>
      </w:r>
    </w:p>
    <w:p>
      <w:pPr>
        <w:ind w:firstLine="420"/>
        <w:rPr>
          <w:highlight w:val="none"/>
        </w:rPr>
      </w:pPr>
      <w:r>
        <w:rPr>
          <w:rFonts w:hint="eastAsia"/>
          <w:highlight w:val="none"/>
        </w:rPr>
        <w:t>本标项(否)接受联合体投标。</w:t>
      </w:r>
    </w:p>
    <w:p>
      <w:pPr>
        <w:ind w:firstLine="420"/>
        <w:rPr>
          <w:highlight w:val="none"/>
        </w:rPr>
      </w:pPr>
      <w:r>
        <w:rPr>
          <w:rFonts w:hint="eastAsia"/>
          <w:highlight w:val="none"/>
        </w:rPr>
        <w:t>备注：</w:t>
      </w:r>
    </w:p>
    <w:bookmarkEnd w:id="12"/>
    <w:p>
      <w:pPr>
        <w:ind w:firstLine="420"/>
        <w:rPr>
          <w:highlight w:val="none"/>
        </w:rPr>
      </w:pPr>
    </w:p>
    <w:p>
      <w:pPr>
        <w:ind w:firstLine="420"/>
        <w:rPr>
          <w:highlight w:val="none"/>
        </w:rPr>
      </w:pPr>
      <w:r>
        <w:rPr>
          <w:rFonts w:hint="eastAsia"/>
          <w:highlight w:val="none"/>
        </w:rPr>
        <w:t>标项二</w:t>
      </w:r>
    </w:p>
    <w:p>
      <w:pPr>
        <w:ind w:firstLine="420"/>
        <w:rPr>
          <w:rFonts w:hint="default" w:eastAsia="宋体"/>
          <w:highlight w:val="none"/>
          <w:lang w:val="en-US" w:eastAsia="zh-CN"/>
        </w:rPr>
      </w:pPr>
      <w:r>
        <w:rPr>
          <w:rFonts w:hint="eastAsia"/>
          <w:highlight w:val="none"/>
        </w:rPr>
        <w:t>标项名称：</w:t>
      </w:r>
      <w:r>
        <w:rPr>
          <w:rFonts w:hint="eastAsia"/>
          <w:highlight w:val="none"/>
          <w:lang w:eastAsia="zh-CN"/>
        </w:rPr>
        <w:t>2025年浦北县义务教育中小学教学设备</w:t>
      </w:r>
      <w:r>
        <w:rPr>
          <w:rFonts w:hint="eastAsia"/>
          <w:highlight w:val="none"/>
          <w:lang w:val="en-US" w:eastAsia="zh-CN"/>
        </w:rPr>
        <w:t xml:space="preserve">  二分标</w:t>
      </w:r>
    </w:p>
    <w:p>
      <w:pPr>
        <w:ind w:firstLine="420"/>
        <w:rPr>
          <w:rFonts w:hint="eastAsia" w:eastAsia="宋体"/>
          <w:highlight w:val="none"/>
          <w:lang w:eastAsia="zh-CN"/>
        </w:rPr>
      </w:pPr>
      <w:r>
        <w:rPr>
          <w:rFonts w:hint="eastAsia"/>
          <w:highlight w:val="none"/>
          <w:lang w:val="en-US" w:eastAsia="zh-CN"/>
        </w:rPr>
        <w:t xml:space="preserve"> </w:t>
      </w:r>
    </w:p>
    <w:p>
      <w:pPr>
        <w:ind w:firstLine="420"/>
        <w:rPr>
          <w:highlight w:val="none"/>
        </w:rPr>
      </w:pPr>
      <w:r>
        <w:rPr>
          <w:rFonts w:hint="eastAsia"/>
          <w:highlight w:val="none"/>
        </w:rPr>
        <w:t>数量：1项</w:t>
      </w:r>
    </w:p>
    <w:p>
      <w:pPr>
        <w:ind w:firstLine="420"/>
        <w:rPr>
          <w:rFonts w:hint="eastAsia" w:eastAsia="宋体"/>
          <w:highlight w:val="none"/>
          <w:lang w:eastAsia="zh-CN"/>
        </w:rPr>
      </w:pPr>
      <w:r>
        <w:rPr>
          <w:rFonts w:hint="eastAsia"/>
          <w:highlight w:val="none"/>
        </w:rPr>
        <w:t>预算金额(元)：</w:t>
      </w:r>
      <w:r>
        <w:rPr>
          <w:rFonts w:hint="eastAsia"/>
          <w:highlight w:val="none"/>
          <w:lang w:val="en-US" w:eastAsia="zh-CN"/>
        </w:rPr>
        <w:t xml:space="preserve">2,045,000.00 </w:t>
      </w:r>
    </w:p>
    <w:p>
      <w:pPr>
        <w:ind w:firstLine="420"/>
        <w:rPr>
          <w:rFonts w:hint="eastAsia" w:eastAsia="宋体"/>
          <w:b w:val="0"/>
          <w:bCs w:val="0"/>
          <w:color w:val="auto"/>
          <w:highlight w:val="none"/>
        </w:rPr>
      </w:pPr>
      <w:r>
        <w:rPr>
          <w:rFonts w:hint="eastAsia" w:eastAsia="宋体"/>
          <w:b w:val="0"/>
          <w:bCs w:val="0"/>
          <w:color w:val="auto"/>
          <w:highlight w:val="none"/>
        </w:rPr>
        <w:t>简要规格描述或项目基本概况介绍、用途：</w:t>
      </w:r>
      <w:r>
        <w:rPr>
          <w:rFonts w:hint="eastAsia" w:eastAsia="宋体"/>
          <w:b w:val="0"/>
          <w:bCs w:val="0"/>
          <w:color w:val="auto"/>
          <w:highlight w:val="none"/>
          <w:lang w:val="en-US" w:eastAsia="zh-CN"/>
        </w:rPr>
        <w:t>交互智能平板、AI备课、视频展台、万象黑</w:t>
      </w:r>
      <w:r>
        <w:rPr>
          <w:rFonts w:hint="eastAsia" w:eastAsia="宋体"/>
          <w:b w:val="0"/>
          <w:bCs w:val="0"/>
          <w:color w:val="auto"/>
          <w:highlight w:val="none"/>
          <w:lang w:eastAsia="zh-CN"/>
        </w:rPr>
        <w:t>板、</w:t>
      </w:r>
      <w:r>
        <w:rPr>
          <w:rFonts w:hint="eastAsia" w:eastAsia="宋体"/>
          <w:b w:val="0"/>
          <w:bCs w:val="0"/>
          <w:color w:val="auto"/>
          <w:highlight w:val="none"/>
          <w:lang w:val="en-US" w:eastAsia="zh-CN"/>
        </w:rPr>
        <w:t>升降课桌椅、学生用床、物理电学实验室/56座(新型)、化学实验室/56座(新型)、生物实验室/56座(新型)、初中美术教学装等，</w:t>
      </w:r>
      <w:r>
        <w:rPr>
          <w:rFonts w:hint="eastAsia" w:eastAsia="宋体"/>
          <w:b w:val="0"/>
          <w:bCs w:val="0"/>
          <w:color w:val="auto"/>
          <w:highlight w:val="none"/>
        </w:rPr>
        <w:t>详见招标文件。</w:t>
      </w:r>
    </w:p>
    <w:p>
      <w:pPr>
        <w:ind w:firstLine="420"/>
        <w:rPr>
          <w:color w:val="auto"/>
          <w:highlight w:val="none"/>
        </w:rPr>
      </w:pPr>
      <w:r>
        <w:rPr>
          <w:rFonts w:hint="eastAsia"/>
          <w:highlight w:val="none"/>
        </w:rPr>
        <w:t>最高</w:t>
      </w:r>
      <w:r>
        <w:rPr>
          <w:rFonts w:hint="eastAsia"/>
          <w:color w:val="auto"/>
          <w:highlight w:val="none"/>
        </w:rPr>
        <w:t>限价(如有)：</w:t>
      </w:r>
    </w:p>
    <w:p>
      <w:pPr>
        <w:ind w:firstLine="420"/>
        <w:rPr>
          <w:color w:val="auto"/>
          <w:highlight w:val="none"/>
        </w:rPr>
      </w:pPr>
      <w:r>
        <w:rPr>
          <w:rFonts w:hint="eastAsia"/>
          <w:color w:val="auto"/>
          <w:highlight w:val="none"/>
        </w:rPr>
        <w:t>合同履行期限：</w:t>
      </w:r>
      <w:bookmarkStart w:id="13" w:name="OLE_LINK17"/>
      <w:r>
        <w:rPr>
          <w:rFonts w:hint="default" w:ascii="宋体" w:hAnsi="宋体" w:cs="宋体"/>
          <w:sz w:val="21"/>
          <w:szCs w:val="21"/>
          <w:highlight w:val="none"/>
        </w:rPr>
        <w:t>签订合同后</w:t>
      </w:r>
      <w:r>
        <w:rPr>
          <w:rFonts w:hint="eastAsia" w:ascii="宋体" w:hAnsi="宋体" w:cs="宋体"/>
          <w:sz w:val="21"/>
          <w:szCs w:val="21"/>
          <w:highlight w:val="none"/>
          <w:lang w:val="en-US" w:eastAsia="zh-CN"/>
        </w:rPr>
        <w:t>30</w:t>
      </w:r>
      <w:r>
        <w:rPr>
          <w:rFonts w:hint="default" w:ascii="宋体" w:hAnsi="宋体" w:cs="宋体"/>
          <w:sz w:val="21"/>
          <w:szCs w:val="21"/>
          <w:highlight w:val="none"/>
        </w:rPr>
        <w:t>个工作日内安装调试竣工验收交付使用。</w:t>
      </w:r>
      <w:r>
        <w:rPr>
          <w:rFonts w:hint="eastAsia" w:ascii="宋体" w:hAnsi="宋体"/>
          <w:color w:val="auto"/>
          <w:szCs w:val="21"/>
          <w:highlight w:val="none"/>
          <w:lang w:val="en-US" w:eastAsia="zh-CN"/>
        </w:rPr>
        <w:t xml:space="preserve"> </w:t>
      </w:r>
      <w:bookmarkEnd w:id="13"/>
      <w:r>
        <w:rPr>
          <w:color w:val="auto"/>
          <w:highlight w:val="none"/>
        </w:rPr>
        <w:t xml:space="preserve"> </w:t>
      </w:r>
    </w:p>
    <w:p>
      <w:pPr>
        <w:ind w:firstLine="420"/>
        <w:rPr>
          <w:color w:val="auto"/>
          <w:highlight w:val="none"/>
        </w:rPr>
      </w:pPr>
      <w:r>
        <w:rPr>
          <w:rFonts w:hint="eastAsia"/>
          <w:color w:val="auto"/>
          <w:highlight w:val="none"/>
        </w:rPr>
        <w:t>本标项(否)接受联合体投标。</w:t>
      </w:r>
    </w:p>
    <w:p>
      <w:pPr>
        <w:ind w:firstLine="420"/>
        <w:rPr>
          <w:rFonts w:hint="eastAsia"/>
          <w:color w:val="auto"/>
          <w:highlight w:val="none"/>
        </w:rPr>
      </w:pPr>
      <w:r>
        <w:rPr>
          <w:rFonts w:hint="eastAsia"/>
          <w:color w:val="auto"/>
          <w:highlight w:val="none"/>
        </w:rPr>
        <w:t>备注：</w:t>
      </w:r>
    </w:p>
    <w:p>
      <w:pPr>
        <w:pStyle w:val="32"/>
        <w:rPr>
          <w:highlight w:val="none"/>
        </w:rPr>
      </w:pPr>
    </w:p>
    <w:p>
      <w:pPr>
        <w:spacing w:line="412" w:lineRule="exact"/>
        <w:ind w:firstLine="0" w:firstLineChars="0"/>
        <w:rPr>
          <w:b/>
          <w:highlight w:val="none"/>
        </w:rPr>
      </w:pPr>
      <w:bookmarkStart w:id="14" w:name="_Toc35393622"/>
      <w:bookmarkStart w:id="15" w:name="_Toc35393791"/>
      <w:bookmarkStart w:id="16" w:name="_Toc28359080"/>
      <w:bookmarkStart w:id="17" w:name="_Toc28359003"/>
      <w:r>
        <w:rPr>
          <w:rFonts w:hint="eastAsia"/>
          <w:b/>
          <w:highlight w:val="none"/>
        </w:rPr>
        <w:t>二、申请人的资格要求：</w:t>
      </w:r>
      <w:bookmarkEnd w:id="14"/>
      <w:bookmarkEnd w:id="15"/>
      <w:bookmarkEnd w:id="16"/>
      <w:bookmarkEnd w:id="17"/>
      <w:bookmarkStart w:id="18" w:name="_Toc28359081"/>
      <w:bookmarkStart w:id="19" w:name="_Toc35393623"/>
      <w:bookmarkStart w:id="20" w:name="_Toc28359004"/>
      <w:bookmarkStart w:id="21" w:name="_Toc35393792"/>
    </w:p>
    <w:p>
      <w:pPr>
        <w:spacing w:line="412" w:lineRule="exact"/>
        <w:ind w:firstLine="420"/>
        <w:rPr>
          <w:b/>
          <w:highlight w:val="none"/>
        </w:rPr>
      </w:pPr>
      <w:r>
        <w:rPr>
          <w:rFonts w:hint="eastAsia"/>
          <w:highlight w:val="none"/>
        </w:rPr>
        <w:t>1.满足《中华人民共和国政府采购法》第二十二条规定；</w:t>
      </w:r>
    </w:p>
    <w:p>
      <w:pPr>
        <w:spacing w:line="412" w:lineRule="exact"/>
        <w:ind w:firstLine="420"/>
        <w:rPr>
          <w:highlight w:val="none"/>
        </w:rPr>
      </w:pPr>
      <w:r>
        <w:rPr>
          <w:rFonts w:hint="eastAsia"/>
          <w:highlight w:val="none"/>
        </w:rPr>
        <w:t>2.落实政府采购政策需满足的资格要求：无</w:t>
      </w:r>
    </w:p>
    <w:p>
      <w:pPr>
        <w:spacing w:line="412" w:lineRule="exact"/>
        <w:ind w:firstLine="420"/>
        <w:rPr>
          <w:highlight w:val="none"/>
        </w:rPr>
      </w:pPr>
      <w:r>
        <w:rPr>
          <w:rFonts w:hint="eastAsia"/>
          <w:highlight w:val="none"/>
        </w:rPr>
        <w:t>3.本项目的特定资格要求：无</w:t>
      </w:r>
    </w:p>
    <w:p>
      <w:pPr>
        <w:spacing w:line="412" w:lineRule="exact"/>
        <w:ind w:firstLine="0" w:firstLineChars="0"/>
        <w:rPr>
          <w:b/>
          <w:highlight w:val="none"/>
        </w:rPr>
      </w:pPr>
      <w:r>
        <w:rPr>
          <w:rFonts w:hint="eastAsia"/>
          <w:b/>
          <w:highlight w:val="none"/>
        </w:rPr>
        <w:t>三、获取招标文件</w:t>
      </w:r>
      <w:bookmarkEnd w:id="18"/>
      <w:bookmarkEnd w:id="19"/>
      <w:bookmarkEnd w:id="20"/>
      <w:bookmarkEnd w:id="21"/>
    </w:p>
    <w:p>
      <w:pPr>
        <w:spacing w:line="412" w:lineRule="exact"/>
        <w:ind w:firstLine="420"/>
        <w:jc w:val="left"/>
        <w:rPr>
          <w:highlight w:val="none"/>
        </w:rPr>
      </w:pPr>
      <w:bookmarkStart w:id="22" w:name="_Toc38370141"/>
      <w:r>
        <w:rPr>
          <w:rFonts w:hint="eastAsia"/>
          <w:highlight w:val="none"/>
        </w:rPr>
        <w:t>时间：2025年</w:t>
      </w:r>
      <w:r>
        <w:rPr>
          <w:rFonts w:hint="eastAsia"/>
          <w:highlight w:val="none"/>
          <w:lang w:eastAsia="zh-CN"/>
        </w:rPr>
        <w:t>1</w:t>
      </w:r>
      <w:r>
        <w:rPr>
          <w:rFonts w:hint="eastAsia"/>
          <w:highlight w:val="none"/>
          <w:lang w:val="en-US" w:eastAsia="zh-CN"/>
        </w:rPr>
        <w:t>2</w:t>
      </w:r>
      <w:r>
        <w:rPr>
          <w:rFonts w:hint="eastAsia"/>
          <w:highlight w:val="none"/>
          <w:lang w:eastAsia="zh-CN"/>
        </w:rPr>
        <w:t>月</w:t>
      </w:r>
      <w:r>
        <w:rPr>
          <w:rFonts w:hint="eastAsia"/>
          <w:highlight w:val="none"/>
          <w:lang w:val="en-US" w:eastAsia="zh-CN"/>
        </w:rPr>
        <w:t>1</w:t>
      </w:r>
      <w:r>
        <w:rPr>
          <w:rFonts w:hint="eastAsia"/>
          <w:highlight w:val="none"/>
        </w:rPr>
        <w:t>日至2025年</w:t>
      </w:r>
      <w:r>
        <w:rPr>
          <w:rFonts w:hint="eastAsia"/>
          <w:highlight w:val="none"/>
          <w:lang w:val="en-US" w:eastAsia="zh-CN"/>
        </w:rPr>
        <w:t>12月8</w:t>
      </w:r>
      <w:r>
        <w:rPr>
          <w:rFonts w:hint="eastAsia"/>
          <w:highlight w:val="none"/>
        </w:rPr>
        <w:t>日 ，每天上午00:00至12:00，下午12:00至23:59（北京时间，法定节假日除外）</w:t>
      </w:r>
    </w:p>
    <w:p>
      <w:pPr>
        <w:spacing w:line="412" w:lineRule="exact"/>
        <w:ind w:firstLine="420"/>
        <w:rPr>
          <w:highlight w:val="none"/>
        </w:rPr>
      </w:pPr>
      <w:r>
        <w:rPr>
          <w:rFonts w:hint="eastAsia"/>
          <w:highlight w:val="none"/>
        </w:rPr>
        <w:t>地点(网址</w:t>
      </w:r>
      <w:r>
        <w:rPr>
          <w:highlight w:val="none"/>
        </w:rPr>
        <w:t>)</w:t>
      </w:r>
      <w:r>
        <w:rPr>
          <w:rFonts w:hint="eastAsia"/>
          <w:highlight w:val="none"/>
        </w:rPr>
        <w:t>：</w:t>
      </w:r>
      <w:bookmarkStart w:id="23" w:name="_Hlk160013661"/>
      <w:bookmarkStart w:id="24" w:name="OLE_LINK2"/>
      <w:r>
        <w:rPr>
          <w:rFonts w:hint="eastAsia"/>
          <w:highlight w:val="none"/>
        </w:rPr>
        <w:t>广西政府采购云平台</w:t>
      </w:r>
      <w:bookmarkEnd w:id="23"/>
      <w:r>
        <w:rPr>
          <w:rFonts w:hint="eastAsia"/>
          <w:highlight w:val="none"/>
        </w:rPr>
        <w:t>（</w:t>
      </w:r>
      <w:r>
        <w:rPr>
          <w:highlight w:val="none"/>
        </w:rPr>
        <w:t>https://www.gcy.zfcg.gxzf.gov.cn/</w:t>
      </w:r>
      <w:r>
        <w:rPr>
          <w:rFonts w:hint="eastAsia"/>
          <w:highlight w:val="none"/>
        </w:rPr>
        <w:t>）</w:t>
      </w:r>
      <w:bookmarkEnd w:id="24"/>
    </w:p>
    <w:p>
      <w:pPr>
        <w:spacing w:line="412" w:lineRule="exact"/>
        <w:ind w:firstLine="420"/>
        <w:rPr>
          <w:highlight w:val="none"/>
        </w:rPr>
      </w:pPr>
      <w:r>
        <w:rPr>
          <w:rFonts w:hint="eastAsia"/>
          <w:highlight w:val="none"/>
        </w:rPr>
        <w:t>方式：</w:t>
      </w:r>
      <w:bookmarkStart w:id="25" w:name="OLE_LINK3"/>
      <w:r>
        <w:rPr>
          <w:rFonts w:hint="eastAsia"/>
          <w:highlight w:val="none"/>
        </w:rPr>
        <w:t>供应商登录广西政府采购云平台(以下称“政采云平台”</w:t>
      </w:r>
      <w:r>
        <w:rPr>
          <w:highlight w:val="none"/>
        </w:rPr>
        <w:t>)</w:t>
      </w:r>
      <w:r>
        <w:rPr>
          <w:rFonts w:hint="eastAsia"/>
          <w:highlight w:val="none"/>
        </w:rPr>
        <w:t>在线获取招标文件（进入“项目采购”应用选择项目，获取招标文件）</w:t>
      </w:r>
      <w:bookmarkEnd w:id="25"/>
    </w:p>
    <w:p>
      <w:pPr>
        <w:spacing w:line="412" w:lineRule="exact"/>
        <w:ind w:firstLine="420"/>
        <w:rPr>
          <w:highlight w:val="none"/>
        </w:rPr>
      </w:pPr>
      <w:r>
        <w:rPr>
          <w:rFonts w:hint="eastAsia"/>
          <w:highlight w:val="none"/>
        </w:rPr>
        <w:t>售价(元</w:t>
      </w:r>
      <w:r>
        <w:rPr>
          <w:highlight w:val="none"/>
        </w:rPr>
        <w:t>)</w:t>
      </w:r>
      <w:r>
        <w:rPr>
          <w:rFonts w:hint="eastAsia"/>
          <w:highlight w:val="none"/>
        </w:rPr>
        <w:t xml:space="preserve">：0 </w:t>
      </w:r>
    </w:p>
    <w:p>
      <w:pPr>
        <w:spacing w:line="412" w:lineRule="exact"/>
        <w:ind w:firstLine="0" w:firstLineChars="0"/>
        <w:rPr>
          <w:b/>
          <w:highlight w:val="none"/>
        </w:rPr>
      </w:pPr>
      <w:r>
        <w:rPr>
          <w:rFonts w:hint="eastAsia"/>
          <w:b/>
          <w:bCs/>
          <w:highlight w:val="none"/>
        </w:rPr>
        <w:t>四、</w:t>
      </w:r>
      <w:bookmarkEnd w:id="22"/>
      <w:bookmarkStart w:id="26" w:name="_Toc28359005"/>
      <w:bookmarkStart w:id="27" w:name="_Toc28359082"/>
      <w:bookmarkStart w:id="28" w:name="_Toc35393624"/>
      <w:bookmarkStart w:id="29" w:name="_Toc35393793"/>
      <w:r>
        <w:rPr>
          <w:rFonts w:hint="eastAsia"/>
          <w:b/>
          <w:highlight w:val="none"/>
        </w:rPr>
        <w:t>投标文件</w:t>
      </w:r>
      <w:bookmarkEnd w:id="26"/>
      <w:bookmarkEnd w:id="27"/>
      <w:r>
        <w:rPr>
          <w:rFonts w:hint="eastAsia"/>
          <w:b/>
          <w:highlight w:val="none"/>
        </w:rPr>
        <w:t>提交截止时间、开标时间和</w:t>
      </w:r>
      <w:bookmarkEnd w:id="28"/>
      <w:bookmarkEnd w:id="29"/>
      <w:r>
        <w:rPr>
          <w:rFonts w:hint="eastAsia"/>
          <w:b/>
          <w:highlight w:val="none"/>
        </w:rPr>
        <w:t>地点</w:t>
      </w:r>
    </w:p>
    <w:p>
      <w:pPr>
        <w:spacing w:line="412" w:lineRule="exact"/>
        <w:ind w:firstLine="420"/>
        <w:rPr>
          <w:highlight w:val="none"/>
        </w:rPr>
      </w:pPr>
      <w:r>
        <w:rPr>
          <w:rFonts w:hint="eastAsia"/>
          <w:highlight w:val="none"/>
        </w:rPr>
        <w:t>提交投标文件截止时间：2025年</w:t>
      </w:r>
      <w:r>
        <w:rPr>
          <w:rFonts w:hint="eastAsia"/>
          <w:highlight w:val="none"/>
          <w:lang w:val="en-US" w:eastAsia="zh-CN"/>
        </w:rPr>
        <w:t>12月25</w:t>
      </w:r>
      <w:r>
        <w:rPr>
          <w:rFonts w:hint="eastAsia"/>
          <w:highlight w:val="none"/>
        </w:rPr>
        <w:t>日09</w:t>
      </w:r>
      <w:r>
        <w:rPr>
          <w:highlight w:val="none"/>
        </w:rPr>
        <w:t>:</w:t>
      </w:r>
      <w:r>
        <w:rPr>
          <w:rFonts w:hint="eastAsia"/>
          <w:highlight w:val="none"/>
        </w:rPr>
        <w:t>3</w:t>
      </w:r>
      <w:r>
        <w:rPr>
          <w:highlight w:val="none"/>
        </w:rPr>
        <w:t>0</w:t>
      </w:r>
      <w:r>
        <w:rPr>
          <w:rFonts w:hint="eastAsia"/>
          <w:highlight w:val="none"/>
        </w:rPr>
        <w:t>（北京时间）</w:t>
      </w:r>
    </w:p>
    <w:p>
      <w:pPr>
        <w:spacing w:line="412" w:lineRule="exact"/>
        <w:ind w:firstLine="420"/>
        <w:rPr>
          <w:rFonts w:hint="eastAsia" w:ascii="宋体" w:hAnsi="宋体" w:cs="Courier New"/>
          <w:szCs w:val="21"/>
          <w:highlight w:val="none"/>
        </w:rPr>
      </w:pPr>
      <w:r>
        <w:rPr>
          <w:rFonts w:hint="eastAsia"/>
          <w:highlight w:val="none"/>
        </w:rPr>
        <w:t>投标地点(网址）：</w:t>
      </w:r>
      <w:bookmarkStart w:id="30" w:name="OLE_LINK4"/>
      <w:r>
        <w:rPr>
          <w:rFonts w:hint="eastAsia" w:ascii="宋体" w:hAnsi="宋体" w:cs="Courier New"/>
          <w:szCs w:val="21"/>
          <w:highlight w:val="none"/>
        </w:rPr>
        <w:t>请登录广西政府采购云平台投标客户端投标</w:t>
      </w:r>
      <w:bookmarkEnd w:id="30"/>
    </w:p>
    <w:p>
      <w:pPr>
        <w:spacing w:line="412" w:lineRule="exact"/>
        <w:ind w:firstLine="420"/>
        <w:rPr>
          <w:rFonts w:hint="eastAsia" w:ascii="宋体" w:hAnsi="宋体" w:cs="Courier New"/>
          <w:szCs w:val="21"/>
          <w:highlight w:val="none"/>
        </w:rPr>
      </w:pPr>
      <w:r>
        <w:rPr>
          <w:rFonts w:hint="eastAsia" w:ascii="宋体" w:hAnsi="宋体" w:cs="Courier New"/>
          <w:szCs w:val="21"/>
          <w:highlight w:val="none"/>
        </w:rPr>
        <w:t>开标时间：2025年</w:t>
      </w:r>
      <w:r>
        <w:rPr>
          <w:rFonts w:hint="eastAsia"/>
          <w:highlight w:val="none"/>
          <w:lang w:val="en-US" w:eastAsia="zh-CN"/>
        </w:rPr>
        <w:t>12月25</w:t>
      </w:r>
      <w:r>
        <w:rPr>
          <w:rFonts w:hint="eastAsia"/>
          <w:highlight w:val="none"/>
        </w:rPr>
        <w:t>日</w:t>
      </w:r>
      <w:r>
        <w:rPr>
          <w:rFonts w:hint="eastAsia" w:ascii="宋体" w:hAnsi="宋体" w:cs="Courier New"/>
          <w:szCs w:val="21"/>
          <w:highlight w:val="none"/>
        </w:rPr>
        <w:t>0</w:t>
      </w:r>
      <w:r>
        <w:rPr>
          <w:rFonts w:hint="eastAsia"/>
          <w:highlight w:val="none"/>
        </w:rPr>
        <w:t>9</w:t>
      </w:r>
      <w:r>
        <w:rPr>
          <w:highlight w:val="none"/>
        </w:rPr>
        <w:t>:</w:t>
      </w:r>
      <w:r>
        <w:rPr>
          <w:rFonts w:hint="eastAsia"/>
          <w:highlight w:val="none"/>
        </w:rPr>
        <w:t>3</w:t>
      </w:r>
      <w:r>
        <w:rPr>
          <w:highlight w:val="none"/>
        </w:rPr>
        <w:t>0</w:t>
      </w:r>
      <w:r>
        <w:rPr>
          <w:rFonts w:hint="eastAsia" w:ascii="宋体" w:hAnsi="宋体" w:cs="Courier New"/>
          <w:szCs w:val="21"/>
          <w:highlight w:val="none"/>
        </w:rPr>
        <w:t>（北京时间）</w:t>
      </w:r>
    </w:p>
    <w:p>
      <w:pPr>
        <w:spacing w:line="412" w:lineRule="exact"/>
        <w:ind w:firstLine="420"/>
        <w:rPr>
          <w:rFonts w:hint="eastAsia" w:ascii="宋体" w:hAnsi="宋体" w:cs="Courier New"/>
          <w:szCs w:val="21"/>
          <w:highlight w:val="none"/>
        </w:rPr>
      </w:pPr>
      <w:r>
        <w:rPr>
          <w:rFonts w:hint="eastAsia" w:ascii="宋体" w:hAnsi="宋体" w:cs="Courier New"/>
          <w:szCs w:val="21"/>
          <w:highlight w:val="none"/>
        </w:rPr>
        <w:t>开标地点：</w:t>
      </w:r>
      <w:bookmarkStart w:id="31" w:name="_Toc35393794"/>
      <w:bookmarkStart w:id="32" w:name="_Toc28359084"/>
      <w:bookmarkStart w:id="33" w:name="_Toc35393625"/>
      <w:bookmarkStart w:id="34" w:name="_Toc28359007"/>
      <w:r>
        <w:rPr>
          <w:rFonts w:hint="eastAsia" w:ascii="宋体" w:hAnsi="宋体" w:cs="Courier New"/>
          <w:szCs w:val="21"/>
          <w:highlight w:val="none"/>
        </w:rPr>
        <w:t>广西钦州市金海湾东大街8号市政务服务中心三楼开标室</w:t>
      </w:r>
    </w:p>
    <w:p>
      <w:pPr>
        <w:spacing w:line="412" w:lineRule="exact"/>
        <w:ind w:firstLine="0" w:firstLineChars="0"/>
        <w:rPr>
          <w:b/>
          <w:highlight w:val="none"/>
        </w:rPr>
      </w:pPr>
      <w:r>
        <w:rPr>
          <w:rFonts w:hint="eastAsia"/>
          <w:b/>
          <w:highlight w:val="none"/>
        </w:rPr>
        <w:t>五、公告期限</w:t>
      </w:r>
      <w:bookmarkEnd w:id="31"/>
      <w:bookmarkEnd w:id="32"/>
      <w:bookmarkEnd w:id="33"/>
      <w:bookmarkEnd w:id="34"/>
    </w:p>
    <w:p>
      <w:pPr>
        <w:spacing w:line="412" w:lineRule="exact"/>
        <w:ind w:firstLine="420"/>
        <w:rPr>
          <w:highlight w:val="none"/>
        </w:rPr>
      </w:pPr>
      <w:r>
        <w:rPr>
          <w:rFonts w:hint="eastAsia"/>
          <w:highlight w:val="none"/>
        </w:rPr>
        <w:t>自本公告发布之日起5个工作日。</w:t>
      </w:r>
    </w:p>
    <w:p>
      <w:pPr>
        <w:spacing w:line="412" w:lineRule="exact"/>
        <w:ind w:firstLine="0" w:firstLineChars="0"/>
        <w:rPr>
          <w:b/>
          <w:highlight w:val="none"/>
        </w:rPr>
      </w:pPr>
      <w:bookmarkStart w:id="35" w:name="_Toc35393627"/>
      <w:bookmarkStart w:id="36" w:name="_Toc28359085"/>
      <w:bookmarkStart w:id="37" w:name="_Toc35393796"/>
      <w:bookmarkStart w:id="38" w:name="_Toc28359008"/>
      <w:r>
        <w:rPr>
          <w:rFonts w:hint="eastAsia"/>
          <w:b/>
          <w:highlight w:val="none"/>
        </w:rPr>
        <w:t>六、其他补充事宜</w:t>
      </w:r>
    </w:p>
    <w:p>
      <w:pPr>
        <w:spacing w:line="412" w:lineRule="exact"/>
        <w:ind w:firstLine="420"/>
        <w:rPr>
          <w:highlight w:val="none"/>
        </w:rPr>
      </w:pPr>
      <w:r>
        <w:rPr>
          <w:rFonts w:hint="eastAsia" w:ascii="宋体" w:hAnsi="宋体"/>
          <w:highlight w:val="none"/>
        </w:rPr>
        <w:t>1.</w:t>
      </w:r>
      <w:r>
        <w:rPr>
          <w:rFonts w:hint="eastAsia"/>
          <w:bCs/>
          <w:highlight w:val="none"/>
        </w:rPr>
        <w:t>本项目需落实的政府采购政策</w:t>
      </w:r>
      <w:r>
        <w:rPr>
          <w:rFonts w:hint="eastAsia"/>
          <w:b/>
          <w:highlight w:val="none"/>
        </w:rPr>
        <w:t>：</w:t>
      </w:r>
    </w:p>
    <w:p>
      <w:pPr>
        <w:spacing w:line="412" w:lineRule="exact"/>
        <w:ind w:firstLine="420"/>
        <w:rPr>
          <w:highlight w:val="none"/>
        </w:rPr>
      </w:pPr>
      <w:r>
        <w:rPr>
          <w:rFonts w:hint="eastAsia"/>
          <w:highlight w:val="none"/>
        </w:rPr>
        <w:t>(1)财政部 工业和信息化部关于印发《政府采购促进中小企业发展管理办法》的通知(财库﹝2020﹞46号)</w:t>
      </w:r>
    </w:p>
    <w:p>
      <w:pPr>
        <w:spacing w:line="412" w:lineRule="exact"/>
        <w:ind w:firstLine="420"/>
        <w:rPr>
          <w:highlight w:val="none"/>
        </w:rPr>
      </w:pPr>
      <w:r>
        <w:rPr>
          <w:rFonts w:hint="eastAsia"/>
          <w:highlight w:val="none"/>
        </w:rPr>
        <w:t>(2)财政部 司法部关于政府采购支持监狱企业发展有关问题的通知 (财库﹝2014﹞68号)</w:t>
      </w:r>
    </w:p>
    <w:p>
      <w:pPr>
        <w:spacing w:line="412" w:lineRule="exact"/>
        <w:ind w:firstLine="420"/>
        <w:rPr>
          <w:highlight w:val="none"/>
        </w:rPr>
      </w:pPr>
      <w:r>
        <w:rPr>
          <w:rFonts w:hint="eastAsia"/>
          <w:highlight w:val="none"/>
        </w:rPr>
        <w:t>(3)财政部 民政部 中国残疾人联合会关于促进残疾人就业政府采购政策的通知 (财库</w:t>
      </w:r>
      <w:bookmarkStart w:id="39" w:name="_Hlk150507772"/>
      <w:r>
        <w:rPr>
          <w:rFonts w:hint="eastAsia"/>
          <w:highlight w:val="none"/>
        </w:rPr>
        <w:t>﹝2017﹞</w:t>
      </w:r>
      <w:bookmarkEnd w:id="39"/>
      <w:r>
        <w:rPr>
          <w:rFonts w:hint="eastAsia"/>
          <w:highlight w:val="none"/>
        </w:rPr>
        <w:t>141号)</w:t>
      </w:r>
    </w:p>
    <w:p>
      <w:pPr>
        <w:spacing w:line="412" w:lineRule="exact"/>
        <w:ind w:firstLine="420"/>
        <w:rPr>
          <w:highlight w:val="none"/>
        </w:rPr>
      </w:pPr>
      <w:r>
        <w:rPr>
          <w:rFonts w:hint="eastAsia"/>
          <w:highlight w:val="none"/>
        </w:rPr>
        <w:t>(4)财政部 发展改革委 生态环境部 市场监管总局关于调整优化节能产品、环境标志产品政府采购执行机制的通知（财库〔2019〕9号）</w:t>
      </w:r>
    </w:p>
    <w:p>
      <w:pPr>
        <w:spacing w:line="412" w:lineRule="exact"/>
        <w:ind w:firstLine="420"/>
        <w:rPr>
          <w:rFonts w:hint="eastAsia"/>
          <w:highlight w:val="none"/>
        </w:rPr>
      </w:pPr>
      <w:r>
        <w:rPr>
          <w:rFonts w:hint="eastAsia"/>
          <w:highlight w:val="none"/>
        </w:rPr>
        <w:t>(5) 财政部 发展改革委 关于印发节能产品政府采购品目清单的通知（财库〔2019〕19号）</w:t>
      </w:r>
    </w:p>
    <w:p>
      <w:pPr>
        <w:pStyle w:val="32"/>
        <w:ind w:left="0" w:leftChars="0" w:firstLine="420" w:firstLineChars="200"/>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（6）</w:t>
      </w:r>
      <w:r>
        <w:rPr>
          <w:rFonts w:hint="eastAsia" w:cs="Times New Roman"/>
          <w:kern w:val="2"/>
          <w:sz w:val="21"/>
          <w:szCs w:val="24"/>
          <w:highlight w:val="none"/>
          <w:lang w:val="en-US" w:eastAsia="zh-CN" w:bidi="ar-SA"/>
        </w:rPr>
        <w:t xml:space="preserve">国家市场监督管理总局 </w:t>
      </w:r>
      <w:r>
        <w:rPr>
          <w:rFonts w:hint="eastAsia" w:ascii="Times New Roman" w:hAnsi="Times New Roman" w:eastAsia="宋体" w:cs="Times New Roman"/>
          <w:kern w:val="2"/>
          <w:sz w:val="21"/>
          <w:szCs w:val="24"/>
          <w:highlight w:val="none"/>
          <w:lang w:val="en-US" w:eastAsia="zh-CN" w:bidi="ar-SA"/>
        </w:rPr>
        <w:t>《强制性产品认证管理规定》</w:t>
      </w:r>
    </w:p>
    <w:p>
      <w:pPr>
        <w:spacing w:line="412" w:lineRule="exact"/>
        <w:ind w:firstLine="420"/>
        <w:rPr>
          <w:highlight w:val="none"/>
        </w:rPr>
      </w:pPr>
      <w:bookmarkStart w:id="40" w:name="_Hlk91598380"/>
      <w:r>
        <w:rPr>
          <w:highlight w:val="none"/>
        </w:rPr>
        <w:t>2.</w:t>
      </w:r>
      <w:r>
        <w:rPr>
          <w:rFonts w:hint="eastAsia"/>
          <w:highlight w:val="none"/>
        </w:rPr>
        <w:t>投标保证金：</w:t>
      </w:r>
      <w:r>
        <w:rPr>
          <w:rStyle w:val="58"/>
          <w:rFonts w:hint="eastAsia" w:ascii="宋体" w:hAnsi="宋体" w:cs="宋体"/>
          <w:color w:val="auto"/>
          <w:kern w:val="0"/>
          <w:szCs w:val="21"/>
          <w:highlight w:val="none"/>
          <w:u w:val="none"/>
        </w:rPr>
        <w:t>标项一：</w:t>
      </w:r>
      <w:bookmarkStart w:id="41" w:name="OLE_LINK14"/>
      <w:r>
        <w:rPr>
          <w:rStyle w:val="58"/>
          <w:rFonts w:hint="eastAsia" w:ascii="宋体" w:hAnsi="宋体" w:cs="宋体"/>
          <w:color w:val="auto"/>
          <w:kern w:val="0"/>
          <w:szCs w:val="21"/>
          <w:highlight w:val="none"/>
          <w:u w:val="none"/>
        </w:rPr>
        <w:t>壹万玖仟捌佰元整(￥</w:t>
      </w:r>
      <w:bookmarkStart w:id="42" w:name="OLE_LINK15"/>
      <w:r>
        <w:rPr>
          <w:rStyle w:val="58"/>
          <w:rFonts w:hint="eastAsia" w:ascii="宋体" w:hAnsi="宋体" w:cs="宋体"/>
          <w:color w:val="auto"/>
          <w:kern w:val="0"/>
          <w:szCs w:val="21"/>
          <w:highlight w:val="none"/>
          <w:u w:val="none"/>
          <w:lang w:val="en-US" w:eastAsia="zh-CN"/>
        </w:rPr>
        <w:t>19,800</w:t>
      </w:r>
      <w:r>
        <w:rPr>
          <w:rStyle w:val="58"/>
          <w:rFonts w:hint="eastAsia" w:ascii="宋体" w:hAnsi="宋体" w:cs="宋体"/>
          <w:color w:val="auto"/>
          <w:kern w:val="0"/>
          <w:szCs w:val="21"/>
          <w:highlight w:val="none"/>
          <w:u w:val="none"/>
        </w:rPr>
        <w:t>.00</w:t>
      </w:r>
      <w:bookmarkEnd w:id="42"/>
      <w:r>
        <w:rPr>
          <w:rStyle w:val="58"/>
          <w:rFonts w:hint="eastAsia" w:ascii="宋体" w:hAnsi="宋体" w:cs="宋体"/>
          <w:color w:val="auto"/>
          <w:kern w:val="0"/>
          <w:szCs w:val="21"/>
          <w:highlight w:val="none"/>
          <w:u w:val="none"/>
        </w:rPr>
        <w:t>)</w:t>
      </w:r>
      <w:bookmarkEnd w:id="41"/>
      <w:r>
        <w:rPr>
          <w:rStyle w:val="58"/>
          <w:rFonts w:hint="eastAsia" w:ascii="宋体" w:hAnsi="宋体" w:cs="宋体"/>
          <w:color w:val="auto"/>
          <w:kern w:val="0"/>
          <w:szCs w:val="21"/>
          <w:highlight w:val="none"/>
          <w:u w:val="none"/>
        </w:rPr>
        <w:t>、标项二：贰万零肆佰伍拾元整(￥</w:t>
      </w:r>
      <w:bookmarkStart w:id="43" w:name="OLE_LINK25"/>
      <w:r>
        <w:rPr>
          <w:rStyle w:val="58"/>
          <w:rFonts w:hint="eastAsia" w:ascii="宋体" w:hAnsi="宋体" w:cs="宋体"/>
          <w:color w:val="auto"/>
          <w:kern w:val="0"/>
          <w:szCs w:val="21"/>
          <w:highlight w:val="none"/>
          <w:u w:val="none"/>
          <w:lang w:val="en-US" w:eastAsia="zh-CN"/>
        </w:rPr>
        <w:t>20,450</w:t>
      </w:r>
      <w:r>
        <w:rPr>
          <w:rStyle w:val="58"/>
          <w:rFonts w:hint="eastAsia" w:ascii="宋体" w:hAnsi="宋体" w:cs="宋体"/>
          <w:color w:val="auto"/>
          <w:kern w:val="0"/>
          <w:szCs w:val="21"/>
          <w:highlight w:val="none"/>
          <w:u w:val="none"/>
        </w:rPr>
        <w:t>.00</w:t>
      </w:r>
      <w:bookmarkEnd w:id="43"/>
      <w:r>
        <w:rPr>
          <w:rStyle w:val="58"/>
          <w:rFonts w:hint="eastAsia" w:ascii="宋体" w:hAnsi="宋体" w:cs="宋体"/>
          <w:color w:val="auto"/>
          <w:kern w:val="0"/>
          <w:szCs w:val="21"/>
          <w:highlight w:val="none"/>
          <w:u w:val="none"/>
        </w:rPr>
        <w:t>)</w:t>
      </w:r>
    </w:p>
    <w:p>
      <w:pPr>
        <w:ind w:firstLine="420"/>
        <w:rPr>
          <w:highlight w:val="none"/>
        </w:rPr>
      </w:pPr>
      <w:r>
        <w:rPr>
          <w:rFonts w:hint="eastAsia"/>
          <w:highlight w:val="none"/>
        </w:rPr>
        <w:t>提交形式</w:t>
      </w:r>
      <w:r>
        <w:rPr>
          <w:highlight w:val="none"/>
        </w:rPr>
        <w:t>:</w:t>
      </w:r>
      <w:r>
        <w:rPr>
          <w:rFonts w:hint="eastAsia"/>
          <w:highlight w:val="none"/>
        </w:rPr>
        <w:t>以支票、汇票、本票、网上银行支付或者金融机构、担保机构出具的保函等非现金形式提交。</w:t>
      </w:r>
    </w:p>
    <w:p>
      <w:pPr>
        <w:ind w:firstLine="420"/>
        <w:rPr>
          <w:b/>
          <w:highlight w:val="none"/>
        </w:rPr>
      </w:pPr>
      <w:bookmarkStart w:id="44" w:name="_Hlk91771226"/>
      <w:r>
        <w:rPr>
          <w:rFonts w:hint="eastAsia"/>
          <w:highlight w:val="none"/>
        </w:rPr>
        <w:t>以支票、汇票、本票、保函等形式提交保证金的，投标人必须将票据、保函等原件于投标文件提交截止时间前递交至本中心财务室（</w:t>
      </w:r>
      <w:r>
        <w:rPr>
          <w:rFonts w:hint="eastAsia" w:ascii="宋体" w:hAnsi="宋体" w:cs="宋体"/>
          <w:bCs/>
          <w:kern w:val="0"/>
          <w:szCs w:val="21"/>
          <w:highlight w:val="none"/>
        </w:rPr>
        <w:t>地址:广西钦州市钦南区水东街区金海湾东大街8号市政务服务中心二楼市采购中心财务室，</w:t>
      </w:r>
      <w:r>
        <w:rPr>
          <w:rFonts w:hint="eastAsia"/>
          <w:highlight w:val="none"/>
        </w:rPr>
        <w:t>联系方式</w:t>
      </w:r>
      <w:r>
        <w:rPr>
          <w:highlight w:val="none"/>
        </w:rPr>
        <w:t>:0777-2886026</w:t>
      </w:r>
      <w:r>
        <w:rPr>
          <w:rFonts w:hint="eastAsia"/>
          <w:highlight w:val="none"/>
        </w:rPr>
        <w:t>）。</w:t>
      </w:r>
    </w:p>
    <w:bookmarkEnd w:id="44"/>
    <w:p>
      <w:pPr>
        <w:ind w:firstLine="420"/>
        <w:rPr>
          <w:highlight w:val="none"/>
        </w:rPr>
      </w:pPr>
      <w:r>
        <w:rPr>
          <w:rFonts w:hint="eastAsia"/>
          <w:highlight w:val="none"/>
        </w:rPr>
        <w:t>网上银行支付形式提交的，投标人必须于投标文件递交截止时间前从投标人账户缴存至本中心银行账户（以到账时间为准）。</w:t>
      </w:r>
    </w:p>
    <w:p>
      <w:pPr>
        <w:ind w:firstLine="420"/>
        <w:rPr>
          <w:highlight w:val="none"/>
        </w:rPr>
      </w:pPr>
      <w:r>
        <w:rPr>
          <w:rFonts w:hint="eastAsia"/>
          <w:highlight w:val="none"/>
        </w:rPr>
        <w:t>本中心银行账户：</w:t>
      </w:r>
    </w:p>
    <w:p>
      <w:pPr>
        <w:ind w:firstLine="420"/>
        <w:rPr>
          <w:highlight w:val="none"/>
        </w:rPr>
      </w:pPr>
      <w:r>
        <w:rPr>
          <w:rFonts w:hint="eastAsia"/>
          <w:highlight w:val="none"/>
        </w:rPr>
        <w:t>开户名称</w:t>
      </w:r>
      <w:r>
        <w:rPr>
          <w:highlight w:val="none"/>
        </w:rPr>
        <w:t>:</w:t>
      </w:r>
      <w:r>
        <w:rPr>
          <w:rFonts w:hint="eastAsia"/>
          <w:highlight w:val="none"/>
        </w:rPr>
        <w:t>钦州市政府采购中心</w:t>
      </w:r>
    </w:p>
    <w:p>
      <w:pPr>
        <w:ind w:firstLine="420"/>
        <w:rPr>
          <w:highlight w:val="none"/>
        </w:rPr>
      </w:pPr>
      <w:r>
        <w:rPr>
          <w:rFonts w:hint="eastAsia"/>
          <w:highlight w:val="none"/>
        </w:rPr>
        <w:t>开户银行</w:t>
      </w:r>
      <w:r>
        <w:rPr>
          <w:highlight w:val="none"/>
        </w:rPr>
        <w:t>:</w:t>
      </w:r>
      <w:r>
        <w:rPr>
          <w:rFonts w:hint="eastAsia"/>
          <w:highlight w:val="none"/>
        </w:rPr>
        <w:t>中国工商银行股份有限公司钦州市永福东支行</w:t>
      </w:r>
    </w:p>
    <w:p>
      <w:pPr>
        <w:ind w:firstLine="420"/>
        <w:rPr>
          <w:highlight w:val="none"/>
        </w:rPr>
      </w:pPr>
      <w:r>
        <w:rPr>
          <w:rFonts w:hint="eastAsia"/>
          <w:highlight w:val="none"/>
        </w:rPr>
        <w:t>银行账号</w:t>
      </w:r>
      <w:r>
        <w:rPr>
          <w:highlight w:val="none"/>
        </w:rPr>
        <w:t>:2115591229100078724</w:t>
      </w:r>
    </w:p>
    <w:p>
      <w:pPr>
        <w:ind w:firstLine="420"/>
        <w:rPr>
          <w:highlight w:val="none"/>
        </w:rPr>
      </w:pPr>
      <w:r>
        <w:rPr>
          <w:rFonts w:hint="eastAsia"/>
          <w:highlight w:val="none"/>
        </w:rPr>
        <w:t>注：投标人无法选择以上开户银行的，请选择“中国工商银行股份有限公司钦州分行”进行缴存。</w:t>
      </w:r>
    </w:p>
    <w:p>
      <w:pPr>
        <w:spacing w:line="412" w:lineRule="exact"/>
        <w:ind w:firstLine="420"/>
        <w:rPr>
          <w:highlight w:val="none"/>
        </w:rPr>
      </w:pPr>
      <w:r>
        <w:rPr>
          <w:rFonts w:hint="eastAsia"/>
          <w:highlight w:val="none"/>
        </w:rPr>
        <w:t>3.全流程电子化</w:t>
      </w:r>
      <w:bookmarkEnd w:id="40"/>
      <w:r>
        <w:rPr>
          <w:rFonts w:hint="eastAsia"/>
          <w:highlight w:val="none"/>
        </w:rPr>
        <w:t>要求：</w:t>
      </w:r>
    </w:p>
    <w:p>
      <w:pPr>
        <w:spacing w:line="412" w:lineRule="exact"/>
        <w:ind w:firstLine="420"/>
        <w:rPr>
          <w:highlight w:val="none"/>
        </w:rPr>
      </w:pPr>
      <w:r>
        <w:rPr>
          <w:rFonts w:hint="eastAsia"/>
          <w:highlight w:val="none"/>
        </w:rPr>
        <w:t>本项目为全流程电子化项目，潜在投标人应做好参与全流程电子化交易的充分准备，熟悉掌握电子化采购项目操作指南(操作指南：政采云电子卖场首页右上角—服务中心—帮助文档—项目采购)，及时完成CA申领和绑定(操作指南：政采云电子卖场首页右上角—帮助文档—入驻与配置—CA管理；CA证书申领路径：政采云平台—我的工作台右上角—CA管理—CA证书申领)。因未注册入库、未办理CA数字证书、CA证书故障、操作不当等原因造成投标失败等后果由投标人承担。</w:t>
      </w:r>
    </w:p>
    <w:p>
      <w:pPr>
        <w:spacing w:line="412" w:lineRule="exact"/>
        <w:ind w:firstLine="420"/>
        <w:rPr>
          <w:highlight w:val="none"/>
        </w:rPr>
      </w:pPr>
      <w:r>
        <w:rPr>
          <w:highlight w:val="none"/>
        </w:rPr>
        <w:t>(1)</w:t>
      </w:r>
      <w:r>
        <w:rPr>
          <w:rFonts w:hint="eastAsia"/>
          <w:highlight w:val="none"/>
        </w:rPr>
        <w:t>依法获取招标文件：投标人须在获取招标文件时间内登录</w:t>
      </w:r>
      <w:r>
        <w:rPr>
          <w:highlight w:val="none"/>
        </w:rPr>
        <w:fldChar w:fldCharType="begin"/>
      </w:r>
      <w:r>
        <w:rPr>
          <w:highlight w:val="none"/>
        </w:rPr>
        <w:instrText xml:space="preserve"> </w:instrText>
      </w:r>
      <w:r>
        <w:rPr>
          <w:rFonts w:hint="eastAsia"/>
          <w:highlight w:val="none"/>
        </w:rPr>
        <w:instrText xml:space="preserve">HYPERLINK "https://www.zcygov.cn/"</w:instrText>
      </w:r>
      <w:r>
        <w:rPr>
          <w:highlight w:val="none"/>
        </w:rPr>
        <w:instrText xml:space="preserve"> </w:instrText>
      </w:r>
      <w:r>
        <w:rPr>
          <w:highlight w:val="none"/>
        </w:rPr>
        <w:fldChar w:fldCharType="separate"/>
      </w:r>
      <w:r>
        <w:rPr>
          <w:rStyle w:val="58"/>
          <w:rFonts w:hint="eastAsia"/>
          <w:color w:val="auto"/>
          <w:highlight w:val="none"/>
          <w:u w:val="none"/>
        </w:rPr>
        <w:t>政府采购云平台</w:t>
      </w:r>
      <w:r>
        <w:rPr>
          <w:highlight w:val="none"/>
        </w:rPr>
        <w:fldChar w:fldCharType="end"/>
      </w:r>
      <w:r>
        <w:rPr>
          <w:rFonts w:hint="eastAsia"/>
          <w:highlight w:val="none"/>
        </w:rPr>
        <w:t>申请下载招标文件才视作依法获取招标文件。</w:t>
      </w:r>
    </w:p>
    <w:p>
      <w:pPr>
        <w:spacing w:line="412" w:lineRule="exact"/>
        <w:ind w:firstLine="420"/>
        <w:rPr>
          <w:b/>
          <w:highlight w:val="none"/>
        </w:rPr>
      </w:pPr>
      <w:r>
        <w:rPr>
          <w:rFonts w:hint="eastAsia"/>
          <w:highlight w:val="none"/>
        </w:rPr>
        <w:t>(</w:t>
      </w:r>
      <w:r>
        <w:rPr>
          <w:highlight w:val="none"/>
        </w:rPr>
        <w:t>2)</w:t>
      </w:r>
      <w:r>
        <w:rPr>
          <w:rFonts w:hint="eastAsia"/>
          <w:highlight w:val="none"/>
        </w:rPr>
        <w:t>投标人应通过广西政府采购云平台客户端制作投标文件，投标人自行前往下载安装（</w:t>
      </w:r>
      <w:r>
        <w:rPr>
          <w:rFonts w:ascii="宋体" w:hAnsi="宋体"/>
          <w:highlight w:val="none"/>
        </w:rPr>
        <w:fldChar w:fldCharType="begin"/>
      </w:r>
      <w:r>
        <w:rPr>
          <w:rFonts w:ascii="宋体" w:hAnsi="宋体"/>
          <w:highlight w:val="none"/>
        </w:rPr>
        <w:instrText xml:space="preserve">HYPERLINK "https://sitecdn.zcycdn.com/zcy-client/bidding-client-new/official/guangxi/GuangXiSetup.exe"</w:instrText>
      </w:r>
      <w:r>
        <w:rPr>
          <w:rFonts w:ascii="宋体" w:hAnsi="宋体"/>
          <w:highlight w:val="none"/>
        </w:rPr>
        <w:fldChar w:fldCharType="separate"/>
      </w:r>
      <w:r>
        <w:rPr>
          <w:rStyle w:val="58"/>
          <w:rFonts w:hint="eastAsia" w:ascii="宋体" w:hAnsi="宋体"/>
          <w:color w:val="auto"/>
          <w:highlight w:val="none"/>
          <w:u w:val="none"/>
        </w:rPr>
        <w:t>客户端</w:t>
      </w:r>
      <w:bookmarkStart w:id="45" w:name="_Hlt153271920"/>
      <w:bookmarkStart w:id="46" w:name="_Hlt151995013"/>
      <w:bookmarkStart w:id="47" w:name="_Hlt151995012"/>
      <w:bookmarkStart w:id="48" w:name="_Hlt153271921"/>
      <w:r>
        <w:rPr>
          <w:rStyle w:val="58"/>
          <w:rFonts w:hint="eastAsia" w:ascii="宋体" w:hAnsi="宋体"/>
          <w:color w:val="auto"/>
          <w:highlight w:val="none"/>
          <w:u w:val="none"/>
        </w:rPr>
        <w:t>下</w:t>
      </w:r>
      <w:bookmarkEnd w:id="45"/>
      <w:bookmarkEnd w:id="46"/>
      <w:bookmarkEnd w:id="47"/>
      <w:bookmarkEnd w:id="48"/>
      <w:bookmarkStart w:id="49" w:name="_Hlt162274481"/>
      <w:bookmarkStart w:id="50" w:name="_Hlt153270545"/>
      <w:bookmarkStart w:id="51" w:name="_Hlt162274482"/>
      <w:bookmarkStart w:id="52" w:name="_Hlt153270544"/>
      <w:r>
        <w:rPr>
          <w:rStyle w:val="58"/>
          <w:rFonts w:hint="eastAsia" w:ascii="宋体" w:hAnsi="宋体"/>
          <w:color w:val="auto"/>
          <w:highlight w:val="none"/>
          <w:u w:val="none"/>
        </w:rPr>
        <w:t>载</w:t>
      </w:r>
      <w:bookmarkEnd w:id="49"/>
      <w:bookmarkEnd w:id="50"/>
      <w:bookmarkEnd w:id="51"/>
      <w:bookmarkEnd w:id="52"/>
      <w:r>
        <w:rPr>
          <w:rFonts w:ascii="宋体" w:hAnsi="宋体"/>
          <w:highlight w:val="none"/>
        </w:rPr>
        <w:fldChar w:fldCharType="end"/>
      </w:r>
      <w:r>
        <w:rPr>
          <w:rFonts w:hint="eastAsia"/>
          <w:highlight w:val="none"/>
        </w:rPr>
        <w:t>）。</w:t>
      </w:r>
    </w:p>
    <w:p>
      <w:pPr>
        <w:spacing w:line="412" w:lineRule="exact"/>
        <w:ind w:firstLine="420"/>
        <w:rPr>
          <w:highlight w:val="none"/>
        </w:rPr>
      </w:pPr>
      <w:r>
        <w:rPr>
          <w:rFonts w:hint="eastAsia"/>
          <w:highlight w:val="none"/>
        </w:rPr>
        <w:t>(</w:t>
      </w:r>
      <w:r>
        <w:rPr>
          <w:highlight w:val="none"/>
        </w:rPr>
        <w:t>3)</w:t>
      </w:r>
      <w:r>
        <w:rPr>
          <w:rFonts w:hint="eastAsia"/>
          <w:highlight w:val="none"/>
        </w:rPr>
        <w:t>投标人须按照招标文件和政府采购云平台的要求进行编制、上传、加密、提交、解密投标文件，投标文件在线提交截止时间后，政府采购云平台自动提取全部投标文件，各投标人须在提交截止时间后30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pPr>
        <w:spacing w:line="412" w:lineRule="exact"/>
        <w:ind w:firstLine="420"/>
        <w:rPr>
          <w:b/>
          <w:highlight w:val="none"/>
        </w:rPr>
      </w:pPr>
      <w:r>
        <w:rPr>
          <w:rFonts w:hint="eastAsia"/>
          <w:highlight w:val="none"/>
        </w:rPr>
        <w:t>(</w:t>
      </w:r>
      <w:r>
        <w:rPr>
          <w:highlight w:val="none"/>
        </w:rPr>
        <w:t>4)</w:t>
      </w:r>
      <w:r>
        <w:rPr>
          <w:rFonts w:hint="eastAsia"/>
          <w:highlight w:val="none"/>
        </w:rPr>
        <w:t>投标人法定代表人或委托代理人须按时登录</w:t>
      </w:r>
      <w:bookmarkStart w:id="53" w:name="_Hlk90367388"/>
      <w:r>
        <w:rPr>
          <w:rFonts w:hint="eastAsia" w:ascii="宋体" w:hAnsi="宋体" w:cs="Courier New"/>
          <w:szCs w:val="21"/>
          <w:highlight w:val="none"/>
        </w:rPr>
        <w:t>政采云远程开标大厅</w:t>
      </w:r>
      <w:bookmarkEnd w:id="53"/>
      <w:r>
        <w:rPr>
          <w:rFonts w:hint="eastAsia"/>
          <w:highlight w:val="none"/>
        </w:rPr>
        <w:t>，保持全程在线并关注开标评标进度，评标期间评标委员会提出澄清等要求时，投标人须在规定时间内进行应答，否则按招标文件或政采云平台的相关规定执行。</w:t>
      </w:r>
    </w:p>
    <w:p>
      <w:pPr>
        <w:spacing w:line="412" w:lineRule="exact"/>
        <w:ind w:firstLine="420"/>
        <w:rPr>
          <w:rFonts w:hint="eastAsia" w:hAnsi="宋体"/>
          <w:highlight w:val="none"/>
        </w:rPr>
      </w:pPr>
      <w:r>
        <w:rPr>
          <w:rFonts w:hint="eastAsia"/>
          <w:highlight w:val="none"/>
        </w:rPr>
        <w:t>(</w:t>
      </w:r>
      <w:r>
        <w:rPr>
          <w:highlight w:val="none"/>
        </w:rPr>
        <w:t>5)</w:t>
      </w:r>
      <w:r>
        <w:rPr>
          <w:rFonts w:hint="eastAsia"/>
          <w:highlight w:val="none"/>
        </w:rPr>
        <w:t>投标人参与投标过程中涉及政府采购云平台的问题，请咨询政采云</w:t>
      </w:r>
      <w:r>
        <w:rPr>
          <w:rFonts w:hint="eastAsia" w:hAnsi="宋体"/>
          <w:highlight w:val="none"/>
        </w:rPr>
        <w:t>技术支持热线：</w:t>
      </w:r>
      <w:r>
        <w:rPr>
          <w:rFonts w:hAnsi="宋体"/>
          <w:highlight w:val="none"/>
        </w:rPr>
        <w:t>95763</w:t>
      </w:r>
      <w:r>
        <w:rPr>
          <w:rFonts w:hint="eastAsia" w:hAnsi="宋体"/>
          <w:highlight w:val="none"/>
        </w:rPr>
        <w:t>。</w:t>
      </w:r>
    </w:p>
    <w:p>
      <w:pPr>
        <w:spacing w:line="412" w:lineRule="exact"/>
        <w:ind w:firstLine="420"/>
        <w:rPr>
          <w:rFonts w:hint="eastAsia" w:hAnsi="宋体"/>
          <w:highlight w:val="none"/>
        </w:rPr>
      </w:pPr>
      <w:r>
        <w:rPr>
          <w:rFonts w:hint="eastAsia" w:hAnsi="宋体"/>
          <w:highlight w:val="none"/>
        </w:rPr>
        <w:t>4</w:t>
      </w:r>
      <w:r>
        <w:rPr>
          <w:rFonts w:hAnsi="宋体"/>
          <w:highlight w:val="none"/>
        </w:rPr>
        <w:t>.</w:t>
      </w:r>
      <w:r>
        <w:rPr>
          <w:rFonts w:hint="eastAsia" w:hAnsi="宋体"/>
          <w:highlight w:val="none"/>
        </w:rPr>
        <w:t>查询媒体：</w:t>
      </w:r>
      <w:bookmarkStart w:id="54" w:name="_Hlk97804124"/>
      <w:r>
        <w:rPr>
          <w:rFonts w:hAnsi="宋体"/>
          <w:highlight w:val="none"/>
        </w:rPr>
        <w:fldChar w:fldCharType="begin"/>
      </w:r>
      <w:r>
        <w:rPr>
          <w:rFonts w:hAnsi="宋体"/>
          <w:highlight w:val="none"/>
        </w:rPr>
        <w:instrText xml:space="preserve">HYPERLINK "http://www.ccgp.gov.cn/"</w:instrText>
      </w:r>
      <w:r>
        <w:rPr>
          <w:rFonts w:hAnsi="宋体"/>
          <w:highlight w:val="none"/>
        </w:rPr>
        <w:fldChar w:fldCharType="separate"/>
      </w:r>
      <w:r>
        <w:rPr>
          <w:rStyle w:val="58"/>
          <w:rFonts w:hint="eastAsia" w:hAnsi="宋体"/>
          <w:color w:val="auto"/>
          <w:highlight w:val="none"/>
          <w:u w:val="none"/>
        </w:rPr>
        <w:t>中国政府</w:t>
      </w:r>
      <w:bookmarkStart w:id="55" w:name="_Hlt97804064"/>
      <w:bookmarkStart w:id="56" w:name="_Hlt97804063"/>
      <w:r>
        <w:rPr>
          <w:rStyle w:val="58"/>
          <w:rFonts w:hint="eastAsia" w:hAnsi="宋体"/>
          <w:color w:val="auto"/>
          <w:highlight w:val="none"/>
          <w:u w:val="none"/>
        </w:rPr>
        <w:t>采</w:t>
      </w:r>
      <w:bookmarkEnd w:id="55"/>
      <w:bookmarkEnd w:id="56"/>
      <w:r>
        <w:rPr>
          <w:rStyle w:val="58"/>
          <w:rFonts w:hint="eastAsia" w:hAnsi="宋体"/>
          <w:color w:val="auto"/>
          <w:highlight w:val="none"/>
          <w:u w:val="none"/>
        </w:rPr>
        <w:t>购</w:t>
      </w:r>
      <w:bookmarkStart w:id="57" w:name="_Hlt97804091"/>
      <w:bookmarkStart w:id="58" w:name="_Hlt97804090"/>
      <w:r>
        <w:rPr>
          <w:rStyle w:val="58"/>
          <w:rFonts w:hint="eastAsia" w:hAnsi="宋体"/>
          <w:color w:val="auto"/>
          <w:highlight w:val="none"/>
          <w:u w:val="none"/>
        </w:rPr>
        <w:t>网</w:t>
      </w:r>
      <w:bookmarkEnd w:id="57"/>
      <w:bookmarkEnd w:id="58"/>
      <w:r>
        <w:rPr>
          <w:rFonts w:hAnsi="宋体"/>
          <w:highlight w:val="none"/>
        </w:rPr>
        <w:fldChar w:fldCharType="end"/>
      </w:r>
      <w:r>
        <w:rPr>
          <w:rFonts w:hint="eastAsia" w:hAnsi="宋体"/>
          <w:highlight w:val="none"/>
        </w:rPr>
        <w:t>、</w:t>
      </w:r>
      <w:r>
        <w:rPr>
          <w:highlight w:val="none"/>
        </w:rPr>
        <w:fldChar w:fldCharType="begin"/>
      </w:r>
      <w:r>
        <w:rPr>
          <w:highlight w:val="none"/>
        </w:rPr>
        <w:instrText xml:space="preserve"> HYPERLINK "http://zfcg.gxzf.gov.cn/" </w:instrText>
      </w:r>
      <w:r>
        <w:rPr>
          <w:highlight w:val="none"/>
        </w:rPr>
        <w:fldChar w:fldCharType="separate"/>
      </w:r>
      <w:r>
        <w:rPr>
          <w:rFonts w:hint="eastAsia" w:hAnsi="宋体"/>
          <w:highlight w:val="none"/>
        </w:rPr>
        <w:t>广西政府</w:t>
      </w:r>
      <w:bookmarkStart w:id="59" w:name="_Hlt97804099"/>
      <w:bookmarkStart w:id="60" w:name="_Hlt97804098"/>
      <w:r>
        <w:rPr>
          <w:rFonts w:hint="eastAsia" w:hAnsi="宋体"/>
          <w:highlight w:val="none"/>
        </w:rPr>
        <w:t>采</w:t>
      </w:r>
      <w:bookmarkEnd w:id="59"/>
      <w:bookmarkEnd w:id="60"/>
      <w:r>
        <w:rPr>
          <w:rFonts w:hint="eastAsia" w:hAnsi="宋体"/>
          <w:highlight w:val="none"/>
        </w:rPr>
        <w:t>购网</w:t>
      </w:r>
      <w:r>
        <w:rPr>
          <w:rFonts w:hint="eastAsia" w:hAnsi="宋体"/>
          <w:highlight w:val="none"/>
        </w:rPr>
        <w:fldChar w:fldCharType="end"/>
      </w:r>
      <w:r>
        <w:rPr>
          <w:rFonts w:hint="eastAsia" w:hAnsi="宋体"/>
          <w:highlight w:val="none"/>
        </w:rPr>
        <w:t>。</w:t>
      </w:r>
      <w:bookmarkEnd w:id="54"/>
    </w:p>
    <w:p>
      <w:pPr>
        <w:spacing w:line="412" w:lineRule="exact"/>
        <w:ind w:firstLine="420"/>
        <w:jc w:val="left"/>
        <w:rPr>
          <w:rFonts w:hint="eastAsia" w:hAnsi="宋体"/>
          <w:highlight w:val="none"/>
        </w:rPr>
      </w:pPr>
      <w:r>
        <w:rPr>
          <w:rFonts w:hint="eastAsia" w:hAnsi="宋体"/>
          <w:highlight w:val="none"/>
        </w:rPr>
        <w:t>5</w:t>
      </w:r>
      <w:r>
        <w:rPr>
          <w:rFonts w:hAnsi="宋体"/>
          <w:highlight w:val="none"/>
        </w:rPr>
        <w:t>.</w:t>
      </w:r>
      <w:r>
        <w:rPr>
          <w:rFonts w:hint="eastAsia" w:hAnsi="宋体"/>
          <w:highlight w:val="none"/>
        </w:rPr>
        <w:t>钦州市政府采购中心联系方式：</w:t>
      </w:r>
    </w:p>
    <w:p>
      <w:pPr>
        <w:spacing w:line="412" w:lineRule="exact"/>
        <w:ind w:firstLine="420"/>
        <w:jc w:val="left"/>
        <w:rPr>
          <w:rFonts w:hint="eastAsia" w:hAnsi="宋体"/>
          <w:highlight w:val="none"/>
        </w:rPr>
      </w:pPr>
      <w:r>
        <w:rPr>
          <w:rFonts w:hAnsi="宋体"/>
          <w:highlight w:val="none"/>
        </w:rPr>
        <w:t>(1)</w:t>
      </w:r>
      <w:r>
        <w:rPr>
          <w:rFonts w:hint="eastAsia" w:hAnsi="宋体"/>
          <w:highlight w:val="none"/>
        </w:rPr>
        <w:t>采购部(招标文件</w:t>
      </w:r>
      <w:r>
        <w:rPr>
          <w:rFonts w:hAnsi="宋体"/>
          <w:highlight w:val="none"/>
        </w:rPr>
        <w:t>)</w:t>
      </w:r>
    </w:p>
    <w:p>
      <w:pPr>
        <w:spacing w:line="412" w:lineRule="exact"/>
        <w:ind w:firstLine="420"/>
        <w:jc w:val="left"/>
        <w:rPr>
          <w:rFonts w:hint="eastAsia" w:hAnsi="宋体"/>
          <w:highlight w:val="none"/>
        </w:rPr>
      </w:pPr>
      <w:r>
        <w:rPr>
          <w:rFonts w:hint="eastAsia" w:hAnsi="宋体"/>
          <w:highlight w:val="none"/>
        </w:rPr>
        <w:t>联系人：黄忠秀</w:t>
      </w:r>
      <w:r>
        <w:rPr>
          <w:rFonts w:hAnsi="宋体"/>
          <w:highlight w:val="none"/>
        </w:rPr>
        <w:t xml:space="preserve">  </w:t>
      </w:r>
      <w:r>
        <w:rPr>
          <w:rFonts w:hint="eastAsia" w:hAnsi="宋体"/>
          <w:highlight w:val="none"/>
        </w:rPr>
        <w:t xml:space="preserve"> 联系方式：0777-2886022</w:t>
      </w:r>
    </w:p>
    <w:p>
      <w:pPr>
        <w:spacing w:line="412" w:lineRule="exact"/>
        <w:ind w:firstLine="420"/>
        <w:jc w:val="left"/>
        <w:rPr>
          <w:rFonts w:hint="eastAsia" w:hAnsi="宋体"/>
          <w:highlight w:val="none"/>
        </w:rPr>
      </w:pPr>
      <w:r>
        <w:rPr>
          <w:rFonts w:hint="eastAsia" w:hAnsi="宋体"/>
          <w:highlight w:val="none"/>
        </w:rPr>
        <w:t>(</w:t>
      </w:r>
      <w:r>
        <w:rPr>
          <w:rFonts w:hAnsi="宋体"/>
          <w:highlight w:val="none"/>
        </w:rPr>
        <w:t>2)</w:t>
      </w:r>
      <w:r>
        <w:rPr>
          <w:rFonts w:hint="eastAsia" w:hAnsi="宋体"/>
          <w:highlight w:val="none"/>
        </w:rPr>
        <w:t>综合二部(保证金、开评标、中标及合同管理)</w:t>
      </w:r>
    </w:p>
    <w:p>
      <w:pPr>
        <w:spacing w:line="412" w:lineRule="exact"/>
        <w:ind w:firstLine="420"/>
        <w:jc w:val="left"/>
        <w:rPr>
          <w:rFonts w:hint="eastAsia" w:hAnsi="宋体"/>
          <w:highlight w:val="none"/>
        </w:rPr>
      </w:pPr>
      <w:r>
        <w:rPr>
          <w:rFonts w:hint="eastAsia" w:hAnsi="宋体"/>
          <w:highlight w:val="none"/>
        </w:rPr>
        <w:t>联系人：陈侃</w:t>
      </w:r>
      <w:r>
        <w:rPr>
          <w:rFonts w:hint="eastAsia" w:hAnsi="宋体"/>
          <w:highlight w:val="none"/>
          <w:lang w:eastAsia="zh-CN"/>
        </w:rPr>
        <w:t>、陈启梅</w:t>
      </w:r>
      <w:r>
        <w:rPr>
          <w:rFonts w:hint="eastAsia" w:hAnsi="宋体"/>
          <w:highlight w:val="none"/>
        </w:rPr>
        <w:t xml:space="preserve"> </w:t>
      </w:r>
      <w:r>
        <w:rPr>
          <w:rFonts w:hAnsi="宋体"/>
          <w:highlight w:val="none"/>
        </w:rPr>
        <w:t xml:space="preserve"> </w:t>
      </w:r>
      <w:r>
        <w:rPr>
          <w:rFonts w:hint="eastAsia" w:hAnsi="宋体"/>
          <w:highlight w:val="none"/>
        </w:rPr>
        <w:t xml:space="preserve"> 联系方式：</w:t>
      </w:r>
      <w:r>
        <w:rPr>
          <w:rFonts w:hAnsi="宋体"/>
          <w:highlight w:val="none"/>
        </w:rPr>
        <w:t xml:space="preserve"> </w:t>
      </w:r>
      <w:r>
        <w:rPr>
          <w:rFonts w:hint="eastAsia" w:hAnsi="宋体"/>
          <w:highlight w:val="none"/>
        </w:rPr>
        <w:t>0777-2886006</w:t>
      </w:r>
    </w:p>
    <w:p>
      <w:pPr>
        <w:spacing w:line="412" w:lineRule="exact"/>
        <w:ind w:firstLine="0" w:firstLineChars="0"/>
        <w:rPr>
          <w:b/>
          <w:highlight w:val="none"/>
        </w:rPr>
      </w:pPr>
      <w:r>
        <w:rPr>
          <w:rFonts w:hint="eastAsia"/>
          <w:b/>
          <w:highlight w:val="none"/>
        </w:rPr>
        <w:t>七、对本次招标提出询问，请按</w:t>
      </w:r>
      <w:r>
        <w:rPr>
          <w:b/>
          <w:highlight w:val="none"/>
        </w:rPr>
        <w:t>以下方式</w:t>
      </w:r>
      <w:r>
        <w:rPr>
          <w:rFonts w:hint="eastAsia"/>
          <w:b/>
          <w:highlight w:val="none"/>
        </w:rPr>
        <w:t>联系</w:t>
      </w:r>
      <w:bookmarkEnd w:id="35"/>
      <w:bookmarkEnd w:id="36"/>
      <w:bookmarkEnd w:id="37"/>
      <w:bookmarkEnd w:id="38"/>
    </w:p>
    <w:bookmarkEnd w:id="11"/>
    <w:p>
      <w:pPr>
        <w:spacing w:line="412" w:lineRule="exact"/>
        <w:ind w:firstLine="420"/>
        <w:rPr>
          <w:highlight w:val="none"/>
        </w:rPr>
      </w:pPr>
      <w:r>
        <w:rPr>
          <w:rFonts w:hint="eastAsia"/>
          <w:highlight w:val="none"/>
        </w:rPr>
        <w:t>1.采购人信息</w:t>
      </w:r>
    </w:p>
    <w:p>
      <w:pPr>
        <w:ind w:firstLine="420"/>
        <w:rPr>
          <w:rFonts w:hint="eastAsia" w:eastAsia="宋体"/>
          <w:highlight w:val="none"/>
          <w:lang w:eastAsia="zh-CN"/>
        </w:rPr>
      </w:pPr>
      <w:bookmarkStart w:id="61" w:name="_Toc28359009"/>
      <w:bookmarkStart w:id="62" w:name="_Toc28359086"/>
      <w:bookmarkStart w:id="63" w:name="_Hlk92356946"/>
      <w:r>
        <w:rPr>
          <w:rFonts w:hint="eastAsia"/>
          <w:highlight w:val="none"/>
        </w:rPr>
        <w:t>名称：</w:t>
      </w:r>
      <w:r>
        <w:rPr>
          <w:rFonts w:hint="eastAsia"/>
          <w:highlight w:val="none"/>
          <w:lang w:eastAsia="zh-CN"/>
        </w:rPr>
        <w:t>浦北县教育局</w:t>
      </w:r>
    </w:p>
    <w:p>
      <w:pPr>
        <w:ind w:firstLine="420"/>
        <w:rPr>
          <w:highlight w:val="none"/>
        </w:rPr>
      </w:pPr>
      <w:r>
        <w:rPr>
          <w:rFonts w:hint="eastAsia"/>
          <w:highlight w:val="none"/>
        </w:rPr>
        <w:t>地址：广西钦州市浦北县小江镇民星路39号</w:t>
      </w:r>
    </w:p>
    <w:p>
      <w:pPr>
        <w:ind w:firstLine="420"/>
        <w:rPr>
          <w:rFonts w:hint="eastAsia" w:eastAsia="宋体"/>
          <w:highlight w:val="none"/>
          <w:lang w:eastAsia="zh-CN"/>
        </w:rPr>
      </w:pPr>
      <w:r>
        <w:rPr>
          <w:rFonts w:hint="eastAsia"/>
          <w:highlight w:val="none"/>
        </w:rPr>
        <w:t>项目联系人：</w:t>
      </w:r>
      <w:r>
        <w:rPr>
          <w:rFonts w:hint="eastAsia"/>
          <w:highlight w:val="none"/>
          <w:lang w:val="en-US" w:eastAsia="zh-CN"/>
        </w:rPr>
        <w:t>冯慧敏</w:t>
      </w:r>
    </w:p>
    <w:p>
      <w:pPr>
        <w:ind w:firstLine="420"/>
        <w:rPr>
          <w:highlight w:val="none"/>
        </w:rPr>
      </w:pPr>
      <w:r>
        <w:rPr>
          <w:rFonts w:hint="eastAsia"/>
          <w:highlight w:val="none"/>
        </w:rPr>
        <w:t>项目联系方式：0777</w:t>
      </w:r>
      <w:r>
        <w:rPr>
          <w:rFonts w:hint="eastAsia"/>
          <w:highlight w:val="none"/>
          <w:lang w:val="en-US" w:eastAsia="zh-CN"/>
        </w:rPr>
        <w:t>-</w:t>
      </w:r>
      <w:r>
        <w:rPr>
          <w:rFonts w:hint="eastAsia"/>
          <w:highlight w:val="none"/>
        </w:rPr>
        <w:t>8212232</w:t>
      </w:r>
    </w:p>
    <w:p>
      <w:pPr>
        <w:spacing w:line="412" w:lineRule="exact"/>
        <w:ind w:firstLine="420"/>
        <w:rPr>
          <w:highlight w:val="none"/>
        </w:rPr>
      </w:pPr>
      <w:r>
        <w:rPr>
          <w:rFonts w:hint="eastAsia"/>
          <w:highlight w:val="none"/>
        </w:rPr>
        <w:t>2.采购代理机构信息</w:t>
      </w:r>
      <w:bookmarkEnd w:id="61"/>
      <w:bookmarkEnd w:id="62"/>
    </w:p>
    <w:p>
      <w:pPr>
        <w:spacing w:line="412" w:lineRule="exact"/>
        <w:ind w:firstLine="420"/>
        <w:rPr>
          <w:highlight w:val="none"/>
        </w:rPr>
      </w:pPr>
      <w:r>
        <w:rPr>
          <w:rFonts w:hint="eastAsia"/>
          <w:highlight w:val="none"/>
        </w:rPr>
        <w:t>名称：钦州市政府采购中心</w:t>
      </w:r>
    </w:p>
    <w:p>
      <w:pPr>
        <w:spacing w:line="412" w:lineRule="exact"/>
        <w:ind w:firstLine="420"/>
        <w:rPr>
          <w:highlight w:val="none"/>
        </w:rPr>
      </w:pPr>
      <w:r>
        <w:rPr>
          <w:rFonts w:hint="eastAsia"/>
          <w:highlight w:val="none"/>
        </w:rPr>
        <w:t>地址：钦州市金海湾东大街8号</w:t>
      </w:r>
    </w:p>
    <w:p>
      <w:pPr>
        <w:spacing w:line="412" w:lineRule="exact"/>
        <w:ind w:firstLine="420"/>
        <w:rPr>
          <w:highlight w:val="none"/>
        </w:rPr>
      </w:pPr>
      <w:r>
        <w:rPr>
          <w:rFonts w:hint="eastAsia"/>
          <w:highlight w:val="none"/>
        </w:rPr>
        <w:t>项目联系人：黄忠秀、陈侃、陈启梅</w:t>
      </w:r>
    </w:p>
    <w:p>
      <w:pPr>
        <w:spacing w:line="412" w:lineRule="exact"/>
        <w:ind w:firstLine="420"/>
        <w:rPr>
          <w:highlight w:val="none"/>
        </w:rPr>
      </w:pPr>
      <w:r>
        <w:rPr>
          <w:rFonts w:hint="eastAsia"/>
          <w:highlight w:val="none"/>
        </w:rPr>
        <w:t>项目联系方式：</w:t>
      </w:r>
      <w:bookmarkStart w:id="64" w:name="_Toc28359010"/>
      <w:bookmarkStart w:id="65" w:name="_Toc28359087"/>
      <w:r>
        <w:rPr>
          <w:rFonts w:hint="eastAsia"/>
          <w:highlight w:val="none"/>
        </w:rPr>
        <w:t>0</w:t>
      </w:r>
      <w:r>
        <w:rPr>
          <w:highlight w:val="none"/>
        </w:rPr>
        <w:t>777-2886022</w:t>
      </w:r>
      <w:r>
        <w:rPr>
          <w:rFonts w:hint="eastAsia"/>
          <w:highlight w:val="none"/>
        </w:rPr>
        <w:t>、</w:t>
      </w:r>
      <w:r>
        <w:rPr>
          <w:highlight w:val="none"/>
        </w:rPr>
        <w:t>2886006</w:t>
      </w:r>
    </w:p>
    <w:bookmarkEnd w:id="63"/>
    <w:bookmarkEnd w:id="64"/>
    <w:bookmarkEnd w:id="65"/>
    <w:p>
      <w:pPr>
        <w:ind w:firstLine="0" w:firstLineChars="0"/>
        <w:jc w:val="left"/>
        <w:rPr>
          <w:highlight w:val="none"/>
        </w:rPr>
      </w:pPr>
      <w:r>
        <w:rPr>
          <w:highlight w:val="none"/>
        </w:rPr>
        <w:br w:type="page"/>
      </w: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ind w:firstLine="0" w:firstLineChars="0"/>
        <w:jc w:val="left"/>
        <w:rPr>
          <w:highlight w:val="none"/>
        </w:rPr>
      </w:pPr>
    </w:p>
    <w:p>
      <w:pPr>
        <w:pStyle w:val="46"/>
        <w:ind w:left="0" w:leftChars="0" w:right="0" w:rightChars="0" w:firstLine="0" w:firstLineChars="0"/>
        <w:jc w:val="center"/>
        <w:rPr>
          <w:highlight w:val="none"/>
        </w:rPr>
      </w:pPr>
      <w:bookmarkStart w:id="66" w:name="_Toc352700402"/>
      <w:bookmarkStart w:id="67" w:name="_Toc91512284"/>
      <w:r>
        <w:rPr>
          <w:rFonts w:hint="eastAsia"/>
          <w:highlight w:val="none"/>
        </w:rPr>
        <w:t xml:space="preserve">第二章  </w:t>
      </w:r>
      <w:bookmarkEnd w:id="66"/>
      <w:r>
        <w:rPr>
          <w:rFonts w:hint="eastAsia"/>
          <w:highlight w:val="none"/>
        </w:rPr>
        <w:t>项目需求</w:t>
      </w:r>
      <w:bookmarkEnd w:id="67"/>
      <w:bookmarkStart w:id="68" w:name="_Toc352700403"/>
    </w:p>
    <w:p>
      <w:pPr>
        <w:spacing w:line="800" w:lineRule="exact"/>
        <w:ind w:left="-291" w:leftChars="-202" w:hanging="133" w:hangingChars="30"/>
        <w:jc w:val="center"/>
        <w:rPr>
          <w:b/>
          <w:highlight w:val="none"/>
        </w:rPr>
      </w:pPr>
      <w:r>
        <w:rPr>
          <w:rFonts w:ascii="方正小标宋_GBK" w:eastAsia="方正小标宋_GBK"/>
          <w:b/>
          <w:sz w:val="44"/>
          <w:szCs w:val="44"/>
          <w:highlight w:val="none"/>
        </w:rPr>
        <w:br w:type="page"/>
      </w:r>
      <w:bookmarkStart w:id="69" w:name="_Toc14492"/>
      <w:r>
        <w:rPr>
          <w:rFonts w:hint="eastAsia" w:ascii="方正小标宋_GBK" w:eastAsia="方正小标宋_GBK"/>
          <w:b/>
          <w:sz w:val="44"/>
          <w:szCs w:val="44"/>
          <w:highlight w:val="none"/>
        </w:rPr>
        <w:t>项目需求</w:t>
      </w:r>
    </w:p>
    <w:p>
      <w:pPr>
        <w:spacing w:line="420" w:lineRule="exact"/>
        <w:ind w:firstLine="420"/>
        <w:rPr>
          <w:highlight w:val="none"/>
        </w:rPr>
      </w:pPr>
      <w:r>
        <w:rPr>
          <w:rFonts w:hint="eastAsia"/>
          <w:highlight w:val="none"/>
        </w:rPr>
        <w:t>说明：</w:t>
      </w:r>
    </w:p>
    <w:p>
      <w:pPr>
        <w:spacing w:line="360" w:lineRule="exact"/>
        <w:ind w:firstLine="420"/>
        <w:rPr>
          <w:rFonts w:hint="eastAsia" w:ascii="宋体" w:hAnsi="宋体"/>
          <w:highlight w:val="none"/>
        </w:rPr>
      </w:pPr>
      <w:bookmarkStart w:id="70" w:name="_Hlk92357261"/>
      <w:r>
        <w:rPr>
          <w:rFonts w:hint="eastAsia" w:ascii="宋体" w:hAnsi="宋体"/>
          <w:highlight w:val="none"/>
        </w:rPr>
        <w:t>1.本表中的品牌型号、技术参数及其性能（规格）仅起参考作用，投标人可选用其他品牌型号替代，</w:t>
      </w:r>
      <w:bookmarkStart w:id="71" w:name="_Hlk126843748"/>
      <w:r>
        <w:rPr>
          <w:rFonts w:hint="eastAsia" w:ascii="宋体" w:hAnsi="宋体"/>
          <w:highlight w:val="none"/>
        </w:rPr>
        <w:t>但替代的产品整体上要相当于或优于参考品牌型号或其技术参数性能（规格）要求。</w:t>
      </w:r>
      <w:bookmarkEnd w:id="71"/>
    </w:p>
    <w:p>
      <w:pPr>
        <w:spacing w:line="360" w:lineRule="exact"/>
        <w:ind w:firstLine="420"/>
        <w:rPr>
          <w:rFonts w:hint="eastAsia" w:ascii="宋体" w:hAnsi="宋体"/>
          <w:highlight w:val="none"/>
        </w:rPr>
      </w:pPr>
      <w:r>
        <w:rPr>
          <w:rFonts w:hint="eastAsia" w:ascii="宋体" w:hAnsi="宋体"/>
          <w:highlight w:val="none"/>
        </w:rPr>
        <w:t>2.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pPr>
        <w:spacing w:line="360" w:lineRule="exact"/>
        <w:ind w:firstLine="420"/>
        <w:rPr>
          <w:rFonts w:hint="eastAsia" w:ascii="宋体" w:hAnsi="宋体"/>
          <w:bCs/>
          <w:highlight w:val="none"/>
        </w:rPr>
      </w:pPr>
      <w:r>
        <w:rPr>
          <w:rFonts w:hint="eastAsia" w:ascii="宋体" w:hAnsi="宋体"/>
          <w:bCs/>
          <w:highlight w:val="none"/>
        </w:rPr>
        <w:t>3.</w:t>
      </w:r>
      <w:r>
        <w:rPr>
          <w:rFonts w:hint="eastAsia"/>
          <w:highlight w:val="none"/>
        </w:rPr>
        <w:t>本项目不接受投标人提供通过中国海关报关验放进入中国境内且产自关境外的产品。</w:t>
      </w:r>
    </w:p>
    <w:p>
      <w:pPr>
        <w:spacing w:line="360" w:lineRule="exact"/>
        <w:ind w:firstLine="420"/>
        <w:rPr>
          <w:rFonts w:hint="eastAsia" w:ascii="宋体" w:hAnsi="宋体"/>
          <w:color w:val="auto"/>
          <w:szCs w:val="21"/>
          <w:highlight w:val="none"/>
        </w:rPr>
      </w:pPr>
      <w:r>
        <w:rPr>
          <w:rFonts w:hint="eastAsia" w:ascii="宋体" w:hAnsi="宋体"/>
          <w:color w:val="auto"/>
          <w:highlight w:val="none"/>
        </w:rPr>
        <w:t>4.</w:t>
      </w:r>
      <w:r>
        <w:rPr>
          <w:rFonts w:hint="eastAsia" w:ascii="宋体" w:hAnsi="宋体"/>
          <w:color w:val="auto"/>
          <w:szCs w:val="21"/>
          <w:highlight w:val="none"/>
        </w:rPr>
        <w:t>标注</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lang w:eastAsia="zh-CN"/>
        </w:rPr>
        <w:t>”</w:t>
      </w:r>
      <w:r>
        <w:rPr>
          <w:rFonts w:hint="eastAsia" w:ascii="宋体" w:hAnsi="宋体"/>
          <w:color w:val="auto"/>
          <w:szCs w:val="21"/>
          <w:highlight w:val="none"/>
        </w:rPr>
        <w:t>号的技术参数为实质性要求的参数，要求必须满足或优于，否则视为无效投标文件。</w:t>
      </w:r>
      <w:r>
        <w:rPr>
          <w:rFonts w:hint="eastAsia" w:ascii="宋体" w:hAnsi="宋体"/>
          <w:szCs w:val="21"/>
          <w:highlight w:val="none"/>
        </w:rPr>
        <w:t>本项目需求一览表中标注“▲”号的技术条款系指与项目实际紧密相关的功能条款、技术指标，将作为设备性能评审依据，请投标人按招标文件要求结合实际情况做出响应。</w:t>
      </w:r>
    </w:p>
    <w:p>
      <w:pPr>
        <w:spacing w:line="360" w:lineRule="exact"/>
        <w:ind w:firstLine="420"/>
        <w:rPr>
          <w:rFonts w:hint="eastAsia" w:ascii="宋体" w:hAnsi="宋体"/>
          <w:highlight w:val="none"/>
        </w:rPr>
      </w:pPr>
      <w:r>
        <w:rPr>
          <w:rFonts w:hint="eastAsia" w:ascii="宋体" w:hAnsi="宋体"/>
          <w:highlight w:val="none"/>
        </w:rPr>
        <w:t>5.本项目对应的中小企业划分标准所属行业为</w:t>
      </w:r>
      <w:r>
        <w:rPr>
          <w:rFonts w:hint="eastAsia" w:ascii="宋体" w:hAnsi="宋体"/>
          <w:highlight w:val="none"/>
          <w:u w:val="single"/>
        </w:rPr>
        <w:t xml:space="preserve">    工业    </w:t>
      </w:r>
      <w:r>
        <w:rPr>
          <w:rFonts w:hint="eastAsia" w:ascii="宋体" w:hAnsi="宋体"/>
          <w:highlight w:val="none"/>
        </w:rPr>
        <w:t>。</w:t>
      </w:r>
    </w:p>
    <w:p>
      <w:pPr>
        <w:spacing w:line="360" w:lineRule="exact"/>
        <w:ind w:firstLine="420"/>
        <w:rPr>
          <w:highlight w:val="none"/>
        </w:rPr>
      </w:pPr>
      <w:r>
        <w:rPr>
          <w:rFonts w:hint="eastAsia" w:ascii="宋体" w:hAnsi="宋体"/>
          <w:highlight w:val="none"/>
        </w:rPr>
        <w:t>6.</w:t>
      </w:r>
      <w:r>
        <w:rPr>
          <w:rFonts w:hint="eastAsia"/>
          <w:highlight w:val="none"/>
        </w:rPr>
        <w:t>预算金额：</w:t>
      </w:r>
      <w:r>
        <w:rPr>
          <w:rFonts w:hint="eastAsia"/>
          <w:highlight w:val="none"/>
          <w:u w:val="single"/>
          <w:lang w:val="en-US" w:eastAsia="zh-CN"/>
        </w:rPr>
        <w:t>肆佰零贰万伍仟元整</w:t>
      </w:r>
      <w:r>
        <w:rPr>
          <w:highlight w:val="none"/>
        </w:rPr>
        <w:t>(</w:t>
      </w:r>
      <w:r>
        <w:rPr>
          <w:rFonts w:hint="eastAsia"/>
          <w:highlight w:val="none"/>
        </w:rPr>
        <w:t>￥</w:t>
      </w:r>
      <w:r>
        <w:rPr>
          <w:rFonts w:hint="eastAsia"/>
          <w:highlight w:val="none"/>
          <w:lang w:eastAsia="zh-CN"/>
        </w:rPr>
        <w:t>4,025,000.00</w:t>
      </w:r>
      <w:r>
        <w:rPr>
          <w:highlight w:val="none"/>
        </w:rPr>
        <w:t>)</w:t>
      </w:r>
    </w:p>
    <w:p>
      <w:pPr>
        <w:spacing w:line="360" w:lineRule="exact"/>
        <w:ind w:firstLine="420"/>
        <w:rPr>
          <w:highlight w:val="none"/>
        </w:rPr>
      </w:pPr>
    </w:p>
    <w:p>
      <w:pPr>
        <w:spacing w:line="360" w:lineRule="exact"/>
        <w:ind w:firstLine="420"/>
        <w:rPr>
          <w:rFonts w:hint="eastAsia" w:ascii="宋体" w:hAnsi="宋体" w:eastAsia="宋体"/>
          <w:b/>
          <w:bCs/>
          <w:szCs w:val="21"/>
          <w:highlight w:val="none"/>
          <w:lang w:eastAsia="zh-CN"/>
        </w:rPr>
      </w:pPr>
      <w:r>
        <w:rPr>
          <w:rFonts w:hint="eastAsia" w:ascii="宋体" w:hAnsi="宋体" w:eastAsia="宋体" w:cs="Times New Roman"/>
          <w:b/>
          <w:bCs/>
          <w:highlight w:val="none"/>
          <w:lang w:val="en-US" w:eastAsia="zh-CN"/>
        </w:rPr>
        <w:t>标</w:t>
      </w:r>
      <w:r>
        <w:rPr>
          <w:rFonts w:hint="eastAsia" w:ascii="宋体" w:hAnsi="宋体" w:eastAsia="宋体" w:cs="Times New Roman"/>
          <w:b/>
          <w:bCs/>
          <w:highlight w:val="none"/>
        </w:rPr>
        <w:t>项一：</w:t>
      </w:r>
      <w:r>
        <w:rPr>
          <w:rFonts w:hint="eastAsia" w:ascii="宋体" w:hAnsi="宋体"/>
          <w:b/>
          <w:bCs/>
          <w:szCs w:val="21"/>
          <w:highlight w:val="none"/>
          <w:lang w:val="en-US" w:eastAsia="zh-CN"/>
        </w:rPr>
        <w:t xml:space="preserve"> </w:t>
      </w:r>
    </w:p>
    <w:p>
      <w:pPr>
        <w:spacing w:line="360" w:lineRule="exact"/>
        <w:ind w:firstLine="420"/>
        <w:rPr>
          <w:rFonts w:hint="eastAsia" w:eastAsia="宋体"/>
          <w:highlight w:val="none"/>
          <w:lang w:val="en-US" w:eastAsia="zh-CN"/>
        </w:rPr>
      </w:pPr>
      <w:r>
        <w:rPr>
          <w:rFonts w:hint="eastAsia"/>
          <w:highlight w:val="none"/>
        </w:rPr>
        <w:t>预算金额(元)：</w:t>
      </w:r>
      <w:r>
        <w:rPr>
          <w:rFonts w:hint="eastAsia"/>
          <w:highlight w:val="none"/>
          <w:lang w:val="en-US" w:eastAsia="zh-CN"/>
        </w:rPr>
        <w:t>1,980,000.00</w:t>
      </w:r>
      <w:r>
        <w:rPr>
          <w:rFonts w:hint="eastAsia" w:ascii="宋体" w:hAnsi="宋体"/>
          <w:szCs w:val="21"/>
          <w:highlight w:val="none"/>
          <w:lang w:val="en-US" w:eastAsia="zh-CN"/>
        </w:rPr>
        <w:t xml:space="preserve"> </w:t>
      </w:r>
    </w:p>
    <w:tbl>
      <w:tblPr>
        <w:tblStyle w:val="50"/>
        <w:tblW w:w="9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888"/>
        <w:gridCol w:w="137"/>
        <w:gridCol w:w="493"/>
        <w:gridCol w:w="645"/>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2" w:type="dxa"/>
            <w:vAlign w:val="center"/>
          </w:tcPr>
          <w:p>
            <w:pPr>
              <w:pStyle w:val="20"/>
              <w:ind w:firstLine="0" w:firstLineChars="0"/>
              <w:jc w:val="center"/>
              <w:rPr>
                <w:rFonts w:hint="eastAsia" w:hAnsi="宋体"/>
                <w:b w:val="0"/>
                <w:bCs w:val="0"/>
                <w:color w:val="auto"/>
                <w:sz w:val="21"/>
                <w:szCs w:val="21"/>
                <w:highlight w:val="none"/>
              </w:rPr>
            </w:pPr>
            <w:r>
              <w:rPr>
                <w:rFonts w:hint="eastAsia" w:hAnsi="宋体"/>
                <w:b w:val="0"/>
                <w:bCs w:val="0"/>
                <w:color w:val="auto"/>
                <w:sz w:val="21"/>
                <w:szCs w:val="21"/>
                <w:highlight w:val="none"/>
                <w:lang w:bidi="ar"/>
              </w:rPr>
              <w:t>序号</w:t>
            </w:r>
          </w:p>
        </w:tc>
        <w:tc>
          <w:tcPr>
            <w:tcW w:w="888" w:type="dxa"/>
            <w:vAlign w:val="center"/>
          </w:tcPr>
          <w:p>
            <w:pPr>
              <w:pStyle w:val="20"/>
              <w:ind w:firstLine="0" w:firstLineChars="0"/>
              <w:jc w:val="center"/>
              <w:rPr>
                <w:rFonts w:hint="eastAsia" w:hAnsi="宋体"/>
                <w:b w:val="0"/>
                <w:bCs w:val="0"/>
                <w:color w:val="auto"/>
                <w:sz w:val="21"/>
                <w:szCs w:val="21"/>
                <w:highlight w:val="none"/>
              </w:rPr>
            </w:pPr>
            <w:r>
              <w:rPr>
                <w:rFonts w:hint="eastAsia" w:hAnsi="宋体"/>
                <w:b w:val="0"/>
                <w:bCs w:val="0"/>
                <w:color w:val="auto"/>
                <w:sz w:val="21"/>
                <w:szCs w:val="21"/>
                <w:highlight w:val="none"/>
                <w:lang w:bidi="ar"/>
              </w:rPr>
              <w:t>货物名称</w:t>
            </w:r>
          </w:p>
        </w:tc>
        <w:tc>
          <w:tcPr>
            <w:tcW w:w="630" w:type="dxa"/>
            <w:gridSpan w:val="2"/>
            <w:vAlign w:val="center"/>
          </w:tcPr>
          <w:p>
            <w:pPr>
              <w:pStyle w:val="20"/>
              <w:ind w:firstLine="0" w:firstLineChars="0"/>
              <w:jc w:val="center"/>
              <w:rPr>
                <w:rFonts w:hint="eastAsia" w:hAnsi="宋体"/>
                <w:b w:val="0"/>
                <w:bCs w:val="0"/>
                <w:color w:val="auto"/>
                <w:sz w:val="21"/>
                <w:szCs w:val="21"/>
                <w:highlight w:val="none"/>
              </w:rPr>
            </w:pPr>
            <w:r>
              <w:rPr>
                <w:rFonts w:hint="eastAsia" w:hAnsi="宋体"/>
                <w:b w:val="0"/>
                <w:bCs w:val="0"/>
                <w:color w:val="auto"/>
                <w:sz w:val="21"/>
                <w:szCs w:val="21"/>
                <w:highlight w:val="none"/>
                <w:lang w:bidi="ar"/>
              </w:rPr>
              <w:t>单位</w:t>
            </w:r>
          </w:p>
        </w:tc>
        <w:tc>
          <w:tcPr>
            <w:tcW w:w="645" w:type="dxa"/>
            <w:vAlign w:val="center"/>
          </w:tcPr>
          <w:p>
            <w:pPr>
              <w:pStyle w:val="20"/>
              <w:ind w:firstLine="0" w:firstLineChars="0"/>
              <w:jc w:val="center"/>
              <w:rPr>
                <w:rFonts w:hint="eastAsia" w:hAnsi="宋体"/>
                <w:b w:val="0"/>
                <w:bCs w:val="0"/>
                <w:color w:val="auto"/>
                <w:sz w:val="21"/>
                <w:szCs w:val="21"/>
                <w:highlight w:val="none"/>
              </w:rPr>
            </w:pPr>
            <w:r>
              <w:rPr>
                <w:rFonts w:hint="eastAsia" w:hAnsi="宋体"/>
                <w:b w:val="0"/>
                <w:bCs w:val="0"/>
                <w:color w:val="auto"/>
                <w:sz w:val="21"/>
                <w:szCs w:val="21"/>
                <w:highlight w:val="none"/>
                <w:lang w:bidi="ar"/>
              </w:rPr>
              <w:t>数量</w:t>
            </w:r>
          </w:p>
        </w:tc>
        <w:tc>
          <w:tcPr>
            <w:tcW w:w="7265" w:type="dxa"/>
            <w:vAlign w:val="center"/>
          </w:tcPr>
          <w:p>
            <w:pPr>
              <w:pStyle w:val="20"/>
              <w:ind w:firstLine="308" w:firstLineChars="147"/>
              <w:jc w:val="center"/>
              <w:rPr>
                <w:rFonts w:hint="eastAsia" w:hAnsi="宋体"/>
                <w:b w:val="0"/>
                <w:bCs w:val="0"/>
                <w:color w:val="auto"/>
                <w:sz w:val="21"/>
                <w:szCs w:val="21"/>
                <w:highlight w:val="none"/>
              </w:rPr>
            </w:pPr>
            <w:r>
              <w:rPr>
                <w:rFonts w:hint="eastAsia"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60" w:type="dxa"/>
            <w:gridSpan w:val="6"/>
          </w:tcPr>
          <w:p>
            <w:pPr>
              <w:pStyle w:val="20"/>
              <w:ind w:firstLine="308" w:firstLineChars="147"/>
              <w:rPr>
                <w:rFonts w:hint="eastAsia" w:hAnsi="宋体"/>
                <w:b w:val="0"/>
                <w:bCs w:val="0"/>
                <w:color w:val="auto"/>
                <w:sz w:val="21"/>
                <w:szCs w:val="21"/>
                <w:highlight w:val="none"/>
                <w:lang w:bidi="ar"/>
              </w:rPr>
            </w:pPr>
            <w:r>
              <w:rPr>
                <w:rFonts w:hint="eastAsia" w:hAnsi="宋体"/>
                <w:b w:val="0"/>
                <w:bCs w:val="0"/>
                <w:color w:val="auto"/>
                <w:sz w:val="21"/>
                <w:szCs w:val="21"/>
                <w:highlight w:val="none"/>
                <w:lang w:bidi="ar"/>
              </w:rPr>
              <w:t>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60" w:type="dxa"/>
            <w:gridSpan w:val="6"/>
          </w:tcPr>
          <w:p>
            <w:pPr>
              <w:pStyle w:val="20"/>
              <w:ind w:firstLine="308" w:firstLineChars="147"/>
              <w:rPr>
                <w:rFonts w:hint="eastAsia" w:hAnsi="宋体"/>
                <w:b w:val="0"/>
                <w:bCs w:val="0"/>
                <w:color w:val="auto"/>
                <w:sz w:val="21"/>
                <w:szCs w:val="21"/>
                <w:highlight w:val="none"/>
                <w:lang w:bidi="ar"/>
              </w:rPr>
            </w:pPr>
            <w:r>
              <w:rPr>
                <w:rFonts w:hint="eastAsia" w:hAnsi="宋体"/>
                <w:b w:val="0"/>
                <w:bCs w:val="0"/>
                <w:color w:val="auto"/>
                <w:sz w:val="21"/>
                <w:szCs w:val="21"/>
                <w:highlight w:val="none"/>
                <w:lang w:bidi="ar"/>
              </w:rPr>
              <w:t>一．计算机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Align w:val="center"/>
          </w:tcPr>
          <w:p>
            <w:pPr>
              <w:pStyle w:val="20"/>
              <w:ind w:firstLine="0" w:firstLineChars="0"/>
              <w:jc w:val="center"/>
              <w:rPr>
                <w:rFonts w:hint="eastAsia" w:hAnsi="宋体"/>
                <w:b w:val="0"/>
                <w:bCs w:val="0"/>
                <w:color w:val="auto"/>
                <w:sz w:val="21"/>
                <w:szCs w:val="21"/>
                <w:highlight w:val="none"/>
              </w:rPr>
            </w:pPr>
            <w:bookmarkStart w:id="72" w:name="OLE_LINK8" w:colFirst="4" w:colLast="4"/>
            <w:r>
              <w:rPr>
                <w:rFonts w:hint="eastAsia" w:hAnsi="宋体"/>
                <w:b w:val="0"/>
                <w:bCs w:val="0"/>
                <w:color w:val="auto"/>
                <w:sz w:val="21"/>
                <w:szCs w:val="21"/>
                <w:highlight w:val="none"/>
              </w:rPr>
              <w:t>1</w:t>
            </w:r>
          </w:p>
        </w:tc>
        <w:tc>
          <w:tcPr>
            <w:tcW w:w="888" w:type="dxa"/>
            <w:vAlign w:val="center"/>
          </w:tcPr>
          <w:p>
            <w:pPr>
              <w:pStyle w:val="20"/>
              <w:ind w:firstLine="0" w:firstLineChars="0"/>
              <w:jc w:val="center"/>
              <w:rPr>
                <w:rFonts w:hint="eastAsia" w:hAnsi="宋体" w:eastAsia="宋体"/>
                <w:b w:val="0"/>
                <w:bCs w:val="0"/>
                <w:color w:val="auto"/>
                <w:sz w:val="21"/>
                <w:szCs w:val="21"/>
                <w:highlight w:val="none"/>
                <w:lang w:val="en-US" w:eastAsia="zh-CN"/>
              </w:rPr>
            </w:pPr>
            <w:r>
              <w:rPr>
                <w:rFonts w:hint="eastAsia" w:hAnsi="宋体"/>
                <w:b w:val="0"/>
                <w:bCs w:val="0"/>
                <w:color w:val="auto"/>
                <w:sz w:val="21"/>
                <w:szCs w:val="21"/>
                <w:highlight w:val="none"/>
                <w:lang w:val="en-US" w:eastAsia="zh-CN"/>
              </w:rPr>
              <w:t>教师计算机</w:t>
            </w:r>
          </w:p>
        </w:tc>
        <w:tc>
          <w:tcPr>
            <w:tcW w:w="630" w:type="dxa"/>
            <w:gridSpan w:val="2"/>
            <w:vAlign w:val="center"/>
          </w:tcPr>
          <w:p>
            <w:pPr>
              <w:pStyle w:val="20"/>
              <w:ind w:firstLine="0" w:firstLineChars="0"/>
              <w:jc w:val="center"/>
              <w:rPr>
                <w:rFonts w:hint="default" w:hAnsi="宋体"/>
                <w:b w:val="0"/>
                <w:bCs w:val="0"/>
                <w:color w:val="auto"/>
                <w:sz w:val="21"/>
                <w:szCs w:val="21"/>
                <w:highlight w:val="none"/>
                <w:lang w:val="en-US"/>
              </w:rPr>
            </w:pPr>
            <w:r>
              <w:rPr>
                <w:rFonts w:hint="default" w:hAnsi="宋体"/>
                <w:b w:val="0"/>
                <w:bCs w:val="0"/>
                <w:color w:val="auto"/>
                <w:sz w:val="21"/>
                <w:szCs w:val="21"/>
                <w:highlight w:val="none"/>
                <w:lang w:val="en-US"/>
              </w:rPr>
              <w:t>台</w:t>
            </w:r>
          </w:p>
        </w:tc>
        <w:tc>
          <w:tcPr>
            <w:tcW w:w="645" w:type="dxa"/>
            <w:vAlign w:val="center"/>
          </w:tcPr>
          <w:p>
            <w:pPr>
              <w:pStyle w:val="20"/>
              <w:ind w:firstLine="0" w:firstLineChars="0"/>
              <w:jc w:val="center"/>
              <w:rPr>
                <w:rFonts w:hint="default" w:hAnsi="宋体" w:eastAsia="宋体"/>
                <w:b w:val="0"/>
                <w:bCs w:val="0"/>
                <w:color w:val="auto"/>
                <w:sz w:val="21"/>
                <w:szCs w:val="21"/>
                <w:highlight w:val="none"/>
                <w:lang w:val="en-US" w:eastAsia="zh-CN"/>
              </w:rPr>
            </w:pPr>
            <w:r>
              <w:rPr>
                <w:rFonts w:hint="eastAsia" w:hAnsi="宋体"/>
                <w:b w:val="0"/>
                <w:bCs w:val="0"/>
                <w:color w:val="auto"/>
                <w:sz w:val="21"/>
                <w:szCs w:val="21"/>
                <w:highlight w:val="none"/>
                <w:lang w:val="en-US" w:eastAsia="zh-CN"/>
              </w:rPr>
              <w:t>60</w:t>
            </w:r>
          </w:p>
        </w:tc>
        <w:tc>
          <w:tcPr>
            <w:tcW w:w="7265" w:type="dxa"/>
            <w:vAlign w:val="center"/>
          </w:tcPr>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一、CPU规格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★1.CPU：物理核心≥8核，主频≥3.0GHz，末级缓存容量≥16MB，线程数≥16，CPU PCle通道总数≥32，CPU基本功率≥65W, CPU 支持的内存最高速率≥3200MT/s；</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二、内存规格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★1.内存配置容量：≥16GB；</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★2.内存类型：支持DDR4/LPDDR4/LPDDR4X及以上内存类型；</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★3.内存条配置数量（板载内存不涉及）：≥2；</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三、主板规格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★1.主板集成模块：集成资源扩展模块、计算处理模块、音频扩展模块等，主板的互联拓扑可通过处理器或交换电路实现；</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★2.主板支持的 CPU情况：物理核心≥8核，主频≥3.0GHz，末级缓存容量≥16MB，线程数≥16，CPU PCle通道总数≥32，CPU基本功率≥65W, CPU 支持的内存最高速率≥3200 MT/s；</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 主板支持的内存情况：内存读写速率≥3200MT/s，内存条数量≥2；</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★4.主板其他内置接口：≥4个SATA接口；≥M.2接口*1，≥USB接口*7，固态硬盘占用M.2接口*1，机械硬盘占用SATA接口*1</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★5.单内存插槽最大可支持容量（板载内存不涉及）：≥32GB；</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★6.内存插槽满配时提供的最高内存总容量：≥64GB；</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四、存储设备规格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 xml:space="preserve">★1.固态盘数量：≥1 个； </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★2.固态存储容量：≥512GB；</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★3.固态存储形态：采用插卡或板载等形态，可选用符合M.2 或2.5 寸 SATA 或 mSATA 等标准的插卡形态；</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★4.存储设备其他参数要求：a)固态盘应符合 SJ/T 11654-2016 相关规定；b)机械硬盘准备时间应不大于 30s；侧面固定螺丝孔数量可为 4 孔或 6 孔；工作状态环境温度应满足 5℃-55℃；其它参数应符合 GB/T 12628-2008 相关规定；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五、显卡规格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★1.显卡类型：独立显卡；</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★2.显存类型≥ LPDDR4  型；</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★3.独立显卡，显存容量≥2GB</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六、显示设备规格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★1.尺寸：≥23英寸</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★2.显示屏屏占比：≥90%；</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★3.分辨率：1920× 1080 像素，</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★4.刷新率：≥100Hz</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★5.屏幕比例：16：9</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6.可视角度：178 度宽广视角</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7.接口要求：至少支持VGA、HDMI、DVI、DP、Type-C中1种显示接口，并与主机接口相匹配。</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★8.显示屏防蓝光：支持防蓝光模式，蓝光加权辐射亮度比应≤0.0012W/(·cd·sr)（瓦每坎特拉每球面度）；</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★9.显示屏低频闪：显示屏应支持低频闪≤-35dB；</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★10.显示屏防炫目：显示屏镜面反射率≤10%；</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★11.显示器外观颜色：黑色等商务色系</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七、外设规格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★1.鼠标数量：≥1个；</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★2.键盘数量：≥1个；</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★3.键盘按键数目：104键；</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★4.键盘连接方式：有线；</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★5.键盘键程：2.3mm～4.0mm；</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★6.键盘按键压力：按键压力应在0.54N±0.14N；</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★7.有线键盘连接线：≥1.5米；</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★8.键盘颜色：黑色等商务色系；</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★9.鼠标连接方式：有线；</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★10.有线鼠标连接线：≥1.5米；</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★11.鼠标DPI分辨率：800～1600；</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★12.鼠标颜色：黑色等商务色系；</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★13.鼠标其他要求：其它参数应符合 GB/T 26245-2010 的相关规定；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八、网络设备规格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★有线网卡数量：≥1；</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九、外部接口规格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★1.USB 接口数量机箱前面板应提供不少于  3  个USB 接口（含2个USB3.0 及以上接口）；</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★2.视频接口数量≥  2 ，视频接口类型至少支持 VGA、HDMI、DVI、DP、Type-C中 1 种显示接口，若提供 HDMI 或 DP或 Type-C作为显示接口，应支持音频和视频同步输出；</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★3.音频接口数量≥  5 ，音频接口类型支持 3.5mm孔径3段式或4段式接口。</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十、整机基础规格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★1.整机外观：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a) 产品表面不应有凹痕、划伤、裂缝、变形和污染等。表面涂层均匀，不应起泡、龟裂、脱落和磨损，金属零部件无锈蚀及其它机械损伤；</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b) 产品表面说明功能的文字、符号、标志，应清晰、端正、牢固；</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★2.状态指示灯：在产品显著位置提供状态指示功能；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★3.整机结构：</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a) 机箱应符合 GB/T 4208-2017、GB/T 26246-2010的相关规定；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b) 产品内部结构应符合通用部件的安装需求；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c) 所有输入输出接口应符合相关国家或行业标准；</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d) 产品零部件应紧固无松动，可插拔部件应可靠连接，开关、按钮和其它控制部件应灵活可靠，布局应方便使用；</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e) 所有 I/O 连接器及需插接线缆的部位应预留采购人操作空间，方便插拔解锁与插拔线缆；</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f) 可插拔板卡插槽部位应预留安装、拆卸或更换板卡空间；</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g) 拆装可能接触到的金属剪口或金属尖角部位应做防划伤处理，以保证安全；</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h) 整机内部走线应规整，固线结构和位置要合理可靠并做防割线处理，需便于理线和插拔操作，走线应不影响系统各主要部件组装和拆卸；</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i) 如需通过孔走线，过线孔应做防割线处理；</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j) 各插头位置和插拔方向应合理，应做到插拔无障碍设计，具备防呆设计，有效避免误操作；</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k) 各主要部件拆装无障碍，使用常规工具拆装，无特殊拆装工具需求；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l) 各主要部件拆装步骤要少，各自拆装需避免相互干扰；</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m) 对于整机或零部件外表面为高亮面的，应粘贴保护膜，保护膜需粘贴牢固，运输、组装等过程不易脱落，撕下无残留；</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n) 其它要求应符合 GB/T 9813.1-2016 的相关规定；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★4.机箱防护要求：机箱符合 GB/T 4208-2017 中 IP20 防护要求；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★5.整机噪音：产品工作在空闲状态下，产品的声功率级应不超过 4.5 Bel；</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★6.整机散热：在环境温度 25℃及处理器满载情况下，产品表面温度应符合如下要求：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a) 出风口在机箱后面板情况下，出风口温度不高于 55℃；</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b) 可触及面温度不高于 45℃；</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c) 显示器表面温度：显示屏不高于38℃，显示屏上下灯带位置温度（如涉及）不高于 40℃，出风口温度不高于 45℃；</w:t>
            </w:r>
          </w:p>
          <w:p>
            <w:pPr>
              <w:widowControl/>
              <w:spacing w:line="360" w:lineRule="auto"/>
              <w:ind w:firstLine="0" w:firstLineChars="0"/>
              <w:jc w:val="left"/>
              <w:rPr>
                <w:rFonts w:hint="default" w:ascii="宋体" w:hAnsi="宋体" w:eastAsia="宋体" w:cs="宋体"/>
                <w:b w:val="0"/>
                <w:bCs w:val="0"/>
                <w:color w:val="auto"/>
                <w:szCs w:val="21"/>
                <w:highlight w:val="none"/>
                <w:lang w:val="en-US" w:eastAsia="zh-CN"/>
              </w:rPr>
            </w:pPr>
            <w:r>
              <w:rPr>
                <w:rFonts w:hint="default" w:ascii="宋体" w:hAnsi="宋体" w:cs="宋体"/>
                <w:b w:val="0"/>
                <w:bCs w:val="0"/>
                <w:color w:val="auto"/>
                <w:szCs w:val="21"/>
                <w:highlight w:val="none"/>
                <w:lang w:val="en-US"/>
              </w:rPr>
              <w:t>★7.整机能效限定值：产品能效限定值应达到 GB 28380-2012标准中能效等级 2 级及以上；</w:t>
            </w:r>
            <w:bookmarkStart w:id="73" w:name="OLE_LINK12"/>
            <w:r>
              <w:rPr>
                <w:rFonts w:hint="eastAsia" w:ascii="宋体" w:hAnsi="宋体" w:cs="宋体"/>
                <w:b w:val="0"/>
                <w:bCs w:val="0"/>
                <w:color w:val="auto"/>
                <w:szCs w:val="21"/>
                <w:highlight w:val="none"/>
                <w:lang w:val="en-US" w:eastAsia="zh-CN"/>
              </w:rPr>
              <w:t>产品型号获得依据国家确定的认证机构出具的、处于有效期之内的节能产品认证证书</w:t>
            </w:r>
            <w:bookmarkEnd w:id="73"/>
            <w:r>
              <w:rPr>
                <w:rFonts w:hint="eastAsia" w:ascii="宋体" w:hAnsi="宋体" w:cs="宋体"/>
                <w:b w:val="0"/>
                <w:bCs w:val="0"/>
                <w:color w:val="auto"/>
                <w:szCs w:val="21"/>
                <w:highlight w:val="none"/>
                <w:lang w:val="en-US" w:eastAsia="zh-CN"/>
              </w:rPr>
              <w:t>。</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★8.机身材质：金属；</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★9.机身颜色：黑色等商务色系；</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★10.机箱尺寸容量：机箱体积应不大于 15L；</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十一、CPU性能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★1.CPU 物理核数：≥8；</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★2.CPU 主频：≥3.0GHz；</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3.CPU线程数：≥16；</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★4.CPU 末级缓存容量：≥16MB；</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★5.CPU 支持的内存最高速率：≥3200MT/s；</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十二、内存性能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★内存读写速率：≥3200 MT/s；</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十三、显卡性能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★1.显示分辨率：≥1920×1080；</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★2.显卡显示芯片核心频率：≥ 1350MHz；</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★3.显存等效频率：≥ 3733 MMT/s；</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 xml:space="preserve">★4.显卡可支持多屏同时显示数量：显卡应支持 2 块屏幕同时显示，分辨率应不低于 1920×1080； </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十四、显示设备性能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★1.显示屏刷新率≥ 100 Hz；</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★2.显示屏位深≥  8  位；</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★3.显示屏色域≥  99%   sRGB；</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★4.显示屏色准△E ≤  4  ；</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★5.显示屏响应时间≤  7 ms；</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★6.显示屏亮度≥  300  尼特；</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★7.显示屏亮度一致性≥  75   %；</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★8.显示屏对比度≥  1000：1   ；</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★9.显示器接口应与显卡外接显示接口匹配；</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★10.显示器应提供显示器支架；</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★11.显示器参数调节：提供 OSD 选单按钮用于调节色彩、模式等，支持色温、亮度、对比度调节；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★12.显示屏其他参数应符合 SJ/T 11292 的相关规定。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十五、网络设备性能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 有线网卡速率：最高速率应不低于 1000Mbps，应支持10Mbps、100Mbps、1000Mbps 速率自适应；</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十六、主板功能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★1.内存扩展接口(板载内存不涉及)：≥2个；</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★2.主板 USB瞬间过流保护：支持有瞬间过流保护功能；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★3.主板防静电保护：支持防静电保护功能；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十七、显卡功能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★显卡外接显示接口：显卡至少支持 VGA、HDMI、DVI、DP、Type-C 中 1 种显示接口，并与显示器接口相匹配；</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十八、存储功能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★存储功能：通过 SATA 固态存储/PCIe 固态存储/UFS 固态存储/SATA 硬磁盘等存储部件提供存储功能；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十九、网络设备功能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★1.网络功能：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a)支持网络连接、网络开启/关闭功能；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b)支持访问网络和数据交换功能；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★2.数据传输：支持数据传输能力，并提供数据流量和异常日志记录功能；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★3.有线网卡接口类型：支持 RJ45 接口；</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★4.网络设备拆装：网络设备支持物理拆装，包括无线网卡和蓝牙模块等；</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二十、外部接口功能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★1.音频接口类型：支持 3.5mm 孔径 3 段式或 4 段式接口</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★2.视频接口类型：至少支持 VGA、HDMI、DVI、DP、Type-C中 1 种显示接口；</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3.HDMI、DP、Type-C 显示接口要求：若提供 HDMI 或 DP 或 Type-C 作为显示接口，应支持音频和视频同步输出；</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二十一、电源功能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★电源线适配能力：电源适配器电线组件应符合 GB/T15934 的要求；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二十二、操作系统及软件功能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★1.中文信息处理要求：符合GB18030的相关规定；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★2.操作系统备份及还原功能：支持操作系统备份及还原功能；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★3.固件备份还原能力：支持备份及还原固件的功能；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★4.操作系统及驱动升级：支持通过网络、闪存盘等方式对操作系统、驱动进行升级；</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★5.固件升级：支持通过网络、闪存盘等方式对固件进行升级；</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★6.BIOS支持关闭通讯接口：支持BIOS关闭以太网及USB接口；</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★7.固件查看信息：支持查看固件版本、内存信息、主板信息、处理器信息和系统时间信息等功能；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★8.固件设置启动顺序：支持设置启动顺序功能，并按照设置的启动顺序启动；</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★9.固件设置口令：支持设置口令、修改口令、验证口令功能；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★10.固件设置网络引导：支持网络引导启动和关闭功能；</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二十三、存储设备可靠性</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★1.固态存储寿命：TBW ≥80TB（条件：256GB 硬盘容量）；</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★2.机械硬盘寿命：通电时间≥5万小时；</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二十四、显示设备可靠性</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★显示屏屏幕失效点：符合 GB/T 9813.2 的要求；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二十五、外设可靠性</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★1.键盘按键寿命：≥1000万次；</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★2.鼠标按键寿命：≥500 万次；</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★3.键盘鼠标线材寿命：键盘鼠标所用线材经±60°弯折不低于 3000 次，功能、外观完好；★4.风扇寿命：≥4 万小时；</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二十六、整机可靠性要求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★1.电磁兼容性要求的抗扰度：符合 GB/T 9254.2-2022 的规定，考虑设备工作稳定：要求设备通过浪涌（冲击）抗扰度的适应性认证；</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★2.环境条件要求的气候环境适应性：符合 GB/T 9813.1-2016 中规定，考虑使用环境差异，要求设备通过温度0~40℃/低气压61.6kPa（4000m）的环境适应性认证；</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★3.环境条件要求的振动适应性：符合 GB/T 9813.1-2016 中规定；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★4.环境条件要求的冲击适应性：符合 GB/T 9813.1-2016 中规定；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★5.环境条件要求的碰撞适应性：符合 GB/T 9813.1 -2016中规定；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★6.环境条件要求的运输包装件跌落适应性：符合 GB/T 9813.1-2016 中规定；</w:t>
            </w:r>
          </w:p>
          <w:p>
            <w:pPr>
              <w:widowControl/>
              <w:numPr>
                <w:ilvl w:val="0"/>
                <w:numId w:val="1"/>
              </w:num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静音舒适性：考虑工作环境的静音舒适，要求设备的噪声声功率级≤3.03Bel，噪声声压级≤23.86dB；</w:t>
            </w:r>
          </w:p>
          <w:p>
            <w:pPr>
              <w:widowControl/>
              <w:numPr>
                <w:ilvl w:val="0"/>
                <w:numId w:val="1"/>
              </w:num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★8.MTBF测试：MTBF(m1)≥30万小时。</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二十七、兼容要求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★1.常用软件兼容：支持流式软件、版式软件、浏览器、邮件采购人端、解压软件、多媒体、图形图像处理等常用软件；</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★2.数据库兼容：兼容 3 个及以上厂商的数据库产品；</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★3.中间件兼容：兼容 3 个及以上厂商中间件产品；</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★4.平台软件兼容：兼容 3 个及以上厂商云计算及大数据平台；</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二十八、包装及运输要求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★标志、包装、运输和贮存：符合 GB/T 9813.1-2016 和商品包装政府采购需求标准的相关规定；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二十九、关键部件安全</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★关键部件安全要求：CPU安全可靠等级≥Ⅱ级， 操作系统安全可靠等级≥Ⅰ级，其他关键部件应当符合安全可靠测评要求；通过中国信息安全测评中心和国家保密科技测评中心网站查看安全可靠测评结果。</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三十、整机安全性要求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★1.密码算法实现：CPU 芯片应符合 GM/T 0008-2012 的相关规定，或芯片密码模块应符合 GB/T 37092-2018或 GM/T 0028-2014 的相关规定；通过商用密码检测机构检测并经商用密码认证机构认证合格。</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★2.信息安全基本要求：</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a) 产品应符合 GB/T 39276-2020 的 5.2 的规定；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b) 生产厂商应建立漏洞跟踪表，保证产品版本涉及到的漏洞(如驱动程序等)可查看；</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c) 产品不得包含已知的恶意代码或漏洞，不存在未声明的指令、功能、接口；</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★3.固件安全启动：支持固件安全启动功能，固件启动过程中只有通过启动校验才能正常启动；</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★4.限用物质的限量要求：符合 GB/T 26572-2011 中规定；</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★三十一、投标文件中必须提供该项产品由国家确定的认证机构出具的处于有效期之内的节能产品认证证书并加盖投标人公章。</w:t>
            </w:r>
          </w:p>
        </w:tc>
      </w:tr>
      <w:bookmarkEnd w:id="7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vAlign w:val="center"/>
          </w:tcPr>
          <w:p>
            <w:pPr>
              <w:pStyle w:val="20"/>
              <w:ind w:firstLine="0" w:firstLineChars="0"/>
              <w:jc w:val="center"/>
              <w:rPr>
                <w:rFonts w:hint="eastAsia" w:hAnsi="宋体" w:eastAsia="宋体"/>
                <w:b w:val="0"/>
                <w:bCs w:val="0"/>
                <w:color w:val="auto"/>
                <w:sz w:val="21"/>
                <w:szCs w:val="21"/>
                <w:highlight w:val="none"/>
                <w:lang w:val="en-US" w:eastAsia="zh-CN"/>
              </w:rPr>
            </w:pPr>
            <w:r>
              <w:rPr>
                <w:rFonts w:hint="eastAsia" w:hAnsi="宋体"/>
                <w:b w:val="0"/>
                <w:bCs w:val="0"/>
                <w:color w:val="auto"/>
                <w:sz w:val="21"/>
                <w:szCs w:val="21"/>
                <w:highlight w:val="none"/>
                <w:lang w:val="en-US" w:eastAsia="zh-CN"/>
              </w:rPr>
              <w:t>2</w:t>
            </w:r>
          </w:p>
        </w:tc>
        <w:tc>
          <w:tcPr>
            <w:tcW w:w="888" w:type="dxa"/>
            <w:vAlign w:val="center"/>
          </w:tcPr>
          <w:p>
            <w:pPr>
              <w:pStyle w:val="20"/>
              <w:ind w:firstLine="0" w:firstLineChars="0"/>
              <w:jc w:val="center"/>
              <w:rPr>
                <w:rFonts w:hint="eastAsia" w:hAnsi="宋体"/>
                <w:b w:val="0"/>
                <w:bCs w:val="0"/>
                <w:color w:val="auto"/>
                <w:sz w:val="21"/>
                <w:szCs w:val="21"/>
                <w:highlight w:val="none"/>
                <w:lang w:val="en-US" w:eastAsia="zh-CN"/>
              </w:rPr>
            </w:pPr>
            <w:r>
              <w:rPr>
                <w:rFonts w:hint="eastAsia" w:hAnsi="宋体"/>
                <w:b w:val="0"/>
                <w:bCs w:val="0"/>
                <w:color w:val="auto"/>
                <w:sz w:val="21"/>
                <w:szCs w:val="21"/>
                <w:highlight w:val="none"/>
                <w:lang w:val="en-US" w:eastAsia="zh-CN"/>
              </w:rPr>
              <w:t>教学软件</w:t>
            </w:r>
          </w:p>
        </w:tc>
        <w:tc>
          <w:tcPr>
            <w:tcW w:w="630" w:type="dxa"/>
            <w:gridSpan w:val="2"/>
            <w:vAlign w:val="center"/>
          </w:tcPr>
          <w:p>
            <w:pPr>
              <w:pStyle w:val="20"/>
              <w:ind w:firstLine="0" w:firstLineChars="0"/>
              <w:jc w:val="center"/>
              <w:rPr>
                <w:rFonts w:hint="eastAsia" w:hAnsi="宋体" w:eastAsia="宋体"/>
                <w:b w:val="0"/>
                <w:bCs w:val="0"/>
                <w:color w:val="auto"/>
                <w:sz w:val="21"/>
                <w:szCs w:val="21"/>
                <w:highlight w:val="none"/>
                <w:lang w:val="en-US" w:eastAsia="zh-CN"/>
              </w:rPr>
            </w:pPr>
            <w:r>
              <w:rPr>
                <w:rFonts w:hint="eastAsia" w:hAnsi="宋体"/>
                <w:b w:val="0"/>
                <w:bCs w:val="0"/>
                <w:color w:val="auto"/>
                <w:sz w:val="21"/>
                <w:szCs w:val="21"/>
                <w:highlight w:val="none"/>
                <w:lang w:val="en-US" w:eastAsia="zh-CN"/>
              </w:rPr>
              <w:t>套</w:t>
            </w:r>
          </w:p>
        </w:tc>
        <w:tc>
          <w:tcPr>
            <w:tcW w:w="645" w:type="dxa"/>
            <w:vAlign w:val="center"/>
          </w:tcPr>
          <w:p>
            <w:pPr>
              <w:pStyle w:val="20"/>
              <w:ind w:firstLine="0" w:firstLineChars="0"/>
              <w:jc w:val="center"/>
              <w:rPr>
                <w:rFonts w:hint="default" w:hAnsi="宋体"/>
                <w:b w:val="0"/>
                <w:bCs w:val="0"/>
                <w:color w:val="auto"/>
                <w:sz w:val="21"/>
                <w:szCs w:val="21"/>
                <w:highlight w:val="none"/>
                <w:lang w:val="en-US" w:eastAsia="zh-CN"/>
              </w:rPr>
            </w:pPr>
            <w:r>
              <w:rPr>
                <w:rFonts w:hint="eastAsia" w:hAnsi="宋体"/>
                <w:b w:val="0"/>
                <w:bCs w:val="0"/>
                <w:color w:val="auto"/>
                <w:sz w:val="21"/>
                <w:szCs w:val="21"/>
                <w:highlight w:val="none"/>
                <w:lang w:val="en-US" w:eastAsia="zh-CN"/>
              </w:rPr>
              <w:t>60</w:t>
            </w:r>
          </w:p>
        </w:tc>
        <w:tc>
          <w:tcPr>
            <w:tcW w:w="7265" w:type="dxa"/>
            <w:vAlign w:val="center"/>
          </w:tcPr>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1.教学平台为全校教师提供可扩展，易于学校管理，安全可靠的云存储空间，根据每名教师使用时长与教学资料制作频率提供可扩展升级至不小于200G的个人云空间。</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2.PPT小工具：支持小组端进入PPT放映模式后提供批注、黑板、橡皮、撤销、批注分享等工具，满足学生小组研讨的使用</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▲4.一键开课：教师可一键开课生成课程海报；学生扫描课程海报微信二维码即可加入直播课堂，无需额外安装APP。</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5.剪辑重录：支持按照课件页面片段剪辑和重录微课，支持一键上传至云端保存。</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▲6.课程回放：课程结束后自动生成直播回放，报名课程的学生可反复学习；回放课程自动保存在云端，支持人工删除。</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7.发起集备：支持选择教案、课件、胶囊资源上传发起集备研讨，支持设置多重访问权限，通过手机号搜索即可邀请外校老师，可用于跨校教研场景。</w:t>
            </w:r>
          </w:p>
          <w:p>
            <w:pPr>
              <w:widowControl/>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8.课评课数据详情：全校听评课数据统一汇总，数据包含全校本月评课节数，本月评课次数，累计评课节数和累计评课次数，了解听评课教研活动的开展情况。支持按评课人数/评课平均分查看全校排行详细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pStyle w:val="20"/>
              <w:ind w:firstLine="0" w:firstLineChars="0"/>
              <w:jc w:val="left"/>
              <w:rPr>
                <w:rFonts w:hint="default" w:ascii="宋体" w:hAnsi="宋体" w:cs="宋体"/>
                <w:b w:val="0"/>
                <w:bCs w:val="0"/>
                <w:color w:val="auto"/>
                <w:kern w:val="0"/>
                <w:szCs w:val="21"/>
                <w:highlight w:val="none"/>
                <w:lang w:val="en-US" w:bidi="ar"/>
              </w:rPr>
            </w:pPr>
            <w:r>
              <w:rPr>
                <w:rFonts w:hint="eastAsia" w:hAnsi="宋体"/>
                <w:b w:val="0"/>
                <w:bCs w:val="0"/>
                <w:color w:val="auto"/>
                <w:sz w:val="21"/>
                <w:szCs w:val="21"/>
                <w:highlight w:val="none"/>
              </w:rPr>
              <w:t>二、计算机教室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eastAsia"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eastAsia"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default" w:ascii="宋体" w:hAnsi="宋体" w:eastAsia="宋体" w:cs="宋体"/>
                <w:b w:val="0"/>
                <w:bCs w:val="0"/>
                <w:color w:val="auto"/>
                <w:sz w:val="21"/>
                <w:szCs w:val="21"/>
                <w:highlight w:val="none"/>
                <w:lang w:val="en-US" w:eastAsia="zh-CN" w:bidi="ar-SA"/>
              </w:rPr>
            </w:pPr>
            <w:r>
              <w:rPr>
                <w:rFonts w:hint="eastAsia"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eastAsia" w:hAnsi="宋体"/>
                <w:b w:val="0"/>
                <w:bCs w:val="0"/>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jc w:val="left"/>
              <w:rPr>
                <w:rFonts w:hint="eastAsia" w:ascii="宋体" w:hAnsi="宋体" w:eastAsia="宋体" w:cs="宋体"/>
                <w:b w:val="0"/>
                <w:bCs w:val="0"/>
                <w:color w:val="auto"/>
                <w:sz w:val="21"/>
                <w:szCs w:val="21"/>
                <w:highlight w:val="none"/>
                <w:lang w:val="en-US" w:eastAsia="zh-CN" w:bidi="ar-SA"/>
              </w:rPr>
            </w:pPr>
            <w:r>
              <w:rPr>
                <w:rFonts w:hint="eastAsia"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eastAsia="zh-CN" w:bidi="ar"/>
              </w:rPr>
            </w:pPr>
            <w:r>
              <w:rPr>
                <w:rFonts w:hint="eastAsia" w:hAnsi="宋体"/>
                <w:b w:val="0"/>
                <w:bCs w:val="0"/>
                <w:color w:val="auto"/>
                <w:sz w:val="21"/>
                <w:szCs w:val="21"/>
                <w:highlight w:val="none"/>
                <w:lang w:val="en-US" w:eastAsia="zh-CN" w:bidi="ar"/>
              </w:rPr>
              <w:t>1</w:t>
            </w:r>
          </w:p>
        </w:tc>
        <w:tc>
          <w:tcPr>
            <w:tcW w:w="888"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学生机</w:t>
            </w:r>
          </w:p>
        </w:tc>
        <w:tc>
          <w:tcPr>
            <w:tcW w:w="630" w:type="dxa"/>
            <w:gridSpan w:val="2"/>
          </w:tcPr>
          <w:p>
            <w:pPr>
              <w:pStyle w:val="20"/>
              <w:ind w:firstLine="0" w:firstLineChars="0"/>
              <w:rPr>
                <w:rFonts w:hint="default" w:hAnsi="宋体"/>
                <w:b w:val="0"/>
                <w:bCs w:val="0"/>
                <w:color w:val="auto"/>
                <w:sz w:val="21"/>
                <w:szCs w:val="21"/>
                <w:highlight w:val="none"/>
                <w:lang w:val="en-US" w:bidi="ar"/>
              </w:rPr>
            </w:pPr>
            <w:r>
              <w:rPr>
                <w:rFonts w:hint="default" w:hAnsi="宋体"/>
                <w:b w:val="0"/>
                <w:bCs w:val="0"/>
                <w:color w:val="auto"/>
                <w:sz w:val="21"/>
                <w:szCs w:val="21"/>
                <w:highlight w:val="none"/>
                <w:lang w:val="en-US" w:bidi="ar"/>
              </w:rPr>
              <w:t>台</w:t>
            </w:r>
          </w:p>
        </w:tc>
        <w:tc>
          <w:tcPr>
            <w:tcW w:w="645" w:type="dxa"/>
          </w:tcPr>
          <w:p>
            <w:pPr>
              <w:pStyle w:val="20"/>
              <w:ind w:firstLine="0" w:firstLineChars="0"/>
              <w:rPr>
                <w:rFonts w:hint="default"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60</w:t>
            </w:r>
          </w:p>
        </w:tc>
        <w:tc>
          <w:tcPr>
            <w:tcW w:w="7265" w:type="dxa"/>
            <w:vAlign w:val="center"/>
          </w:tcPr>
          <w:p>
            <w:pPr>
              <w:spacing w:beforeLines="0" w:afterLines="0"/>
              <w:ind w:left="0" w:leftChars="0" w:firstLine="0" w:firstLineChars="0"/>
              <w:jc w:val="left"/>
              <w:rPr>
                <w:rFonts w:hint="eastAsia"/>
                <w:highlight w:val="none"/>
              </w:rPr>
            </w:pPr>
            <w:r>
              <w:rPr>
                <w:rFonts w:hint="eastAsia"/>
                <w:highlight w:val="none"/>
              </w:rPr>
              <w:t>一、CPU规格及型号</w:t>
            </w:r>
          </w:p>
          <w:p>
            <w:pPr>
              <w:spacing w:beforeLines="0" w:afterLines="0"/>
              <w:ind w:left="0" w:leftChars="0" w:firstLine="0" w:firstLineChars="0"/>
              <w:jc w:val="left"/>
              <w:rPr>
                <w:rFonts w:hint="eastAsia"/>
                <w:highlight w:val="none"/>
              </w:rPr>
            </w:pPr>
            <w:r>
              <w:rPr>
                <w:rFonts w:hint="eastAsia"/>
                <w:highlight w:val="none"/>
              </w:rPr>
              <w:t>★配置1颗国产X86架构CPU，每颗CPU物理核心数≥8核，每核最高主频≥2.7GHz，末级缓存≥8MB，功耗≥70W，CPU通过安全可靠测评，可在中国信息安全测评中心和国家保密科技测评中心网站安全可靠测评结果中查询。</w:t>
            </w:r>
          </w:p>
          <w:p>
            <w:pPr>
              <w:spacing w:beforeLines="0" w:afterLines="0"/>
              <w:ind w:left="0" w:leftChars="0" w:firstLine="0" w:firstLineChars="0"/>
              <w:jc w:val="left"/>
              <w:rPr>
                <w:rFonts w:hint="eastAsia"/>
                <w:highlight w:val="none"/>
              </w:rPr>
            </w:pPr>
            <w:r>
              <w:rPr>
                <w:rFonts w:hint="eastAsia"/>
                <w:highlight w:val="none"/>
              </w:rPr>
              <w:t>二、内存规格</w:t>
            </w:r>
          </w:p>
          <w:p>
            <w:pPr>
              <w:spacing w:beforeLines="0" w:afterLines="0"/>
              <w:ind w:left="0" w:leftChars="0" w:firstLine="0" w:firstLineChars="0"/>
              <w:jc w:val="left"/>
              <w:rPr>
                <w:rFonts w:hint="eastAsia"/>
                <w:highlight w:val="none"/>
              </w:rPr>
            </w:pPr>
            <w:r>
              <w:rPr>
                <w:rFonts w:hint="eastAsia"/>
                <w:highlight w:val="none"/>
              </w:rPr>
              <w:t>★1.内存配置容量：≥8GB</w:t>
            </w:r>
          </w:p>
          <w:p>
            <w:pPr>
              <w:spacing w:beforeLines="0" w:afterLines="0"/>
              <w:ind w:left="0" w:leftChars="0" w:firstLine="0" w:firstLineChars="0"/>
              <w:jc w:val="left"/>
              <w:rPr>
                <w:rFonts w:hint="eastAsia"/>
                <w:highlight w:val="none"/>
              </w:rPr>
            </w:pPr>
            <w:r>
              <w:rPr>
                <w:rFonts w:hint="eastAsia"/>
                <w:highlight w:val="none"/>
              </w:rPr>
              <w:t>★2.内存类型：支持 DDR4内存类型；</w:t>
            </w:r>
          </w:p>
          <w:p>
            <w:pPr>
              <w:spacing w:beforeLines="0" w:afterLines="0"/>
              <w:ind w:left="0" w:leftChars="0" w:firstLine="0" w:firstLineChars="0"/>
              <w:jc w:val="left"/>
              <w:rPr>
                <w:rFonts w:hint="eastAsia"/>
                <w:highlight w:val="none"/>
              </w:rPr>
            </w:pPr>
            <w:r>
              <w:rPr>
                <w:rFonts w:hint="eastAsia"/>
                <w:highlight w:val="none"/>
              </w:rPr>
              <w:t>★3.内存条配置数量（板载内存不涉及）：≥1。</w:t>
            </w:r>
          </w:p>
          <w:p>
            <w:pPr>
              <w:spacing w:beforeLines="0" w:afterLines="0"/>
              <w:ind w:left="0" w:leftChars="0" w:firstLine="0" w:firstLineChars="0"/>
              <w:jc w:val="left"/>
              <w:rPr>
                <w:rFonts w:hint="eastAsia"/>
                <w:highlight w:val="none"/>
              </w:rPr>
            </w:pPr>
            <w:r>
              <w:rPr>
                <w:rFonts w:hint="eastAsia"/>
                <w:highlight w:val="none"/>
              </w:rPr>
              <w:t>三、主板规格</w:t>
            </w:r>
          </w:p>
          <w:p>
            <w:pPr>
              <w:spacing w:beforeLines="0" w:afterLines="0"/>
              <w:ind w:left="0" w:leftChars="0" w:firstLine="0" w:firstLineChars="0"/>
              <w:jc w:val="left"/>
              <w:rPr>
                <w:rFonts w:hint="eastAsia"/>
                <w:highlight w:val="none"/>
              </w:rPr>
            </w:pPr>
            <w:r>
              <w:rPr>
                <w:rFonts w:hint="eastAsia"/>
                <w:highlight w:val="none"/>
              </w:rPr>
              <w:t>★1.主板集成模块：集成资源扩展模块、计算处理模块、音频扩展模块等，主板的互联拓扑可通过处理器或交换电路实现；</w:t>
            </w:r>
          </w:p>
          <w:p>
            <w:pPr>
              <w:spacing w:beforeLines="0" w:afterLines="0"/>
              <w:ind w:left="0" w:leftChars="0" w:firstLine="0" w:firstLineChars="0"/>
              <w:jc w:val="left"/>
              <w:rPr>
                <w:rFonts w:hint="eastAsia"/>
                <w:highlight w:val="none"/>
              </w:rPr>
            </w:pPr>
            <w:r>
              <w:rPr>
                <w:rFonts w:hint="eastAsia"/>
                <w:highlight w:val="none"/>
              </w:rPr>
              <w:t>★2.主板支持的 CPU 和内存情况：≥8核，每核最高主频≥2.7GHz，末级缓存≥8M，设计功耗≥70W；主板支持DDR4内存条数量≥2，内存频率≥2666MT/s；</w:t>
            </w:r>
          </w:p>
          <w:p>
            <w:pPr>
              <w:spacing w:beforeLines="0" w:afterLines="0"/>
              <w:ind w:left="0" w:leftChars="0" w:firstLine="0" w:firstLineChars="0"/>
              <w:jc w:val="left"/>
              <w:rPr>
                <w:rFonts w:hint="eastAsia"/>
                <w:highlight w:val="none"/>
              </w:rPr>
            </w:pPr>
            <w:r>
              <w:rPr>
                <w:rFonts w:hint="eastAsia"/>
                <w:highlight w:val="none"/>
              </w:rPr>
              <w:t>★3.主板内PCIe插槽数量：1*PCIe3.0x16插槽，1*PCIe3.0x8插槽，1*PCIe3.0x4插槽；</w:t>
            </w:r>
          </w:p>
          <w:p>
            <w:pPr>
              <w:spacing w:beforeLines="0" w:afterLines="0"/>
              <w:ind w:left="0" w:leftChars="0" w:firstLine="0" w:firstLineChars="0"/>
              <w:jc w:val="left"/>
              <w:rPr>
                <w:rFonts w:hint="eastAsia"/>
                <w:highlight w:val="none"/>
              </w:rPr>
            </w:pPr>
            <w:r>
              <w:rPr>
                <w:rFonts w:hint="eastAsia"/>
                <w:highlight w:val="none"/>
              </w:rPr>
              <w:t>★4.主板其他内置接口：≥SATA接口*2，≥M.2接口*1，固态硬盘占用M.2接口*1；</w:t>
            </w:r>
          </w:p>
          <w:p>
            <w:pPr>
              <w:spacing w:beforeLines="0" w:afterLines="0"/>
              <w:ind w:left="0" w:leftChars="0" w:firstLine="0" w:firstLineChars="0"/>
              <w:jc w:val="left"/>
              <w:rPr>
                <w:rFonts w:hint="eastAsia"/>
                <w:highlight w:val="none"/>
              </w:rPr>
            </w:pPr>
            <w:r>
              <w:rPr>
                <w:rFonts w:hint="eastAsia"/>
                <w:highlight w:val="none"/>
              </w:rPr>
              <w:t>★5.单内存插槽最大可支持容量（板载内存不涉及）：≥8GB；</w:t>
            </w:r>
          </w:p>
          <w:p>
            <w:pPr>
              <w:spacing w:beforeLines="0" w:afterLines="0"/>
              <w:ind w:left="0" w:leftChars="0" w:firstLine="0" w:firstLineChars="0"/>
              <w:jc w:val="left"/>
              <w:rPr>
                <w:rFonts w:hint="eastAsia"/>
                <w:highlight w:val="none"/>
              </w:rPr>
            </w:pPr>
            <w:r>
              <w:rPr>
                <w:rFonts w:hint="eastAsia"/>
                <w:highlight w:val="none"/>
              </w:rPr>
              <w:t>★6.内存插槽满配时提供的最高内存总容量：≥16GB。</w:t>
            </w:r>
          </w:p>
          <w:p>
            <w:pPr>
              <w:spacing w:beforeLines="0" w:afterLines="0"/>
              <w:ind w:left="0" w:leftChars="0" w:firstLine="0" w:firstLineChars="0"/>
              <w:jc w:val="left"/>
              <w:rPr>
                <w:rFonts w:hint="eastAsia"/>
                <w:highlight w:val="none"/>
              </w:rPr>
            </w:pPr>
            <w:r>
              <w:rPr>
                <w:rFonts w:hint="eastAsia"/>
                <w:highlight w:val="none"/>
              </w:rPr>
              <w:t>四、存储设备规格</w:t>
            </w:r>
          </w:p>
          <w:p>
            <w:pPr>
              <w:spacing w:beforeLines="0" w:afterLines="0"/>
              <w:ind w:left="0" w:leftChars="0" w:firstLine="0" w:firstLineChars="0"/>
              <w:jc w:val="left"/>
              <w:rPr>
                <w:rFonts w:hint="eastAsia"/>
                <w:highlight w:val="none"/>
              </w:rPr>
            </w:pPr>
            <w:r>
              <w:rPr>
                <w:rFonts w:hint="eastAsia"/>
                <w:highlight w:val="none"/>
              </w:rPr>
              <w:t xml:space="preserve">★1.固态盘数量：≥1 个； </w:t>
            </w:r>
          </w:p>
          <w:p>
            <w:pPr>
              <w:spacing w:beforeLines="0" w:afterLines="0"/>
              <w:ind w:left="0" w:leftChars="0" w:firstLine="0" w:firstLineChars="0"/>
              <w:jc w:val="left"/>
              <w:rPr>
                <w:rFonts w:hint="eastAsia"/>
                <w:highlight w:val="none"/>
              </w:rPr>
            </w:pPr>
            <w:r>
              <w:rPr>
                <w:rFonts w:hint="eastAsia"/>
                <w:highlight w:val="none"/>
              </w:rPr>
              <w:t>★2.固态存储容量：≥256GB；</w:t>
            </w:r>
          </w:p>
          <w:p>
            <w:pPr>
              <w:spacing w:beforeLines="0" w:afterLines="0"/>
              <w:ind w:left="0" w:leftChars="0" w:firstLine="0" w:firstLineChars="0"/>
              <w:jc w:val="left"/>
              <w:rPr>
                <w:rFonts w:hint="eastAsia"/>
                <w:highlight w:val="none"/>
              </w:rPr>
            </w:pPr>
            <w:r>
              <w:rPr>
                <w:rFonts w:hint="eastAsia"/>
                <w:highlight w:val="none"/>
              </w:rPr>
              <w:t>★3.固态存储接口协议：NVMe</w:t>
            </w:r>
          </w:p>
          <w:p>
            <w:pPr>
              <w:spacing w:beforeLines="0" w:afterLines="0"/>
              <w:ind w:left="0" w:leftChars="0" w:firstLine="0" w:firstLineChars="0"/>
              <w:jc w:val="left"/>
              <w:rPr>
                <w:rFonts w:hint="eastAsia"/>
                <w:highlight w:val="none"/>
              </w:rPr>
            </w:pPr>
            <w:r>
              <w:rPr>
                <w:rFonts w:hint="eastAsia"/>
                <w:highlight w:val="none"/>
              </w:rPr>
              <w:t>★4.固态存储形态：采用插卡形态，符合NVMe M.2标准；</w:t>
            </w:r>
          </w:p>
          <w:p>
            <w:pPr>
              <w:spacing w:beforeLines="0" w:afterLines="0"/>
              <w:ind w:left="0" w:leftChars="0" w:firstLine="0" w:firstLineChars="0"/>
              <w:jc w:val="left"/>
              <w:rPr>
                <w:rFonts w:hint="eastAsia"/>
                <w:highlight w:val="none"/>
              </w:rPr>
            </w:pPr>
            <w:r>
              <w:rPr>
                <w:rFonts w:hint="eastAsia"/>
                <w:highlight w:val="none"/>
              </w:rPr>
              <w:t>★5.存储设备其他参数要求：a)固态盘应符合SJ/T 11654相关规定；b)机械硬盘准备时间应不大于30s；侧面固定螺丝孔数量可为 4 孔或 6 孔；工作状态环境温度应满足5℃-55℃；其它参数应符合GB/T 12628相关规定。</w:t>
            </w:r>
          </w:p>
          <w:p>
            <w:pPr>
              <w:spacing w:beforeLines="0" w:afterLines="0"/>
              <w:ind w:left="0" w:leftChars="0" w:firstLine="0" w:firstLineChars="0"/>
              <w:jc w:val="left"/>
              <w:rPr>
                <w:rFonts w:hint="eastAsia"/>
                <w:highlight w:val="none"/>
              </w:rPr>
            </w:pPr>
            <w:r>
              <w:rPr>
                <w:rFonts w:hint="eastAsia"/>
                <w:highlight w:val="none"/>
              </w:rPr>
              <w:t>五、显卡规格</w:t>
            </w:r>
          </w:p>
          <w:p>
            <w:pPr>
              <w:spacing w:beforeLines="0" w:afterLines="0"/>
              <w:ind w:left="0" w:leftChars="0" w:firstLine="0" w:firstLineChars="0"/>
              <w:jc w:val="left"/>
              <w:rPr>
                <w:rFonts w:hint="eastAsia"/>
                <w:highlight w:val="none"/>
              </w:rPr>
            </w:pPr>
            <w:r>
              <w:rPr>
                <w:rFonts w:hint="eastAsia"/>
                <w:highlight w:val="none"/>
              </w:rPr>
              <w:t>★显卡类型：集成显卡；</w:t>
            </w:r>
          </w:p>
          <w:p>
            <w:pPr>
              <w:spacing w:beforeLines="0" w:afterLines="0"/>
              <w:ind w:left="0" w:leftChars="0" w:firstLine="0" w:firstLineChars="0"/>
              <w:jc w:val="left"/>
              <w:rPr>
                <w:rFonts w:hint="eastAsia"/>
                <w:highlight w:val="none"/>
              </w:rPr>
            </w:pPr>
            <w:r>
              <w:rPr>
                <w:rFonts w:hint="eastAsia"/>
                <w:highlight w:val="none"/>
              </w:rPr>
              <w:t>六、显示设备规格</w:t>
            </w:r>
          </w:p>
          <w:p>
            <w:pPr>
              <w:spacing w:beforeLines="0" w:afterLines="0"/>
              <w:ind w:left="0" w:leftChars="0" w:firstLine="0" w:firstLineChars="0"/>
              <w:jc w:val="left"/>
              <w:rPr>
                <w:rFonts w:hint="eastAsia"/>
                <w:highlight w:val="none"/>
              </w:rPr>
            </w:pPr>
            <w:r>
              <w:rPr>
                <w:rFonts w:hint="eastAsia"/>
                <w:highlight w:val="none"/>
              </w:rPr>
              <w:t>★1.显示屏屏占比：≥90%；</w:t>
            </w:r>
          </w:p>
          <w:p>
            <w:pPr>
              <w:spacing w:beforeLines="0" w:afterLines="0"/>
              <w:ind w:left="0" w:leftChars="0" w:firstLine="0" w:firstLineChars="0"/>
              <w:jc w:val="left"/>
              <w:rPr>
                <w:rFonts w:hint="eastAsia"/>
                <w:highlight w:val="none"/>
              </w:rPr>
            </w:pPr>
            <w:r>
              <w:rPr>
                <w:rFonts w:hint="eastAsia"/>
                <w:highlight w:val="none"/>
              </w:rPr>
              <w:t>★2.显示屏分辨率：≥1920*1080；</w:t>
            </w:r>
          </w:p>
          <w:p>
            <w:pPr>
              <w:spacing w:beforeLines="0" w:afterLines="0"/>
              <w:ind w:left="0" w:leftChars="0" w:firstLine="0" w:firstLineChars="0"/>
              <w:jc w:val="left"/>
              <w:rPr>
                <w:rFonts w:hint="eastAsia"/>
                <w:highlight w:val="none"/>
              </w:rPr>
            </w:pPr>
            <w:r>
              <w:rPr>
                <w:rFonts w:hint="eastAsia"/>
                <w:highlight w:val="none"/>
              </w:rPr>
              <w:t>★3.显示屏尺寸：≥</w:t>
            </w:r>
            <w:r>
              <w:rPr>
                <w:rFonts w:hint="eastAsia"/>
                <w:highlight w:val="none"/>
                <w:lang w:val="en-US" w:eastAsia="zh-CN"/>
              </w:rPr>
              <w:t>21.5</w:t>
            </w:r>
            <w:r>
              <w:rPr>
                <w:rFonts w:hint="eastAsia"/>
                <w:highlight w:val="none"/>
              </w:rPr>
              <w:t>英寸；</w:t>
            </w:r>
          </w:p>
          <w:p>
            <w:pPr>
              <w:spacing w:beforeLines="0" w:afterLines="0"/>
              <w:ind w:left="0" w:leftChars="0" w:firstLine="0" w:firstLineChars="0"/>
              <w:jc w:val="left"/>
              <w:rPr>
                <w:rFonts w:hint="eastAsia"/>
                <w:highlight w:val="none"/>
              </w:rPr>
            </w:pPr>
            <w:r>
              <w:rPr>
                <w:rFonts w:hint="eastAsia"/>
                <w:highlight w:val="none"/>
              </w:rPr>
              <w:t xml:space="preserve">★4.显示屏屏幕比例：16:9； </w:t>
            </w:r>
          </w:p>
          <w:p>
            <w:pPr>
              <w:spacing w:beforeLines="0" w:afterLines="0"/>
              <w:ind w:left="0" w:leftChars="0" w:firstLine="0" w:firstLineChars="0"/>
              <w:jc w:val="left"/>
              <w:rPr>
                <w:rFonts w:hint="eastAsia"/>
                <w:highlight w:val="none"/>
              </w:rPr>
            </w:pPr>
            <w:r>
              <w:rPr>
                <w:rFonts w:hint="eastAsia"/>
                <w:highlight w:val="none"/>
              </w:rPr>
              <w:t>★5.显示器外观颜色：黑色；</w:t>
            </w:r>
          </w:p>
          <w:p>
            <w:pPr>
              <w:spacing w:beforeLines="0" w:afterLines="0"/>
              <w:ind w:left="0" w:leftChars="0" w:firstLine="0" w:firstLineChars="0"/>
              <w:jc w:val="left"/>
              <w:rPr>
                <w:rFonts w:hint="eastAsia"/>
                <w:highlight w:val="none"/>
              </w:rPr>
            </w:pPr>
            <w:r>
              <w:rPr>
                <w:rFonts w:hint="eastAsia"/>
                <w:highlight w:val="none"/>
              </w:rPr>
              <w:t>6.显示屏防蓝光：支持防蓝光模式，蓝光加权辐射亮度比应≤0.0012W/(·cd·sr)（瓦每坎特拉每球面度）；</w:t>
            </w:r>
          </w:p>
          <w:p>
            <w:pPr>
              <w:spacing w:beforeLines="0" w:afterLines="0"/>
              <w:ind w:left="0" w:leftChars="0" w:firstLine="0" w:firstLineChars="0"/>
              <w:jc w:val="left"/>
              <w:rPr>
                <w:rFonts w:hint="eastAsia"/>
                <w:highlight w:val="none"/>
              </w:rPr>
            </w:pPr>
            <w:r>
              <w:rPr>
                <w:rFonts w:hint="eastAsia"/>
                <w:highlight w:val="none"/>
              </w:rPr>
              <w:t>★7.显示屏低频闪：显示屏应支持低频闪≤-35dB；</w:t>
            </w:r>
          </w:p>
          <w:p>
            <w:pPr>
              <w:spacing w:beforeLines="0" w:afterLines="0"/>
              <w:ind w:left="0" w:leftChars="0" w:firstLine="0" w:firstLineChars="0"/>
              <w:jc w:val="left"/>
              <w:rPr>
                <w:rFonts w:hint="eastAsia"/>
                <w:highlight w:val="none"/>
              </w:rPr>
            </w:pPr>
            <w:r>
              <w:rPr>
                <w:rFonts w:hint="eastAsia"/>
                <w:highlight w:val="none"/>
              </w:rPr>
              <w:t>★8.显示屏防炫目：显示屏镜面反射率≤10%。</w:t>
            </w:r>
          </w:p>
          <w:p>
            <w:pPr>
              <w:spacing w:beforeLines="0" w:afterLines="0"/>
              <w:ind w:left="0" w:leftChars="0" w:firstLine="0" w:firstLineChars="0"/>
              <w:jc w:val="left"/>
              <w:rPr>
                <w:rFonts w:hint="eastAsia"/>
                <w:highlight w:val="none"/>
              </w:rPr>
            </w:pPr>
            <w:r>
              <w:rPr>
                <w:rFonts w:hint="eastAsia"/>
                <w:highlight w:val="none"/>
              </w:rPr>
              <w:t>七、外设规格</w:t>
            </w:r>
          </w:p>
          <w:p>
            <w:pPr>
              <w:spacing w:beforeLines="0" w:afterLines="0"/>
              <w:ind w:left="0" w:leftChars="0" w:firstLine="0" w:firstLineChars="0"/>
              <w:jc w:val="left"/>
              <w:rPr>
                <w:rFonts w:hint="eastAsia"/>
                <w:highlight w:val="none"/>
              </w:rPr>
            </w:pPr>
            <w:r>
              <w:rPr>
                <w:rFonts w:hint="eastAsia"/>
                <w:highlight w:val="none"/>
              </w:rPr>
              <w:t>★1.鼠标数量：≥1个；</w:t>
            </w:r>
          </w:p>
          <w:p>
            <w:pPr>
              <w:spacing w:beforeLines="0" w:afterLines="0"/>
              <w:ind w:left="0" w:leftChars="0" w:firstLine="0" w:firstLineChars="0"/>
              <w:jc w:val="left"/>
              <w:rPr>
                <w:rFonts w:hint="eastAsia"/>
                <w:highlight w:val="none"/>
              </w:rPr>
            </w:pPr>
            <w:r>
              <w:rPr>
                <w:rFonts w:hint="eastAsia"/>
                <w:highlight w:val="none"/>
              </w:rPr>
              <w:t>★2.键盘数量：≥1个；</w:t>
            </w:r>
          </w:p>
          <w:p>
            <w:pPr>
              <w:spacing w:beforeLines="0" w:afterLines="0"/>
              <w:ind w:left="0" w:leftChars="0" w:firstLine="0" w:firstLineChars="0"/>
              <w:jc w:val="left"/>
              <w:rPr>
                <w:rFonts w:hint="eastAsia"/>
                <w:highlight w:val="none"/>
              </w:rPr>
            </w:pPr>
            <w:r>
              <w:rPr>
                <w:rFonts w:hint="eastAsia"/>
                <w:highlight w:val="none"/>
              </w:rPr>
              <w:t>★3.键盘按键数目：≥104键；</w:t>
            </w:r>
          </w:p>
          <w:p>
            <w:pPr>
              <w:spacing w:beforeLines="0" w:afterLines="0"/>
              <w:ind w:left="0" w:leftChars="0" w:firstLine="0" w:firstLineChars="0"/>
              <w:jc w:val="left"/>
              <w:rPr>
                <w:rFonts w:hint="eastAsia"/>
                <w:highlight w:val="none"/>
              </w:rPr>
            </w:pPr>
            <w:r>
              <w:rPr>
                <w:rFonts w:hint="eastAsia"/>
                <w:highlight w:val="none"/>
              </w:rPr>
              <w:t>★4.键盘连接方式：有线；</w:t>
            </w:r>
          </w:p>
          <w:p>
            <w:pPr>
              <w:spacing w:beforeLines="0" w:afterLines="0"/>
              <w:ind w:left="0" w:leftChars="0" w:firstLine="0" w:firstLineChars="0"/>
              <w:jc w:val="left"/>
              <w:rPr>
                <w:rFonts w:hint="eastAsia"/>
                <w:highlight w:val="none"/>
              </w:rPr>
            </w:pPr>
            <w:r>
              <w:rPr>
                <w:rFonts w:hint="eastAsia"/>
                <w:highlight w:val="none"/>
              </w:rPr>
              <w:t>★5.键盘键程：2.3mm-4.0mm；</w:t>
            </w:r>
          </w:p>
          <w:p>
            <w:pPr>
              <w:spacing w:beforeLines="0" w:afterLines="0"/>
              <w:ind w:left="0" w:leftChars="0" w:firstLine="0" w:firstLineChars="0"/>
              <w:jc w:val="left"/>
              <w:rPr>
                <w:rFonts w:hint="eastAsia"/>
                <w:highlight w:val="none"/>
              </w:rPr>
            </w:pPr>
            <w:r>
              <w:rPr>
                <w:rFonts w:hint="eastAsia"/>
                <w:highlight w:val="none"/>
              </w:rPr>
              <w:t>★6.键盘按键压力：按键压力应在0.54N±0.14N；</w:t>
            </w:r>
          </w:p>
          <w:p>
            <w:pPr>
              <w:spacing w:beforeLines="0" w:afterLines="0"/>
              <w:ind w:left="0" w:leftChars="0" w:firstLine="0" w:firstLineChars="0"/>
              <w:jc w:val="left"/>
              <w:rPr>
                <w:rFonts w:hint="eastAsia"/>
                <w:highlight w:val="none"/>
              </w:rPr>
            </w:pPr>
            <w:r>
              <w:rPr>
                <w:rFonts w:hint="eastAsia"/>
                <w:highlight w:val="none"/>
              </w:rPr>
              <w:t>★7.有线键盘连接线：≥1.8米；</w:t>
            </w:r>
          </w:p>
          <w:p>
            <w:pPr>
              <w:spacing w:beforeLines="0" w:afterLines="0"/>
              <w:ind w:left="0" w:leftChars="0" w:firstLine="0" w:firstLineChars="0"/>
              <w:jc w:val="left"/>
              <w:rPr>
                <w:rFonts w:hint="eastAsia"/>
                <w:highlight w:val="none"/>
              </w:rPr>
            </w:pPr>
            <w:r>
              <w:rPr>
                <w:rFonts w:hint="eastAsia"/>
                <w:highlight w:val="none"/>
              </w:rPr>
              <w:t>★8.键盘颜色：黑色；</w:t>
            </w:r>
          </w:p>
          <w:p>
            <w:pPr>
              <w:spacing w:beforeLines="0" w:afterLines="0"/>
              <w:ind w:left="0" w:leftChars="0" w:firstLine="0" w:firstLineChars="0"/>
              <w:jc w:val="left"/>
              <w:rPr>
                <w:rFonts w:hint="eastAsia"/>
                <w:highlight w:val="none"/>
              </w:rPr>
            </w:pPr>
            <w:r>
              <w:rPr>
                <w:rFonts w:hint="eastAsia"/>
                <w:highlight w:val="none"/>
              </w:rPr>
              <w:t>★9.鼠标连接方式：有线；</w:t>
            </w:r>
          </w:p>
          <w:p>
            <w:pPr>
              <w:spacing w:beforeLines="0" w:afterLines="0"/>
              <w:ind w:left="0" w:leftChars="0" w:firstLine="0" w:firstLineChars="0"/>
              <w:jc w:val="left"/>
              <w:rPr>
                <w:rFonts w:hint="eastAsia"/>
                <w:highlight w:val="none"/>
              </w:rPr>
            </w:pPr>
            <w:r>
              <w:rPr>
                <w:rFonts w:hint="eastAsia"/>
                <w:highlight w:val="none"/>
              </w:rPr>
              <w:t>★10.有线鼠标连接线：≥1.8米；</w:t>
            </w:r>
          </w:p>
          <w:p>
            <w:pPr>
              <w:spacing w:beforeLines="0" w:afterLines="0"/>
              <w:ind w:left="0" w:leftChars="0" w:firstLine="0" w:firstLineChars="0"/>
              <w:jc w:val="left"/>
              <w:rPr>
                <w:rFonts w:hint="eastAsia"/>
                <w:highlight w:val="none"/>
              </w:rPr>
            </w:pPr>
            <w:r>
              <w:rPr>
                <w:rFonts w:hint="eastAsia"/>
                <w:highlight w:val="none"/>
              </w:rPr>
              <w:t>★11.鼠标DPI分辨率：800-1600；</w:t>
            </w:r>
          </w:p>
          <w:p>
            <w:pPr>
              <w:spacing w:beforeLines="0" w:afterLines="0"/>
              <w:ind w:left="0" w:leftChars="0" w:firstLine="0" w:firstLineChars="0"/>
              <w:jc w:val="left"/>
              <w:rPr>
                <w:rFonts w:hint="eastAsia"/>
                <w:highlight w:val="none"/>
              </w:rPr>
            </w:pPr>
            <w:r>
              <w:rPr>
                <w:rFonts w:hint="eastAsia"/>
                <w:highlight w:val="none"/>
              </w:rPr>
              <w:t>★12.鼠标颜色：黑色；</w:t>
            </w:r>
          </w:p>
          <w:p>
            <w:pPr>
              <w:spacing w:beforeLines="0" w:afterLines="0"/>
              <w:ind w:left="0" w:leftChars="0" w:firstLine="0" w:firstLineChars="0"/>
              <w:jc w:val="left"/>
              <w:rPr>
                <w:rFonts w:hint="eastAsia"/>
                <w:highlight w:val="none"/>
              </w:rPr>
            </w:pPr>
            <w:r>
              <w:rPr>
                <w:rFonts w:hint="eastAsia"/>
                <w:highlight w:val="none"/>
              </w:rPr>
              <w:t>★13.鼠标其他要求：其它参数应符合GB/T 26245的相关规定。</w:t>
            </w:r>
          </w:p>
          <w:p>
            <w:pPr>
              <w:spacing w:beforeLines="0" w:afterLines="0"/>
              <w:ind w:left="0" w:leftChars="0" w:firstLine="0" w:firstLineChars="0"/>
              <w:jc w:val="left"/>
              <w:rPr>
                <w:rFonts w:hint="eastAsia"/>
                <w:highlight w:val="none"/>
              </w:rPr>
            </w:pPr>
            <w:r>
              <w:rPr>
                <w:rFonts w:hint="eastAsia"/>
                <w:highlight w:val="none"/>
              </w:rPr>
              <w:t>八、网络设备规格</w:t>
            </w:r>
          </w:p>
          <w:p>
            <w:pPr>
              <w:spacing w:beforeLines="0" w:afterLines="0"/>
              <w:ind w:left="0" w:leftChars="0" w:firstLine="0" w:firstLineChars="0"/>
              <w:jc w:val="left"/>
              <w:rPr>
                <w:rFonts w:hint="eastAsia"/>
                <w:highlight w:val="none"/>
              </w:rPr>
            </w:pPr>
            <w:r>
              <w:rPr>
                <w:rFonts w:hint="eastAsia"/>
                <w:highlight w:val="none"/>
              </w:rPr>
              <w:t>★有线网卡数量：≥1；</w:t>
            </w:r>
          </w:p>
          <w:p>
            <w:pPr>
              <w:spacing w:beforeLines="0" w:afterLines="0"/>
              <w:ind w:left="0" w:leftChars="0" w:firstLine="0" w:firstLineChars="0"/>
              <w:jc w:val="left"/>
              <w:rPr>
                <w:rFonts w:hint="eastAsia"/>
                <w:highlight w:val="none"/>
              </w:rPr>
            </w:pPr>
            <w:r>
              <w:rPr>
                <w:rFonts w:hint="eastAsia"/>
                <w:highlight w:val="none"/>
              </w:rPr>
              <w:t>九、外部接口规格</w:t>
            </w:r>
          </w:p>
          <w:p>
            <w:pPr>
              <w:spacing w:beforeLines="0" w:afterLines="0"/>
              <w:ind w:left="0" w:leftChars="0" w:firstLine="0" w:firstLineChars="0"/>
              <w:jc w:val="left"/>
              <w:rPr>
                <w:rFonts w:hint="eastAsia"/>
                <w:highlight w:val="none"/>
              </w:rPr>
            </w:pPr>
            <w:r>
              <w:rPr>
                <w:rFonts w:hint="eastAsia"/>
                <w:highlight w:val="none"/>
              </w:rPr>
              <w:t>★1.USB 接口数量：机箱前面板应提供不少于5个USB 接口（含2个USB3.0及以上接口，含1个Type-C接口），机箱后面板应提供不少于6个USB接口（含4个USB3.0及以上接口）；</w:t>
            </w:r>
          </w:p>
          <w:p>
            <w:pPr>
              <w:spacing w:beforeLines="0" w:afterLines="0"/>
              <w:ind w:left="0" w:leftChars="0" w:firstLine="0" w:firstLineChars="0"/>
              <w:jc w:val="left"/>
              <w:rPr>
                <w:rFonts w:hint="eastAsia"/>
                <w:highlight w:val="none"/>
              </w:rPr>
            </w:pPr>
            <w:r>
              <w:rPr>
                <w:rFonts w:hint="eastAsia"/>
                <w:highlight w:val="none"/>
              </w:rPr>
              <w:t>★2.视频接口数量：≥3，视频接口支持HDMI、VGA与DP接口；</w:t>
            </w:r>
          </w:p>
          <w:p>
            <w:pPr>
              <w:spacing w:beforeLines="0" w:afterLines="0"/>
              <w:ind w:left="0" w:leftChars="0" w:firstLine="0" w:firstLineChars="0"/>
              <w:jc w:val="left"/>
              <w:rPr>
                <w:rFonts w:hint="eastAsia"/>
                <w:highlight w:val="none"/>
              </w:rPr>
            </w:pPr>
            <w:r>
              <w:rPr>
                <w:rFonts w:hint="eastAsia"/>
                <w:highlight w:val="none"/>
              </w:rPr>
              <w:t>★3.音频接口数量：机箱前面板提供麦克风/耳机二合一接口*1；机箱后面板提供麦克风输入接口*1，音频输出接口*1，音频输入接口*1。</w:t>
            </w:r>
          </w:p>
          <w:p>
            <w:pPr>
              <w:spacing w:beforeLines="0" w:afterLines="0"/>
              <w:ind w:left="0" w:leftChars="0" w:firstLine="0" w:firstLineChars="0"/>
              <w:jc w:val="left"/>
              <w:rPr>
                <w:rFonts w:hint="eastAsia"/>
                <w:highlight w:val="none"/>
              </w:rPr>
            </w:pPr>
            <w:r>
              <w:rPr>
                <w:rFonts w:hint="eastAsia"/>
                <w:highlight w:val="none"/>
              </w:rPr>
              <w:t>十、整机基础规格</w:t>
            </w:r>
          </w:p>
          <w:p>
            <w:pPr>
              <w:spacing w:beforeLines="0" w:afterLines="0"/>
              <w:ind w:left="0" w:leftChars="0" w:firstLine="0" w:firstLineChars="0"/>
              <w:jc w:val="left"/>
              <w:rPr>
                <w:rFonts w:hint="eastAsia"/>
                <w:highlight w:val="none"/>
              </w:rPr>
            </w:pPr>
            <w:r>
              <w:rPr>
                <w:rFonts w:hint="eastAsia"/>
                <w:highlight w:val="none"/>
              </w:rPr>
              <w:t>★1.整机外观：a) 产品表面不应有凹痕、划伤、裂缝、变形和污染等。表面涂层均匀，不应起泡、龟裂、脱落和磨损，金属零部件无锈蚀及其它机械损伤；b) 产品表面说明功能的文字、符号、标志，应清晰、端正、牢固；</w:t>
            </w:r>
          </w:p>
          <w:p>
            <w:pPr>
              <w:spacing w:beforeLines="0" w:afterLines="0"/>
              <w:ind w:left="0" w:leftChars="0" w:firstLine="0" w:firstLineChars="0"/>
              <w:jc w:val="left"/>
              <w:rPr>
                <w:rFonts w:hint="eastAsia"/>
                <w:highlight w:val="none"/>
              </w:rPr>
            </w:pPr>
            <w:r>
              <w:rPr>
                <w:rFonts w:hint="eastAsia"/>
                <w:highlight w:val="none"/>
              </w:rPr>
              <w:t>★2.状态指示灯：在产品显著位置提供状态指示功能；</w:t>
            </w:r>
          </w:p>
          <w:p>
            <w:pPr>
              <w:spacing w:beforeLines="0" w:afterLines="0"/>
              <w:ind w:left="0" w:leftChars="0" w:firstLine="0" w:firstLineChars="0"/>
              <w:jc w:val="left"/>
              <w:rPr>
                <w:rFonts w:hint="eastAsia"/>
                <w:highlight w:val="none"/>
              </w:rPr>
            </w:pPr>
            <w:r>
              <w:rPr>
                <w:rFonts w:hint="eastAsia"/>
                <w:highlight w:val="none"/>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pPr>
              <w:spacing w:beforeLines="0" w:afterLines="0"/>
              <w:ind w:left="0" w:leftChars="0" w:firstLine="0" w:firstLineChars="0"/>
              <w:jc w:val="left"/>
              <w:rPr>
                <w:rFonts w:hint="eastAsia"/>
                <w:highlight w:val="none"/>
              </w:rPr>
            </w:pPr>
            <w:r>
              <w:rPr>
                <w:rFonts w:hint="eastAsia"/>
                <w:highlight w:val="none"/>
              </w:rPr>
              <w:t>★4.机箱防护要求：机箱应符合GB/T 4208中IP20防护要求；</w:t>
            </w:r>
          </w:p>
          <w:p>
            <w:pPr>
              <w:spacing w:beforeLines="0" w:afterLines="0"/>
              <w:ind w:left="0" w:leftChars="0" w:firstLine="0" w:firstLineChars="0"/>
              <w:jc w:val="left"/>
              <w:rPr>
                <w:rFonts w:hint="eastAsia"/>
                <w:highlight w:val="none"/>
              </w:rPr>
            </w:pPr>
            <w:r>
              <w:rPr>
                <w:rFonts w:hint="eastAsia"/>
                <w:highlight w:val="none"/>
              </w:rPr>
              <w:t>★5.整机噪音：产品工作在空闲状态下，产品的声功率级应不超过4.5Bel；</w:t>
            </w:r>
          </w:p>
          <w:p>
            <w:pPr>
              <w:spacing w:beforeLines="0" w:afterLines="0"/>
              <w:ind w:left="0" w:leftChars="0" w:firstLine="0" w:firstLineChars="0"/>
              <w:jc w:val="left"/>
              <w:rPr>
                <w:rFonts w:hint="eastAsia"/>
                <w:highlight w:val="none"/>
              </w:rPr>
            </w:pPr>
            <w:r>
              <w:rPr>
                <w:rFonts w:hint="eastAsia"/>
                <w:highlight w:val="none"/>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spacing w:beforeLines="0" w:afterLines="0"/>
              <w:ind w:left="0" w:leftChars="0" w:firstLine="0" w:firstLineChars="0"/>
              <w:jc w:val="left"/>
              <w:rPr>
                <w:rFonts w:hint="eastAsia"/>
                <w:highlight w:val="none"/>
              </w:rPr>
            </w:pPr>
            <w:r>
              <w:rPr>
                <w:rFonts w:hint="eastAsia"/>
                <w:highlight w:val="none"/>
              </w:rPr>
              <w:t>★7.整机能效限定值：产品能效限定值应达到GB 28380-2012标准中能效等级2级及以上；</w:t>
            </w:r>
            <w:r>
              <w:rPr>
                <w:rFonts w:hint="eastAsia" w:ascii="宋体" w:hAnsi="宋体" w:cs="宋体"/>
                <w:b w:val="0"/>
                <w:bCs w:val="0"/>
                <w:color w:val="auto"/>
                <w:szCs w:val="21"/>
                <w:highlight w:val="none"/>
                <w:lang w:val="en-US" w:eastAsia="zh-CN"/>
              </w:rPr>
              <w:t>产品型号获得依据国家确定的认证机构出具的、处于有效期之内的节能产品认证证书</w:t>
            </w:r>
          </w:p>
          <w:p>
            <w:pPr>
              <w:spacing w:beforeLines="0" w:afterLines="0"/>
              <w:ind w:left="0" w:leftChars="0" w:firstLine="0" w:firstLineChars="0"/>
              <w:jc w:val="left"/>
              <w:rPr>
                <w:rFonts w:hint="eastAsia"/>
                <w:highlight w:val="none"/>
              </w:rPr>
            </w:pPr>
            <w:r>
              <w:rPr>
                <w:rFonts w:hint="eastAsia"/>
                <w:highlight w:val="none"/>
              </w:rPr>
              <w:t>★8.机身材质：金属；</w:t>
            </w:r>
          </w:p>
          <w:p>
            <w:pPr>
              <w:spacing w:beforeLines="0" w:afterLines="0"/>
              <w:ind w:left="0" w:leftChars="0" w:firstLine="0" w:firstLineChars="0"/>
              <w:jc w:val="left"/>
              <w:rPr>
                <w:rFonts w:hint="eastAsia"/>
                <w:highlight w:val="none"/>
              </w:rPr>
            </w:pPr>
            <w:r>
              <w:rPr>
                <w:rFonts w:hint="eastAsia"/>
                <w:highlight w:val="none"/>
              </w:rPr>
              <w:t>★9.机身颜色：黑色；</w:t>
            </w:r>
          </w:p>
          <w:p>
            <w:pPr>
              <w:spacing w:beforeLines="0" w:afterLines="0"/>
              <w:ind w:left="0" w:leftChars="0" w:firstLine="0" w:firstLineChars="0"/>
              <w:jc w:val="left"/>
              <w:rPr>
                <w:rFonts w:hint="eastAsia"/>
                <w:highlight w:val="none"/>
              </w:rPr>
            </w:pPr>
            <w:r>
              <w:rPr>
                <w:rFonts w:hint="eastAsia"/>
                <w:highlight w:val="none"/>
              </w:rPr>
              <w:t>★10.机箱尺寸容量：机箱体积应≤9L。</w:t>
            </w:r>
          </w:p>
          <w:p>
            <w:pPr>
              <w:spacing w:beforeLines="0" w:afterLines="0"/>
              <w:ind w:left="0" w:leftChars="0" w:firstLine="0" w:firstLineChars="0"/>
              <w:jc w:val="left"/>
              <w:rPr>
                <w:rFonts w:hint="eastAsia"/>
                <w:highlight w:val="none"/>
              </w:rPr>
            </w:pPr>
            <w:r>
              <w:rPr>
                <w:rFonts w:hint="eastAsia"/>
                <w:highlight w:val="none"/>
              </w:rPr>
              <w:t>十一、CPU性能</w:t>
            </w:r>
          </w:p>
          <w:p>
            <w:pPr>
              <w:spacing w:beforeLines="0" w:afterLines="0"/>
              <w:ind w:left="0" w:leftChars="0" w:firstLine="0" w:firstLineChars="0"/>
              <w:jc w:val="left"/>
              <w:rPr>
                <w:rFonts w:hint="eastAsia"/>
                <w:highlight w:val="none"/>
              </w:rPr>
            </w:pPr>
            <w:r>
              <w:rPr>
                <w:rFonts w:hint="eastAsia"/>
                <w:highlight w:val="none"/>
              </w:rPr>
              <w:t>★1.CPU 物理核数：≥8；</w:t>
            </w:r>
          </w:p>
          <w:p>
            <w:pPr>
              <w:spacing w:beforeLines="0" w:afterLines="0"/>
              <w:ind w:left="0" w:leftChars="0" w:firstLine="0" w:firstLineChars="0"/>
              <w:jc w:val="left"/>
              <w:rPr>
                <w:rFonts w:hint="eastAsia"/>
                <w:highlight w:val="none"/>
              </w:rPr>
            </w:pPr>
            <w:r>
              <w:rPr>
                <w:rFonts w:hint="eastAsia"/>
                <w:highlight w:val="none"/>
              </w:rPr>
              <w:t>★2.CPU 主频：≥2.7GHz；</w:t>
            </w:r>
          </w:p>
          <w:p>
            <w:pPr>
              <w:spacing w:beforeLines="0" w:afterLines="0"/>
              <w:ind w:left="0" w:leftChars="0" w:firstLine="0" w:firstLineChars="0"/>
              <w:jc w:val="left"/>
              <w:rPr>
                <w:rFonts w:hint="eastAsia"/>
                <w:highlight w:val="none"/>
              </w:rPr>
            </w:pPr>
            <w:r>
              <w:rPr>
                <w:rFonts w:hint="eastAsia"/>
                <w:highlight w:val="none"/>
              </w:rPr>
              <w:t>★3.CPU 末级缓存容量：≥8MB；</w:t>
            </w:r>
          </w:p>
          <w:p>
            <w:pPr>
              <w:spacing w:beforeLines="0" w:afterLines="0"/>
              <w:ind w:left="0" w:leftChars="0" w:firstLine="0" w:firstLineChars="0"/>
              <w:jc w:val="left"/>
              <w:rPr>
                <w:rFonts w:hint="eastAsia"/>
                <w:highlight w:val="none"/>
              </w:rPr>
            </w:pPr>
            <w:r>
              <w:rPr>
                <w:rFonts w:hint="eastAsia"/>
                <w:highlight w:val="none"/>
              </w:rPr>
              <w:t>★4.CPU 支持的内存最高速率：≥2666MT/s。</w:t>
            </w:r>
          </w:p>
          <w:p>
            <w:pPr>
              <w:spacing w:beforeLines="0" w:afterLines="0"/>
              <w:ind w:left="0" w:leftChars="0" w:firstLine="0" w:firstLineChars="0"/>
              <w:jc w:val="left"/>
              <w:rPr>
                <w:rFonts w:hint="eastAsia"/>
                <w:highlight w:val="none"/>
              </w:rPr>
            </w:pPr>
            <w:r>
              <w:rPr>
                <w:rFonts w:hint="eastAsia"/>
                <w:highlight w:val="none"/>
              </w:rPr>
              <w:t>十二、内存性能</w:t>
            </w:r>
          </w:p>
          <w:p>
            <w:pPr>
              <w:spacing w:beforeLines="0" w:afterLines="0"/>
              <w:ind w:left="0" w:leftChars="0" w:firstLine="0" w:firstLineChars="0"/>
              <w:jc w:val="left"/>
              <w:rPr>
                <w:rFonts w:hint="eastAsia"/>
                <w:highlight w:val="none"/>
              </w:rPr>
            </w:pPr>
            <w:r>
              <w:rPr>
                <w:rFonts w:hint="eastAsia"/>
                <w:highlight w:val="none"/>
              </w:rPr>
              <w:t>★内存读写速率：≥2666MT/s。</w:t>
            </w:r>
          </w:p>
          <w:p>
            <w:pPr>
              <w:spacing w:beforeLines="0" w:afterLines="0"/>
              <w:ind w:left="0" w:leftChars="0" w:firstLine="0" w:firstLineChars="0"/>
              <w:jc w:val="left"/>
              <w:rPr>
                <w:rFonts w:hint="eastAsia"/>
                <w:highlight w:val="none"/>
              </w:rPr>
            </w:pPr>
            <w:r>
              <w:rPr>
                <w:rFonts w:hint="eastAsia"/>
                <w:highlight w:val="none"/>
              </w:rPr>
              <w:t>十三、显卡性能</w:t>
            </w:r>
          </w:p>
          <w:p>
            <w:pPr>
              <w:spacing w:beforeLines="0" w:afterLines="0"/>
              <w:ind w:left="0" w:leftChars="0" w:firstLine="0" w:firstLineChars="0"/>
              <w:jc w:val="left"/>
              <w:rPr>
                <w:rFonts w:hint="eastAsia"/>
                <w:highlight w:val="none"/>
              </w:rPr>
            </w:pPr>
            <w:r>
              <w:rPr>
                <w:rFonts w:hint="eastAsia"/>
                <w:highlight w:val="none"/>
              </w:rPr>
              <w:t>★1.显示分辨率：≥1920*1080；</w:t>
            </w:r>
          </w:p>
          <w:p>
            <w:pPr>
              <w:spacing w:beforeLines="0" w:afterLines="0"/>
              <w:ind w:left="0" w:leftChars="0" w:firstLine="0" w:firstLineChars="0"/>
              <w:jc w:val="left"/>
              <w:rPr>
                <w:rFonts w:hint="eastAsia"/>
                <w:highlight w:val="none"/>
              </w:rPr>
            </w:pPr>
            <w:r>
              <w:rPr>
                <w:rFonts w:hint="eastAsia"/>
                <w:highlight w:val="none"/>
              </w:rPr>
              <w:t>★2.显卡显示芯片核心频率：≥450MHz；</w:t>
            </w:r>
          </w:p>
          <w:p>
            <w:pPr>
              <w:spacing w:beforeLines="0" w:afterLines="0"/>
              <w:ind w:left="0" w:leftChars="0" w:firstLine="0" w:firstLineChars="0"/>
              <w:jc w:val="left"/>
              <w:rPr>
                <w:rFonts w:hint="eastAsia"/>
                <w:highlight w:val="none"/>
              </w:rPr>
            </w:pPr>
            <w:r>
              <w:rPr>
                <w:rFonts w:hint="eastAsia"/>
                <w:highlight w:val="none"/>
              </w:rPr>
              <w:t>★3.显存等效频率：≥2666MT/s；</w:t>
            </w:r>
          </w:p>
          <w:p>
            <w:pPr>
              <w:spacing w:beforeLines="0" w:afterLines="0"/>
              <w:ind w:left="0" w:leftChars="0" w:firstLine="0" w:firstLineChars="0"/>
              <w:jc w:val="left"/>
              <w:rPr>
                <w:rFonts w:hint="eastAsia"/>
                <w:highlight w:val="none"/>
              </w:rPr>
            </w:pPr>
            <w:r>
              <w:rPr>
                <w:rFonts w:hint="eastAsia"/>
                <w:highlight w:val="none"/>
              </w:rPr>
              <w:t>★4.显卡可支持多屏同时显示数量：显卡应支持2块屏幕同时显示，分辨率应不低于 1920*1080。</w:t>
            </w:r>
          </w:p>
          <w:p>
            <w:pPr>
              <w:spacing w:beforeLines="0" w:afterLines="0"/>
              <w:ind w:left="0" w:leftChars="0" w:firstLine="0" w:firstLineChars="0"/>
              <w:jc w:val="left"/>
              <w:rPr>
                <w:rFonts w:hint="eastAsia"/>
                <w:highlight w:val="none"/>
              </w:rPr>
            </w:pPr>
            <w:r>
              <w:rPr>
                <w:rFonts w:hint="eastAsia"/>
                <w:highlight w:val="none"/>
              </w:rPr>
              <w:t>十四、显示设备性能</w:t>
            </w:r>
          </w:p>
          <w:p>
            <w:pPr>
              <w:spacing w:beforeLines="0" w:afterLines="0"/>
              <w:ind w:left="0" w:leftChars="0" w:firstLine="0" w:firstLineChars="0"/>
              <w:jc w:val="left"/>
              <w:rPr>
                <w:rFonts w:hint="eastAsia"/>
                <w:highlight w:val="none"/>
              </w:rPr>
            </w:pPr>
            <w:r>
              <w:rPr>
                <w:rFonts w:hint="eastAsia"/>
                <w:highlight w:val="none"/>
              </w:rPr>
              <w:t>★1.显示屏刷新率：≥75Hz；</w:t>
            </w:r>
          </w:p>
          <w:p>
            <w:pPr>
              <w:spacing w:beforeLines="0" w:afterLines="0"/>
              <w:ind w:left="0" w:leftChars="0" w:firstLine="0" w:firstLineChars="0"/>
              <w:jc w:val="left"/>
              <w:rPr>
                <w:rFonts w:hint="eastAsia"/>
                <w:highlight w:val="none"/>
              </w:rPr>
            </w:pPr>
            <w:r>
              <w:rPr>
                <w:rFonts w:hint="eastAsia"/>
                <w:highlight w:val="none"/>
              </w:rPr>
              <w:t>★2.显示屏位深：≥8位；</w:t>
            </w:r>
          </w:p>
          <w:p>
            <w:pPr>
              <w:spacing w:beforeLines="0" w:afterLines="0"/>
              <w:ind w:left="0" w:leftChars="0" w:firstLine="0" w:firstLineChars="0"/>
              <w:jc w:val="left"/>
              <w:rPr>
                <w:rFonts w:hint="eastAsia"/>
                <w:highlight w:val="none"/>
              </w:rPr>
            </w:pPr>
            <w:r>
              <w:rPr>
                <w:rFonts w:hint="eastAsia"/>
                <w:highlight w:val="none"/>
              </w:rPr>
              <w:t>★3.显示屏色域：≥99% sRGB；</w:t>
            </w:r>
          </w:p>
          <w:p>
            <w:pPr>
              <w:spacing w:beforeLines="0" w:afterLines="0"/>
              <w:ind w:left="0" w:leftChars="0" w:firstLine="0" w:firstLineChars="0"/>
              <w:jc w:val="left"/>
              <w:rPr>
                <w:rFonts w:hint="eastAsia"/>
                <w:highlight w:val="none"/>
              </w:rPr>
            </w:pPr>
            <w:r>
              <w:rPr>
                <w:rFonts w:hint="eastAsia"/>
                <w:highlight w:val="none"/>
              </w:rPr>
              <w:t>★4.显示屏色准：△E≤4；</w:t>
            </w:r>
          </w:p>
          <w:p>
            <w:pPr>
              <w:spacing w:beforeLines="0" w:afterLines="0"/>
              <w:ind w:left="0" w:leftChars="0" w:firstLine="0" w:firstLineChars="0"/>
              <w:jc w:val="left"/>
              <w:rPr>
                <w:rFonts w:hint="eastAsia"/>
                <w:highlight w:val="none"/>
              </w:rPr>
            </w:pPr>
            <w:r>
              <w:rPr>
                <w:rFonts w:hint="eastAsia"/>
                <w:highlight w:val="none"/>
              </w:rPr>
              <w:t>★5.显示屏响应时间：≤8ms；</w:t>
            </w:r>
          </w:p>
          <w:p>
            <w:pPr>
              <w:spacing w:beforeLines="0" w:afterLines="0"/>
              <w:ind w:left="0" w:leftChars="0" w:firstLine="0" w:firstLineChars="0"/>
              <w:jc w:val="left"/>
              <w:rPr>
                <w:rFonts w:hint="eastAsia"/>
                <w:highlight w:val="none"/>
              </w:rPr>
            </w:pPr>
            <w:r>
              <w:rPr>
                <w:rFonts w:hint="eastAsia"/>
                <w:highlight w:val="none"/>
              </w:rPr>
              <w:t>★6.显示屏亮度：≥250尼特；</w:t>
            </w:r>
          </w:p>
          <w:p>
            <w:pPr>
              <w:spacing w:beforeLines="0" w:afterLines="0"/>
              <w:ind w:left="0" w:leftChars="0" w:firstLine="0" w:firstLineChars="0"/>
              <w:jc w:val="left"/>
              <w:rPr>
                <w:rFonts w:hint="eastAsia"/>
                <w:highlight w:val="none"/>
              </w:rPr>
            </w:pPr>
            <w:r>
              <w:rPr>
                <w:rFonts w:hint="eastAsia"/>
                <w:highlight w:val="none"/>
              </w:rPr>
              <w:t>★7.显示屏亮度一致性：≥70%；</w:t>
            </w:r>
          </w:p>
          <w:p>
            <w:pPr>
              <w:spacing w:beforeLines="0" w:afterLines="0"/>
              <w:ind w:left="0" w:leftChars="0" w:firstLine="0" w:firstLineChars="0"/>
              <w:jc w:val="left"/>
              <w:rPr>
                <w:rFonts w:hint="eastAsia"/>
                <w:highlight w:val="none"/>
              </w:rPr>
            </w:pPr>
            <w:r>
              <w:rPr>
                <w:rFonts w:hint="eastAsia"/>
                <w:highlight w:val="none"/>
              </w:rPr>
              <w:t>★8.显示屏对比度：≥1000：1；</w:t>
            </w:r>
          </w:p>
          <w:p>
            <w:pPr>
              <w:spacing w:beforeLines="0" w:afterLines="0"/>
              <w:ind w:left="0" w:leftChars="0" w:firstLine="0" w:firstLineChars="0"/>
              <w:jc w:val="left"/>
              <w:rPr>
                <w:rFonts w:hint="eastAsia"/>
                <w:highlight w:val="none"/>
              </w:rPr>
            </w:pPr>
            <w:r>
              <w:rPr>
                <w:rFonts w:hint="eastAsia"/>
                <w:highlight w:val="none"/>
              </w:rPr>
              <w:t xml:space="preserve">★9.显示屏其他参数：其它参数应符合SJ/T 11292的相关规定。  </w:t>
            </w:r>
          </w:p>
          <w:p>
            <w:pPr>
              <w:spacing w:beforeLines="0" w:afterLines="0"/>
              <w:ind w:left="0" w:leftChars="0" w:firstLine="0" w:firstLineChars="0"/>
              <w:jc w:val="left"/>
              <w:rPr>
                <w:rFonts w:hint="eastAsia"/>
                <w:highlight w:val="none"/>
              </w:rPr>
            </w:pPr>
            <w:r>
              <w:rPr>
                <w:rFonts w:hint="eastAsia"/>
                <w:highlight w:val="none"/>
              </w:rPr>
              <w:t>十五、网络设备性能</w:t>
            </w:r>
          </w:p>
          <w:p>
            <w:pPr>
              <w:spacing w:beforeLines="0" w:afterLines="0"/>
              <w:ind w:left="0" w:leftChars="0" w:firstLine="0" w:firstLineChars="0"/>
              <w:jc w:val="left"/>
              <w:rPr>
                <w:rFonts w:hint="eastAsia"/>
                <w:highlight w:val="none"/>
              </w:rPr>
            </w:pPr>
            <w:r>
              <w:rPr>
                <w:rFonts w:hint="eastAsia"/>
                <w:highlight w:val="none"/>
              </w:rPr>
              <w:t>★有线网卡速率：最高速率应不低于1000Mbps，应支持10Mbps、100Mbps、1000Mbps 速率自适应。</w:t>
            </w:r>
          </w:p>
          <w:p>
            <w:pPr>
              <w:spacing w:beforeLines="0" w:afterLines="0"/>
              <w:ind w:left="0" w:leftChars="0" w:firstLine="0" w:firstLineChars="0"/>
              <w:jc w:val="left"/>
              <w:rPr>
                <w:rFonts w:hint="eastAsia"/>
                <w:highlight w:val="none"/>
              </w:rPr>
            </w:pPr>
            <w:r>
              <w:rPr>
                <w:rFonts w:hint="eastAsia"/>
                <w:highlight w:val="none"/>
              </w:rPr>
              <w:t>十六、主板功能</w:t>
            </w:r>
          </w:p>
          <w:p>
            <w:pPr>
              <w:spacing w:beforeLines="0" w:afterLines="0"/>
              <w:ind w:left="0" w:leftChars="0" w:firstLine="0" w:firstLineChars="0"/>
              <w:jc w:val="left"/>
              <w:rPr>
                <w:rFonts w:hint="eastAsia"/>
                <w:highlight w:val="none"/>
              </w:rPr>
            </w:pPr>
            <w:r>
              <w:rPr>
                <w:rFonts w:hint="eastAsia"/>
                <w:highlight w:val="none"/>
              </w:rPr>
              <w:t>★1.内存扩展接口(板载内存不涉及)：≥2个；</w:t>
            </w:r>
          </w:p>
          <w:p>
            <w:pPr>
              <w:spacing w:beforeLines="0" w:afterLines="0"/>
              <w:ind w:left="0" w:leftChars="0" w:firstLine="0" w:firstLineChars="0"/>
              <w:jc w:val="left"/>
              <w:rPr>
                <w:rFonts w:hint="eastAsia"/>
                <w:highlight w:val="none"/>
              </w:rPr>
            </w:pPr>
            <w:r>
              <w:rPr>
                <w:rFonts w:hint="eastAsia"/>
                <w:highlight w:val="none"/>
              </w:rPr>
              <w:t>★2.主板 USB瞬间过流保护：支持有瞬间过流保护功能；</w:t>
            </w:r>
          </w:p>
          <w:p>
            <w:pPr>
              <w:spacing w:beforeLines="0" w:afterLines="0"/>
              <w:ind w:left="0" w:leftChars="0" w:firstLine="0" w:firstLineChars="0"/>
              <w:jc w:val="left"/>
              <w:rPr>
                <w:rFonts w:hint="eastAsia"/>
                <w:highlight w:val="none"/>
              </w:rPr>
            </w:pPr>
            <w:r>
              <w:rPr>
                <w:rFonts w:hint="eastAsia"/>
                <w:highlight w:val="none"/>
              </w:rPr>
              <w:t>★3.主板防静电保护：支持防静电保护功能；</w:t>
            </w:r>
          </w:p>
          <w:p>
            <w:pPr>
              <w:spacing w:beforeLines="0" w:afterLines="0"/>
              <w:ind w:left="0" w:leftChars="0" w:firstLine="0" w:firstLineChars="0"/>
              <w:jc w:val="left"/>
              <w:rPr>
                <w:rFonts w:hint="eastAsia"/>
                <w:highlight w:val="none"/>
              </w:rPr>
            </w:pPr>
            <w:r>
              <w:rPr>
                <w:rFonts w:hint="eastAsia"/>
                <w:highlight w:val="none"/>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spacing w:beforeLines="0" w:afterLines="0"/>
              <w:ind w:left="0" w:leftChars="0" w:firstLine="0" w:firstLineChars="0"/>
              <w:jc w:val="left"/>
              <w:rPr>
                <w:rFonts w:hint="eastAsia"/>
                <w:highlight w:val="none"/>
              </w:rPr>
            </w:pPr>
            <w:r>
              <w:rPr>
                <w:rFonts w:hint="eastAsia"/>
                <w:highlight w:val="none"/>
              </w:rPr>
              <w:t>十七、显卡功能</w:t>
            </w:r>
          </w:p>
          <w:p>
            <w:pPr>
              <w:spacing w:beforeLines="0" w:afterLines="0"/>
              <w:ind w:left="0" w:leftChars="0" w:firstLine="0" w:firstLineChars="0"/>
              <w:jc w:val="left"/>
              <w:rPr>
                <w:rFonts w:hint="eastAsia"/>
                <w:highlight w:val="none"/>
              </w:rPr>
            </w:pPr>
            <w:r>
              <w:rPr>
                <w:rFonts w:hint="eastAsia"/>
                <w:highlight w:val="none"/>
              </w:rPr>
              <w:t>★显卡外接显示接口：显卡支持 VGA、HDMI、DP显示接口，并与显示器接口相匹配。</w:t>
            </w:r>
          </w:p>
          <w:p>
            <w:pPr>
              <w:spacing w:beforeLines="0" w:afterLines="0"/>
              <w:ind w:left="0" w:leftChars="0" w:firstLine="0" w:firstLineChars="0"/>
              <w:jc w:val="left"/>
              <w:rPr>
                <w:rFonts w:hint="eastAsia"/>
                <w:highlight w:val="none"/>
              </w:rPr>
            </w:pPr>
            <w:r>
              <w:rPr>
                <w:rFonts w:hint="eastAsia"/>
                <w:highlight w:val="none"/>
              </w:rPr>
              <w:t>十八、显示设备功能</w:t>
            </w:r>
          </w:p>
          <w:p>
            <w:pPr>
              <w:spacing w:beforeLines="0" w:afterLines="0"/>
              <w:ind w:left="0" w:leftChars="0" w:firstLine="0" w:firstLineChars="0"/>
              <w:jc w:val="left"/>
              <w:rPr>
                <w:rFonts w:hint="eastAsia"/>
                <w:highlight w:val="none"/>
              </w:rPr>
            </w:pPr>
            <w:r>
              <w:rPr>
                <w:rFonts w:hint="eastAsia"/>
                <w:highlight w:val="none"/>
              </w:rPr>
              <w:t>★1.显示器接口：显示器应与显卡外接显示接口匹配；</w:t>
            </w:r>
          </w:p>
          <w:p>
            <w:pPr>
              <w:spacing w:beforeLines="0" w:afterLines="0"/>
              <w:ind w:left="0" w:leftChars="0" w:firstLine="0" w:firstLineChars="0"/>
              <w:jc w:val="left"/>
              <w:rPr>
                <w:rFonts w:hint="eastAsia"/>
                <w:highlight w:val="none"/>
              </w:rPr>
            </w:pPr>
            <w:r>
              <w:rPr>
                <w:rFonts w:hint="eastAsia"/>
                <w:highlight w:val="none"/>
              </w:rPr>
              <w:t>★2.显示器支架：显示器应提供显示器支架；</w:t>
            </w:r>
          </w:p>
          <w:p>
            <w:pPr>
              <w:spacing w:beforeLines="0" w:afterLines="0"/>
              <w:ind w:left="0" w:leftChars="0" w:firstLine="0" w:firstLineChars="0"/>
              <w:jc w:val="left"/>
              <w:rPr>
                <w:rFonts w:hint="eastAsia"/>
                <w:highlight w:val="none"/>
              </w:rPr>
            </w:pPr>
            <w:r>
              <w:rPr>
                <w:rFonts w:hint="eastAsia"/>
                <w:highlight w:val="none"/>
              </w:rPr>
              <w:t>★3.显示器参数调节：a)提供 OSD 选单按钮用于调节色彩、模式等；b)支持色温、亮度、对比度调节；c)支持护眼模式、电子书模式、ECO模式、HDR模式；</w:t>
            </w:r>
          </w:p>
          <w:p>
            <w:pPr>
              <w:spacing w:beforeLines="0" w:afterLines="0"/>
              <w:ind w:left="0" w:leftChars="0" w:firstLine="0" w:firstLineChars="0"/>
              <w:jc w:val="left"/>
              <w:rPr>
                <w:rFonts w:hint="eastAsia"/>
                <w:highlight w:val="none"/>
              </w:rPr>
            </w:pPr>
            <w:r>
              <w:rPr>
                <w:rFonts w:hint="eastAsia"/>
                <w:highlight w:val="none"/>
              </w:rPr>
              <w:t>十九、存储功能</w:t>
            </w:r>
          </w:p>
          <w:p>
            <w:pPr>
              <w:spacing w:beforeLines="0" w:afterLines="0"/>
              <w:ind w:left="0" w:leftChars="0" w:firstLine="0" w:firstLineChars="0"/>
              <w:jc w:val="left"/>
              <w:rPr>
                <w:rFonts w:hint="eastAsia"/>
                <w:highlight w:val="none"/>
              </w:rPr>
            </w:pPr>
            <w:r>
              <w:rPr>
                <w:rFonts w:hint="eastAsia"/>
                <w:highlight w:val="none"/>
              </w:rPr>
              <w:t>★存储功能：通过SATA固态存储/PCIe固态存储/UFS固态存储/SATA硬磁盘等存储部件提供存储功能。</w:t>
            </w:r>
          </w:p>
          <w:p>
            <w:pPr>
              <w:spacing w:beforeLines="0" w:afterLines="0"/>
              <w:ind w:left="0" w:leftChars="0" w:firstLine="0" w:firstLineChars="0"/>
              <w:jc w:val="left"/>
              <w:rPr>
                <w:rFonts w:hint="eastAsia"/>
                <w:highlight w:val="none"/>
              </w:rPr>
            </w:pPr>
            <w:r>
              <w:rPr>
                <w:rFonts w:hint="eastAsia"/>
                <w:highlight w:val="none"/>
              </w:rPr>
              <w:t>二十、网络设备功能</w:t>
            </w:r>
          </w:p>
          <w:p>
            <w:pPr>
              <w:spacing w:beforeLines="0" w:afterLines="0"/>
              <w:ind w:left="0" w:leftChars="0" w:firstLine="0" w:firstLineChars="0"/>
              <w:jc w:val="left"/>
              <w:rPr>
                <w:rFonts w:hint="eastAsia"/>
                <w:highlight w:val="none"/>
              </w:rPr>
            </w:pPr>
            <w:r>
              <w:rPr>
                <w:rFonts w:hint="eastAsia"/>
                <w:highlight w:val="none"/>
              </w:rPr>
              <w:t>★1.网络功能：a)支持网络连接、网络开启/关闭功能、网络唤醒；b)支持访问网络和数据交换功能；</w:t>
            </w:r>
          </w:p>
          <w:p>
            <w:pPr>
              <w:spacing w:beforeLines="0" w:afterLines="0"/>
              <w:ind w:left="0" w:leftChars="0" w:firstLine="0" w:firstLineChars="0"/>
              <w:jc w:val="left"/>
              <w:rPr>
                <w:rFonts w:hint="eastAsia"/>
                <w:highlight w:val="none"/>
              </w:rPr>
            </w:pPr>
            <w:r>
              <w:rPr>
                <w:rFonts w:hint="eastAsia"/>
                <w:highlight w:val="none"/>
              </w:rPr>
              <w:t>★2.数据传输：支持数据传输能力，并提供数据流量和异常日志记录功能；</w:t>
            </w:r>
          </w:p>
          <w:p>
            <w:pPr>
              <w:spacing w:beforeLines="0" w:afterLines="0"/>
              <w:ind w:left="0" w:leftChars="0" w:firstLine="0" w:firstLineChars="0"/>
              <w:jc w:val="left"/>
              <w:rPr>
                <w:rFonts w:hint="eastAsia"/>
                <w:highlight w:val="none"/>
              </w:rPr>
            </w:pPr>
            <w:r>
              <w:rPr>
                <w:rFonts w:hint="eastAsia"/>
                <w:highlight w:val="none"/>
              </w:rPr>
              <w:t>★3.有线网卡接口类型：支持 RJ45 接口；</w:t>
            </w:r>
          </w:p>
          <w:p>
            <w:pPr>
              <w:spacing w:beforeLines="0" w:afterLines="0"/>
              <w:ind w:left="0" w:leftChars="0" w:firstLine="0" w:firstLineChars="0"/>
              <w:jc w:val="left"/>
              <w:rPr>
                <w:rFonts w:hint="eastAsia"/>
                <w:highlight w:val="none"/>
              </w:rPr>
            </w:pPr>
            <w:r>
              <w:rPr>
                <w:rFonts w:hint="eastAsia"/>
                <w:highlight w:val="none"/>
              </w:rPr>
              <w:t>★4.网络设备拆装：网络设备支持物理拆装，包括无线网卡和蓝牙模块等。</w:t>
            </w:r>
          </w:p>
          <w:p>
            <w:pPr>
              <w:spacing w:beforeLines="0" w:afterLines="0"/>
              <w:ind w:left="0" w:leftChars="0" w:firstLine="0" w:firstLineChars="0"/>
              <w:jc w:val="left"/>
              <w:rPr>
                <w:rFonts w:hint="eastAsia"/>
                <w:highlight w:val="none"/>
              </w:rPr>
            </w:pPr>
            <w:r>
              <w:rPr>
                <w:rFonts w:hint="eastAsia"/>
                <w:highlight w:val="none"/>
              </w:rPr>
              <w:t>二十一、外部接口功能</w:t>
            </w:r>
          </w:p>
          <w:p>
            <w:pPr>
              <w:spacing w:beforeLines="0" w:afterLines="0"/>
              <w:ind w:left="0" w:leftChars="0" w:firstLine="0" w:firstLineChars="0"/>
              <w:jc w:val="left"/>
              <w:rPr>
                <w:rFonts w:hint="eastAsia"/>
                <w:highlight w:val="none"/>
              </w:rPr>
            </w:pPr>
            <w:r>
              <w:rPr>
                <w:rFonts w:hint="eastAsia"/>
                <w:highlight w:val="none"/>
              </w:rPr>
              <w:t>★1.音频接口类型：支持 3.5mm 孔径 3 段式或 4 段式接口；</w:t>
            </w:r>
          </w:p>
          <w:p>
            <w:pPr>
              <w:spacing w:beforeLines="0" w:afterLines="0"/>
              <w:ind w:left="0" w:leftChars="0" w:firstLine="0" w:firstLineChars="0"/>
              <w:jc w:val="left"/>
              <w:rPr>
                <w:rFonts w:hint="eastAsia"/>
                <w:highlight w:val="none"/>
              </w:rPr>
            </w:pPr>
            <w:r>
              <w:rPr>
                <w:rFonts w:hint="eastAsia"/>
                <w:highlight w:val="none"/>
              </w:rPr>
              <w:t>★2.视频接口类型：同时支持 VGA、HDMI 2种显示接口；</w:t>
            </w:r>
          </w:p>
          <w:p>
            <w:pPr>
              <w:spacing w:beforeLines="0" w:afterLines="0"/>
              <w:ind w:left="0" w:leftChars="0" w:firstLine="0" w:firstLineChars="0"/>
              <w:jc w:val="left"/>
              <w:rPr>
                <w:rFonts w:hint="eastAsia"/>
                <w:highlight w:val="none"/>
              </w:rPr>
            </w:pPr>
            <w:r>
              <w:rPr>
                <w:rFonts w:hint="eastAsia"/>
                <w:highlight w:val="none"/>
              </w:rPr>
              <w:t>★3.HDMI、DP、Type-C 显示接口要求：若提供 HDMI 或DP或 Type-C作为显示接口，应支持音频和视频同步输出；</w:t>
            </w:r>
          </w:p>
          <w:p>
            <w:pPr>
              <w:spacing w:beforeLines="0" w:afterLines="0"/>
              <w:ind w:left="0" w:leftChars="0" w:firstLine="0" w:firstLineChars="0"/>
              <w:jc w:val="left"/>
              <w:rPr>
                <w:rFonts w:hint="eastAsia"/>
                <w:highlight w:val="none"/>
              </w:rPr>
            </w:pPr>
            <w:r>
              <w:rPr>
                <w:rFonts w:hint="eastAsia"/>
                <w:highlight w:val="none"/>
              </w:rPr>
              <w:t>★4.其他接口：RS-232串口≥1个；</w:t>
            </w:r>
          </w:p>
          <w:p>
            <w:pPr>
              <w:spacing w:beforeLines="0" w:afterLines="0"/>
              <w:ind w:left="0" w:leftChars="0" w:firstLine="0" w:firstLineChars="0"/>
              <w:jc w:val="left"/>
              <w:rPr>
                <w:rFonts w:hint="eastAsia"/>
                <w:highlight w:val="none"/>
              </w:rPr>
            </w:pPr>
            <w:r>
              <w:rPr>
                <w:rFonts w:hint="eastAsia"/>
                <w:highlight w:val="none"/>
              </w:rPr>
              <w:t>5.键盘鼠标专用接口：PS/2接口≥1个。</w:t>
            </w:r>
          </w:p>
          <w:p>
            <w:pPr>
              <w:spacing w:beforeLines="0" w:afterLines="0"/>
              <w:ind w:left="0" w:leftChars="0" w:firstLine="0" w:firstLineChars="0"/>
              <w:jc w:val="left"/>
              <w:rPr>
                <w:rFonts w:hint="eastAsia"/>
                <w:highlight w:val="none"/>
              </w:rPr>
            </w:pPr>
            <w:r>
              <w:rPr>
                <w:rFonts w:hint="eastAsia"/>
                <w:highlight w:val="none"/>
              </w:rPr>
              <w:t>二十二、电源功能</w:t>
            </w:r>
          </w:p>
          <w:p>
            <w:pPr>
              <w:spacing w:beforeLines="0" w:afterLines="0"/>
              <w:ind w:left="0" w:leftChars="0" w:firstLine="0" w:firstLineChars="0"/>
              <w:jc w:val="left"/>
              <w:rPr>
                <w:rFonts w:hint="eastAsia"/>
                <w:highlight w:val="none"/>
              </w:rPr>
            </w:pPr>
            <w:r>
              <w:rPr>
                <w:rFonts w:hint="eastAsia"/>
                <w:highlight w:val="none"/>
              </w:rPr>
              <w:t>★1.电源线适配能力：电源适配器电线组件应符合GB/T 15934的要求；</w:t>
            </w:r>
          </w:p>
          <w:p>
            <w:pPr>
              <w:spacing w:beforeLines="0" w:afterLines="0"/>
              <w:ind w:left="0" w:leftChars="0" w:firstLine="0" w:firstLineChars="0"/>
              <w:jc w:val="left"/>
              <w:rPr>
                <w:rFonts w:hint="eastAsia"/>
                <w:highlight w:val="none"/>
              </w:rPr>
            </w:pPr>
            <w:r>
              <w:rPr>
                <w:rFonts w:hint="eastAsia"/>
                <w:highlight w:val="none"/>
              </w:rPr>
              <w:t>2.电源功率：电源功率≤200W。</w:t>
            </w:r>
          </w:p>
          <w:p>
            <w:pPr>
              <w:spacing w:beforeLines="0" w:afterLines="0"/>
              <w:ind w:left="0" w:leftChars="0" w:firstLine="0" w:firstLineChars="0"/>
              <w:jc w:val="left"/>
              <w:rPr>
                <w:rFonts w:hint="eastAsia"/>
                <w:highlight w:val="none"/>
              </w:rPr>
            </w:pPr>
            <w:r>
              <w:rPr>
                <w:rFonts w:hint="eastAsia"/>
                <w:highlight w:val="none"/>
              </w:rPr>
              <w:t>二十三、操作系统及软件功能</w:t>
            </w:r>
          </w:p>
          <w:p>
            <w:pPr>
              <w:spacing w:beforeLines="0" w:afterLines="0"/>
              <w:ind w:left="0" w:leftChars="0" w:firstLine="0" w:firstLineChars="0"/>
              <w:jc w:val="left"/>
              <w:rPr>
                <w:rFonts w:hint="eastAsia"/>
                <w:highlight w:val="none"/>
              </w:rPr>
            </w:pPr>
            <w:r>
              <w:rPr>
                <w:rFonts w:hint="eastAsia"/>
                <w:highlight w:val="none"/>
              </w:rPr>
              <w:t>★1.中文信息处理要求：符合GB 18030的相关规定；</w:t>
            </w:r>
          </w:p>
          <w:p>
            <w:pPr>
              <w:spacing w:beforeLines="0" w:afterLines="0"/>
              <w:ind w:left="0" w:leftChars="0" w:firstLine="0" w:firstLineChars="0"/>
              <w:jc w:val="left"/>
              <w:rPr>
                <w:rFonts w:hint="eastAsia"/>
                <w:highlight w:val="none"/>
              </w:rPr>
            </w:pPr>
            <w:r>
              <w:rPr>
                <w:rFonts w:hint="eastAsia"/>
                <w:highlight w:val="none"/>
              </w:rPr>
              <w:t>★2.操作系统备份及还原功能：支持操作系统备份及还原功能；</w:t>
            </w:r>
          </w:p>
          <w:p>
            <w:pPr>
              <w:spacing w:beforeLines="0" w:afterLines="0"/>
              <w:ind w:left="0" w:leftChars="0" w:firstLine="0" w:firstLineChars="0"/>
              <w:jc w:val="left"/>
              <w:rPr>
                <w:rFonts w:hint="eastAsia"/>
                <w:highlight w:val="none"/>
              </w:rPr>
            </w:pPr>
            <w:r>
              <w:rPr>
                <w:rFonts w:hint="eastAsia"/>
                <w:highlight w:val="none"/>
              </w:rPr>
              <w:t>★3.固件备份还原能力：支持备份及还原固件的功能；</w:t>
            </w:r>
          </w:p>
          <w:p>
            <w:pPr>
              <w:spacing w:beforeLines="0" w:afterLines="0"/>
              <w:ind w:left="0" w:leftChars="0" w:firstLine="0" w:firstLineChars="0"/>
              <w:jc w:val="left"/>
              <w:rPr>
                <w:rFonts w:hint="eastAsia"/>
                <w:highlight w:val="none"/>
              </w:rPr>
            </w:pPr>
            <w:r>
              <w:rPr>
                <w:rFonts w:hint="eastAsia"/>
                <w:highlight w:val="none"/>
              </w:rPr>
              <w:t>★4.操作系统及驱动升级：支持通过网络、闪存盘等方式对操作系统、驱动进行升级；</w:t>
            </w:r>
          </w:p>
          <w:p>
            <w:pPr>
              <w:spacing w:beforeLines="0" w:afterLines="0"/>
              <w:ind w:left="0" w:leftChars="0" w:firstLine="0" w:firstLineChars="0"/>
              <w:jc w:val="left"/>
              <w:rPr>
                <w:rFonts w:hint="eastAsia"/>
                <w:highlight w:val="none"/>
              </w:rPr>
            </w:pPr>
            <w:r>
              <w:rPr>
                <w:rFonts w:hint="eastAsia"/>
                <w:highlight w:val="none"/>
              </w:rPr>
              <w:t>★5.固件升级：支持通过网络、闪存盘等方式对固件进行升级；</w:t>
            </w:r>
          </w:p>
          <w:p>
            <w:pPr>
              <w:spacing w:beforeLines="0" w:afterLines="0"/>
              <w:ind w:left="0" w:leftChars="0" w:firstLine="0" w:firstLineChars="0"/>
              <w:jc w:val="left"/>
              <w:rPr>
                <w:rFonts w:hint="eastAsia"/>
                <w:highlight w:val="none"/>
              </w:rPr>
            </w:pPr>
            <w:r>
              <w:rPr>
                <w:rFonts w:hint="eastAsia"/>
                <w:highlight w:val="none"/>
              </w:rPr>
              <w:t>★6.BIOS支持关闭通讯接口：支持BIOS关闭以太网及USB接口；</w:t>
            </w:r>
          </w:p>
          <w:p>
            <w:pPr>
              <w:spacing w:beforeLines="0" w:afterLines="0"/>
              <w:ind w:left="0" w:leftChars="0" w:firstLine="0" w:firstLineChars="0"/>
              <w:jc w:val="left"/>
              <w:rPr>
                <w:rFonts w:hint="eastAsia"/>
                <w:highlight w:val="none"/>
              </w:rPr>
            </w:pPr>
            <w:r>
              <w:rPr>
                <w:rFonts w:hint="eastAsia"/>
                <w:highlight w:val="none"/>
              </w:rPr>
              <w:t>★7.固件查看信息：支持查看固件版本、内存信息、主板信息、处理器信息和系统时间信息等功能；</w:t>
            </w:r>
          </w:p>
          <w:p>
            <w:pPr>
              <w:spacing w:beforeLines="0" w:afterLines="0"/>
              <w:ind w:left="0" w:leftChars="0" w:firstLine="0" w:firstLineChars="0"/>
              <w:jc w:val="left"/>
              <w:rPr>
                <w:rFonts w:hint="eastAsia"/>
                <w:highlight w:val="none"/>
              </w:rPr>
            </w:pPr>
            <w:r>
              <w:rPr>
                <w:rFonts w:hint="eastAsia"/>
                <w:highlight w:val="none"/>
              </w:rPr>
              <w:t>★8.固件设置启动顺序：支持设置启动顺序功能，并按照设置的启动顺序启动；</w:t>
            </w:r>
          </w:p>
          <w:p>
            <w:pPr>
              <w:spacing w:beforeLines="0" w:afterLines="0"/>
              <w:ind w:left="0" w:leftChars="0" w:firstLine="0" w:firstLineChars="0"/>
              <w:jc w:val="left"/>
              <w:rPr>
                <w:rFonts w:hint="eastAsia"/>
                <w:highlight w:val="none"/>
              </w:rPr>
            </w:pPr>
            <w:r>
              <w:rPr>
                <w:rFonts w:hint="eastAsia"/>
                <w:highlight w:val="none"/>
              </w:rPr>
              <w:t>★9.固件设置口令：支持设置口令、修改口令、验证口令功能；</w:t>
            </w:r>
          </w:p>
          <w:p>
            <w:pPr>
              <w:spacing w:beforeLines="0" w:afterLines="0"/>
              <w:ind w:left="0" w:leftChars="0" w:firstLine="0" w:firstLineChars="0"/>
              <w:jc w:val="left"/>
              <w:rPr>
                <w:rFonts w:hint="eastAsia"/>
                <w:highlight w:val="none"/>
              </w:rPr>
            </w:pPr>
            <w:r>
              <w:rPr>
                <w:rFonts w:hint="eastAsia"/>
                <w:highlight w:val="none"/>
              </w:rPr>
              <w:t>★10.固件设置网络引导：支持网络引导启动和关闭功能；</w:t>
            </w:r>
          </w:p>
          <w:p>
            <w:pPr>
              <w:spacing w:beforeLines="0" w:afterLines="0"/>
              <w:ind w:left="0" w:leftChars="0" w:firstLine="0" w:firstLineChars="0"/>
              <w:jc w:val="left"/>
              <w:rPr>
                <w:rFonts w:hint="eastAsia"/>
                <w:highlight w:val="none"/>
              </w:rPr>
            </w:pPr>
            <w:r>
              <w:rPr>
                <w:rFonts w:hint="eastAsia"/>
                <w:highlight w:val="none"/>
              </w:rPr>
              <w:t>★11.提供远程运维快捷入口，远程运维需实现在线人工客服，AI智能客服，热门问题展示功能，并集成远程运维工具，远程运维工具可实现终端的远程运维功能；</w:t>
            </w:r>
          </w:p>
          <w:p>
            <w:pPr>
              <w:spacing w:beforeLines="0" w:afterLines="0"/>
              <w:ind w:left="0" w:leftChars="0" w:firstLine="0" w:firstLineChars="0"/>
              <w:jc w:val="left"/>
              <w:rPr>
                <w:rFonts w:hint="eastAsia"/>
                <w:highlight w:val="none"/>
              </w:rPr>
            </w:pPr>
            <w:r>
              <w:rPr>
                <w:rFonts w:hint="eastAsia"/>
                <w:highlight w:val="none"/>
              </w:rPr>
              <w:t>二十四、存储设备可靠性</w:t>
            </w:r>
          </w:p>
          <w:p>
            <w:pPr>
              <w:spacing w:beforeLines="0" w:afterLines="0"/>
              <w:ind w:left="0" w:leftChars="0" w:firstLine="0" w:firstLineChars="0"/>
              <w:jc w:val="left"/>
              <w:rPr>
                <w:rFonts w:hint="eastAsia"/>
                <w:highlight w:val="none"/>
              </w:rPr>
            </w:pPr>
            <w:r>
              <w:rPr>
                <w:rFonts w:hint="eastAsia"/>
                <w:highlight w:val="none"/>
              </w:rPr>
              <w:t>★1.固态存储寿命：TBW ≥ 80TB（条件：240GB硬盘容量）；</w:t>
            </w:r>
          </w:p>
          <w:p>
            <w:pPr>
              <w:spacing w:beforeLines="0" w:afterLines="0"/>
              <w:ind w:left="0" w:leftChars="0" w:firstLine="0" w:firstLineChars="0"/>
              <w:jc w:val="left"/>
              <w:rPr>
                <w:rFonts w:hint="eastAsia"/>
                <w:highlight w:val="none"/>
              </w:rPr>
            </w:pPr>
            <w:r>
              <w:rPr>
                <w:rFonts w:hint="eastAsia"/>
                <w:highlight w:val="none"/>
              </w:rPr>
              <w:t>★2.机械硬盘寿命：通电时间 ≥ 5万小时。</w:t>
            </w:r>
          </w:p>
          <w:p>
            <w:pPr>
              <w:spacing w:beforeLines="0" w:afterLines="0"/>
              <w:ind w:left="0" w:leftChars="0" w:firstLine="0" w:firstLineChars="0"/>
              <w:jc w:val="left"/>
              <w:rPr>
                <w:rFonts w:hint="eastAsia"/>
                <w:highlight w:val="none"/>
              </w:rPr>
            </w:pPr>
            <w:r>
              <w:rPr>
                <w:rFonts w:hint="eastAsia"/>
                <w:highlight w:val="none"/>
              </w:rPr>
              <w:t>二十五、显示设备可靠性</w:t>
            </w:r>
          </w:p>
          <w:p>
            <w:pPr>
              <w:spacing w:beforeLines="0" w:afterLines="0"/>
              <w:ind w:left="0" w:leftChars="0" w:firstLine="0" w:firstLineChars="0"/>
              <w:jc w:val="left"/>
              <w:rPr>
                <w:rFonts w:hint="eastAsia"/>
                <w:highlight w:val="none"/>
              </w:rPr>
            </w:pPr>
            <w:r>
              <w:rPr>
                <w:rFonts w:hint="eastAsia"/>
                <w:highlight w:val="none"/>
              </w:rPr>
              <w:t>★显示屏屏幕失效点：符合GB/T 9813.2的要求。</w:t>
            </w:r>
          </w:p>
          <w:p>
            <w:pPr>
              <w:spacing w:beforeLines="0" w:afterLines="0"/>
              <w:ind w:left="0" w:leftChars="0" w:firstLine="0" w:firstLineChars="0"/>
              <w:jc w:val="left"/>
              <w:rPr>
                <w:rFonts w:hint="eastAsia"/>
                <w:highlight w:val="none"/>
              </w:rPr>
            </w:pPr>
            <w:r>
              <w:rPr>
                <w:rFonts w:hint="eastAsia"/>
                <w:highlight w:val="none"/>
              </w:rPr>
              <w:t>二十六、外设可靠性</w:t>
            </w:r>
          </w:p>
          <w:p>
            <w:pPr>
              <w:spacing w:beforeLines="0" w:afterLines="0"/>
              <w:ind w:left="0" w:leftChars="0" w:firstLine="0" w:firstLineChars="0"/>
              <w:jc w:val="left"/>
              <w:rPr>
                <w:rFonts w:hint="eastAsia"/>
                <w:highlight w:val="none"/>
              </w:rPr>
            </w:pPr>
            <w:r>
              <w:rPr>
                <w:rFonts w:hint="eastAsia"/>
                <w:highlight w:val="none"/>
              </w:rPr>
              <w:t>★1.键盘按键寿命：≥1000 万次；</w:t>
            </w:r>
          </w:p>
          <w:p>
            <w:pPr>
              <w:spacing w:beforeLines="0" w:afterLines="0"/>
              <w:ind w:left="0" w:leftChars="0" w:firstLine="0" w:firstLineChars="0"/>
              <w:jc w:val="left"/>
              <w:rPr>
                <w:rFonts w:hint="eastAsia"/>
                <w:highlight w:val="none"/>
              </w:rPr>
            </w:pPr>
            <w:r>
              <w:rPr>
                <w:rFonts w:hint="eastAsia"/>
                <w:highlight w:val="none"/>
              </w:rPr>
              <w:t>★2.鼠标按键寿命：≥500 万次；</w:t>
            </w:r>
          </w:p>
          <w:p>
            <w:pPr>
              <w:spacing w:beforeLines="0" w:afterLines="0"/>
              <w:ind w:left="0" w:leftChars="0" w:firstLine="0" w:firstLineChars="0"/>
              <w:jc w:val="left"/>
              <w:rPr>
                <w:rFonts w:hint="eastAsia"/>
                <w:highlight w:val="none"/>
              </w:rPr>
            </w:pPr>
            <w:r>
              <w:rPr>
                <w:rFonts w:hint="eastAsia"/>
                <w:highlight w:val="none"/>
              </w:rPr>
              <w:t>★3.键盘鼠标线材寿命：键盘鼠标所用线材经±60°弯折不低于 3000 次，功能、外观完好；</w:t>
            </w:r>
          </w:p>
          <w:p>
            <w:pPr>
              <w:spacing w:beforeLines="0" w:afterLines="0"/>
              <w:ind w:left="0" w:leftChars="0" w:firstLine="0" w:firstLineChars="0"/>
              <w:jc w:val="left"/>
              <w:rPr>
                <w:rFonts w:hint="eastAsia"/>
                <w:highlight w:val="none"/>
              </w:rPr>
            </w:pPr>
            <w:r>
              <w:rPr>
                <w:rFonts w:hint="eastAsia"/>
                <w:highlight w:val="none"/>
              </w:rPr>
              <w:t>★4.风扇寿命：≥4 万小时。</w:t>
            </w:r>
          </w:p>
          <w:p>
            <w:pPr>
              <w:spacing w:beforeLines="0" w:afterLines="0"/>
              <w:ind w:left="0" w:leftChars="0" w:firstLine="0" w:firstLineChars="0"/>
              <w:jc w:val="left"/>
              <w:rPr>
                <w:rFonts w:hint="eastAsia"/>
                <w:highlight w:val="none"/>
              </w:rPr>
            </w:pPr>
            <w:r>
              <w:rPr>
                <w:rFonts w:hint="eastAsia"/>
                <w:highlight w:val="none"/>
              </w:rPr>
              <w:t>二十七、整机可靠性要求</w:t>
            </w:r>
          </w:p>
          <w:p>
            <w:pPr>
              <w:spacing w:beforeLines="0" w:afterLines="0"/>
              <w:ind w:left="0" w:leftChars="0" w:firstLine="0" w:firstLineChars="0"/>
              <w:jc w:val="left"/>
              <w:rPr>
                <w:rFonts w:hint="eastAsia"/>
                <w:highlight w:val="none"/>
              </w:rPr>
            </w:pPr>
            <w:r>
              <w:rPr>
                <w:rFonts w:hint="eastAsia"/>
                <w:highlight w:val="none"/>
              </w:rPr>
              <w:t>★1.电磁兼容性要求的抗扰度：符合GB/T 9254.2的规定；</w:t>
            </w:r>
          </w:p>
          <w:p>
            <w:pPr>
              <w:spacing w:beforeLines="0" w:afterLines="0"/>
              <w:ind w:left="0" w:leftChars="0" w:firstLine="0" w:firstLineChars="0"/>
              <w:jc w:val="left"/>
              <w:rPr>
                <w:rFonts w:hint="eastAsia"/>
                <w:highlight w:val="none"/>
              </w:rPr>
            </w:pPr>
            <w:r>
              <w:rPr>
                <w:rFonts w:hint="eastAsia"/>
                <w:highlight w:val="none"/>
              </w:rPr>
              <w:t>★2.环境条件要求的气候环境适应性：符合GB/T 9813.1中规定；</w:t>
            </w:r>
          </w:p>
          <w:p>
            <w:pPr>
              <w:spacing w:beforeLines="0" w:afterLines="0"/>
              <w:ind w:left="0" w:leftChars="0" w:firstLine="0" w:firstLineChars="0"/>
              <w:jc w:val="left"/>
              <w:rPr>
                <w:rFonts w:hint="eastAsia"/>
                <w:highlight w:val="none"/>
              </w:rPr>
            </w:pPr>
            <w:r>
              <w:rPr>
                <w:rFonts w:hint="eastAsia"/>
                <w:highlight w:val="none"/>
              </w:rPr>
              <w:t>★3.环境条件要求的振动适应性：符合GB/T 9813.1中规定；</w:t>
            </w:r>
          </w:p>
          <w:p>
            <w:pPr>
              <w:spacing w:beforeLines="0" w:afterLines="0"/>
              <w:ind w:left="0" w:leftChars="0" w:firstLine="0" w:firstLineChars="0"/>
              <w:jc w:val="left"/>
              <w:rPr>
                <w:rFonts w:hint="eastAsia"/>
                <w:highlight w:val="none"/>
              </w:rPr>
            </w:pPr>
            <w:r>
              <w:rPr>
                <w:rFonts w:hint="eastAsia"/>
                <w:highlight w:val="none"/>
              </w:rPr>
              <w:t>★4.环境条件要求的冲击适应性：符合GB/T 9813.1中规定；</w:t>
            </w:r>
          </w:p>
          <w:p>
            <w:pPr>
              <w:spacing w:beforeLines="0" w:afterLines="0"/>
              <w:ind w:left="0" w:leftChars="0" w:firstLine="0" w:firstLineChars="0"/>
              <w:jc w:val="left"/>
              <w:rPr>
                <w:rFonts w:hint="eastAsia"/>
                <w:highlight w:val="none"/>
              </w:rPr>
            </w:pPr>
            <w:r>
              <w:rPr>
                <w:rFonts w:hint="eastAsia"/>
                <w:highlight w:val="none"/>
              </w:rPr>
              <w:t>★5.环境条件要求的碰撞适应性：符合GB/T 9813.1中规定；</w:t>
            </w:r>
          </w:p>
          <w:p>
            <w:pPr>
              <w:spacing w:beforeLines="0" w:afterLines="0"/>
              <w:ind w:left="0" w:leftChars="0" w:firstLine="0" w:firstLineChars="0"/>
              <w:jc w:val="left"/>
              <w:rPr>
                <w:rFonts w:hint="eastAsia"/>
                <w:highlight w:val="none"/>
              </w:rPr>
            </w:pPr>
            <w:r>
              <w:rPr>
                <w:rFonts w:hint="eastAsia"/>
                <w:highlight w:val="none"/>
              </w:rPr>
              <w:t>★6.环境条件要求的运输包装件跌落适应性：符合GB/T 9813.1中规定；</w:t>
            </w:r>
          </w:p>
          <w:p>
            <w:pPr>
              <w:spacing w:beforeLines="0" w:afterLines="0"/>
              <w:ind w:left="0" w:leftChars="0" w:firstLine="0" w:firstLineChars="0"/>
              <w:jc w:val="left"/>
              <w:rPr>
                <w:rFonts w:hint="eastAsia"/>
                <w:highlight w:val="none"/>
              </w:rPr>
            </w:pPr>
            <w:r>
              <w:rPr>
                <w:rFonts w:hint="eastAsia"/>
                <w:highlight w:val="none"/>
              </w:rPr>
              <w:t>★7.MTBF 测试：MTBF(m1)≥10万小时。</w:t>
            </w:r>
          </w:p>
          <w:p>
            <w:pPr>
              <w:spacing w:beforeLines="0" w:afterLines="0"/>
              <w:ind w:left="0" w:leftChars="0" w:firstLine="0" w:firstLineChars="0"/>
              <w:jc w:val="left"/>
              <w:rPr>
                <w:rFonts w:hint="eastAsia"/>
                <w:highlight w:val="none"/>
              </w:rPr>
            </w:pPr>
            <w:r>
              <w:rPr>
                <w:rFonts w:hint="eastAsia"/>
                <w:highlight w:val="none"/>
              </w:rPr>
              <w:t>二十八、兼容要求</w:t>
            </w:r>
          </w:p>
          <w:p>
            <w:pPr>
              <w:spacing w:beforeLines="0" w:afterLines="0"/>
              <w:ind w:left="0" w:leftChars="0" w:firstLine="0" w:firstLineChars="0"/>
              <w:jc w:val="left"/>
              <w:rPr>
                <w:rFonts w:hint="eastAsia"/>
                <w:highlight w:val="none"/>
              </w:rPr>
            </w:pPr>
            <w:r>
              <w:rPr>
                <w:rFonts w:hint="eastAsia"/>
                <w:highlight w:val="none"/>
              </w:rPr>
              <w:t>★1.常用软件兼容：支持流式软件、版式软件、浏览器、邮件采购人端、解压软件、多媒体、图形图像处理等常用软件；</w:t>
            </w:r>
          </w:p>
          <w:p>
            <w:pPr>
              <w:spacing w:beforeLines="0" w:afterLines="0"/>
              <w:ind w:left="0" w:leftChars="0" w:firstLine="0" w:firstLineChars="0"/>
              <w:jc w:val="left"/>
              <w:rPr>
                <w:rFonts w:hint="eastAsia"/>
                <w:highlight w:val="none"/>
              </w:rPr>
            </w:pPr>
            <w:r>
              <w:rPr>
                <w:rFonts w:hint="eastAsia"/>
                <w:highlight w:val="none"/>
              </w:rPr>
              <w:t>★2.数据库兼容：兼容 3 个及以上厂商的数据库产品；</w:t>
            </w:r>
          </w:p>
          <w:p>
            <w:pPr>
              <w:spacing w:beforeLines="0" w:afterLines="0"/>
              <w:ind w:left="0" w:leftChars="0" w:firstLine="0" w:firstLineChars="0"/>
              <w:jc w:val="left"/>
              <w:rPr>
                <w:rFonts w:hint="eastAsia"/>
                <w:highlight w:val="none"/>
              </w:rPr>
            </w:pPr>
            <w:r>
              <w:rPr>
                <w:rFonts w:hint="eastAsia"/>
                <w:highlight w:val="none"/>
              </w:rPr>
              <w:t>★3.中间件兼容：兼容 3 个及以上厂商中间件产品；</w:t>
            </w:r>
          </w:p>
          <w:p>
            <w:pPr>
              <w:spacing w:beforeLines="0" w:afterLines="0"/>
              <w:ind w:left="0" w:leftChars="0" w:firstLine="0" w:firstLineChars="0"/>
              <w:jc w:val="left"/>
              <w:rPr>
                <w:rFonts w:hint="eastAsia"/>
                <w:highlight w:val="none"/>
              </w:rPr>
            </w:pPr>
            <w:r>
              <w:rPr>
                <w:rFonts w:hint="eastAsia"/>
                <w:highlight w:val="none"/>
              </w:rPr>
              <w:t>★4.平台软件兼容：兼容 3 个及以上厂商云计算及大数据平台；</w:t>
            </w:r>
          </w:p>
          <w:p>
            <w:pPr>
              <w:spacing w:beforeLines="0" w:afterLines="0"/>
              <w:ind w:left="0" w:leftChars="0" w:firstLine="0" w:firstLineChars="0"/>
              <w:jc w:val="left"/>
              <w:rPr>
                <w:rFonts w:hint="eastAsia"/>
                <w:highlight w:val="none"/>
              </w:rPr>
            </w:pPr>
            <w:r>
              <w:rPr>
                <w:rFonts w:hint="eastAsia"/>
                <w:highlight w:val="none"/>
              </w:rPr>
              <w:t>二十九、包装及运输要求</w:t>
            </w:r>
          </w:p>
          <w:p>
            <w:pPr>
              <w:spacing w:beforeLines="0" w:afterLines="0"/>
              <w:ind w:left="0" w:leftChars="0" w:firstLine="0" w:firstLineChars="0"/>
              <w:jc w:val="left"/>
              <w:rPr>
                <w:rFonts w:hint="default"/>
                <w:b w:val="0"/>
                <w:bCs w:val="0"/>
                <w:color w:val="auto"/>
                <w:highlight w:val="none"/>
                <w:lang w:val="en-US"/>
              </w:rPr>
            </w:pPr>
            <w:r>
              <w:rPr>
                <w:rFonts w:hint="eastAsia"/>
                <w:highlight w:val="none"/>
              </w:rPr>
              <w:t>★标志、包装、运输和贮存：符合GB/T 9813.1和商品包装政府采购需求标准的相关规定。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default"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2</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系统软件</w:t>
            </w:r>
          </w:p>
        </w:tc>
        <w:tc>
          <w:tcPr>
            <w:tcW w:w="630" w:type="dxa"/>
            <w:gridSpan w:val="2"/>
          </w:tcPr>
          <w:p>
            <w:pPr>
              <w:pStyle w:val="20"/>
              <w:ind w:firstLine="0" w:firstLineChars="0"/>
              <w:rPr>
                <w:rFonts w:hint="default" w:hAnsi="宋体"/>
                <w:b w:val="0"/>
                <w:bCs w:val="0"/>
                <w:color w:val="auto"/>
                <w:sz w:val="21"/>
                <w:szCs w:val="21"/>
                <w:highlight w:val="none"/>
                <w:lang w:val="en-US" w:bidi="ar"/>
              </w:rPr>
            </w:pPr>
            <w:r>
              <w:rPr>
                <w:rFonts w:hint="eastAsia" w:hAnsi="宋体"/>
                <w:b w:val="0"/>
                <w:bCs w:val="0"/>
                <w:color w:val="auto"/>
                <w:sz w:val="21"/>
                <w:szCs w:val="21"/>
                <w:highlight w:val="none"/>
                <w:lang w:val="en-US" w:eastAsia="zh-CN" w:bidi="ar"/>
              </w:rPr>
              <w:t>套</w:t>
            </w:r>
          </w:p>
        </w:tc>
        <w:tc>
          <w:tcPr>
            <w:tcW w:w="645" w:type="dxa"/>
          </w:tcPr>
          <w:p>
            <w:pPr>
              <w:pStyle w:val="20"/>
              <w:ind w:firstLine="0" w:firstLineChars="0"/>
              <w:rPr>
                <w:rFonts w:hint="default"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61</w:t>
            </w:r>
          </w:p>
        </w:tc>
        <w:tc>
          <w:tcPr>
            <w:tcW w:w="7265" w:type="dxa"/>
            <w:vAlign w:val="center"/>
          </w:tcPr>
          <w:p>
            <w:pPr>
              <w:spacing w:beforeLines="0" w:afterLines="0"/>
              <w:ind w:left="0" w:leftChars="0" w:firstLine="0" w:firstLineChars="0"/>
              <w:jc w:val="left"/>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rPr>
              <w:t>计算机预装满足《操作系统政府采购需求标准（2023 年版）》要求的正版国产操作系统（教育版），一年免费升级服务，三年免费技术支持。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eastAsia="zh-CN" w:bidi="ar"/>
              </w:rPr>
            </w:pPr>
            <w:r>
              <w:rPr>
                <w:rFonts w:hint="eastAsia" w:hAnsi="宋体"/>
                <w:b w:val="0"/>
                <w:bCs w:val="0"/>
                <w:color w:val="auto"/>
                <w:sz w:val="21"/>
                <w:szCs w:val="21"/>
                <w:highlight w:val="none"/>
                <w:lang w:val="en-US" w:eastAsia="zh-CN" w:bidi="ar"/>
              </w:rPr>
              <w:t>3</w:t>
            </w:r>
          </w:p>
        </w:tc>
        <w:tc>
          <w:tcPr>
            <w:tcW w:w="888"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 xml:space="preserve"> 国产化教师机</w:t>
            </w:r>
          </w:p>
        </w:tc>
        <w:tc>
          <w:tcPr>
            <w:tcW w:w="630" w:type="dxa"/>
            <w:gridSpan w:val="2"/>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套</w:t>
            </w:r>
          </w:p>
        </w:tc>
        <w:tc>
          <w:tcPr>
            <w:tcW w:w="645" w:type="dxa"/>
          </w:tcPr>
          <w:p>
            <w:pPr>
              <w:pStyle w:val="20"/>
              <w:ind w:firstLine="0" w:firstLineChars="0"/>
              <w:rPr>
                <w:rFonts w:hint="default" w:hAnsi="宋体"/>
                <w:b w:val="0"/>
                <w:bCs w:val="0"/>
                <w:color w:val="auto"/>
                <w:sz w:val="21"/>
                <w:szCs w:val="21"/>
                <w:highlight w:val="none"/>
                <w:lang w:val="en-US" w:bidi="ar"/>
              </w:rPr>
            </w:pPr>
            <w:r>
              <w:rPr>
                <w:rFonts w:hint="default" w:hAnsi="宋体"/>
                <w:b w:val="0"/>
                <w:bCs w:val="0"/>
                <w:color w:val="auto"/>
                <w:sz w:val="21"/>
                <w:szCs w:val="21"/>
                <w:highlight w:val="none"/>
                <w:lang w:val="en-US" w:bidi="ar"/>
              </w:rPr>
              <w:t>1</w:t>
            </w:r>
          </w:p>
        </w:tc>
        <w:tc>
          <w:tcPr>
            <w:tcW w:w="7265" w:type="dxa"/>
            <w:shd w:val="clear" w:color="auto" w:fill="FFFFFF"/>
            <w:vAlign w:val="center"/>
          </w:tcPr>
          <w:p>
            <w:pPr>
              <w:spacing w:beforeLines="0" w:afterLines="0"/>
              <w:ind w:left="0" w:leftChars="0" w:firstLine="0" w:firstLineChars="0"/>
              <w:jc w:val="left"/>
              <w:rPr>
                <w:rFonts w:hint="eastAsia"/>
                <w:highlight w:val="none"/>
              </w:rPr>
            </w:pPr>
            <w:r>
              <w:rPr>
                <w:rFonts w:hint="eastAsia"/>
                <w:highlight w:val="none"/>
              </w:rPr>
              <w:t>一、CPU规格及型号</w:t>
            </w:r>
          </w:p>
          <w:p>
            <w:pPr>
              <w:spacing w:beforeLines="0" w:afterLines="0"/>
              <w:ind w:left="0" w:leftChars="0" w:firstLine="0" w:firstLineChars="0"/>
              <w:jc w:val="left"/>
              <w:rPr>
                <w:rFonts w:hint="eastAsia"/>
                <w:highlight w:val="none"/>
              </w:rPr>
            </w:pPr>
            <w:r>
              <w:rPr>
                <w:rFonts w:hint="eastAsia"/>
                <w:highlight w:val="none"/>
              </w:rPr>
              <w:t>★配置1颗国产X86架构CPU，每颗CPU物理核心数≥8核，每核CPU基准主频≥3.0GHz，所有核心智能频率可提升至≥3.3GHz，三级缓存≥16MB，功耗≥65W，支持超线程技术、线程数≥16线程，CPU通过安全可靠测评，可在中国信息安全测评中心和国家保密科技测评中心网站安全可靠测评结果中查询。</w:t>
            </w:r>
          </w:p>
          <w:p>
            <w:pPr>
              <w:spacing w:beforeLines="0" w:afterLines="0"/>
              <w:ind w:left="0" w:leftChars="0" w:firstLine="0" w:firstLineChars="0"/>
              <w:jc w:val="left"/>
              <w:rPr>
                <w:rFonts w:hint="eastAsia"/>
                <w:highlight w:val="none"/>
              </w:rPr>
            </w:pPr>
            <w:r>
              <w:rPr>
                <w:rFonts w:hint="eastAsia"/>
                <w:highlight w:val="none"/>
              </w:rPr>
              <w:t>二、内存规格</w:t>
            </w:r>
          </w:p>
          <w:p>
            <w:pPr>
              <w:spacing w:beforeLines="0" w:afterLines="0"/>
              <w:ind w:left="0" w:leftChars="0" w:firstLine="0" w:firstLineChars="0"/>
              <w:jc w:val="left"/>
              <w:rPr>
                <w:rFonts w:hint="eastAsia"/>
                <w:highlight w:val="none"/>
              </w:rPr>
            </w:pPr>
            <w:r>
              <w:rPr>
                <w:rFonts w:hint="eastAsia"/>
                <w:highlight w:val="none"/>
              </w:rPr>
              <w:t>★1.内存配置容量：≥16GB；</w:t>
            </w:r>
          </w:p>
          <w:p>
            <w:pPr>
              <w:spacing w:beforeLines="0" w:afterLines="0"/>
              <w:ind w:left="0" w:leftChars="0" w:firstLine="0" w:firstLineChars="0"/>
              <w:jc w:val="left"/>
              <w:rPr>
                <w:rFonts w:hint="eastAsia"/>
                <w:highlight w:val="none"/>
              </w:rPr>
            </w:pPr>
            <w:r>
              <w:rPr>
                <w:rFonts w:hint="eastAsia"/>
                <w:highlight w:val="none"/>
              </w:rPr>
              <w:t>★2.内存类型：支持 DDR4内存类型；</w:t>
            </w:r>
          </w:p>
          <w:p>
            <w:pPr>
              <w:spacing w:beforeLines="0" w:afterLines="0"/>
              <w:ind w:left="0" w:leftChars="0" w:firstLine="0" w:firstLineChars="0"/>
              <w:jc w:val="left"/>
              <w:rPr>
                <w:rFonts w:hint="eastAsia"/>
                <w:highlight w:val="none"/>
              </w:rPr>
            </w:pPr>
            <w:r>
              <w:rPr>
                <w:rFonts w:hint="eastAsia"/>
                <w:highlight w:val="none"/>
              </w:rPr>
              <w:t>★3.内存条配置数量（板载内存不涉及）：≥1。</w:t>
            </w:r>
          </w:p>
          <w:p>
            <w:pPr>
              <w:spacing w:beforeLines="0" w:afterLines="0"/>
              <w:ind w:left="0" w:leftChars="0" w:firstLine="0" w:firstLineChars="0"/>
              <w:jc w:val="left"/>
              <w:rPr>
                <w:rFonts w:hint="eastAsia"/>
                <w:highlight w:val="none"/>
              </w:rPr>
            </w:pPr>
            <w:r>
              <w:rPr>
                <w:rFonts w:hint="eastAsia"/>
                <w:highlight w:val="none"/>
              </w:rPr>
              <w:t>三、主板规格</w:t>
            </w:r>
          </w:p>
          <w:p>
            <w:pPr>
              <w:spacing w:beforeLines="0" w:afterLines="0"/>
              <w:ind w:left="0" w:leftChars="0" w:firstLine="0" w:firstLineChars="0"/>
              <w:jc w:val="left"/>
              <w:rPr>
                <w:rFonts w:hint="eastAsia"/>
                <w:highlight w:val="none"/>
              </w:rPr>
            </w:pPr>
            <w:r>
              <w:rPr>
                <w:rFonts w:hint="eastAsia"/>
                <w:highlight w:val="none"/>
              </w:rPr>
              <w:t>★1.主板集成模块：集成资源扩展模块、计算处理模块、音频扩展模块等，主板的互联拓扑可通过处理器或交换电路实现；</w:t>
            </w:r>
          </w:p>
          <w:p>
            <w:pPr>
              <w:spacing w:beforeLines="0" w:afterLines="0"/>
              <w:ind w:left="0" w:leftChars="0" w:firstLine="0" w:firstLineChars="0"/>
              <w:jc w:val="left"/>
              <w:rPr>
                <w:rFonts w:hint="eastAsia"/>
                <w:highlight w:val="none"/>
              </w:rPr>
            </w:pPr>
            <w:r>
              <w:rPr>
                <w:rFonts w:hint="eastAsia"/>
                <w:highlight w:val="none"/>
              </w:rPr>
              <w:t>★2.主板支持的 CPU 和内存情况：≥8核16线程，每核基准主频≥3.0GHz，所有核心智能频率可提升至≥3.3GHz，末级缓存≥16M，设计功耗≥65W；主板支持DDR4内存条数量≥4，内存频率≥3200MT/s；</w:t>
            </w:r>
          </w:p>
          <w:p>
            <w:pPr>
              <w:spacing w:beforeLines="0" w:afterLines="0"/>
              <w:ind w:left="0" w:leftChars="0" w:firstLine="0" w:firstLineChars="0"/>
              <w:jc w:val="left"/>
              <w:rPr>
                <w:rFonts w:hint="eastAsia"/>
                <w:highlight w:val="none"/>
              </w:rPr>
            </w:pPr>
            <w:r>
              <w:rPr>
                <w:rFonts w:hint="eastAsia"/>
                <w:highlight w:val="none"/>
              </w:rPr>
              <w:t>★3.主板内PCIe插槽数量：1*PCIe4.0x16插槽，1*PCIe3.0x16插槽，1*PCIe3.0x1插槽；</w:t>
            </w:r>
          </w:p>
          <w:p>
            <w:pPr>
              <w:spacing w:beforeLines="0" w:afterLines="0"/>
              <w:ind w:left="0" w:leftChars="0" w:firstLine="0" w:firstLineChars="0"/>
              <w:jc w:val="left"/>
              <w:rPr>
                <w:rFonts w:hint="eastAsia"/>
                <w:highlight w:val="none"/>
              </w:rPr>
            </w:pPr>
            <w:r>
              <w:rPr>
                <w:rFonts w:hint="eastAsia"/>
                <w:highlight w:val="none"/>
              </w:rPr>
              <w:t>★4.主板其他内置接口：≥SATA接口*4，≥M.2接口*2，固态硬盘占用M.2接口*1；</w:t>
            </w:r>
          </w:p>
          <w:p>
            <w:pPr>
              <w:spacing w:beforeLines="0" w:afterLines="0"/>
              <w:ind w:left="0" w:leftChars="0" w:firstLine="0" w:firstLineChars="0"/>
              <w:jc w:val="left"/>
              <w:rPr>
                <w:rFonts w:hint="eastAsia"/>
                <w:highlight w:val="none"/>
              </w:rPr>
            </w:pPr>
            <w:r>
              <w:rPr>
                <w:rFonts w:hint="eastAsia"/>
                <w:highlight w:val="none"/>
              </w:rPr>
              <w:t>★5.单内存插槽最大可支持容量（板载内存不涉及）：≥64GB；</w:t>
            </w:r>
          </w:p>
          <w:p>
            <w:pPr>
              <w:spacing w:beforeLines="0" w:afterLines="0"/>
              <w:ind w:left="0" w:leftChars="0" w:firstLine="0" w:firstLineChars="0"/>
              <w:jc w:val="left"/>
              <w:rPr>
                <w:rFonts w:hint="eastAsia"/>
                <w:highlight w:val="none"/>
              </w:rPr>
            </w:pPr>
            <w:r>
              <w:rPr>
                <w:rFonts w:hint="eastAsia"/>
                <w:highlight w:val="none"/>
              </w:rPr>
              <w:t>★6.内存插槽满配时提供的最高内存总容量：≥256GB。</w:t>
            </w:r>
          </w:p>
          <w:p>
            <w:pPr>
              <w:spacing w:beforeLines="0" w:afterLines="0"/>
              <w:ind w:left="0" w:leftChars="0" w:firstLine="0" w:firstLineChars="0"/>
              <w:jc w:val="left"/>
              <w:rPr>
                <w:rFonts w:hint="eastAsia"/>
                <w:highlight w:val="none"/>
              </w:rPr>
            </w:pPr>
            <w:r>
              <w:rPr>
                <w:rFonts w:hint="eastAsia"/>
                <w:highlight w:val="none"/>
              </w:rPr>
              <w:t>四、存储设备规格</w:t>
            </w:r>
          </w:p>
          <w:p>
            <w:pPr>
              <w:spacing w:beforeLines="0" w:afterLines="0"/>
              <w:ind w:left="0" w:leftChars="0" w:firstLine="0" w:firstLineChars="0"/>
              <w:jc w:val="left"/>
              <w:rPr>
                <w:rFonts w:hint="eastAsia"/>
                <w:highlight w:val="none"/>
              </w:rPr>
            </w:pPr>
            <w:r>
              <w:rPr>
                <w:rFonts w:hint="eastAsia"/>
                <w:highlight w:val="none"/>
              </w:rPr>
              <w:t xml:space="preserve">★1.固态盘数量：≥1 个； </w:t>
            </w:r>
          </w:p>
          <w:p>
            <w:pPr>
              <w:spacing w:beforeLines="0" w:afterLines="0"/>
              <w:ind w:left="0" w:leftChars="0" w:firstLine="0" w:firstLineChars="0"/>
              <w:jc w:val="left"/>
              <w:rPr>
                <w:rFonts w:hint="eastAsia"/>
                <w:highlight w:val="none"/>
              </w:rPr>
            </w:pPr>
            <w:r>
              <w:rPr>
                <w:rFonts w:hint="eastAsia"/>
                <w:highlight w:val="none"/>
              </w:rPr>
              <w:t>★2.固态存储容量：≥512G；</w:t>
            </w:r>
          </w:p>
          <w:p>
            <w:pPr>
              <w:spacing w:beforeLines="0" w:afterLines="0"/>
              <w:ind w:left="0" w:leftChars="0" w:firstLine="0" w:firstLineChars="0"/>
              <w:jc w:val="left"/>
              <w:rPr>
                <w:rFonts w:hint="eastAsia"/>
                <w:highlight w:val="none"/>
              </w:rPr>
            </w:pPr>
            <w:r>
              <w:rPr>
                <w:rFonts w:hint="eastAsia"/>
                <w:highlight w:val="none"/>
              </w:rPr>
              <w:t>★3.固态存储接口协议：NVMe</w:t>
            </w:r>
          </w:p>
          <w:p>
            <w:pPr>
              <w:spacing w:beforeLines="0" w:afterLines="0"/>
              <w:ind w:left="0" w:leftChars="0" w:firstLine="0" w:firstLineChars="0"/>
              <w:jc w:val="left"/>
              <w:rPr>
                <w:rFonts w:hint="eastAsia"/>
                <w:highlight w:val="none"/>
              </w:rPr>
            </w:pPr>
            <w:r>
              <w:rPr>
                <w:rFonts w:hint="eastAsia"/>
                <w:highlight w:val="none"/>
              </w:rPr>
              <w:t>★4.固态存储形态：采用插卡形态，符合NVMe M.2标准；</w:t>
            </w:r>
          </w:p>
          <w:p>
            <w:pPr>
              <w:spacing w:beforeLines="0" w:afterLines="0"/>
              <w:ind w:left="0" w:leftChars="0" w:firstLine="0" w:firstLineChars="0"/>
              <w:jc w:val="left"/>
              <w:rPr>
                <w:rFonts w:hint="eastAsia"/>
                <w:highlight w:val="none"/>
              </w:rPr>
            </w:pPr>
            <w:r>
              <w:rPr>
                <w:rFonts w:hint="eastAsia"/>
                <w:highlight w:val="none"/>
              </w:rPr>
              <w:t>★5.存储设备其他参数要求：a)固态盘应符合SJ/T 11654相关规定；b)机械硬盘准备时间应不大于30s；侧面固定螺丝孔数量可为 4 孔或 6 孔；工作状态环境温度应满足5℃-55℃；其它参数应符合GB/T 12628相关规定。</w:t>
            </w:r>
          </w:p>
          <w:p>
            <w:pPr>
              <w:spacing w:beforeLines="0" w:afterLines="0"/>
              <w:ind w:left="0" w:leftChars="0" w:firstLine="0" w:firstLineChars="0"/>
              <w:jc w:val="left"/>
              <w:rPr>
                <w:rFonts w:hint="eastAsia"/>
                <w:highlight w:val="none"/>
              </w:rPr>
            </w:pPr>
            <w:r>
              <w:rPr>
                <w:rFonts w:hint="eastAsia"/>
                <w:highlight w:val="none"/>
              </w:rPr>
              <w:t>五、显卡规格</w:t>
            </w:r>
          </w:p>
          <w:p>
            <w:pPr>
              <w:spacing w:beforeLines="0" w:afterLines="0"/>
              <w:ind w:left="0" w:leftChars="0" w:firstLine="0" w:firstLineChars="0"/>
              <w:jc w:val="left"/>
              <w:rPr>
                <w:rFonts w:hint="eastAsia"/>
                <w:highlight w:val="none"/>
              </w:rPr>
            </w:pPr>
            <w:r>
              <w:rPr>
                <w:rFonts w:hint="eastAsia"/>
                <w:highlight w:val="none"/>
              </w:rPr>
              <w:t>★1.显卡类型：独立显卡；</w:t>
            </w:r>
          </w:p>
          <w:p>
            <w:pPr>
              <w:spacing w:beforeLines="0" w:afterLines="0"/>
              <w:ind w:left="0" w:leftChars="0" w:firstLine="0" w:firstLineChars="0"/>
              <w:jc w:val="left"/>
              <w:rPr>
                <w:rFonts w:hint="eastAsia"/>
                <w:highlight w:val="none"/>
              </w:rPr>
            </w:pPr>
            <w:r>
              <w:rPr>
                <w:rFonts w:hint="eastAsia"/>
                <w:highlight w:val="none"/>
              </w:rPr>
              <w:t>★2.独立显卡显存类型：显存类型应为DDR4/GDDR5/GDDR6/LPDDR4；</w:t>
            </w:r>
          </w:p>
          <w:p>
            <w:pPr>
              <w:spacing w:beforeLines="0" w:afterLines="0"/>
              <w:ind w:left="0" w:leftChars="0" w:firstLine="0" w:firstLineChars="0"/>
              <w:jc w:val="left"/>
              <w:rPr>
                <w:rFonts w:hint="eastAsia"/>
                <w:highlight w:val="none"/>
              </w:rPr>
            </w:pPr>
            <w:r>
              <w:rPr>
                <w:rFonts w:hint="eastAsia"/>
                <w:highlight w:val="none"/>
              </w:rPr>
              <w:t>★3.独立显卡显存位宽：显存位宽≥64bit；</w:t>
            </w:r>
          </w:p>
          <w:p>
            <w:pPr>
              <w:spacing w:beforeLines="0" w:afterLines="0"/>
              <w:ind w:left="0" w:leftChars="0" w:firstLine="0" w:firstLineChars="0"/>
              <w:jc w:val="left"/>
              <w:rPr>
                <w:rFonts w:hint="eastAsia"/>
                <w:highlight w:val="none"/>
              </w:rPr>
            </w:pPr>
            <w:r>
              <w:rPr>
                <w:rFonts w:hint="eastAsia"/>
                <w:highlight w:val="none"/>
              </w:rPr>
              <w:t>★4.独立显卡显存容量：显存容量≥2GB。</w:t>
            </w:r>
          </w:p>
          <w:p>
            <w:pPr>
              <w:spacing w:beforeLines="0" w:afterLines="0"/>
              <w:ind w:left="0" w:leftChars="0" w:firstLine="0" w:firstLineChars="0"/>
              <w:jc w:val="left"/>
              <w:rPr>
                <w:rFonts w:hint="eastAsia"/>
                <w:highlight w:val="none"/>
              </w:rPr>
            </w:pPr>
            <w:r>
              <w:rPr>
                <w:rFonts w:hint="eastAsia"/>
                <w:highlight w:val="none"/>
              </w:rPr>
              <w:t>六、显示设备规格</w:t>
            </w:r>
          </w:p>
          <w:p>
            <w:pPr>
              <w:spacing w:beforeLines="0" w:afterLines="0"/>
              <w:ind w:left="0" w:leftChars="0" w:firstLine="0" w:firstLineChars="0"/>
              <w:jc w:val="left"/>
              <w:rPr>
                <w:rFonts w:hint="eastAsia"/>
                <w:highlight w:val="none"/>
              </w:rPr>
            </w:pPr>
            <w:r>
              <w:rPr>
                <w:rFonts w:hint="eastAsia"/>
                <w:highlight w:val="none"/>
              </w:rPr>
              <w:t>★1.显示屏屏占比：≥90%；</w:t>
            </w:r>
          </w:p>
          <w:p>
            <w:pPr>
              <w:spacing w:beforeLines="0" w:afterLines="0"/>
              <w:ind w:left="0" w:leftChars="0" w:firstLine="0" w:firstLineChars="0"/>
              <w:jc w:val="left"/>
              <w:rPr>
                <w:rFonts w:hint="eastAsia"/>
                <w:highlight w:val="none"/>
              </w:rPr>
            </w:pPr>
            <w:r>
              <w:rPr>
                <w:rFonts w:hint="eastAsia"/>
                <w:highlight w:val="none"/>
              </w:rPr>
              <w:t>★2.显示屏分辨率：≥1920*1080；</w:t>
            </w:r>
          </w:p>
          <w:p>
            <w:pPr>
              <w:spacing w:beforeLines="0" w:afterLines="0"/>
              <w:ind w:left="0" w:leftChars="0" w:firstLine="0" w:firstLineChars="0"/>
              <w:jc w:val="left"/>
              <w:rPr>
                <w:rFonts w:hint="eastAsia"/>
                <w:highlight w:val="none"/>
              </w:rPr>
            </w:pPr>
            <w:r>
              <w:rPr>
                <w:rFonts w:hint="eastAsia"/>
                <w:highlight w:val="none"/>
              </w:rPr>
              <w:t>★3.显示屏尺寸：≥23.8英寸；</w:t>
            </w:r>
          </w:p>
          <w:p>
            <w:pPr>
              <w:spacing w:beforeLines="0" w:afterLines="0"/>
              <w:ind w:left="0" w:leftChars="0" w:firstLine="0" w:firstLineChars="0"/>
              <w:jc w:val="left"/>
              <w:rPr>
                <w:rFonts w:hint="eastAsia"/>
                <w:highlight w:val="none"/>
              </w:rPr>
            </w:pPr>
            <w:r>
              <w:rPr>
                <w:rFonts w:hint="eastAsia"/>
                <w:highlight w:val="none"/>
              </w:rPr>
              <w:t xml:space="preserve">★4.显示屏屏幕比例：16:9； </w:t>
            </w:r>
          </w:p>
          <w:p>
            <w:pPr>
              <w:spacing w:beforeLines="0" w:afterLines="0"/>
              <w:ind w:left="0" w:leftChars="0" w:firstLine="0" w:firstLineChars="0"/>
              <w:jc w:val="left"/>
              <w:rPr>
                <w:rFonts w:hint="eastAsia"/>
                <w:highlight w:val="none"/>
              </w:rPr>
            </w:pPr>
            <w:r>
              <w:rPr>
                <w:rFonts w:hint="eastAsia"/>
                <w:highlight w:val="none"/>
              </w:rPr>
              <w:t>★5.显示器外观颜色：黑色；</w:t>
            </w:r>
          </w:p>
          <w:p>
            <w:pPr>
              <w:spacing w:beforeLines="0" w:afterLines="0"/>
              <w:ind w:left="0" w:leftChars="0" w:firstLine="0" w:firstLineChars="0"/>
              <w:jc w:val="left"/>
              <w:rPr>
                <w:rFonts w:hint="eastAsia"/>
                <w:highlight w:val="none"/>
              </w:rPr>
            </w:pPr>
            <w:r>
              <w:rPr>
                <w:rFonts w:hint="eastAsia"/>
                <w:highlight w:val="none"/>
              </w:rPr>
              <w:t>★6.显示屏防蓝光：支持防蓝光模式，蓝光加权辐射亮度比应≤0.0012W/(·cd·sr)（瓦每坎特拉每球面度）；</w:t>
            </w:r>
          </w:p>
          <w:p>
            <w:pPr>
              <w:spacing w:beforeLines="0" w:afterLines="0"/>
              <w:ind w:left="0" w:leftChars="0" w:firstLine="0" w:firstLineChars="0"/>
              <w:jc w:val="left"/>
              <w:rPr>
                <w:rFonts w:hint="eastAsia"/>
                <w:highlight w:val="none"/>
              </w:rPr>
            </w:pPr>
            <w:r>
              <w:rPr>
                <w:rFonts w:hint="eastAsia"/>
                <w:highlight w:val="none"/>
              </w:rPr>
              <w:t>★7.显示屏低频闪：显示屏应支持低频闪≤-35dB；</w:t>
            </w:r>
          </w:p>
          <w:p>
            <w:pPr>
              <w:spacing w:beforeLines="0" w:afterLines="0"/>
              <w:ind w:left="0" w:leftChars="0" w:firstLine="0" w:firstLineChars="0"/>
              <w:jc w:val="left"/>
              <w:rPr>
                <w:rFonts w:hint="eastAsia"/>
                <w:highlight w:val="none"/>
              </w:rPr>
            </w:pPr>
            <w:r>
              <w:rPr>
                <w:rFonts w:hint="eastAsia"/>
                <w:highlight w:val="none"/>
              </w:rPr>
              <w:t>★8.显示屏防炫目：显示屏镜面反射率≤10%。</w:t>
            </w:r>
          </w:p>
          <w:p>
            <w:pPr>
              <w:spacing w:beforeLines="0" w:afterLines="0"/>
              <w:ind w:left="0" w:leftChars="0" w:firstLine="0" w:firstLineChars="0"/>
              <w:jc w:val="left"/>
              <w:rPr>
                <w:rFonts w:hint="eastAsia"/>
                <w:highlight w:val="none"/>
              </w:rPr>
            </w:pPr>
            <w:r>
              <w:rPr>
                <w:rFonts w:hint="eastAsia"/>
                <w:highlight w:val="none"/>
              </w:rPr>
              <w:t>七、外设规格</w:t>
            </w:r>
          </w:p>
          <w:p>
            <w:pPr>
              <w:spacing w:beforeLines="0" w:afterLines="0"/>
              <w:ind w:left="0" w:leftChars="0" w:firstLine="0" w:firstLineChars="0"/>
              <w:jc w:val="left"/>
              <w:rPr>
                <w:rFonts w:hint="eastAsia"/>
                <w:highlight w:val="none"/>
              </w:rPr>
            </w:pPr>
            <w:r>
              <w:rPr>
                <w:rFonts w:hint="eastAsia"/>
                <w:highlight w:val="none"/>
              </w:rPr>
              <w:t>★1.鼠标数量：≥1个；</w:t>
            </w:r>
          </w:p>
          <w:p>
            <w:pPr>
              <w:spacing w:beforeLines="0" w:afterLines="0"/>
              <w:ind w:left="0" w:leftChars="0" w:firstLine="0" w:firstLineChars="0"/>
              <w:jc w:val="left"/>
              <w:rPr>
                <w:rFonts w:hint="eastAsia"/>
                <w:highlight w:val="none"/>
              </w:rPr>
            </w:pPr>
            <w:r>
              <w:rPr>
                <w:rFonts w:hint="eastAsia"/>
                <w:highlight w:val="none"/>
              </w:rPr>
              <w:t>★2.键盘数量：≥1个；</w:t>
            </w:r>
          </w:p>
          <w:p>
            <w:pPr>
              <w:spacing w:beforeLines="0" w:afterLines="0"/>
              <w:ind w:left="0" w:leftChars="0" w:firstLine="0" w:firstLineChars="0"/>
              <w:jc w:val="left"/>
              <w:rPr>
                <w:rFonts w:hint="eastAsia"/>
                <w:highlight w:val="none"/>
              </w:rPr>
            </w:pPr>
            <w:r>
              <w:rPr>
                <w:rFonts w:hint="eastAsia"/>
                <w:highlight w:val="none"/>
              </w:rPr>
              <w:t>★3.键盘按键数目：≥104键；</w:t>
            </w:r>
          </w:p>
          <w:p>
            <w:pPr>
              <w:spacing w:beforeLines="0" w:afterLines="0"/>
              <w:ind w:left="0" w:leftChars="0" w:firstLine="0" w:firstLineChars="0"/>
              <w:jc w:val="left"/>
              <w:rPr>
                <w:rFonts w:hint="eastAsia"/>
                <w:highlight w:val="none"/>
              </w:rPr>
            </w:pPr>
            <w:r>
              <w:rPr>
                <w:rFonts w:hint="eastAsia"/>
                <w:highlight w:val="none"/>
              </w:rPr>
              <w:t>★4.键盘连接方式：有线；</w:t>
            </w:r>
          </w:p>
          <w:p>
            <w:pPr>
              <w:spacing w:beforeLines="0" w:afterLines="0"/>
              <w:ind w:left="0" w:leftChars="0" w:firstLine="0" w:firstLineChars="0"/>
              <w:jc w:val="left"/>
              <w:rPr>
                <w:rFonts w:hint="eastAsia"/>
                <w:highlight w:val="none"/>
              </w:rPr>
            </w:pPr>
            <w:r>
              <w:rPr>
                <w:rFonts w:hint="eastAsia"/>
                <w:highlight w:val="none"/>
              </w:rPr>
              <w:t>★5.键盘键程：2.3mm-4.0mm；</w:t>
            </w:r>
          </w:p>
          <w:p>
            <w:pPr>
              <w:spacing w:beforeLines="0" w:afterLines="0"/>
              <w:ind w:left="0" w:leftChars="0" w:firstLine="0" w:firstLineChars="0"/>
              <w:jc w:val="left"/>
              <w:rPr>
                <w:rFonts w:hint="eastAsia"/>
                <w:highlight w:val="none"/>
              </w:rPr>
            </w:pPr>
            <w:r>
              <w:rPr>
                <w:rFonts w:hint="eastAsia"/>
                <w:highlight w:val="none"/>
              </w:rPr>
              <w:t>★6.键盘按键压力：按键压力应在0.54N±0.14N；</w:t>
            </w:r>
          </w:p>
          <w:p>
            <w:pPr>
              <w:spacing w:beforeLines="0" w:afterLines="0"/>
              <w:ind w:left="0" w:leftChars="0" w:firstLine="0" w:firstLineChars="0"/>
              <w:jc w:val="left"/>
              <w:rPr>
                <w:rFonts w:hint="eastAsia"/>
                <w:highlight w:val="none"/>
              </w:rPr>
            </w:pPr>
            <w:r>
              <w:rPr>
                <w:rFonts w:hint="eastAsia"/>
                <w:highlight w:val="none"/>
              </w:rPr>
              <w:t>★7.有线键盘连接线：≥1.8米；</w:t>
            </w:r>
          </w:p>
          <w:p>
            <w:pPr>
              <w:spacing w:beforeLines="0" w:afterLines="0"/>
              <w:ind w:left="0" w:leftChars="0" w:firstLine="0" w:firstLineChars="0"/>
              <w:jc w:val="left"/>
              <w:rPr>
                <w:rFonts w:hint="eastAsia"/>
                <w:highlight w:val="none"/>
              </w:rPr>
            </w:pPr>
            <w:r>
              <w:rPr>
                <w:rFonts w:hint="eastAsia"/>
                <w:highlight w:val="none"/>
              </w:rPr>
              <w:t>★8.键盘颜色：黑色；</w:t>
            </w:r>
          </w:p>
          <w:p>
            <w:pPr>
              <w:spacing w:beforeLines="0" w:afterLines="0"/>
              <w:ind w:left="0" w:leftChars="0" w:firstLine="0" w:firstLineChars="0"/>
              <w:jc w:val="left"/>
              <w:rPr>
                <w:rFonts w:hint="eastAsia"/>
                <w:highlight w:val="none"/>
              </w:rPr>
            </w:pPr>
            <w:r>
              <w:rPr>
                <w:rFonts w:hint="eastAsia"/>
                <w:highlight w:val="none"/>
              </w:rPr>
              <w:t>★9.鼠标连接方式：有线；</w:t>
            </w:r>
          </w:p>
          <w:p>
            <w:pPr>
              <w:spacing w:beforeLines="0" w:afterLines="0"/>
              <w:ind w:left="0" w:leftChars="0" w:firstLine="0" w:firstLineChars="0"/>
              <w:jc w:val="left"/>
              <w:rPr>
                <w:rFonts w:hint="eastAsia"/>
                <w:highlight w:val="none"/>
              </w:rPr>
            </w:pPr>
            <w:r>
              <w:rPr>
                <w:rFonts w:hint="eastAsia"/>
                <w:highlight w:val="none"/>
              </w:rPr>
              <w:t>★10.有线鼠标连接线：≥1.8米；</w:t>
            </w:r>
          </w:p>
          <w:p>
            <w:pPr>
              <w:spacing w:beforeLines="0" w:afterLines="0"/>
              <w:ind w:left="0" w:leftChars="0" w:firstLine="0" w:firstLineChars="0"/>
              <w:jc w:val="left"/>
              <w:rPr>
                <w:rFonts w:hint="eastAsia"/>
                <w:highlight w:val="none"/>
              </w:rPr>
            </w:pPr>
            <w:r>
              <w:rPr>
                <w:rFonts w:hint="eastAsia"/>
                <w:highlight w:val="none"/>
              </w:rPr>
              <w:t>★11.鼠标DPI分辨率：800-1600；</w:t>
            </w:r>
          </w:p>
          <w:p>
            <w:pPr>
              <w:spacing w:beforeLines="0" w:afterLines="0"/>
              <w:ind w:left="0" w:leftChars="0" w:firstLine="0" w:firstLineChars="0"/>
              <w:jc w:val="left"/>
              <w:rPr>
                <w:rFonts w:hint="eastAsia"/>
                <w:highlight w:val="none"/>
              </w:rPr>
            </w:pPr>
            <w:r>
              <w:rPr>
                <w:rFonts w:hint="eastAsia"/>
                <w:highlight w:val="none"/>
              </w:rPr>
              <w:t>★12.鼠标颜色：黑色；</w:t>
            </w:r>
          </w:p>
          <w:p>
            <w:pPr>
              <w:spacing w:beforeLines="0" w:afterLines="0"/>
              <w:ind w:left="0" w:leftChars="0" w:firstLine="0" w:firstLineChars="0"/>
              <w:jc w:val="left"/>
              <w:rPr>
                <w:rFonts w:hint="eastAsia"/>
                <w:highlight w:val="none"/>
              </w:rPr>
            </w:pPr>
            <w:r>
              <w:rPr>
                <w:rFonts w:hint="eastAsia"/>
                <w:highlight w:val="none"/>
              </w:rPr>
              <w:t>★13.鼠标其他要求：其它参数应符合GB/T 26245的相关规定。</w:t>
            </w:r>
          </w:p>
          <w:p>
            <w:pPr>
              <w:spacing w:beforeLines="0" w:afterLines="0"/>
              <w:ind w:left="0" w:leftChars="0" w:firstLine="0" w:firstLineChars="0"/>
              <w:jc w:val="left"/>
              <w:rPr>
                <w:rFonts w:hint="eastAsia"/>
                <w:highlight w:val="none"/>
              </w:rPr>
            </w:pPr>
            <w:r>
              <w:rPr>
                <w:rFonts w:hint="eastAsia"/>
                <w:highlight w:val="none"/>
              </w:rPr>
              <w:t>八、网络设备规格</w:t>
            </w:r>
          </w:p>
          <w:p>
            <w:pPr>
              <w:spacing w:beforeLines="0" w:afterLines="0"/>
              <w:ind w:left="0" w:leftChars="0" w:firstLine="0" w:firstLineChars="0"/>
              <w:jc w:val="left"/>
              <w:rPr>
                <w:rFonts w:hint="eastAsia"/>
                <w:highlight w:val="none"/>
              </w:rPr>
            </w:pPr>
            <w:r>
              <w:rPr>
                <w:rFonts w:hint="eastAsia"/>
                <w:highlight w:val="none"/>
              </w:rPr>
              <w:t>★有线网卡数量：≥2（不占用扩展插槽）；</w:t>
            </w:r>
          </w:p>
          <w:p>
            <w:pPr>
              <w:spacing w:beforeLines="0" w:afterLines="0"/>
              <w:ind w:left="0" w:leftChars="0" w:firstLine="0" w:firstLineChars="0"/>
              <w:jc w:val="left"/>
              <w:rPr>
                <w:rFonts w:hint="eastAsia"/>
                <w:highlight w:val="none"/>
              </w:rPr>
            </w:pPr>
            <w:r>
              <w:rPr>
                <w:rFonts w:hint="eastAsia"/>
                <w:highlight w:val="none"/>
              </w:rPr>
              <w:t>九、外部接口规格</w:t>
            </w:r>
          </w:p>
          <w:p>
            <w:pPr>
              <w:spacing w:beforeLines="0" w:afterLines="0"/>
              <w:ind w:left="0" w:leftChars="0" w:firstLine="0" w:firstLineChars="0"/>
              <w:jc w:val="left"/>
              <w:rPr>
                <w:rFonts w:hint="eastAsia"/>
                <w:highlight w:val="none"/>
              </w:rPr>
            </w:pPr>
            <w:r>
              <w:rPr>
                <w:rFonts w:hint="eastAsia"/>
                <w:highlight w:val="none"/>
              </w:rPr>
              <w:t>★1.USB 接口数量：机箱前面板应提供不少于4个USB 接口（含2 个USB3.0及以上接口），机箱后面板应提供不少于6个USB 3.0及以上接口；</w:t>
            </w:r>
          </w:p>
          <w:p>
            <w:pPr>
              <w:spacing w:beforeLines="0" w:afterLines="0"/>
              <w:ind w:left="0" w:leftChars="0" w:firstLine="0" w:firstLineChars="0"/>
              <w:jc w:val="left"/>
              <w:rPr>
                <w:rFonts w:hint="eastAsia"/>
                <w:highlight w:val="none"/>
              </w:rPr>
            </w:pPr>
            <w:r>
              <w:rPr>
                <w:rFonts w:hint="eastAsia"/>
                <w:highlight w:val="none"/>
              </w:rPr>
              <w:t>★2.视频接口数量：≥2，视频接口至少同时支持HDMI与VGA接口；</w:t>
            </w:r>
          </w:p>
          <w:p>
            <w:pPr>
              <w:spacing w:beforeLines="0" w:afterLines="0"/>
              <w:ind w:left="0" w:leftChars="0" w:firstLine="0" w:firstLineChars="0"/>
              <w:jc w:val="left"/>
              <w:rPr>
                <w:rFonts w:hint="eastAsia"/>
                <w:highlight w:val="none"/>
              </w:rPr>
            </w:pPr>
            <w:r>
              <w:rPr>
                <w:rFonts w:hint="eastAsia"/>
                <w:highlight w:val="none"/>
              </w:rPr>
              <w:t>★3.音频接口数量：机箱前面板提供音频输出接口*1，麦克风输入接口*1；机箱后面板提供麦克风输入接口*1，音频输出接口*1，音频输入接口*1。</w:t>
            </w:r>
          </w:p>
          <w:p>
            <w:pPr>
              <w:spacing w:beforeLines="0" w:afterLines="0"/>
              <w:ind w:left="0" w:leftChars="0" w:firstLine="0" w:firstLineChars="0"/>
              <w:jc w:val="left"/>
              <w:rPr>
                <w:rFonts w:hint="eastAsia"/>
                <w:highlight w:val="none"/>
              </w:rPr>
            </w:pPr>
            <w:r>
              <w:rPr>
                <w:rFonts w:hint="eastAsia"/>
                <w:highlight w:val="none"/>
              </w:rPr>
              <w:t>十、整机基础规格</w:t>
            </w:r>
          </w:p>
          <w:p>
            <w:pPr>
              <w:spacing w:beforeLines="0" w:afterLines="0"/>
              <w:ind w:left="0" w:leftChars="0" w:firstLine="0" w:firstLineChars="0"/>
              <w:jc w:val="left"/>
              <w:rPr>
                <w:rFonts w:hint="eastAsia"/>
                <w:highlight w:val="none"/>
              </w:rPr>
            </w:pPr>
            <w:r>
              <w:rPr>
                <w:rFonts w:hint="eastAsia"/>
                <w:highlight w:val="none"/>
              </w:rPr>
              <w:t>★1.整机外观：a) 产品表面不应有凹痕、划伤、裂缝、变形和污染等。表面涂层均匀，不应起泡、龟裂、脱落和磨损，金属零部件无锈蚀及其它机械损伤；b) 产品表面说明功能的文字、符号、标志，应清晰、端正、牢固；</w:t>
            </w:r>
          </w:p>
          <w:p>
            <w:pPr>
              <w:spacing w:beforeLines="0" w:afterLines="0"/>
              <w:ind w:left="0" w:leftChars="0" w:firstLine="0" w:firstLineChars="0"/>
              <w:jc w:val="left"/>
              <w:rPr>
                <w:rFonts w:hint="eastAsia"/>
                <w:highlight w:val="none"/>
              </w:rPr>
            </w:pPr>
            <w:r>
              <w:rPr>
                <w:rFonts w:hint="eastAsia"/>
                <w:highlight w:val="none"/>
              </w:rPr>
              <w:t>★2.状态指示灯：在产品显著位置提供状态指示功能；</w:t>
            </w:r>
          </w:p>
          <w:p>
            <w:pPr>
              <w:spacing w:beforeLines="0" w:afterLines="0"/>
              <w:ind w:left="0" w:leftChars="0" w:firstLine="0" w:firstLineChars="0"/>
              <w:jc w:val="left"/>
              <w:rPr>
                <w:rFonts w:hint="eastAsia"/>
                <w:highlight w:val="none"/>
              </w:rPr>
            </w:pPr>
            <w:r>
              <w:rPr>
                <w:rFonts w:hint="eastAsia"/>
                <w:highlight w:val="none"/>
              </w:rPr>
              <w:t>★3.整机结构：a) 机箱应符合 GB/T 4208、GB/T 26246的相关规定；b) 产品内部结构应符合通用部件的安装需求；c)所有输入输出接口应符合相关国家或行业标准；d)产品零部件应紧固无松动，可插拔部件应可靠连接，开关、按钮和其它控制部件应灵活可靠，布局应方便使用；e)所有I/O连接器及需插接线缆的部位应预留采购人操作空间，方便插拔解锁与插拔线缆；f)可插拔板卡插槽部位应预留安装、拆卸或更换板卡空间；g)拆装可能接触到的金属剪口或金属尖角部位应做防划伤处理，以保证安全；h) 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其它要求应符合GB/T 9813.1的相关规定；</w:t>
            </w:r>
          </w:p>
          <w:p>
            <w:pPr>
              <w:spacing w:beforeLines="0" w:afterLines="0"/>
              <w:ind w:left="0" w:leftChars="0" w:firstLine="0" w:firstLineChars="0"/>
              <w:jc w:val="left"/>
              <w:rPr>
                <w:rFonts w:hint="eastAsia"/>
                <w:highlight w:val="none"/>
              </w:rPr>
            </w:pPr>
            <w:r>
              <w:rPr>
                <w:rFonts w:hint="eastAsia"/>
                <w:highlight w:val="none"/>
              </w:rPr>
              <w:t>★4.机箱防护要求：机箱应符合GB/T 4208中IP20防护要求；</w:t>
            </w:r>
          </w:p>
          <w:p>
            <w:pPr>
              <w:spacing w:beforeLines="0" w:afterLines="0"/>
              <w:ind w:left="0" w:leftChars="0" w:firstLine="0" w:firstLineChars="0"/>
              <w:jc w:val="left"/>
              <w:rPr>
                <w:rFonts w:hint="eastAsia"/>
                <w:highlight w:val="none"/>
              </w:rPr>
            </w:pPr>
            <w:r>
              <w:rPr>
                <w:rFonts w:hint="eastAsia"/>
                <w:highlight w:val="none"/>
              </w:rPr>
              <w:t>★5.整机噪音：产品工作在空闲状态下，产品的声功率级应不超过4.5Bel；</w:t>
            </w:r>
          </w:p>
          <w:p>
            <w:pPr>
              <w:spacing w:beforeLines="0" w:afterLines="0"/>
              <w:ind w:left="0" w:leftChars="0" w:firstLine="0" w:firstLineChars="0"/>
              <w:jc w:val="left"/>
              <w:rPr>
                <w:rFonts w:hint="eastAsia"/>
                <w:highlight w:val="none"/>
              </w:rPr>
            </w:pPr>
            <w:r>
              <w:rPr>
                <w:rFonts w:hint="eastAsia"/>
                <w:highlight w:val="none"/>
              </w:rPr>
              <w:t>★6.整机散热：在环境温度25℃及处理器满载情况下，产品表面温度应符合如下要求：a)出风口在机箱后面板情况下，出风口温度不高于55℃；b)可触及面温度不高于45℃；c)显示器表面温度：显示屏不高于38℃，显示屏上下灯带位置温度（如涉及）不高于40℃，出风口温度不高于45℃；</w:t>
            </w:r>
          </w:p>
          <w:p>
            <w:pPr>
              <w:spacing w:beforeLines="0" w:afterLines="0"/>
              <w:ind w:left="0" w:leftChars="0" w:firstLine="0" w:firstLineChars="0"/>
              <w:jc w:val="left"/>
              <w:rPr>
                <w:rFonts w:hint="eastAsia"/>
                <w:highlight w:val="none"/>
              </w:rPr>
            </w:pPr>
            <w:r>
              <w:rPr>
                <w:rFonts w:hint="eastAsia"/>
                <w:highlight w:val="none"/>
              </w:rPr>
              <w:t>★7.整机能效限定值：产品能效限定值应达到GB 28380-2012标准中能效等级2级及以上；</w:t>
            </w:r>
            <w:r>
              <w:rPr>
                <w:rFonts w:hint="eastAsia" w:ascii="宋体" w:hAnsi="宋体" w:cs="宋体"/>
                <w:b w:val="0"/>
                <w:bCs w:val="0"/>
                <w:color w:val="auto"/>
                <w:szCs w:val="21"/>
                <w:highlight w:val="none"/>
                <w:lang w:val="en-US" w:eastAsia="zh-CN"/>
              </w:rPr>
              <w:t>产品型号获得依据国家确定的认证机构出具的、处于有效期之内的节能产品认证证书</w:t>
            </w:r>
          </w:p>
          <w:p>
            <w:pPr>
              <w:spacing w:beforeLines="0" w:afterLines="0"/>
              <w:ind w:left="0" w:leftChars="0" w:firstLine="0" w:firstLineChars="0"/>
              <w:jc w:val="left"/>
              <w:rPr>
                <w:rFonts w:hint="eastAsia"/>
                <w:highlight w:val="none"/>
              </w:rPr>
            </w:pPr>
            <w:r>
              <w:rPr>
                <w:rFonts w:hint="eastAsia"/>
                <w:highlight w:val="none"/>
              </w:rPr>
              <w:t>★8.机身材质：金属；</w:t>
            </w:r>
          </w:p>
          <w:p>
            <w:pPr>
              <w:spacing w:beforeLines="0" w:afterLines="0"/>
              <w:ind w:left="0" w:leftChars="0" w:firstLine="0" w:firstLineChars="0"/>
              <w:jc w:val="left"/>
              <w:rPr>
                <w:rFonts w:hint="eastAsia"/>
                <w:highlight w:val="none"/>
              </w:rPr>
            </w:pPr>
            <w:r>
              <w:rPr>
                <w:rFonts w:hint="eastAsia"/>
                <w:highlight w:val="none"/>
              </w:rPr>
              <w:t>★9.机身颜色：黑色；</w:t>
            </w:r>
          </w:p>
          <w:p>
            <w:pPr>
              <w:spacing w:beforeLines="0" w:afterLines="0"/>
              <w:ind w:left="0" w:leftChars="0" w:firstLine="0" w:firstLineChars="0"/>
              <w:jc w:val="left"/>
              <w:rPr>
                <w:rFonts w:hint="eastAsia"/>
                <w:highlight w:val="none"/>
              </w:rPr>
            </w:pPr>
            <w:r>
              <w:rPr>
                <w:rFonts w:hint="eastAsia"/>
                <w:highlight w:val="none"/>
              </w:rPr>
              <w:t>★10.机箱尺寸容量：机箱体积应≤13L。</w:t>
            </w:r>
          </w:p>
          <w:p>
            <w:pPr>
              <w:spacing w:beforeLines="0" w:afterLines="0"/>
              <w:ind w:left="0" w:leftChars="0" w:firstLine="0" w:firstLineChars="0"/>
              <w:jc w:val="left"/>
              <w:rPr>
                <w:rFonts w:hint="eastAsia"/>
                <w:highlight w:val="none"/>
              </w:rPr>
            </w:pPr>
            <w:r>
              <w:rPr>
                <w:rFonts w:hint="eastAsia"/>
                <w:highlight w:val="none"/>
              </w:rPr>
              <w:t>十一、CPU性能</w:t>
            </w:r>
          </w:p>
          <w:p>
            <w:pPr>
              <w:spacing w:beforeLines="0" w:afterLines="0"/>
              <w:ind w:left="0" w:leftChars="0" w:firstLine="0" w:firstLineChars="0"/>
              <w:jc w:val="left"/>
              <w:rPr>
                <w:rFonts w:hint="eastAsia"/>
                <w:highlight w:val="none"/>
              </w:rPr>
            </w:pPr>
            <w:r>
              <w:rPr>
                <w:rFonts w:hint="eastAsia"/>
                <w:highlight w:val="none"/>
              </w:rPr>
              <w:t>★1.CPU 物理核数：≥8；</w:t>
            </w:r>
          </w:p>
          <w:p>
            <w:pPr>
              <w:spacing w:beforeLines="0" w:afterLines="0"/>
              <w:ind w:left="0" w:leftChars="0" w:firstLine="0" w:firstLineChars="0"/>
              <w:jc w:val="left"/>
              <w:rPr>
                <w:rFonts w:hint="eastAsia"/>
                <w:highlight w:val="none"/>
              </w:rPr>
            </w:pPr>
            <w:r>
              <w:rPr>
                <w:rFonts w:hint="eastAsia"/>
                <w:highlight w:val="none"/>
              </w:rPr>
              <w:t>★2.CPU 主频：≥3.0GHz；</w:t>
            </w:r>
          </w:p>
          <w:p>
            <w:pPr>
              <w:spacing w:beforeLines="0" w:afterLines="0"/>
              <w:ind w:left="0" w:leftChars="0" w:firstLine="0" w:firstLineChars="0"/>
              <w:jc w:val="left"/>
              <w:rPr>
                <w:rFonts w:hint="eastAsia"/>
                <w:highlight w:val="none"/>
              </w:rPr>
            </w:pPr>
            <w:r>
              <w:rPr>
                <w:rFonts w:hint="eastAsia"/>
                <w:highlight w:val="none"/>
              </w:rPr>
              <w:t>★3.CPU 末级缓存容量：≥16MB；</w:t>
            </w:r>
          </w:p>
          <w:p>
            <w:pPr>
              <w:spacing w:beforeLines="0" w:afterLines="0"/>
              <w:ind w:left="0" w:leftChars="0" w:firstLine="0" w:firstLineChars="0"/>
              <w:jc w:val="left"/>
              <w:rPr>
                <w:rFonts w:hint="eastAsia"/>
                <w:highlight w:val="none"/>
              </w:rPr>
            </w:pPr>
            <w:r>
              <w:rPr>
                <w:rFonts w:hint="eastAsia"/>
                <w:highlight w:val="none"/>
              </w:rPr>
              <w:t>★4.CPU 支持的内存最高速率：≥3200MT/s。</w:t>
            </w:r>
          </w:p>
          <w:p>
            <w:pPr>
              <w:spacing w:beforeLines="0" w:afterLines="0"/>
              <w:ind w:left="0" w:leftChars="0" w:firstLine="0" w:firstLineChars="0"/>
              <w:jc w:val="left"/>
              <w:rPr>
                <w:rFonts w:hint="eastAsia"/>
                <w:highlight w:val="none"/>
              </w:rPr>
            </w:pPr>
            <w:r>
              <w:rPr>
                <w:rFonts w:hint="eastAsia"/>
                <w:highlight w:val="none"/>
              </w:rPr>
              <w:t>十二、内存性能</w:t>
            </w:r>
          </w:p>
          <w:p>
            <w:pPr>
              <w:spacing w:beforeLines="0" w:afterLines="0"/>
              <w:ind w:left="0" w:leftChars="0" w:firstLine="0" w:firstLineChars="0"/>
              <w:jc w:val="left"/>
              <w:rPr>
                <w:rFonts w:hint="eastAsia"/>
                <w:highlight w:val="none"/>
              </w:rPr>
            </w:pPr>
            <w:r>
              <w:rPr>
                <w:rFonts w:hint="eastAsia"/>
                <w:highlight w:val="none"/>
              </w:rPr>
              <w:t>★内存读写速率：≥3200MT/s。</w:t>
            </w:r>
          </w:p>
          <w:p>
            <w:pPr>
              <w:spacing w:beforeLines="0" w:afterLines="0"/>
              <w:ind w:left="0" w:leftChars="0" w:firstLine="0" w:firstLineChars="0"/>
              <w:jc w:val="left"/>
              <w:rPr>
                <w:rFonts w:hint="eastAsia"/>
                <w:highlight w:val="none"/>
              </w:rPr>
            </w:pPr>
            <w:r>
              <w:rPr>
                <w:rFonts w:hint="eastAsia"/>
                <w:highlight w:val="none"/>
              </w:rPr>
              <w:t>十三、显卡性能</w:t>
            </w:r>
          </w:p>
          <w:p>
            <w:pPr>
              <w:spacing w:beforeLines="0" w:afterLines="0"/>
              <w:ind w:left="0" w:leftChars="0" w:firstLine="0" w:firstLineChars="0"/>
              <w:jc w:val="left"/>
              <w:rPr>
                <w:rFonts w:hint="eastAsia"/>
                <w:highlight w:val="none"/>
              </w:rPr>
            </w:pPr>
            <w:r>
              <w:rPr>
                <w:rFonts w:hint="eastAsia"/>
                <w:highlight w:val="none"/>
              </w:rPr>
              <w:t>★1.显示分辨率：≥1920*1080；</w:t>
            </w:r>
          </w:p>
          <w:p>
            <w:pPr>
              <w:spacing w:beforeLines="0" w:afterLines="0"/>
              <w:ind w:left="0" w:leftChars="0" w:firstLine="0" w:firstLineChars="0"/>
              <w:jc w:val="left"/>
              <w:rPr>
                <w:rFonts w:hint="eastAsia"/>
                <w:highlight w:val="none"/>
              </w:rPr>
            </w:pPr>
            <w:r>
              <w:rPr>
                <w:rFonts w:hint="eastAsia"/>
                <w:highlight w:val="none"/>
              </w:rPr>
              <w:t>★2.显卡显示芯片核心频率：≥1.35GHz；</w:t>
            </w:r>
          </w:p>
          <w:p>
            <w:pPr>
              <w:spacing w:beforeLines="0" w:afterLines="0"/>
              <w:ind w:left="0" w:leftChars="0" w:firstLine="0" w:firstLineChars="0"/>
              <w:jc w:val="left"/>
              <w:rPr>
                <w:rFonts w:hint="eastAsia"/>
                <w:highlight w:val="none"/>
              </w:rPr>
            </w:pPr>
            <w:r>
              <w:rPr>
                <w:rFonts w:hint="eastAsia"/>
                <w:highlight w:val="none"/>
              </w:rPr>
              <w:t>★3.显存等效频率：≥3600MT/s；</w:t>
            </w:r>
          </w:p>
          <w:p>
            <w:pPr>
              <w:spacing w:beforeLines="0" w:afterLines="0"/>
              <w:ind w:left="0" w:leftChars="0" w:firstLine="0" w:firstLineChars="0"/>
              <w:jc w:val="left"/>
              <w:rPr>
                <w:rFonts w:hint="eastAsia"/>
                <w:highlight w:val="none"/>
              </w:rPr>
            </w:pPr>
            <w:r>
              <w:rPr>
                <w:rFonts w:hint="eastAsia"/>
                <w:highlight w:val="none"/>
              </w:rPr>
              <w:t>★4.显卡可支持多屏同时显示数量：显卡应支持2块屏幕同时显示，分辨率应不低于 1920*1080。</w:t>
            </w:r>
          </w:p>
          <w:p>
            <w:pPr>
              <w:spacing w:beforeLines="0" w:afterLines="0"/>
              <w:ind w:left="0" w:leftChars="0" w:firstLine="0" w:firstLineChars="0"/>
              <w:jc w:val="left"/>
              <w:rPr>
                <w:rFonts w:hint="eastAsia"/>
                <w:highlight w:val="none"/>
              </w:rPr>
            </w:pPr>
            <w:r>
              <w:rPr>
                <w:rFonts w:hint="eastAsia"/>
                <w:highlight w:val="none"/>
              </w:rPr>
              <w:t>十四、显示设备性能</w:t>
            </w:r>
          </w:p>
          <w:p>
            <w:pPr>
              <w:spacing w:beforeLines="0" w:afterLines="0"/>
              <w:ind w:left="0" w:leftChars="0" w:firstLine="0" w:firstLineChars="0"/>
              <w:jc w:val="left"/>
              <w:rPr>
                <w:rFonts w:hint="eastAsia"/>
                <w:highlight w:val="none"/>
              </w:rPr>
            </w:pPr>
            <w:r>
              <w:rPr>
                <w:rFonts w:hint="eastAsia"/>
                <w:highlight w:val="none"/>
              </w:rPr>
              <w:t>★1.显示屏刷新率：≥75Hz；</w:t>
            </w:r>
          </w:p>
          <w:p>
            <w:pPr>
              <w:spacing w:beforeLines="0" w:afterLines="0"/>
              <w:ind w:left="0" w:leftChars="0" w:firstLine="0" w:firstLineChars="0"/>
              <w:jc w:val="left"/>
              <w:rPr>
                <w:rFonts w:hint="eastAsia"/>
                <w:highlight w:val="none"/>
              </w:rPr>
            </w:pPr>
            <w:r>
              <w:rPr>
                <w:rFonts w:hint="eastAsia"/>
                <w:highlight w:val="none"/>
              </w:rPr>
              <w:t>★2.显示屏位深：≥8位；</w:t>
            </w:r>
          </w:p>
          <w:p>
            <w:pPr>
              <w:spacing w:beforeLines="0" w:afterLines="0"/>
              <w:ind w:left="0" w:leftChars="0" w:firstLine="0" w:firstLineChars="0"/>
              <w:jc w:val="left"/>
              <w:rPr>
                <w:rFonts w:hint="eastAsia"/>
                <w:highlight w:val="none"/>
              </w:rPr>
            </w:pPr>
            <w:r>
              <w:rPr>
                <w:rFonts w:hint="eastAsia"/>
                <w:highlight w:val="none"/>
              </w:rPr>
              <w:t>★3.显示屏色域：≥99% sRGB；</w:t>
            </w:r>
          </w:p>
          <w:p>
            <w:pPr>
              <w:spacing w:beforeLines="0" w:afterLines="0"/>
              <w:ind w:left="0" w:leftChars="0" w:firstLine="0" w:firstLineChars="0"/>
              <w:jc w:val="left"/>
              <w:rPr>
                <w:rFonts w:hint="eastAsia"/>
                <w:highlight w:val="none"/>
              </w:rPr>
            </w:pPr>
            <w:r>
              <w:rPr>
                <w:rFonts w:hint="eastAsia"/>
                <w:highlight w:val="none"/>
              </w:rPr>
              <w:t>★4.显示屏色准：△E≤4；</w:t>
            </w:r>
          </w:p>
          <w:p>
            <w:pPr>
              <w:spacing w:beforeLines="0" w:afterLines="0"/>
              <w:ind w:left="0" w:leftChars="0" w:firstLine="0" w:firstLineChars="0"/>
              <w:jc w:val="left"/>
              <w:rPr>
                <w:rFonts w:hint="eastAsia"/>
                <w:highlight w:val="none"/>
              </w:rPr>
            </w:pPr>
            <w:r>
              <w:rPr>
                <w:rFonts w:hint="eastAsia"/>
                <w:highlight w:val="none"/>
              </w:rPr>
              <w:t>★5.显示屏响应时间：≤8ms；</w:t>
            </w:r>
          </w:p>
          <w:p>
            <w:pPr>
              <w:spacing w:beforeLines="0" w:afterLines="0"/>
              <w:ind w:left="0" w:leftChars="0" w:firstLine="0" w:firstLineChars="0"/>
              <w:jc w:val="left"/>
              <w:rPr>
                <w:rFonts w:hint="eastAsia"/>
                <w:highlight w:val="none"/>
              </w:rPr>
            </w:pPr>
            <w:r>
              <w:rPr>
                <w:rFonts w:hint="eastAsia"/>
                <w:highlight w:val="none"/>
              </w:rPr>
              <w:t>★6.显示屏亮度：≥250尼特；</w:t>
            </w:r>
          </w:p>
          <w:p>
            <w:pPr>
              <w:spacing w:beforeLines="0" w:afterLines="0"/>
              <w:ind w:left="0" w:leftChars="0" w:firstLine="0" w:firstLineChars="0"/>
              <w:jc w:val="left"/>
              <w:rPr>
                <w:rFonts w:hint="eastAsia"/>
                <w:highlight w:val="none"/>
              </w:rPr>
            </w:pPr>
            <w:r>
              <w:rPr>
                <w:rFonts w:hint="eastAsia"/>
                <w:highlight w:val="none"/>
              </w:rPr>
              <w:t>★7.显示屏亮度一致性：≥70%；</w:t>
            </w:r>
          </w:p>
          <w:p>
            <w:pPr>
              <w:spacing w:beforeLines="0" w:afterLines="0"/>
              <w:ind w:left="0" w:leftChars="0" w:firstLine="0" w:firstLineChars="0"/>
              <w:jc w:val="left"/>
              <w:rPr>
                <w:rFonts w:hint="eastAsia"/>
                <w:highlight w:val="none"/>
              </w:rPr>
            </w:pPr>
            <w:r>
              <w:rPr>
                <w:rFonts w:hint="eastAsia"/>
                <w:highlight w:val="none"/>
              </w:rPr>
              <w:t>★8.显示屏对比度：≥1000：1；</w:t>
            </w:r>
          </w:p>
          <w:p>
            <w:pPr>
              <w:spacing w:beforeLines="0" w:afterLines="0"/>
              <w:ind w:left="0" w:leftChars="0" w:firstLine="0" w:firstLineChars="0"/>
              <w:jc w:val="left"/>
              <w:rPr>
                <w:rFonts w:hint="eastAsia"/>
                <w:highlight w:val="none"/>
              </w:rPr>
            </w:pPr>
            <w:r>
              <w:rPr>
                <w:rFonts w:hint="eastAsia"/>
                <w:highlight w:val="none"/>
              </w:rPr>
              <w:t xml:space="preserve">★9.显示屏其他参数：其它参数应符合SJ/T 11292的相关规定。  </w:t>
            </w:r>
          </w:p>
          <w:p>
            <w:pPr>
              <w:spacing w:beforeLines="0" w:afterLines="0"/>
              <w:ind w:left="0" w:leftChars="0" w:firstLine="0" w:firstLineChars="0"/>
              <w:jc w:val="left"/>
              <w:rPr>
                <w:rFonts w:hint="eastAsia"/>
                <w:highlight w:val="none"/>
              </w:rPr>
            </w:pPr>
            <w:r>
              <w:rPr>
                <w:rFonts w:hint="eastAsia"/>
                <w:highlight w:val="none"/>
              </w:rPr>
              <w:t>十五、网络设备性能</w:t>
            </w:r>
          </w:p>
          <w:p>
            <w:pPr>
              <w:spacing w:beforeLines="0" w:afterLines="0"/>
              <w:ind w:left="0" w:leftChars="0" w:firstLine="0" w:firstLineChars="0"/>
              <w:jc w:val="left"/>
              <w:rPr>
                <w:rFonts w:hint="eastAsia"/>
                <w:highlight w:val="none"/>
              </w:rPr>
            </w:pPr>
            <w:r>
              <w:rPr>
                <w:rFonts w:hint="eastAsia"/>
                <w:highlight w:val="none"/>
              </w:rPr>
              <w:t>★有线网卡速率：最高速率应不低于1000Mbps，应支持10Mbps、100Mbps、1000Mbps 速率自适应。</w:t>
            </w:r>
          </w:p>
          <w:p>
            <w:pPr>
              <w:spacing w:beforeLines="0" w:afterLines="0"/>
              <w:ind w:left="0" w:leftChars="0" w:firstLine="0" w:firstLineChars="0"/>
              <w:jc w:val="left"/>
              <w:rPr>
                <w:rFonts w:hint="eastAsia"/>
                <w:highlight w:val="none"/>
              </w:rPr>
            </w:pPr>
            <w:r>
              <w:rPr>
                <w:rFonts w:hint="eastAsia"/>
                <w:highlight w:val="none"/>
              </w:rPr>
              <w:t>十六、主板功能</w:t>
            </w:r>
          </w:p>
          <w:p>
            <w:pPr>
              <w:spacing w:beforeLines="0" w:afterLines="0"/>
              <w:ind w:left="0" w:leftChars="0" w:firstLine="0" w:firstLineChars="0"/>
              <w:jc w:val="left"/>
              <w:rPr>
                <w:rFonts w:hint="eastAsia"/>
                <w:highlight w:val="none"/>
              </w:rPr>
            </w:pPr>
            <w:r>
              <w:rPr>
                <w:rFonts w:hint="eastAsia"/>
                <w:highlight w:val="none"/>
              </w:rPr>
              <w:t>★1.内存扩展接口(板载内存不涉及)：≥4个；</w:t>
            </w:r>
          </w:p>
          <w:p>
            <w:pPr>
              <w:spacing w:beforeLines="0" w:afterLines="0"/>
              <w:ind w:left="0" w:leftChars="0" w:firstLine="0" w:firstLineChars="0"/>
              <w:jc w:val="left"/>
              <w:rPr>
                <w:rFonts w:hint="eastAsia"/>
                <w:highlight w:val="none"/>
              </w:rPr>
            </w:pPr>
            <w:r>
              <w:rPr>
                <w:rFonts w:hint="eastAsia"/>
                <w:highlight w:val="none"/>
              </w:rPr>
              <w:t>★2.主板 USB瞬间过流保护：支持有瞬间过流保护功能；</w:t>
            </w:r>
          </w:p>
          <w:p>
            <w:pPr>
              <w:spacing w:beforeLines="0" w:afterLines="0"/>
              <w:ind w:left="0" w:leftChars="0" w:firstLine="0" w:firstLineChars="0"/>
              <w:jc w:val="left"/>
              <w:rPr>
                <w:rFonts w:hint="eastAsia"/>
                <w:highlight w:val="none"/>
              </w:rPr>
            </w:pPr>
            <w:r>
              <w:rPr>
                <w:rFonts w:hint="eastAsia"/>
                <w:highlight w:val="none"/>
              </w:rPr>
              <w:t>★3.主板防静电保护：支持防静电保护功能；</w:t>
            </w:r>
          </w:p>
          <w:p>
            <w:pPr>
              <w:spacing w:beforeLines="0" w:afterLines="0"/>
              <w:ind w:left="0" w:leftChars="0" w:firstLine="0" w:firstLineChars="0"/>
              <w:jc w:val="left"/>
              <w:rPr>
                <w:rFonts w:hint="eastAsia"/>
                <w:highlight w:val="none"/>
              </w:rPr>
            </w:pPr>
            <w:r>
              <w:rPr>
                <w:rFonts w:hint="eastAsia"/>
                <w:highlight w:val="none"/>
              </w:rPr>
              <w:t>★4.I/O 接口功能：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p>
            <w:pPr>
              <w:spacing w:beforeLines="0" w:afterLines="0"/>
              <w:ind w:left="0" w:leftChars="0" w:firstLine="0" w:firstLineChars="0"/>
              <w:jc w:val="left"/>
              <w:rPr>
                <w:rFonts w:hint="eastAsia"/>
                <w:highlight w:val="none"/>
              </w:rPr>
            </w:pPr>
            <w:r>
              <w:rPr>
                <w:rFonts w:hint="eastAsia"/>
                <w:highlight w:val="none"/>
              </w:rPr>
              <w:t>十七、显卡功能</w:t>
            </w:r>
          </w:p>
          <w:p>
            <w:pPr>
              <w:spacing w:beforeLines="0" w:afterLines="0"/>
              <w:ind w:left="0" w:leftChars="0" w:firstLine="0" w:firstLineChars="0"/>
              <w:jc w:val="left"/>
              <w:rPr>
                <w:rFonts w:hint="eastAsia"/>
                <w:highlight w:val="none"/>
              </w:rPr>
            </w:pPr>
            <w:r>
              <w:rPr>
                <w:rFonts w:hint="eastAsia"/>
                <w:highlight w:val="none"/>
              </w:rPr>
              <w:t>★显卡外接显示接口：显卡同时支持 VGA、HDMI显示接口，并与显示器接口相匹配。</w:t>
            </w:r>
          </w:p>
          <w:p>
            <w:pPr>
              <w:spacing w:beforeLines="0" w:afterLines="0"/>
              <w:ind w:left="0" w:leftChars="0" w:firstLine="0" w:firstLineChars="0"/>
              <w:jc w:val="left"/>
              <w:rPr>
                <w:rFonts w:hint="eastAsia"/>
                <w:highlight w:val="none"/>
              </w:rPr>
            </w:pPr>
            <w:r>
              <w:rPr>
                <w:rFonts w:hint="eastAsia"/>
                <w:highlight w:val="none"/>
              </w:rPr>
              <w:t>十八、显示设备功能</w:t>
            </w:r>
          </w:p>
          <w:p>
            <w:pPr>
              <w:spacing w:beforeLines="0" w:afterLines="0"/>
              <w:ind w:left="0" w:leftChars="0" w:firstLine="0" w:firstLineChars="0"/>
              <w:jc w:val="left"/>
              <w:rPr>
                <w:rFonts w:hint="eastAsia"/>
                <w:highlight w:val="none"/>
              </w:rPr>
            </w:pPr>
            <w:r>
              <w:rPr>
                <w:rFonts w:hint="eastAsia"/>
                <w:highlight w:val="none"/>
              </w:rPr>
              <w:t>★1.显示器接口：显示器应与显卡外接显示接口匹配；</w:t>
            </w:r>
          </w:p>
          <w:p>
            <w:pPr>
              <w:spacing w:beforeLines="0" w:afterLines="0"/>
              <w:ind w:left="0" w:leftChars="0" w:firstLine="0" w:firstLineChars="0"/>
              <w:jc w:val="left"/>
              <w:rPr>
                <w:rFonts w:hint="eastAsia"/>
                <w:highlight w:val="none"/>
              </w:rPr>
            </w:pPr>
            <w:r>
              <w:rPr>
                <w:rFonts w:hint="eastAsia"/>
                <w:highlight w:val="none"/>
              </w:rPr>
              <w:t>★2.显示器支架：显示器应提供显示器支架；</w:t>
            </w:r>
          </w:p>
          <w:p>
            <w:pPr>
              <w:spacing w:beforeLines="0" w:afterLines="0"/>
              <w:ind w:left="0" w:leftChars="0" w:firstLine="0" w:firstLineChars="0"/>
              <w:jc w:val="left"/>
              <w:rPr>
                <w:rFonts w:hint="eastAsia"/>
                <w:highlight w:val="none"/>
              </w:rPr>
            </w:pPr>
            <w:r>
              <w:rPr>
                <w:rFonts w:hint="eastAsia"/>
                <w:highlight w:val="none"/>
              </w:rPr>
              <w:t>★3.显示器参数调节：a)提供 OSD 选单按钮用于调节色彩、模式等；b)支持色温、亮度、对比度调节；c)支持护眼模式、电子书模式、ECO模式、HDR模式；</w:t>
            </w:r>
          </w:p>
          <w:p>
            <w:pPr>
              <w:spacing w:beforeLines="0" w:afterLines="0"/>
              <w:ind w:left="0" w:leftChars="0" w:firstLine="0" w:firstLineChars="0"/>
              <w:jc w:val="left"/>
              <w:rPr>
                <w:rFonts w:hint="eastAsia"/>
                <w:highlight w:val="none"/>
              </w:rPr>
            </w:pPr>
            <w:r>
              <w:rPr>
                <w:rFonts w:hint="eastAsia"/>
                <w:highlight w:val="none"/>
              </w:rPr>
              <w:t>十九、存储功能</w:t>
            </w:r>
          </w:p>
          <w:p>
            <w:pPr>
              <w:spacing w:beforeLines="0" w:afterLines="0"/>
              <w:ind w:left="0" w:leftChars="0" w:firstLine="0" w:firstLineChars="0"/>
              <w:jc w:val="left"/>
              <w:rPr>
                <w:rFonts w:hint="eastAsia"/>
                <w:highlight w:val="none"/>
              </w:rPr>
            </w:pPr>
            <w:r>
              <w:rPr>
                <w:rFonts w:hint="eastAsia"/>
                <w:highlight w:val="none"/>
              </w:rPr>
              <w:t>★存储功能：通过SATA固态存储/PCIe固态存储/UFS固态存储/SATA硬磁盘等存储部件提供存储功能。</w:t>
            </w:r>
          </w:p>
          <w:p>
            <w:pPr>
              <w:spacing w:beforeLines="0" w:afterLines="0"/>
              <w:ind w:left="0" w:leftChars="0" w:firstLine="0" w:firstLineChars="0"/>
              <w:jc w:val="left"/>
              <w:rPr>
                <w:rFonts w:hint="eastAsia"/>
                <w:highlight w:val="none"/>
              </w:rPr>
            </w:pPr>
            <w:r>
              <w:rPr>
                <w:rFonts w:hint="eastAsia"/>
                <w:highlight w:val="none"/>
              </w:rPr>
              <w:t>二十、网络设备功能</w:t>
            </w:r>
          </w:p>
          <w:p>
            <w:pPr>
              <w:spacing w:beforeLines="0" w:afterLines="0"/>
              <w:ind w:left="0" w:leftChars="0" w:firstLine="0" w:firstLineChars="0"/>
              <w:jc w:val="left"/>
              <w:rPr>
                <w:rFonts w:hint="eastAsia"/>
                <w:highlight w:val="none"/>
              </w:rPr>
            </w:pPr>
            <w:r>
              <w:rPr>
                <w:rFonts w:hint="eastAsia"/>
                <w:highlight w:val="none"/>
              </w:rPr>
              <w:t>★1.网络功能：a)支持网络连接、网络开启/关闭功能、网络唤醒；b)支持访问网络和数据交换功能；</w:t>
            </w:r>
          </w:p>
          <w:p>
            <w:pPr>
              <w:spacing w:beforeLines="0" w:afterLines="0"/>
              <w:ind w:left="0" w:leftChars="0" w:firstLine="0" w:firstLineChars="0"/>
              <w:jc w:val="left"/>
              <w:rPr>
                <w:rFonts w:hint="eastAsia"/>
                <w:highlight w:val="none"/>
              </w:rPr>
            </w:pPr>
            <w:r>
              <w:rPr>
                <w:rFonts w:hint="eastAsia"/>
                <w:highlight w:val="none"/>
              </w:rPr>
              <w:t>★2.数据传输：支持数据传输能力，并提供数据流量和异常日志记录功能；</w:t>
            </w:r>
          </w:p>
          <w:p>
            <w:pPr>
              <w:spacing w:beforeLines="0" w:afterLines="0"/>
              <w:ind w:left="0" w:leftChars="0" w:firstLine="0" w:firstLineChars="0"/>
              <w:jc w:val="left"/>
              <w:rPr>
                <w:rFonts w:hint="eastAsia"/>
                <w:highlight w:val="none"/>
              </w:rPr>
            </w:pPr>
            <w:r>
              <w:rPr>
                <w:rFonts w:hint="eastAsia"/>
                <w:highlight w:val="none"/>
              </w:rPr>
              <w:t>★3.有线网卡接口类型：支持 RJ45 接口，RJ45 接口≥2个（不占用扩展插槽）；</w:t>
            </w:r>
          </w:p>
          <w:p>
            <w:pPr>
              <w:spacing w:beforeLines="0" w:afterLines="0"/>
              <w:ind w:left="0" w:leftChars="0" w:firstLine="0" w:firstLineChars="0"/>
              <w:jc w:val="left"/>
              <w:rPr>
                <w:rFonts w:hint="eastAsia"/>
                <w:highlight w:val="none"/>
              </w:rPr>
            </w:pPr>
            <w:r>
              <w:rPr>
                <w:rFonts w:hint="eastAsia"/>
                <w:highlight w:val="none"/>
              </w:rPr>
              <w:t>★4.网络设备拆装：网络设备支持物理拆装，包括无线网卡和蓝牙模块等。</w:t>
            </w:r>
          </w:p>
          <w:p>
            <w:pPr>
              <w:spacing w:beforeLines="0" w:afterLines="0"/>
              <w:ind w:left="0" w:leftChars="0" w:firstLine="0" w:firstLineChars="0"/>
              <w:jc w:val="left"/>
              <w:rPr>
                <w:rFonts w:hint="eastAsia"/>
                <w:highlight w:val="none"/>
              </w:rPr>
            </w:pPr>
            <w:r>
              <w:rPr>
                <w:rFonts w:hint="eastAsia"/>
                <w:highlight w:val="none"/>
              </w:rPr>
              <w:t>二十一、外部接口功能</w:t>
            </w:r>
          </w:p>
          <w:p>
            <w:pPr>
              <w:spacing w:beforeLines="0" w:afterLines="0"/>
              <w:ind w:left="0" w:leftChars="0" w:firstLine="0" w:firstLineChars="0"/>
              <w:jc w:val="left"/>
              <w:rPr>
                <w:rFonts w:hint="eastAsia"/>
                <w:highlight w:val="none"/>
              </w:rPr>
            </w:pPr>
            <w:r>
              <w:rPr>
                <w:rFonts w:hint="eastAsia"/>
                <w:highlight w:val="none"/>
              </w:rPr>
              <w:t>★1.音频接口类型：支持 3.5mm 孔径 3 段式或 4 段式接口；</w:t>
            </w:r>
          </w:p>
          <w:p>
            <w:pPr>
              <w:spacing w:beforeLines="0" w:afterLines="0"/>
              <w:ind w:left="0" w:leftChars="0" w:firstLine="0" w:firstLineChars="0"/>
              <w:jc w:val="left"/>
              <w:rPr>
                <w:rFonts w:hint="eastAsia"/>
                <w:highlight w:val="none"/>
              </w:rPr>
            </w:pPr>
            <w:r>
              <w:rPr>
                <w:rFonts w:hint="eastAsia"/>
                <w:highlight w:val="none"/>
              </w:rPr>
              <w:t>★2.视频接口类型：同时支持 VGA、HDMI 2种显示接口；</w:t>
            </w:r>
          </w:p>
          <w:p>
            <w:pPr>
              <w:spacing w:beforeLines="0" w:afterLines="0"/>
              <w:ind w:left="0" w:leftChars="0" w:firstLine="0" w:firstLineChars="0"/>
              <w:jc w:val="left"/>
              <w:rPr>
                <w:rFonts w:hint="eastAsia"/>
                <w:highlight w:val="none"/>
              </w:rPr>
            </w:pPr>
            <w:r>
              <w:rPr>
                <w:rFonts w:hint="eastAsia"/>
                <w:highlight w:val="none"/>
              </w:rPr>
              <w:t>★3.HDMI、DP、Type-C 显示接口要求：若提供 HDMI 或DP或 Type-C作为显示接口，应支持音频和视频同步输出；</w:t>
            </w:r>
          </w:p>
          <w:p>
            <w:pPr>
              <w:spacing w:beforeLines="0" w:afterLines="0"/>
              <w:ind w:left="0" w:leftChars="0" w:firstLine="0" w:firstLineChars="0"/>
              <w:jc w:val="left"/>
              <w:rPr>
                <w:rFonts w:hint="eastAsia"/>
                <w:highlight w:val="none"/>
              </w:rPr>
            </w:pPr>
            <w:r>
              <w:rPr>
                <w:rFonts w:hint="eastAsia"/>
                <w:highlight w:val="none"/>
              </w:rPr>
              <w:t>4.其他接口：RS-232串口≥1个。</w:t>
            </w:r>
          </w:p>
          <w:p>
            <w:pPr>
              <w:spacing w:beforeLines="0" w:afterLines="0"/>
              <w:ind w:left="0" w:leftChars="0" w:firstLine="0" w:firstLineChars="0"/>
              <w:jc w:val="left"/>
              <w:rPr>
                <w:rFonts w:hint="eastAsia"/>
                <w:highlight w:val="none"/>
              </w:rPr>
            </w:pPr>
            <w:r>
              <w:rPr>
                <w:rFonts w:hint="eastAsia"/>
                <w:highlight w:val="none"/>
              </w:rPr>
              <w:t>二十二、电源功能</w:t>
            </w:r>
          </w:p>
          <w:p>
            <w:pPr>
              <w:spacing w:beforeLines="0" w:afterLines="0"/>
              <w:ind w:left="0" w:leftChars="0" w:firstLine="0" w:firstLineChars="0"/>
              <w:jc w:val="left"/>
              <w:rPr>
                <w:rFonts w:hint="eastAsia"/>
                <w:highlight w:val="none"/>
              </w:rPr>
            </w:pPr>
            <w:r>
              <w:rPr>
                <w:rFonts w:hint="eastAsia"/>
                <w:highlight w:val="none"/>
              </w:rPr>
              <w:t>★1.电源线适配能力：电源适配器电线组件应符合GB/T 15934的要求；</w:t>
            </w:r>
          </w:p>
          <w:p>
            <w:pPr>
              <w:spacing w:beforeLines="0" w:afterLines="0"/>
              <w:ind w:left="0" w:leftChars="0" w:firstLine="0" w:firstLineChars="0"/>
              <w:jc w:val="left"/>
              <w:rPr>
                <w:rFonts w:hint="eastAsia"/>
                <w:highlight w:val="none"/>
              </w:rPr>
            </w:pPr>
            <w:r>
              <w:rPr>
                <w:rFonts w:hint="eastAsia"/>
                <w:highlight w:val="none"/>
              </w:rPr>
              <w:t>2.电源功率：电源功率≤200W。</w:t>
            </w:r>
          </w:p>
          <w:p>
            <w:pPr>
              <w:spacing w:beforeLines="0" w:afterLines="0"/>
              <w:ind w:left="0" w:leftChars="0" w:firstLine="0" w:firstLineChars="0"/>
              <w:jc w:val="left"/>
              <w:rPr>
                <w:rFonts w:hint="eastAsia"/>
                <w:highlight w:val="none"/>
              </w:rPr>
            </w:pPr>
            <w:r>
              <w:rPr>
                <w:rFonts w:hint="eastAsia"/>
                <w:highlight w:val="none"/>
              </w:rPr>
              <w:t>二十三、操作系统及软件功能</w:t>
            </w:r>
          </w:p>
          <w:p>
            <w:pPr>
              <w:spacing w:beforeLines="0" w:afterLines="0"/>
              <w:ind w:left="0" w:leftChars="0" w:firstLine="0" w:firstLineChars="0"/>
              <w:jc w:val="left"/>
              <w:rPr>
                <w:rFonts w:hint="eastAsia"/>
                <w:highlight w:val="none"/>
              </w:rPr>
            </w:pPr>
            <w:r>
              <w:rPr>
                <w:rFonts w:hint="eastAsia"/>
                <w:highlight w:val="none"/>
              </w:rPr>
              <w:t>★1.中文信息处理要求：符合GB 18030的相关规定；</w:t>
            </w:r>
          </w:p>
          <w:p>
            <w:pPr>
              <w:spacing w:beforeLines="0" w:afterLines="0"/>
              <w:ind w:left="0" w:leftChars="0" w:firstLine="0" w:firstLineChars="0"/>
              <w:jc w:val="left"/>
              <w:rPr>
                <w:rFonts w:hint="eastAsia"/>
                <w:highlight w:val="none"/>
              </w:rPr>
            </w:pPr>
            <w:r>
              <w:rPr>
                <w:rFonts w:hint="eastAsia"/>
                <w:highlight w:val="none"/>
              </w:rPr>
              <w:t>★2.操作系统备份及还原功能：支持操作系统备份及还原功能；</w:t>
            </w:r>
          </w:p>
          <w:p>
            <w:pPr>
              <w:spacing w:beforeLines="0" w:afterLines="0"/>
              <w:ind w:left="0" w:leftChars="0" w:firstLine="0" w:firstLineChars="0"/>
              <w:jc w:val="left"/>
              <w:rPr>
                <w:rFonts w:hint="eastAsia"/>
                <w:highlight w:val="none"/>
              </w:rPr>
            </w:pPr>
            <w:r>
              <w:rPr>
                <w:rFonts w:hint="eastAsia"/>
                <w:highlight w:val="none"/>
              </w:rPr>
              <w:t>★3.固件备份还原能力：支持备份及还原固件的功能；</w:t>
            </w:r>
          </w:p>
          <w:p>
            <w:pPr>
              <w:spacing w:beforeLines="0" w:afterLines="0"/>
              <w:ind w:left="0" w:leftChars="0" w:firstLine="0" w:firstLineChars="0"/>
              <w:jc w:val="left"/>
              <w:rPr>
                <w:rFonts w:hint="eastAsia"/>
                <w:highlight w:val="none"/>
              </w:rPr>
            </w:pPr>
            <w:r>
              <w:rPr>
                <w:rFonts w:hint="eastAsia"/>
                <w:highlight w:val="none"/>
              </w:rPr>
              <w:t>★4.操作系统及驱动升级：支持通过网络、闪存盘等方式对操作系统、驱动进行升级；</w:t>
            </w:r>
          </w:p>
          <w:p>
            <w:pPr>
              <w:spacing w:beforeLines="0" w:afterLines="0"/>
              <w:ind w:left="0" w:leftChars="0" w:firstLine="0" w:firstLineChars="0"/>
              <w:jc w:val="left"/>
              <w:rPr>
                <w:rFonts w:hint="eastAsia"/>
                <w:highlight w:val="none"/>
              </w:rPr>
            </w:pPr>
            <w:r>
              <w:rPr>
                <w:rFonts w:hint="eastAsia"/>
                <w:highlight w:val="none"/>
              </w:rPr>
              <w:t>★5.固件升级：支持通过网络、闪存盘等方式对固件进行升级；</w:t>
            </w:r>
          </w:p>
          <w:p>
            <w:pPr>
              <w:spacing w:beforeLines="0" w:afterLines="0"/>
              <w:ind w:left="0" w:leftChars="0" w:firstLine="0" w:firstLineChars="0"/>
              <w:jc w:val="left"/>
              <w:rPr>
                <w:rFonts w:hint="eastAsia"/>
                <w:highlight w:val="none"/>
              </w:rPr>
            </w:pPr>
            <w:r>
              <w:rPr>
                <w:rFonts w:hint="eastAsia"/>
                <w:highlight w:val="none"/>
              </w:rPr>
              <w:t>★6.BIOS支持关闭通讯接口：支持BIOS关闭以太网及USB接口；</w:t>
            </w:r>
          </w:p>
          <w:p>
            <w:pPr>
              <w:spacing w:beforeLines="0" w:afterLines="0"/>
              <w:ind w:left="0" w:leftChars="0" w:firstLine="0" w:firstLineChars="0"/>
              <w:jc w:val="left"/>
              <w:rPr>
                <w:rFonts w:hint="eastAsia"/>
                <w:highlight w:val="none"/>
              </w:rPr>
            </w:pPr>
            <w:r>
              <w:rPr>
                <w:rFonts w:hint="eastAsia"/>
                <w:highlight w:val="none"/>
              </w:rPr>
              <w:t>★7.固件查看信息：支持查看固件版本、内存信息、主板信息、处理器信息和系统时间信息等功能；</w:t>
            </w:r>
          </w:p>
          <w:p>
            <w:pPr>
              <w:spacing w:beforeLines="0" w:afterLines="0"/>
              <w:ind w:left="0" w:leftChars="0" w:firstLine="0" w:firstLineChars="0"/>
              <w:jc w:val="left"/>
              <w:rPr>
                <w:rFonts w:hint="eastAsia"/>
                <w:highlight w:val="none"/>
              </w:rPr>
            </w:pPr>
            <w:r>
              <w:rPr>
                <w:rFonts w:hint="eastAsia"/>
                <w:highlight w:val="none"/>
              </w:rPr>
              <w:t>★8.固件设置启动顺序：支持设置启动顺序功能，并按照设置的启动顺序启动；</w:t>
            </w:r>
          </w:p>
          <w:p>
            <w:pPr>
              <w:spacing w:beforeLines="0" w:afterLines="0"/>
              <w:ind w:left="0" w:leftChars="0" w:firstLine="0" w:firstLineChars="0"/>
              <w:jc w:val="left"/>
              <w:rPr>
                <w:rFonts w:hint="eastAsia"/>
                <w:highlight w:val="none"/>
              </w:rPr>
            </w:pPr>
            <w:r>
              <w:rPr>
                <w:rFonts w:hint="eastAsia"/>
                <w:highlight w:val="none"/>
              </w:rPr>
              <w:t>★9.固件设置口令：支持设置口令、修改口令、验证口令功能；</w:t>
            </w:r>
          </w:p>
          <w:p>
            <w:pPr>
              <w:spacing w:beforeLines="0" w:afterLines="0"/>
              <w:ind w:left="0" w:leftChars="0" w:firstLine="0" w:firstLineChars="0"/>
              <w:jc w:val="left"/>
              <w:rPr>
                <w:rFonts w:hint="eastAsia"/>
                <w:highlight w:val="none"/>
              </w:rPr>
            </w:pPr>
            <w:r>
              <w:rPr>
                <w:rFonts w:hint="eastAsia"/>
                <w:highlight w:val="none"/>
              </w:rPr>
              <w:t>★10.固件设置网络引导：支持网络引导启动和关闭功能；</w:t>
            </w:r>
          </w:p>
          <w:p>
            <w:pPr>
              <w:spacing w:beforeLines="0" w:afterLines="0"/>
              <w:ind w:left="0" w:leftChars="0" w:firstLine="0" w:firstLineChars="0"/>
              <w:jc w:val="left"/>
              <w:rPr>
                <w:rFonts w:hint="eastAsia"/>
                <w:highlight w:val="none"/>
              </w:rPr>
            </w:pPr>
            <w:r>
              <w:rPr>
                <w:rFonts w:hint="eastAsia"/>
                <w:highlight w:val="none"/>
              </w:rPr>
              <w:t>★11.提供远程运维快捷入口，远程运维需实现在线人工客服，AI智能客服，热门问题展示功能，并集成远程运维工具，远程运维工具可实现终端的远程运维功能；</w:t>
            </w:r>
          </w:p>
          <w:p>
            <w:pPr>
              <w:spacing w:beforeLines="0" w:afterLines="0"/>
              <w:ind w:left="0" w:leftChars="0" w:firstLine="0" w:firstLineChars="0"/>
              <w:jc w:val="left"/>
              <w:rPr>
                <w:rFonts w:hint="eastAsia"/>
                <w:highlight w:val="none"/>
              </w:rPr>
            </w:pPr>
            <w:r>
              <w:rPr>
                <w:rFonts w:hint="eastAsia"/>
                <w:highlight w:val="none"/>
              </w:rPr>
              <w:t>12.支持BIOS备份还原功能。</w:t>
            </w:r>
          </w:p>
          <w:p>
            <w:pPr>
              <w:spacing w:beforeLines="0" w:afterLines="0"/>
              <w:ind w:left="0" w:leftChars="0" w:firstLine="0" w:firstLineChars="0"/>
              <w:jc w:val="left"/>
              <w:rPr>
                <w:rFonts w:hint="eastAsia"/>
                <w:highlight w:val="none"/>
              </w:rPr>
            </w:pPr>
            <w:r>
              <w:rPr>
                <w:rFonts w:hint="eastAsia"/>
                <w:highlight w:val="none"/>
              </w:rPr>
              <w:t>二十四、存储设备可靠性</w:t>
            </w:r>
          </w:p>
          <w:p>
            <w:pPr>
              <w:spacing w:beforeLines="0" w:afterLines="0"/>
              <w:ind w:left="0" w:leftChars="0" w:firstLine="0" w:firstLineChars="0"/>
              <w:jc w:val="left"/>
              <w:rPr>
                <w:rFonts w:hint="eastAsia"/>
                <w:highlight w:val="none"/>
              </w:rPr>
            </w:pPr>
            <w:r>
              <w:rPr>
                <w:rFonts w:hint="eastAsia"/>
                <w:highlight w:val="none"/>
              </w:rPr>
              <w:t>★1.固态存储寿命：TBW ≥ 80TB（条件：240GB硬盘容量）；</w:t>
            </w:r>
          </w:p>
          <w:p>
            <w:pPr>
              <w:spacing w:beforeLines="0" w:afterLines="0"/>
              <w:ind w:left="0" w:leftChars="0" w:firstLine="0" w:firstLineChars="0"/>
              <w:jc w:val="left"/>
              <w:rPr>
                <w:rFonts w:hint="eastAsia"/>
                <w:highlight w:val="none"/>
              </w:rPr>
            </w:pPr>
            <w:r>
              <w:rPr>
                <w:rFonts w:hint="eastAsia"/>
                <w:highlight w:val="none"/>
              </w:rPr>
              <w:t>★2.机械硬盘寿命：通电时间 ≥ 5万小时。</w:t>
            </w:r>
          </w:p>
          <w:p>
            <w:pPr>
              <w:spacing w:beforeLines="0" w:afterLines="0"/>
              <w:ind w:left="0" w:leftChars="0" w:firstLine="0" w:firstLineChars="0"/>
              <w:jc w:val="left"/>
              <w:rPr>
                <w:rFonts w:hint="eastAsia"/>
                <w:highlight w:val="none"/>
              </w:rPr>
            </w:pPr>
            <w:r>
              <w:rPr>
                <w:rFonts w:hint="eastAsia"/>
                <w:highlight w:val="none"/>
              </w:rPr>
              <w:t>二十五、显示设备可靠性</w:t>
            </w:r>
          </w:p>
          <w:p>
            <w:pPr>
              <w:spacing w:beforeLines="0" w:afterLines="0"/>
              <w:ind w:left="0" w:leftChars="0" w:firstLine="0" w:firstLineChars="0"/>
              <w:jc w:val="left"/>
              <w:rPr>
                <w:rFonts w:hint="eastAsia"/>
                <w:highlight w:val="none"/>
              </w:rPr>
            </w:pPr>
            <w:r>
              <w:rPr>
                <w:rFonts w:hint="eastAsia"/>
                <w:highlight w:val="none"/>
              </w:rPr>
              <w:t>★显示屏屏幕失效点：符合GB/T 9813.2的要求。</w:t>
            </w:r>
          </w:p>
          <w:p>
            <w:pPr>
              <w:spacing w:beforeLines="0" w:afterLines="0"/>
              <w:ind w:left="0" w:leftChars="0" w:firstLine="0" w:firstLineChars="0"/>
              <w:jc w:val="left"/>
              <w:rPr>
                <w:rFonts w:hint="eastAsia"/>
                <w:highlight w:val="none"/>
              </w:rPr>
            </w:pPr>
            <w:r>
              <w:rPr>
                <w:rFonts w:hint="eastAsia"/>
                <w:highlight w:val="none"/>
              </w:rPr>
              <w:t>二十六、外设可靠性</w:t>
            </w:r>
          </w:p>
          <w:p>
            <w:pPr>
              <w:spacing w:beforeLines="0" w:afterLines="0"/>
              <w:ind w:left="0" w:leftChars="0" w:firstLine="0" w:firstLineChars="0"/>
              <w:jc w:val="left"/>
              <w:rPr>
                <w:rFonts w:hint="eastAsia"/>
                <w:highlight w:val="none"/>
              </w:rPr>
            </w:pPr>
            <w:r>
              <w:rPr>
                <w:rFonts w:hint="eastAsia"/>
                <w:highlight w:val="none"/>
              </w:rPr>
              <w:t>★1.键盘按键寿命：≥1000 万次；</w:t>
            </w:r>
          </w:p>
          <w:p>
            <w:pPr>
              <w:spacing w:beforeLines="0" w:afterLines="0"/>
              <w:ind w:left="0" w:leftChars="0" w:firstLine="0" w:firstLineChars="0"/>
              <w:jc w:val="left"/>
              <w:rPr>
                <w:rFonts w:hint="eastAsia"/>
                <w:highlight w:val="none"/>
              </w:rPr>
            </w:pPr>
            <w:r>
              <w:rPr>
                <w:rFonts w:hint="eastAsia"/>
                <w:highlight w:val="none"/>
              </w:rPr>
              <w:t>★2.鼠标按键寿命：≥500 万次；</w:t>
            </w:r>
          </w:p>
          <w:p>
            <w:pPr>
              <w:spacing w:beforeLines="0" w:afterLines="0"/>
              <w:ind w:left="0" w:leftChars="0" w:firstLine="0" w:firstLineChars="0"/>
              <w:jc w:val="left"/>
              <w:rPr>
                <w:rFonts w:hint="eastAsia"/>
                <w:highlight w:val="none"/>
              </w:rPr>
            </w:pPr>
            <w:r>
              <w:rPr>
                <w:rFonts w:hint="eastAsia"/>
                <w:highlight w:val="none"/>
              </w:rPr>
              <w:t>★3.键盘鼠标线材寿命：键盘鼠标所用线材经±60°弯折不低于 3000 次，功能、外观完好；</w:t>
            </w:r>
          </w:p>
          <w:p>
            <w:pPr>
              <w:spacing w:beforeLines="0" w:afterLines="0"/>
              <w:ind w:left="0" w:leftChars="0" w:firstLine="0" w:firstLineChars="0"/>
              <w:jc w:val="left"/>
              <w:rPr>
                <w:rFonts w:hint="eastAsia"/>
                <w:highlight w:val="none"/>
              </w:rPr>
            </w:pPr>
            <w:r>
              <w:rPr>
                <w:rFonts w:hint="eastAsia"/>
                <w:highlight w:val="none"/>
              </w:rPr>
              <w:t>★4.风扇寿命：≥4 万小时。</w:t>
            </w:r>
          </w:p>
          <w:p>
            <w:pPr>
              <w:spacing w:beforeLines="0" w:afterLines="0"/>
              <w:ind w:left="0" w:leftChars="0" w:firstLine="0" w:firstLineChars="0"/>
              <w:jc w:val="left"/>
              <w:rPr>
                <w:rFonts w:hint="eastAsia"/>
                <w:highlight w:val="none"/>
              </w:rPr>
            </w:pPr>
            <w:r>
              <w:rPr>
                <w:rFonts w:hint="eastAsia"/>
                <w:highlight w:val="none"/>
              </w:rPr>
              <w:t>二十七、整机可靠性要求</w:t>
            </w:r>
          </w:p>
          <w:p>
            <w:pPr>
              <w:spacing w:beforeLines="0" w:afterLines="0"/>
              <w:ind w:left="0" w:leftChars="0" w:firstLine="0" w:firstLineChars="0"/>
              <w:jc w:val="left"/>
              <w:rPr>
                <w:rFonts w:hint="eastAsia"/>
                <w:highlight w:val="none"/>
              </w:rPr>
            </w:pPr>
            <w:r>
              <w:rPr>
                <w:rFonts w:hint="eastAsia"/>
                <w:highlight w:val="none"/>
              </w:rPr>
              <w:t>★1.电磁兼容性要求的抗扰度：符合GB/T 9254.2的规定；</w:t>
            </w:r>
          </w:p>
          <w:p>
            <w:pPr>
              <w:spacing w:beforeLines="0" w:afterLines="0"/>
              <w:ind w:left="0" w:leftChars="0" w:firstLine="0" w:firstLineChars="0"/>
              <w:jc w:val="left"/>
              <w:rPr>
                <w:rFonts w:hint="eastAsia"/>
                <w:highlight w:val="none"/>
              </w:rPr>
            </w:pPr>
            <w:r>
              <w:rPr>
                <w:rFonts w:hint="eastAsia"/>
                <w:highlight w:val="none"/>
              </w:rPr>
              <w:t>★2.环境条件要求的气候环境适应性：符合GB/T 9813.1中规定；</w:t>
            </w:r>
          </w:p>
          <w:p>
            <w:pPr>
              <w:spacing w:beforeLines="0" w:afterLines="0"/>
              <w:ind w:left="0" w:leftChars="0" w:firstLine="0" w:firstLineChars="0"/>
              <w:jc w:val="left"/>
              <w:rPr>
                <w:rFonts w:hint="eastAsia"/>
                <w:highlight w:val="none"/>
              </w:rPr>
            </w:pPr>
            <w:r>
              <w:rPr>
                <w:rFonts w:hint="eastAsia"/>
                <w:highlight w:val="none"/>
              </w:rPr>
              <w:t>★3.环境条件要求的振动适应性：符合GB/T 9813.1中规定；</w:t>
            </w:r>
          </w:p>
          <w:p>
            <w:pPr>
              <w:spacing w:beforeLines="0" w:afterLines="0"/>
              <w:ind w:left="0" w:leftChars="0" w:firstLine="0" w:firstLineChars="0"/>
              <w:jc w:val="left"/>
              <w:rPr>
                <w:rFonts w:hint="eastAsia"/>
                <w:highlight w:val="none"/>
              </w:rPr>
            </w:pPr>
            <w:r>
              <w:rPr>
                <w:rFonts w:hint="eastAsia"/>
                <w:highlight w:val="none"/>
              </w:rPr>
              <w:t>★4.环境条件要求的冲击适应性：符合GB/T 9813.1中规定；</w:t>
            </w:r>
          </w:p>
          <w:p>
            <w:pPr>
              <w:spacing w:beforeLines="0" w:afterLines="0"/>
              <w:ind w:left="0" w:leftChars="0" w:firstLine="0" w:firstLineChars="0"/>
              <w:jc w:val="left"/>
              <w:rPr>
                <w:rFonts w:hint="eastAsia"/>
                <w:highlight w:val="none"/>
              </w:rPr>
            </w:pPr>
            <w:r>
              <w:rPr>
                <w:rFonts w:hint="eastAsia"/>
                <w:highlight w:val="none"/>
              </w:rPr>
              <w:t>★5.环境条件要求的碰撞适应性：符合GB/T 9813.1中规定；</w:t>
            </w:r>
          </w:p>
          <w:p>
            <w:pPr>
              <w:spacing w:beforeLines="0" w:afterLines="0"/>
              <w:ind w:left="0" w:leftChars="0" w:firstLine="0" w:firstLineChars="0"/>
              <w:jc w:val="left"/>
              <w:rPr>
                <w:rFonts w:hint="eastAsia"/>
                <w:highlight w:val="none"/>
              </w:rPr>
            </w:pPr>
            <w:r>
              <w:rPr>
                <w:rFonts w:hint="eastAsia"/>
                <w:highlight w:val="none"/>
              </w:rPr>
              <w:t>★6.环境条件要求的运输包装件跌落适应性：符合GB/T 9813.1中规定；</w:t>
            </w:r>
          </w:p>
          <w:p>
            <w:pPr>
              <w:spacing w:beforeLines="0" w:afterLines="0"/>
              <w:ind w:left="0" w:leftChars="0" w:firstLine="0" w:firstLineChars="0"/>
              <w:jc w:val="left"/>
              <w:rPr>
                <w:rFonts w:hint="eastAsia"/>
                <w:highlight w:val="none"/>
              </w:rPr>
            </w:pPr>
            <w:r>
              <w:rPr>
                <w:rFonts w:hint="eastAsia"/>
                <w:highlight w:val="none"/>
              </w:rPr>
              <w:t>★7.MTBF 测试：MTBF(m1)≥10万小时。</w:t>
            </w:r>
          </w:p>
          <w:p>
            <w:pPr>
              <w:spacing w:beforeLines="0" w:afterLines="0"/>
              <w:ind w:left="0" w:leftChars="0" w:firstLine="0" w:firstLineChars="0"/>
              <w:jc w:val="left"/>
              <w:rPr>
                <w:rFonts w:hint="eastAsia"/>
                <w:highlight w:val="none"/>
              </w:rPr>
            </w:pPr>
            <w:r>
              <w:rPr>
                <w:rFonts w:hint="eastAsia"/>
                <w:highlight w:val="none"/>
              </w:rPr>
              <w:t>二十八、兼容要求</w:t>
            </w:r>
          </w:p>
          <w:p>
            <w:pPr>
              <w:spacing w:beforeLines="0" w:afterLines="0"/>
              <w:ind w:left="0" w:leftChars="0" w:firstLine="0" w:firstLineChars="0"/>
              <w:jc w:val="left"/>
              <w:rPr>
                <w:rFonts w:hint="eastAsia"/>
                <w:highlight w:val="none"/>
              </w:rPr>
            </w:pPr>
            <w:r>
              <w:rPr>
                <w:rFonts w:hint="eastAsia"/>
                <w:highlight w:val="none"/>
              </w:rPr>
              <w:t>★1.常用软件兼容：支持流式软件、版式软件、浏览器、邮件采购人端、解压软件、多媒体、图形图像处理等常用软件；</w:t>
            </w:r>
          </w:p>
          <w:p>
            <w:pPr>
              <w:spacing w:beforeLines="0" w:afterLines="0"/>
              <w:ind w:left="0" w:leftChars="0" w:firstLine="0" w:firstLineChars="0"/>
              <w:jc w:val="left"/>
              <w:rPr>
                <w:rFonts w:hint="eastAsia"/>
                <w:highlight w:val="none"/>
              </w:rPr>
            </w:pPr>
            <w:r>
              <w:rPr>
                <w:rFonts w:hint="eastAsia"/>
                <w:highlight w:val="none"/>
              </w:rPr>
              <w:t>★2.数据库兼容：兼容 3 个及以上厂商的数据库产品；</w:t>
            </w:r>
          </w:p>
          <w:p>
            <w:pPr>
              <w:spacing w:beforeLines="0" w:afterLines="0"/>
              <w:ind w:left="0" w:leftChars="0" w:firstLine="0" w:firstLineChars="0"/>
              <w:jc w:val="left"/>
              <w:rPr>
                <w:rFonts w:hint="eastAsia"/>
                <w:highlight w:val="none"/>
              </w:rPr>
            </w:pPr>
            <w:r>
              <w:rPr>
                <w:rFonts w:hint="eastAsia"/>
                <w:highlight w:val="none"/>
              </w:rPr>
              <w:t>★3.中间件兼容：兼容 3 个及以上厂商中间件产品；</w:t>
            </w:r>
          </w:p>
          <w:p>
            <w:pPr>
              <w:spacing w:beforeLines="0" w:afterLines="0"/>
              <w:ind w:left="0" w:leftChars="0" w:firstLine="0" w:firstLineChars="0"/>
              <w:jc w:val="left"/>
              <w:rPr>
                <w:rFonts w:hint="eastAsia"/>
                <w:highlight w:val="none"/>
              </w:rPr>
            </w:pPr>
            <w:r>
              <w:rPr>
                <w:rFonts w:hint="eastAsia"/>
                <w:highlight w:val="none"/>
              </w:rPr>
              <w:t>★4.平台软件兼容：兼容 3 个及以上厂商云计算及大数据平台；</w:t>
            </w:r>
          </w:p>
          <w:p>
            <w:pPr>
              <w:spacing w:beforeLines="0" w:afterLines="0"/>
              <w:ind w:left="0" w:leftChars="0" w:firstLine="0" w:firstLineChars="0"/>
              <w:jc w:val="left"/>
              <w:rPr>
                <w:rFonts w:hint="eastAsia"/>
                <w:highlight w:val="none"/>
              </w:rPr>
            </w:pPr>
            <w:r>
              <w:rPr>
                <w:rFonts w:hint="eastAsia"/>
                <w:highlight w:val="none"/>
              </w:rPr>
              <w:t>二十九、包装及运输要求</w:t>
            </w:r>
          </w:p>
          <w:p>
            <w:pPr>
              <w:spacing w:beforeLines="0" w:afterLines="0"/>
              <w:ind w:left="0" w:leftChars="0" w:firstLine="0" w:firstLineChars="0"/>
              <w:jc w:val="left"/>
              <w:rPr>
                <w:rFonts w:hint="default" w:ascii="宋体" w:hAnsi="宋体" w:eastAsia="宋体" w:cs="宋体"/>
                <w:b w:val="0"/>
                <w:bCs w:val="0"/>
                <w:color w:val="auto"/>
                <w:kern w:val="2"/>
                <w:sz w:val="21"/>
                <w:szCs w:val="21"/>
                <w:highlight w:val="none"/>
                <w:lang w:val="en-US" w:eastAsia="zh-CN" w:bidi="ar-SA"/>
              </w:rPr>
            </w:pPr>
            <w:r>
              <w:rPr>
                <w:rFonts w:hint="eastAsia"/>
                <w:highlight w:val="none"/>
              </w:rPr>
              <w:t>★标志、包装、运输和贮存：符合GB/T 9813.1和商品包装政府采购需求标准的相关规定。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default"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4</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lang w:bidi="ar"/>
              </w:rPr>
              <w:t>电子教学软件</w:t>
            </w:r>
          </w:p>
        </w:tc>
        <w:tc>
          <w:tcPr>
            <w:tcW w:w="630" w:type="dxa"/>
            <w:gridSpan w:val="2"/>
          </w:tcPr>
          <w:p>
            <w:pPr>
              <w:pStyle w:val="20"/>
              <w:ind w:firstLine="0" w:firstLineChars="0"/>
              <w:rPr>
                <w:rFonts w:hint="default"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套</w:t>
            </w:r>
          </w:p>
        </w:tc>
        <w:tc>
          <w:tcPr>
            <w:tcW w:w="645"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1</w:t>
            </w:r>
          </w:p>
        </w:tc>
        <w:tc>
          <w:tcPr>
            <w:tcW w:w="7265" w:type="dxa"/>
            <w:shd w:val="clear" w:color="auto" w:fill="FFFFFF"/>
            <w:vAlign w:val="top"/>
          </w:tcPr>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1.屏幕广播：将教师机屏幕和教师讲话实时广播给单一、部分或全体学生，可选择全屏或窗口方式。窗口模式下或教师机与学生机分辨率不同情况下，学生机可以以不同的窗口方式接收广播。</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2.屏幕广播速度增强：屏幕广播时支持多种画面质量的调节，根据网络的不同选择最好的效果进行教学。</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3.共享白板：教师可共享白板、桌面或图片与选定的学生共同完成相同的学习任务或绘画作品，提供学生也可以单独完成。</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4.网络影院：实现教师机播放的视频同步广播到学生机。</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5.语音对讲：教师可以选择任意一名已登录学生与其进行双向语音交谈，除教师和此学生外，其他学生不会受到干扰，可以动态切换对讲对象。学生演示：教师可选定一台学生机作为示范，由此学生代替教师进行示范教学。</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6.分组教学：教师分派组长执行指定的功能，组长代替教师进行小组教学，小组不需要再临时创建，可以直接使用既有分组信息，教师可以监控每个分组的教学过程，以了解分组教学的进度。</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7.分组讨论：教师可以创建多个小组进行讨论活动，并可任意选择分组加入讨论活动。同组师生支持多种方式进行交流，包括文字，表情，图片等。</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8.文件分发：允许教师将教师机不同盘符中的目录或文件一起发送至生机的某目录下。目录不存在自动新建此目录；盘符不存在或路径非法不允许分发；文件已存在选择自动覆盖或保留原始文件。</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9.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10.开始考试：教师将试卷分发给学生即可开始考试，考试过程中可以教师如有问题补充，可暂停考试，在特殊情况下，可以暂挂考试，下次启动系统后可继续考试；考试过程中如有断电、关机等意外情况学生机可断线重连，考试结束后学生可提交或时间到自动提交。</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11.答题卡考试：教师导入Word、PPT、Excel、PDF等文档类型的考试内容共享给学生，直接生成答题卡用于学生作答，包含多种不同的题型：多选题，判断题，填空题和论述题。</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12.随堂小考：教师启动快速的单题考试或随堂调查，限定考试时间，学生答题后立即给出结果，结果显示学生答案柱状图分析和答题时间，可作为抢答依据。</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13.抢答竞赛：教师可以出任意题目请学生作答，学生抢答时只需按下按钮即可。</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14.签到：提供学生名单管理工具，为软件和考试模块提供实名验证。提供点名功能，支持保留学生多次登录记录、考勤统计、签到信息的导出与对比。</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15.网页限制：设定学生访问网站的黑名单或白名单，对学生可以访问的Internet站点进行管理。支持多浏览器限制，如QQ、IE、谷歌、360、遨游等浏览器。</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16.程序限制：通过各种策略的应用，可防止学生在教学过程中打游戏，或使用QQ，MSN等聊天工具，支持限制U盘，网络映射盘，硬盘虚拟盘，虚拟光盘，内存虚拟盘里的程序。</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17.学生端属性查看：教师可以获取学生端计算机的名称、登录名和其它常用信息，并可以列出学生端的应用程序、进程和进程 ID，教师还可以远程终止学生端的进程。</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18.系统日志：显示和自动保存系统运行过程中的关键事件，包括学生登录登出，资源不足，提交文件等。</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19.远程命令：可以进行远程开机、关机、重启等操作，电子教室软件教师端支持统一关闭学生机或重启学生机，可设置延时执行指令。</w:t>
            </w:r>
          </w:p>
          <w:p>
            <w:pPr>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20.分组管理：教师可以新建，删除，重命名分组，添加和删除分组中的成员，设置小组长。分组信息随班级模型永久保存，下次上课可以直接使用保存的分组。</w:t>
            </w:r>
          </w:p>
          <w:p>
            <w:pPr>
              <w:spacing w:beforeLines="0" w:afterLines="0" w:line="360" w:lineRule="auto"/>
              <w:ind w:left="0" w:leftChars="0" w:firstLine="0" w:firstLineChars="0"/>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21.提供61个软件授权以匹配学生机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5</w:t>
            </w:r>
          </w:p>
        </w:tc>
        <w:tc>
          <w:tcPr>
            <w:tcW w:w="888" w:type="dxa"/>
            <w:shd w:val="clear" w:color="auto" w:fill="FFFFFF"/>
            <w:vAlign w:val="center"/>
          </w:tcPr>
          <w:p>
            <w:pPr>
              <w:ind w:left="0" w:leftChars="0" w:firstLine="0" w:firstLineChars="0"/>
              <w:jc w:val="both"/>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bidi="ar"/>
              </w:rPr>
              <w:t>运维管理软件（云桌面）</w:t>
            </w:r>
          </w:p>
        </w:tc>
        <w:tc>
          <w:tcPr>
            <w:tcW w:w="630" w:type="dxa"/>
            <w:gridSpan w:val="2"/>
            <w:shd w:val="clear" w:color="auto" w:fill="FFFFFF"/>
            <w:vAlign w:val="center"/>
          </w:tcPr>
          <w:p>
            <w:pPr>
              <w:ind w:left="0" w:leftChars="0" w:firstLine="0" w:firstLineChars="0"/>
              <w:jc w:val="both"/>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套</w:t>
            </w:r>
          </w:p>
        </w:tc>
        <w:tc>
          <w:tcPr>
            <w:tcW w:w="645" w:type="dxa"/>
            <w:shd w:val="clear" w:color="auto" w:fill="FFFFFF"/>
            <w:vAlign w:val="center"/>
          </w:tcPr>
          <w:p>
            <w:pPr>
              <w:ind w:left="0" w:leftChars="0" w:firstLine="0" w:firstLineChars="0"/>
              <w:jc w:val="both"/>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1</w:t>
            </w:r>
          </w:p>
        </w:tc>
        <w:tc>
          <w:tcPr>
            <w:tcW w:w="7265" w:type="dxa"/>
            <w:shd w:val="clear" w:color="auto" w:fill="FFFFFF"/>
            <w:vAlign w:val="center"/>
          </w:tcPr>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1、云桌面系统支持获取所有PC的状态、终端MAC、CPU信息、终端编号、终端IP、内存使用率、运行时间、磁盘信息等信息，便于管理员统计PC资产情况。</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2、需支持用户桌面在需要帮助的时候，云桌面管理平台可以直接向需要帮助的用户桌面发起帮助，进行这一项操作时不需要借助第三方软件。</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3、支持开机logo自定义，可以自定义云终端开机登录页面logo及文字定制，便于学校进行资产管理。</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4、为满足多种使用需求，需支持多种系统镜像例如Win7、Win10、Win11、统信、麒麟、中科方德等主流镜像，为降低使用复杂度要求云桌面管理系统软件可以进行一键切换系统镜像。</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5、云桌面系统软件支持系统同传，为保障同传传输速度，需支持BT传输。</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6、云桌面系统支持开启还原模式，每次开机系统都会重新恢复至模板状态，保障系统流畅性。</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2"/>
                <w:szCs w:val="28"/>
                <w:highlight w:val="none"/>
              </w:rPr>
              <w:t>▲</w:t>
            </w:r>
            <w:r>
              <w:rPr>
                <w:rFonts w:hint="default" w:ascii="宋体" w:hAnsi="宋体" w:cs="宋体"/>
                <w:b w:val="0"/>
                <w:bCs w:val="0"/>
                <w:color w:val="auto"/>
                <w:sz w:val="21"/>
                <w:szCs w:val="21"/>
                <w:highlight w:val="none"/>
              </w:rPr>
              <w:t>7、为保障上课不受干扰，需提供广告弹窗拦截功能，开启后系统自动拦截用户终端桌面弹窗广告，避免广告弹窗干扰使用。</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8、支持静默更新功能，要求不影响用户终端日常使用的情况下对用户支持进行更新操作，服务端发送过来的更新镜像文件用户终端后台可进行静默接收，且桌面会有弹窗提示，待用户空闲时间重启即可自动更新。</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9、为了便于管理员排查网络故障，需提供网络修复功能，可全面检测网络服务是否正常。</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10、云桌面软件需支持流量监控功能，可检测PC机目前进程的流量接收与发送的情况。</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11、支持兆芯、海光等国产芯片，支持麒麟系统、统信系统等国产化系统</w:t>
            </w:r>
          </w:p>
          <w:p>
            <w:pPr>
              <w:spacing w:beforeLines="0" w:afterLines="0"/>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sz w:val="21"/>
                <w:szCs w:val="21"/>
                <w:highlight w:val="none"/>
              </w:rPr>
              <w:t>12、支持统信、麒麟等国产系统和window系统自由切换</w:t>
            </w:r>
          </w:p>
          <w:p>
            <w:pPr>
              <w:spacing w:beforeLines="0" w:afterLines="0"/>
              <w:ind w:left="0" w:leftChars="0" w:firstLine="0" w:firstLineChars="0"/>
              <w:jc w:val="left"/>
              <w:rPr>
                <w:rFonts w:hint="default"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sz w:val="22"/>
                <w:szCs w:val="28"/>
                <w:highlight w:val="none"/>
              </w:rPr>
              <w:t>▲</w:t>
            </w:r>
            <w:r>
              <w:rPr>
                <w:rFonts w:hint="default" w:ascii="宋体" w:hAnsi="宋体" w:cs="宋体"/>
                <w:b w:val="0"/>
                <w:bCs w:val="0"/>
                <w:color w:val="auto"/>
                <w:sz w:val="21"/>
                <w:szCs w:val="21"/>
                <w:highlight w:val="none"/>
              </w:rPr>
              <w:t>13、提供环境监测功能，针对用户正在使用的桌面系统环境进行巡检，监测内容以列表形式呈现内容包含但不限于IP、内存、电脑名称、系统版本、硬盘等状态。如USB未连接、未知盘符，均会进行告警。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6</w:t>
            </w:r>
          </w:p>
        </w:tc>
        <w:tc>
          <w:tcPr>
            <w:tcW w:w="888" w:type="dxa"/>
            <w:shd w:val="clear" w:color="auto" w:fill="FFFFFF"/>
            <w:vAlign w:val="center"/>
          </w:tcPr>
          <w:p>
            <w:pPr>
              <w:spacing w:beforeLines="0" w:afterLines="0"/>
              <w:ind w:left="0" w:leftChars="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sz w:val="21"/>
                <w:szCs w:val="21"/>
                <w:highlight w:val="none"/>
              </w:rPr>
              <w:t>48口互联交换机</w:t>
            </w:r>
          </w:p>
        </w:tc>
        <w:tc>
          <w:tcPr>
            <w:tcW w:w="630" w:type="dxa"/>
            <w:gridSpan w:val="2"/>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台</w:t>
            </w:r>
          </w:p>
        </w:tc>
        <w:tc>
          <w:tcPr>
            <w:tcW w:w="645"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1</w:t>
            </w:r>
          </w:p>
        </w:tc>
        <w:tc>
          <w:tcPr>
            <w:tcW w:w="7265" w:type="dxa"/>
            <w:shd w:val="clear" w:color="auto" w:fill="FFFFFF"/>
            <w:vAlign w:val="center"/>
          </w:tcPr>
          <w:p>
            <w:pPr>
              <w:spacing w:beforeLines="0" w:afterLines="0"/>
              <w:ind w:left="0" w:leftChars="0" w:firstLine="0" w:firstLineChars="0"/>
              <w:jc w:val="left"/>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rPr>
              <w:t>支持48个10/100/1000BASE-T电口,支持4个1000BASE-X SFP端口,支持AC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spacing w:beforeLines="0" w:afterLines="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7</w:t>
            </w:r>
          </w:p>
        </w:tc>
        <w:tc>
          <w:tcPr>
            <w:tcW w:w="888" w:type="dxa"/>
            <w:shd w:val="clear" w:color="auto" w:fill="FFFFFF"/>
            <w:vAlign w:val="center"/>
          </w:tcPr>
          <w:p>
            <w:pPr>
              <w:spacing w:beforeLines="0" w:afterLines="0"/>
              <w:ind w:left="0" w:leftChars="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sz w:val="21"/>
                <w:szCs w:val="21"/>
                <w:highlight w:val="none"/>
              </w:rPr>
              <w:t>24口互联交换机</w:t>
            </w:r>
          </w:p>
        </w:tc>
        <w:tc>
          <w:tcPr>
            <w:tcW w:w="630" w:type="dxa"/>
            <w:gridSpan w:val="2"/>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台</w:t>
            </w:r>
          </w:p>
        </w:tc>
        <w:tc>
          <w:tcPr>
            <w:tcW w:w="645"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1</w:t>
            </w:r>
          </w:p>
        </w:tc>
        <w:tc>
          <w:tcPr>
            <w:tcW w:w="7265" w:type="dxa"/>
            <w:shd w:val="clear" w:color="auto" w:fill="FFFFFF"/>
            <w:vAlign w:val="center"/>
          </w:tcPr>
          <w:p>
            <w:pPr>
              <w:spacing w:beforeLines="0" w:afterLines="0"/>
              <w:ind w:left="0" w:leftChars="0" w:firstLine="0" w:firstLineChars="0"/>
              <w:jc w:val="left"/>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rPr>
              <w:t>支持24个10/100/1000BASE-T电口,支持4个1000BASE-X SFP端口支持AC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8</w:t>
            </w:r>
          </w:p>
        </w:tc>
        <w:tc>
          <w:tcPr>
            <w:tcW w:w="888" w:type="dxa"/>
            <w:shd w:val="clear" w:color="auto" w:fill="FFFFFF"/>
            <w:vAlign w:val="center"/>
          </w:tcPr>
          <w:p>
            <w:pPr>
              <w:spacing w:beforeLines="0" w:afterLines="0"/>
              <w:ind w:left="0" w:leftChars="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sz w:val="21"/>
                <w:szCs w:val="21"/>
                <w:highlight w:val="none"/>
              </w:rPr>
              <w:t>学生电脑桌</w:t>
            </w:r>
          </w:p>
        </w:tc>
        <w:tc>
          <w:tcPr>
            <w:tcW w:w="630" w:type="dxa"/>
            <w:gridSpan w:val="2"/>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张</w:t>
            </w:r>
          </w:p>
        </w:tc>
        <w:tc>
          <w:tcPr>
            <w:tcW w:w="645"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30</w:t>
            </w:r>
          </w:p>
        </w:tc>
        <w:tc>
          <w:tcPr>
            <w:tcW w:w="7265" w:type="dxa"/>
            <w:shd w:val="clear" w:color="auto" w:fill="FFFFFF"/>
            <w:vAlign w:val="center"/>
          </w:tcPr>
          <w:p>
            <w:pPr>
              <w:spacing w:beforeLines="0" w:afterLines="0"/>
              <w:ind w:left="0" w:leftChars="0" w:firstLine="0" w:firstLineChars="0"/>
              <w:jc w:val="left"/>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rPr>
              <w:t>1200*600*750mm；E1级刨花板基材表面三胺饰面免漆板；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9</w:t>
            </w:r>
          </w:p>
        </w:tc>
        <w:tc>
          <w:tcPr>
            <w:tcW w:w="888" w:type="dxa"/>
            <w:shd w:val="clear" w:color="auto" w:fill="FFFFFF"/>
            <w:vAlign w:val="center"/>
          </w:tcPr>
          <w:p>
            <w:pPr>
              <w:spacing w:beforeLines="0" w:afterLines="0"/>
              <w:ind w:left="0" w:leftChars="0" w:firstLine="0" w:firstLineChars="0"/>
              <w:rPr>
                <w:rFonts w:hint="eastAsia" w:ascii="宋体" w:hAnsi="宋体" w:eastAsia="宋体" w:cs="宋体"/>
                <w:b w:val="0"/>
                <w:bCs w:val="0"/>
                <w:color w:val="auto"/>
                <w:kern w:val="2"/>
                <w:sz w:val="21"/>
                <w:szCs w:val="21"/>
                <w:highlight w:val="none"/>
                <w:lang w:val="en-US" w:eastAsia="zh-CN" w:bidi="ar"/>
              </w:rPr>
            </w:pPr>
            <w:r>
              <w:rPr>
                <w:rFonts w:hint="eastAsia" w:ascii="宋体" w:hAnsi="宋体" w:cs="宋体"/>
                <w:b w:val="0"/>
                <w:bCs w:val="0"/>
                <w:color w:val="auto"/>
                <w:sz w:val="21"/>
                <w:szCs w:val="21"/>
                <w:highlight w:val="none"/>
              </w:rPr>
              <w:t>学生方凳</w:t>
            </w:r>
          </w:p>
        </w:tc>
        <w:tc>
          <w:tcPr>
            <w:tcW w:w="630" w:type="dxa"/>
            <w:gridSpan w:val="2"/>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张</w:t>
            </w:r>
          </w:p>
        </w:tc>
        <w:tc>
          <w:tcPr>
            <w:tcW w:w="645"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60</w:t>
            </w:r>
          </w:p>
        </w:tc>
        <w:tc>
          <w:tcPr>
            <w:tcW w:w="7265" w:type="dxa"/>
            <w:shd w:val="clear" w:color="auto" w:fill="FFFFFF"/>
            <w:vAlign w:val="center"/>
          </w:tcPr>
          <w:p>
            <w:pPr>
              <w:spacing w:beforeLines="0" w:afterLines="0"/>
              <w:ind w:left="0" w:leftChars="0" w:firstLine="0" w:firstLineChars="0"/>
              <w:jc w:val="left"/>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rPr>
              <w:t>340*240*420mm.凳面采用E1级刨花板基材，表面三胺饰面免漆板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888" w:type="dxa"/>
            <w:shd w:val="clear" w:color="auto" w:fill="FFFFFF"/>
            <w:vAlign w:val="center"/>
          </w:tcPr>
          <w:p>
            <w:pPr>
              <w:spacing w:beforeLines="0" w:afterLines="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机柜</w:t>
            </w:r>
          </w:p>
        </w:tc>
        <w:tc>
          <w:tcPr>
            <w:tcW w:w="630" w:type="dxa"/>
            <w:gridSpan w:val="2"/>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个</w:t>
            </w:r>
          </w:p>
        </w:tc>
        <w:tc>
          <w:tcPr>
            <w:tcW w:w="645"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1</w:t>
            </w:r>
          </w:p>
        </w:tc>
        <w:tc>
          <w:tcPr>
            <w:tcW w:w="7265" w:type="dxa"/>
            <w:shd w:val="clear" w:color="auto" w:fill="FFFFFF"/>
            <w:vAlign w:val="center"/>
          </w:tcPr>
          <w:p>
            <w:pPr>
              <w:pStyle w:val="17"/>
              <w:ind w:left="0" w:leftChars="0" w:firstLine="0" w:firstLineChars="0"/>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rPr>
              <w:t>12U机柜，尺寸：</w:t>
            </w:r>
            <w:r>
              <w:rPr>
                <w:rFonts w:hint="default"/>
                <w:highlight w:val="none"/>
              </w:rPr>
              <w:t>宽550</w:t>
            </w:r>
            <w:r>
              <w:rPr>
                <w:rFonts w:hint="eastAsia"/>
                <w:highlight w:val="none"/>
                <w:lang w:val="en-US" w:eastAsia="zh-CN"/>
              </w:rPr>
              <w:t>mm</w:t>
            </w:r>
            <w:r>
              <w:rPr>
                <w:rFonts w:hint="default"/>
                <w:highlight w:val="none"/>
              </w:rPr>
              <w:t>*深400</w:t>
            </w:r>
            <w:r>
              <w:rPr>
                <w:rFonts w:hint="eastAsia"/>
                <w:highlight w:val="none"/>
                <w:lang w:val="en-US" w:eastAsia="zh-CN"/>
              </w:rPr>
              <w:t>mm</w:t>
            </w:r>
            <w:r>
              <w:rPr>
                <w:rFonts w:hint="default"/>
                <w:highlight w:val="none"/>
              </w:rPr>
              <w:t>*高600</w:t>
            </w:r>
            <w:r>
              <w:rPr>
                <w:rFonts w:hint="eastAsia"/>
                <w:highlight w:val="none"/>
                <w:lang w:val="en-US" w:eastAsia="zh-CN"/>
              </w:rPr>
              <w:t>mm</w:t>
            </w:r>
            <w:r>
              <w:rPr>
                <w:rFonts w:hint="default" w:ascii="宋体" w:hAnsi="宋体" w:cs="宋体"/>
                <w:b w:val="0"/>
                <w:bCs w:val="0"/>
                <w:color w:val="auto"/>
                <w:sz w:val="21"/>
                <w:szCs w:val="21"/>
                <w:highlight w:val="none"/>
              </w:rPr>
              <w:t>，主体由质冷轧钢板制作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lang w:val="en-US" w:eastAsia="zh-CN"/>
              </w:rPr>
              <w:t>11</w:t>
            </w:r>
          </w:p>
        </w:tc>
        <w:tc>
          <w:tcPr>
            <w:tcW w:w="888" w:type="dxa"/>
            <w:shd w:val="clear" w:color="auto" w:fill="FFFFFF"/>
            <w:vAlign w:val="center"/>
          </w:tcPr>
          <w:p>
            <w:pPr>
              <w:spacing w:beforeLines="0" w:afterLines="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集成安装</w:t>
            </w:r>
          </w:p>
        </w:tc>
        <w:tc>
          <w:tcPr>
            <w:tcW w:w="630" w:type="dxa"/>
            <w:gridSpan w:val="2"/>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项</w:t>
            </w:r>
          </w:p>
        </w:tc>
        <w:tc>
          <w:tcPr>
            <w:tcW w:w="645" w:type="dxa"/>
            <w:shd w:val="clear" w:color="auto" w:fill="FFFFFF"/>
            <w:vAlign w:val="center"/>
          </w:tcPr>
          <w:p>
            <w:pPr>
              <w:spacing w:beforeLines="0" w:afterLines="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1</w:t>
            </w:r>
          </w:p>
        </w:tc>
        <w:tc>
          <w:tcPr>
            <w:tcW w:w="7265" w:type="dxa"/>
            <w:shd w:val="clear" w:color="auto" w:fill="FFFFFF"/>
            <w:vAlign w:val="center"/>
          </w:tcPr>
          <w:p>
            <w:pPr>
              <w:spacing w:beforeLines="0" w:afterLines="0"/>
              <w:ind w:left="0" w:leftChars="0" w:firstLine="0" w:firstLineChars="0"/>
              <w:jc w:val="left"/>
              <w:rPr>
                <w:rFonts w:hint="default" w:ascii="宋体" w:hAnsi="宋体" w:cs="宋体"/>
                <w:b w:val="0"/>
                <w:bCs w:val="0"/>
                <w:color w:val="auto"/>
                <w:sz w:val="21"/>
                <w:szCs w:val="21"/>
                <w:highlight w:val="none"/>
                <w:lang w:val="en-US" w:eastAsia="zh-CN"/>
              </w:rPr>
            </w:pPr>
            <w:r>
              <w:rPr>
                <w:rFonts w:hint="default" w:ascii="宋体" w:hAnsi="宋体" w:cs="宋体"/>
                <w:b w:val="0"/>
                <w:bCs w:val="0"/>
                <w:color w:val="auto"/>
                <w:sz w:val="21"/>
                <w:szCs w:val="21"/>
                <w:highlight w:val="none"/>
              </w:rPr>
              <w:t>机房集成安装、设备网络调试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shd w:val="clear" w:color="auto" w:fill="FFFFFF"/>
            <w:vAlign w:val="center"/>
          </w:tcPr>
          <w:p>
            <w:pPr>
              <w:jc w:val="left"/>
              <w:rPr>
                <w:rFonts w:hint="eastAsia" w:ascii="宋体" w:hAnsi="宋体" w:eastAsia="宋体" w:cs="宋体"/>
                <w:b w:val="0"/>
                <w:bCs w:val="0"/>
                <w:color w:val="auto"/>
                <w:kern w:val="2"/>
                <w:sz w:val="21"/>
                <w:szCs w:val="21"/>
                <w:highlight w:val="none"/>
                <w:lang w:val="en-US" w:eastAsia="zh-CN" w:bidi="ar-SA"/>
              </w:rPr>
            </w:pPr>
            <w:bookmarkStart w:id="272" w:name="_GoBack"/>
            <w:r>
              <w:rPr>
                <w:rFonts w:hint="eastAsia" w:ascii="宋体" w:hAnsi="宋体" w:cs="宋体"/>
                <w:b w:val="0"/>
                <w:bCs w:val="0"/>
                <w:color w:val="auto"/>
                <w:sz w:val="21"/>
                <w:szCs w:val="21"/>
                <w:highlight w:val="none"/>
              </w:rPr>
              <w:t>多媒体</w:t>
            </w:r>
            <w:r>
              <w:rPr>
                <w:rFonts w:hint="eastAsia" w:ascii="宋体" w:hAnsi="宋体" w:cs="宋体"/>
                <w:b w:val="0"/>
                <w:bCs w:val="0"/>
                <w:color w:val="auto"/>
                <w:sz w:val="21"/>
                <w:szCs w:val="21"/>
                <w:highlight w:val="none"/>
                <w:lang w:val="en-US" w:eastAsia="zh-CN"/>
              </w:rPr>
              <w:t>设备</w:t>
            </w:r>
            <w:bookmarkEnd w:id="2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shd w:val="clear" w:color="auto" w:fill="FFFFFF"/>
            <w:vAlign w:val="center"/>
          </w:tcPr>
          <w:p>
            <w:pPr>
              <w:ind w:firstLine="420" w:firstLineChars="20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sz w:val="21"/>
                <w:szCs w:val="21"/>
                <w:highlight w:val="none"/>
              </w:rPr>
              <w:t>（一）AI智能交互一体机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ind w:firstLine="0" w:firstLineChars="0"/>
              <w:rPr>
                <w:rFonts w:hint="default"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pStyle w:val="20"/>
              <w:ind w:firstLine="308" w:firstLineChars="147"/>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1</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智能交互一体机</w:t>
            </w:r>
          </w:p>
        </w:tc>
        <w:tc>
          <w:tcPr>
            <w:tcW w:w="630" w:type="dxa"/>
            <w:gridSpan w:val="2"/>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套</w:t>
            </w:r>
          </w:p>
        </w:tc>
        <w:tc>
          <w:tcPr>
            <w:tcW w:w="645" w:type="dxa"/>
          </w:tcPr>
          <w:p>
            <w:pPr>
              <w:pStyle w:val="20"/>
              <w:ind w:firstLine="0" w:firstLineChars="0"/>
              <w:rPr>
                <w:rFonts w:hint="eastAsia" w:hAnsi="宋体" w:eastAsia="宋体"/>
                <w:b w:val="0"/>
                <w:bCs w:val="0"/>
                <w:color w:val="auto"/>
                <w:sz w:val="21"/>
                <w:szCs w:val="21"/>
                <w:highlight w:val="none"/>
                <w:lang w:val="en-US" w:eastAsia="zh-CN" w:bidi="ar"/>
              </w:rPr>
            </w:pPr>
            <w:r>
              <w:rPr>
                <w:rFonts w:hint="default" w:hAnsi="宋体"/>
                <w:b w:val="0"/>
                <w:bCs w:val="0"/>
                <w:color w:val="auto"/>
                <w:sz w:val="21"/>
                <w:szCs w:val="21"/>
                <w:highlight w:val="none"/>
                <w:lang w:val="en-US" w:bidi="ar"/>
              </w:rPr>
              <w:t>1</w:t>
            </w:r>
            <w:r>
              <w:rPr>
                <w:rFonts w:hint="eastAsia" w:hAnsi="宋体"/>
                <w:b w:val="0"/>
                <w:bCs w:val="0"/>
                <w:color w:val="auto"/>
                <w:sz w:val="21"/>
                <w:szCs w:val="21"/>
                <w:highlight w:val="none"/>
                <w:lang w:val="en-US" w:eastAsia="zh-CN" w:bidi="ar"/>
              </w:rPr>
              <w:t>0</w:t>
            </w:r>
          </w:p>
        </w:tc>
        <w:tc>
          <w:tcPr>
            <w:tcW w:w="7265" w:type="dxa"/>
          </w:tcPr>
          <w:p>
            <w:pPr>
              <w:spacing w:line="360" w:lineRule="auto"/>
              <w:ind w:firstLine="0" w:firstLineChars="0"/>
              <w:jc w:val="left"/>
              <w:rPr>
                <w:rFonts w:hint="eastAsia"/>
                <w:b w:val="0"/>
                <w:bCs w:val="0"/>
                <w:color w:val="auto"/>
                <w:highlight w:val="none"/>
              </w:rPr>
            </w:pPr>
            <w:r>
              <w:rPr>
                <w:rFonts w:hint="eastAsia"/>
                <w:b w:val="0"/>
                <w:bCs w:val="0"/>
                <w:color w:val="auto"/>
                <w:highlight w:val="none"/>
              </w:rPr>
              <w:t>一、集体备课设计</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1、发起集备：支持选择教案、课件、胶囊资源上传发起集备研讨，支持设置多重访问权限，通过手机号搜索即可邀请外校老师，可用于跨校教研场景。</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2、进入集备：支持搜索集备名称/老师昵称，或按照学科/学段/年级/教材章节，我参与的/我发起的几个维度进行筛选查看，支持手机端/PC端进入集备页面。</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3、集备研讨：参备成员可通过评论区发表观点，通过评论回复，点赞等功能营造浓厚的研讨氛围，评论消息支持实时提醒，支持图片的上传。</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4、在线批注：参备人在电脑端及手机端都可在线对教案进行随文式批注，追加批注，回复以及查看实时批注消息。支持对课件进行打点式的批注，通过批注快速定位研讨内容，高效完成协同备课。</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5、稿件编辑：完成本次研讨后，主备人可直接进入编辑页面编辑课件/教案，发布新稿件后，备课组进入下一轮打磨更新稿件后会给参备老师实时同步教研动态。</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6、稿件对比：可对集备中多稿的课件/教案/胶囊进行内容的横向对比，支持批注研讨过程数据对比回溯；</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7、获取稿件：参备成员可以随时获取和下载每一稿中的集备稿件到云课件，进行编辑或引用。</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8、完成集备：完成研讨后，可以生成集体备课报告。集备终稿会自动上传到校本资源库，主备人可自定义上传目录，参备人即可前往校本资源库获取集备终稿。</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二、整机接口设计与安全设计</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1、侧置输入接口具备2路HDMI、1路RS232、1路USB接口。</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2、侧置输出接口具备1路音频输出、1路触控USB输出。</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3、前置输入接口3路USB接口（包含1路Type-C、2路USB）。</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4、支持通过Type-C接口U盘进行文件传输，兼容Type-C接口手机充电。</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5、整机采用一体设计，外部无任何可见内部功能模块连接线。边角采用弧形设计，表面无尖锐边缘或凸起。</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6、整机采用全金属外壳设计，边框为金属一体成型。</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7、整机屏幕边缘采用金属圆角包边防护，整机背板采用金属材质，有效屏蔽内部电路器件辐射；防潮耐盐雾蚀锈，适应多种教学环境。</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三、屏幕显示以及扬声器设计</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1、整机屏幕采用≥86英寸液晶显示器。</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2、整机采用超高清LED液晶显示屏，显示比例16:9，分辨率3840×2160。</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3、整机色域覆盖率（NTSC）≥72%</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4、整机背光系统支持DC调光方式，多级亮度调节，支持白颜色背景下最暗亮度≤100nit，用于提升显示对比度。</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5、灰阶等级≥256级。</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6、整机屏幕蓝光占比（有害蓝光415～455nm能量综合）/（整体蓝光400～500能量综合）＜50%</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7、支持标准、多媒体和节能三种图像模式调节。</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8、支持自定义图像设置，可对对比度、屏幕色温、图像亮度、亮度范围、色彩空间调节设置。</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整机系统支持手势上滑调出人工智能画质调节模式（AI-PQ），在安卓通道下可根据屏幕内容自动调节画质参数，当屏幕出现人物、建筑、夜景等元素时，自动调整对比度、饱和度、锐利度、色调色相值、高光/阴影。</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10、整机视网膜蓝光危害（蓝光加权辐射亮度LB）满足IEC TR 62778:2014蓝光危害RG0级别</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11、整机全通道支持纸质护眼模式，可实现画面纹理的实时调整；支持纸质纹理：牛皮纸、素描纸、宣纸、水彩纸、水纹纸；支持透明度调节；支持色温调节。</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12、纸质护眼模式下，显示画面各像素点灰度不规则，减少背景干扰。</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13、整机扬声器采用模块化设计，无需打开背板即可单独拆卸，便于维护。</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四、整体无线与网络功能设计</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1、整机无需外接无线网卡，在Windows系统下可实现Wi-Fi无线上网连接、AP无线热点发射和BT蓝牙连接功能。</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2、Wi-Fi和AP热点工作距离≥12m。</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3、整机支持蓝牙Bluetooth 5.4标准</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4、整机PC端支持主动发现蓝牙外设从而连接（无需整机进入发现模式），支持连接外部蓝牙音箱播放音频。</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▲5、整机支持发出频率为18kHz-22kHz超声波信号，智能手机通过麦克风接收后，智能手机与整机无需在同一局域网内，可实现配对，一键投屏，用户无需手动输入投屏码或扫码获取投屏码；</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7、整机内置双WiFi6无线网卡（不接受外接），在Android和Windows系统下，可实现Wi-Fi无线上网连接、AP无线热点发射。</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8、整机内置双WiFi6无线网卡（不接受外接），在Android下支持无线设备同时连接数量≥32个，在Windows系统下支持无线设备同时连接≥8个；</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9、整机无需外接无线网卡，在Windows系统下接入无线网络，切换到嵌入式Android系统下可直接实现无线上网功能，不需手动重复设置。</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 xml:space="preserve">10、Wi-Fi及AP热点支持频段2.4GHz/5GHz </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11、Wi-Fi制式支持IEEE 802.11 a/b/g/n/ac/ax；支持版本Wi-Fi6。</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五、侧边栏教学设计要求</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1、整机全通道侧边栏快捷菜单包含如下小工具：批注、降半屏、截屏、放大镜、倒计时、日历、聚光灯、秒表、冻屏、倒数日、答题、节拍器</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2、整机全通道侧边栏快捷菜单小工具支持自定义，支持设置对应小工具的显示/隐藏。</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3、整机全通道侧边栏支持使用批注小工具进行批注讲解，可切换书写笔颜色、截屏保存批注内容、清屏，可根据手与屏幕的接触面积自动调整板擦工具的大小。</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4、整机全通道侧边栏支持将设备屏幕降低为半屏幕状态，点击上半屏幕可以返回全屏状态。</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5、整机全通道侧边栏支持自行选择所需截取屏幕范围，点击截屏即可成功截取屏幕，并自动保存。</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6、整机全通道侧边栏支持放大选中区域内容，并可支持对未选中区域关灯处理，实现聚光灯效果。</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7、整机全通道侧边栏支持倒计时、正计时功能；倒计时，输入某特定时间值，可精确到秒，点击开始进入倒计时；正计时，点击开始计时便自动开始，并实时显示时间。</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8、整机全通道侧边栏支持打开日历，查看日期。</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9、整机全通道侧边栏支持聚光灯，支持聚光灯高亮区域大小调节、区域移动。</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10、整机全通道侧边栏支持冻屏，将屏幕画面进行缩放。</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11、整机安卓和外接通道下侧边栏支持设置倒数日。</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12、整机安卓和外接通道 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13、整机安卓和外接通道下侧边栏支持节拍器，支持设置节拍、轻重、节拍播放速度。全通道下可支持通过自定义按键调出该功能。</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14、整机支持在设备上通过摄像头获取教室内图像并自动识别图像内所有人员，并随机抽选1人。</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15、整机支持在设备上通过摄像头获取教室内图像并自动识别图像内所有人员，并自动进行人数统计。</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16、整机支持在设备上，通过侧边栏实现调用windows系统运行、打开文件夹、打开任务管理。</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17、整机Windows通道支持在通过侧边栏调取软键盘。</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18、整机Windows通道支持对当前运行中的应用进行窗口最大化、窗口最小化、应用强制关闭。</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19、整机处于非内置PC通道下，支持通过侧边栏进入PC通道。</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20、整机全通道侧边栏快捷菜单支持快捷调节音量、亮度，支持自动亮度模式，支持点击静音按钮静音。</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21、整机全通道侧边栏快捷菜单中应用软件可以进行切换，无需在已经开启的应用软件全屏模式下退出当前应用再选择更换。</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22、整机全通道侧边栏支持自定义快捷菜单，支持windows应用固定，可将应用固定后，在侧边栏进行快捷打开。</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23、整机全通道侧边栏快捷菜单中可实时查看物联设备的连接情况，点击设备图标即可调出中控菜单进行管控。</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24、整机全通道侧边栏快捷菜单支持简洁模式和常规模式切换。</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25、整机全通道可进行打开批注、降半屏、主页的基础操作。</w:t>
            </w:r>
          </w:p>
          <w:p>
            <w:pPr>
              <w:spacing w:line="360" w:lineRule="auto"/>
              <w:ind w:firstLine="0" w:firstLineChars="0"/>
              <w:jc w:val="left"/>
              <w:rPr>
                <w:rFonts w:hint="eastAsia" w:eastAsia="宋体"/>
                <w:b w:val="0"/>
                <w:bCs w:val="0"/>
                <w:color w:val="auto"/>
                <w:highlight w:val="none"/>
                <w:lang w:eastAsia="zh-CN"/>
              </w:rPr>
            </w:pPr>
            <w:r>
              <w:rPr>
                <w:rFonts w:hint="eastAsia"/>
                <w:b w:val="0"/>
                <w:bCs w:val="0"/>
                <w:color w:val="auto"/>
                <w:highlight w:val="none"/>
              </w:rPr>
              <w:t>26、整机内置自习工具，通过整机麦克风监测教室中学生音量大小</w:t>
            </w:r>
            <w:r>
              <w:rPr>
                <w:rFonts w:hint="eastAsia"/>
                <w:b w:val="0"/>
                <w:bCs w:val="0"/>
                <w:color w:val="auto"/>
                <w:highlight w:val="none"/>
                <w:lang w:eastAsia="zh-CN"/>
              </w:rPr>
              <w:t>。</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六、整机系统设计</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（一）电脑系统</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 xml:space="preserve">1、CPU：搭载Intel  </w:t>
            </w:r>
            <w:r>
              <w:rPr>
                <w:rFonts w:hint="eastAsia"/>
                <w:highlight w:val="none"/>
                <w:lang w:val="en-US" w:eastAsia="zh-CN"/>
              </w:rPr>
              <w:t>core</w:t>
            </w:r>
            <w:r>
              <w:rPr>
                <w:rFonts w:hint="eastAsia"/>
                <w:b w:val="0"/>
                <w:bCs w:val="0"/>
                <w:color w:val="auto"/>
                <w:highlight w:val="none"/>
              </w:rPr>
              <w:t>系列≥ i5  12代或以上配置CPU。</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2、内存：16 GB DDR4笔记本内存或以上配置。</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3、硬盘：</w:t>
            </w:r>
            <w:r>
              <w:rPr>
                <w:rFonts w:hint="eastAsia"/>
                <w:b w:val="0"/>
                <w:bCs w:val="0"/>
                <w:color w:val="auto"/>
                <w:highlight w:val="none"/>
                <w:lang w:val="en-US" w:eastAsia="zh-CN"/>
              </w:rPr>
              <w:t>256</w:t>
            </w:r>
            <w:r>
              <w:rPr>
                <w:rFonts w:hint="eastAsia"/>
                <w:b w:val="0"/>
                <w:bCs w:val="0"/>
                <w:color w:val="auto"/>
                <w:highlight w:val="none"/>
              </w:rPr>
              <w:t xml:space="preserve"> GB或以上SSD固态硬盘。</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4、采用按压式卡扣，无需工具即可快速拆卸电脑模块。</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5、PC 模块可抽拉式插入整机，可实现无单独接线的拔插。</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6、具有独立非外拓展的视频输出接口：≥1 路 HDMI。</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7、具有独立非外拓展的电脑 USB 接口：至少具备 4个USB3.0 接口。</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8、具有标准 PC 防盗锁孔，确保电脑模块安全防盗。</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9、和整机的连接采用万兆级接口，传输速率≥10Gbps。</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10、和整机的连接接口针脚数≤40pin。</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（二）触摸系统</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1、支持Windows 7、Windows 8、Windows 10、Windows11、Linux、Mac Os、UOS和麒麟系统外置电脑操作系统接入时，无需安装触摸驱动。</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2、触摸分辨率32768×32768。</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3、书写触控延迟≤25ms</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4、整机触控书写功能集成预测算法，在书写速度≥50cm/s，支持笔迹距离笔的距离小于20mm。</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5、触摸响应≤4ms。</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6、触摸最小识别物≤3mm。</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7、整机屏幕触摸有效识别高度不超过3mm，即触摸物体距离玻璃外表面高度不超过3mm时，触摸屏识别为点击操作。</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8、整机支持提笔书写，在Windows系统下可实现无需点击任意功能入口，当检测到红外笔笔尖接触屏幕时，自动进入书写模式。</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9、整机支持手笔分离，通过提笔即写唤醒批注功能后，可进行手笔分离功能，使用笔正常书写，使用手指可以操作应用，进行点击操作。</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10、整机触摸支持动态压力感应，支持无任何电子功能的普通书写笔在整机上书写或点压时，整机能感应压力变化，书写或点压过程笔迹呈现不同粗细。</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▲11、支持同一支笔，笔头、笔尾书写不同的颜色，且颜色可自定义。</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12、支持智能板擦功能，系统可根据触控物体的形状自动识别出实物板擦，可擦除电子白板中的内容，无需依赖外部电子设备。</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13、触摸屏具有防遮挡功能，触摸接收器在单点或多点遮挡后仍能正常书写。</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14、采用红外触控技术，支持Windows系统中进行40点或以上触控，支持在Android系统中进行40点或以上触控。</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（三）安卓系统</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▲1、整机嵌入式系统版本≥Android 14，主频≥1.8GHz，内存≥2GB，存储空间≥8GB。</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2、嵌入式Android操作系统下，白板支持对已经书写的笔迹和形状和颜色进行更换。</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3、在嵌入式系统下使用白板软件时，整机可自行调节屏幕亮度。</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4、嵌入式Android操作系统下，互动白板支持不同背景颜色，同时提供学科背景，如：五线谱、信纸、田字格、英文格、篮球和足球场地平面图。</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6、无PC状态下，嵌入式系统内置互动白板支持全局漫游，并能在工具栏中对全局内容进行预览和移动。</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7、无PC状态下，嵌入式Android 操作系统下可使用白板书写、WPS 软件和网页浏览</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8、在嵌入式Android操作系统下，能对TV多媒体USB所读取到的文件进行自动归类，可分类查找文档、板书、图片、音视频，检索后可直接在界面中打开。</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▲9、支持智能书写功能，书写文字自动识别为标准印刷体，支持图形识别功能，可将多种手绘图形转化为矩形、三角形、圆形等标准图形。</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▲10、整机嵌入式芯片内置 2TOPS AI 算力，可用于 AI 图像、音频处理。</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七、教学桌面设计</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1、整机设备开机启动后，自动进入教学桌面，支持账号登录、退出，自动获取个人云端教学课件列表、并可进入全部课件列表。</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2、整机设备支持多种身份识别方式，支持通过账号登录、手机扫码登录，并支持账号安全登录检测。</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3、整机设备支持统一互通的用户身份认证服务，账号登录后，打开教学白板软件教学应用工具时无需再次输入账号密码重复登录。</w:t>
            </w:r>
          </w:p>
          <w:p>
            <w:pPr>
              <w:spacing w:line="360" w:lineRule="auto"/>
              <w:ind w:firstLine="0" w:firstLineChars="0"/>
              <w:jc w:val="left"/>
              <w:rPr>
                <w:rFonts w:hint="eastAsia"/>
                <w:b w:val="0"/>
                <w:bCs w:val="0"/>
                <w:color w:val="auto"/>
                <w:highlight w:val="none"/>
              </w:rPr>
            </w:pPr>
            <w:bookmarkStart w:id="74" w:name="OLE_LINK6"/>
            <w:r>
              <w:rPr>
                <w:rFonts w:hint="eastAsia"/>
                <w:b w:val="0"/>
                <w:bCs w:val="0"/>
                <w:color w:val="auto"/>
                <w:highlight w:val="none"/>
              </w:rPr>
              <w:t>▲</w:t>
            </w:r>
            <w:bookmarkEnd w:id="74"/>
            <w:r>
              <w:rPr>
                <w:rFonts w:hint="eastAsia"/>
                <w:b w:val="0"/>
                <w:bCs w:val="0"/>
                <w:color w:val="auto"/>
                <w:highlight w:val="none"/>
              </w:rPr>
              <w:t>4、整机设备教学桌面支持教学白板软件和文件管理软件；教学桌面首页支持自定义桌面应用，支持展示至少8个应用入口，并提供进入本机所有应用的入口。</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5、整机设备可将应用编辑到教学桌面首页，编辑方式支持从教学桌面首页进入编辑，支持在全部应用列表中进入编辑2种方式。教学桌面首页应用支持无需进入应用编辑页面，在首页指定应用上长按进行移除。</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6、整机设备教学桌面支持查看设备盘符，支持本地磁盘和外接U盘、移动硬盘，点击即可打开该磁盘查看磁盘文件。教学桌面支持显示存储空间状态，当存储空间即将满载时候进行红色标记明显提示。</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7、整机设备教学桌面支持推荐应用，推荐应用支持移除。</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8、整机设备教学桌面支持进行应用卸载。</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9、整机设备教学桌面的教师登录账号后，可自动获取并在桌面显示最近使用的教学课件，点击课件可直接进入授课模式；并支持查看所有个人教学课件资源。</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10、整机设备教学桌面支持进行壁纸编辑，内置10张以上壁纸，支持自定义壁纸。</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11、整机设备教学桌面支持U盘、移动硬盘外接存储设备直接在桌面显示，无需打开文件浏览器即可查看文件列表，并且支持文件打开。支持查看全部文件列表以及按照文档、图片、音视频分类方式查看文件列表。</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12、整机设备教学桌面U盘文件查看窗口支持使用文件浏览器打开U盘。</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13、整机设备教学桌面支持进行通道切换，当设备有其他输入源时，可在桌面点击信号源进行输入源切换。</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14、整机设备教学桌面支持进行锁屏操作。</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15、整机设备教学桌面支持进行重启、关机操作。</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16、整机内置朗读工具，通过整机麦克风监测教室中学生的朗读情况，并以游戏化界面反馈学生朗读音量大小。</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八、整机硬件设计</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1、三合一电源按键，同一电源物理按键完成Android系统和Windows系统的开机、节能熄屏、关机操作；关机状态下按按键开机；开机状态下按按键实现节能熄屏/唤醒，长按按键实现关机。</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2、整机具备至少6个前置按键，可实现开关机、调出中控菜单、音量+/-、护眼、录屏操作。</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3、支持经典护眼模式，可通过前置面板物理功能按键一键启用经典护眼模式。</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4、设备支持通过前置面板物理按键一键启动录屏功能，可将屏幕中显示的课件、音频内容与人声同时录制。</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5、前置 USB 接口具备防撞挡板设计，防撞挡板采用转轴式翻转。</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7、整机内置2.2声道扬声器，位于设备上边框，顶置朝前发声，前朝向10W高音扬声器2个，上朝向20W中低音扬声器2个，额定总功率60W。</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▲8、整机可选择高级音效设置，支持在左右声道平衡显示范围中进行更改；中低频段显示调节范围125Hz～1KHz，高频段显示调节范围 2KHz～16KHz，分贝显示-12dB～12dB 调节范围。</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9、整机内置非独立外扩展的4阵列麦克风，可用于对教室环境音频进行采集，麦克风拾音距离≥12米。</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10、整机内置扬声器采用缝隙发声技术，喇叭采用槽式开口设计，不大于5.8mm</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11、整机扬声器在100%音量下，可做到1米处声压级≥88db，10米处声压级≥79dB</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12、内置摄像头、麦克风无需外接线材连接，无任何可见外接线材及模块化拼接痕迹，未占用整机设备端口。</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13、支持标准、听力、观影和AI空间感知音效模式，AI空间感知音效模式可通过内置麦克风采集教室物理环境声音，自动生成符合当前教室物理环境的频段、音量、音效。</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14、整机内置摄像头（非外扩），PC通道下支持通过视频展台软件调用摄像头进行二维码扫码识别。</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15、具备摄像头工作指示灯，摄像头运行时，有指示灯提示。</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16、整机上边框内置非独立摄像头，采用一体化集成设计，可拍摄≥1300万像素数的照片，可拍摄输出4K分辨率的视频。</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17、整机摄像头对角线视场角≥120度</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18、整机内置非独立的高清摄像头，可用于远程巡课。</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19、整机摄像头支持人脸识别、清点人数、随机抽人；识别所有学生，显示标记，然后随机抽选，同时显示标记不少于60人。</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20、整机支持通过人脸识别进行登录账号。</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21、整机摄像头支持环境色温判断，根据环境调节合适的显示图像效果。</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▲22、整机支持在无任何外部设备的情况下，实时录制用户朗读内容， 识别用户声纹并进行统一身份登录，登录后自动获取个人云端教学课件列表，打开教学白板软件时可跳过软件自带登录步骤。</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九、设备运维管理系统</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3.批量磁盘清理：支持远程批量清理设备磁盘；支持清理指定磁盘的指定文件夹；支持清理系统盘备份、缓存、日志等文件；支持迁移系统盘视频、图片、音乐、文档文件；支持格式化非系统盘磁盘。</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4.冰点还原及穿透：支持远程向已冰冻的设备发送指令、安装软件，在设备正常关机时触发穿透动作，穿透完成后，设备即可使用已安装软件、执行已接收指令，且穿透过程中无需人为解冻。</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5.弹窗拦截：支持一键开启拦截能力；支持查看已上报的所有疑似风险窗口和上报次数，并支持拦截某个应用所有窗口、某个具体窗口；支持将某个应用、某个具体窗口加入白名单，不对软件进行拦截。</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6.流量监管：支持查看校内当日班班通设备流量使用的具体情况、带宽利用率；支持对设备进行限速设置。</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7.网址过滤：支持设置网址访问黑名单、白名单，限制所有设备的网址访问。</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9.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10.智慧管控：支持用户自定义无人使用时间段，设备处于无人使用状态时，自动进入屏保、锁屏、息屏、关机状态。</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11.软件静默安装：支持用户自主上传官方正版软件，支持批量将软件发送至班班通设备安装，软件自动静默安装，无需人工操作。</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12.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13.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14.个性化配置：支持管理者配置学校设备总览页需展示的组件内容、顺序；支持学校设置符合本校管理需要的设备使用率、网络/硬件/流畅度/安全达标率。</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十、教学PPT小工具</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▲1、不借助其他软件情况下，播放PPT时即可实现书写、擦除功能；可支持课件所有页面的预览、可随意进行页面跳转和实现上下翻页。</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2、不借助其他软件情况下，播放PPT时即可支持板中板功能，直接调用板中板辅助教学，可实现批注及加页，不影响课件整体内容。</w:t>
            </w:r>
          </w:p>
          <w:p>
            <w:pPr>
              <w:spacing w:line="360" w:lineRule="auto"/>
              <w:ind w:firstLine="0" w:firstLineChars="0"/>
              <w:jc w:val="left"/>
              <w:rPr>
                <w:rFonts w:hint="eastAsia"/>
                <w:b w:val="0"/>
                <w:bCs w:val="0"/>
                <w:color w:val="auto"/>
                <w:highlight w:val="none"/>
              </w:rPr>
            </w:pPr>
            <w:r>
              <w:rPr>
                <w:rFonts w:hint="eastAsia"/>
                <w:b w:val="0"/>
                <w:bCs w:val="0"/>
                <w:color w:val="auto"/>
                <w:highlight w:val="none"/>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pPr>
              <w:spacing w:line="360" w:lineRule="auto"/>
              <w:ind w:firstLine="0" w:firstLineChars="0"/>
              <w:jc w:val="left"/>
              <w:rPr>
                <w:rFonts w:hint="default" w:ascii="宋体" w:hAnsi="宋体" w:cs="宋体"/>
                <w:b w:val="0"/>
                <w:bCs w:val="0"/>
                <w:color w:val="auto"/>
                <w:szCs w:val="21"/>
                <w:highlight w:val="none"/>
                <w:lang w:val="en-US"/>
              </w:rPr>
            </w:pPr>
            <w:r>
              <w:rPr>
                <w:rFonts w:hint="eastAsia"/>
                <w:b w:val="0"/>
                <w:bCs w:val="0"/>
                <w:color w:val="auto"/>
                <w:highlight w:val="none"/>
              </w:rPr>
              <w:t>4、不借助其他软件情况下，播放PPT时即可调用放大镜、聚光灯小工具辅助教学。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2</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strike w:val="0"/>
                <w:color w:val="auto"/>
                <w:sz w:val="21"/>
                <w:szCs w:val="21"/>
                <w:highlight w:val="none"/>
              </w:rPr>
              <w:t>多媒体教学专用控制设备</w:t>
            </w:r>
          </w:p>
        </w:tc>
        <w:tc>
          <w:tcPr>
            <w:tcW w:w="630" w:type="dxa"/>
            <w:gridSpan w:val="2"/>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套</w:t>
            </w:r>
          </w:p>
        </w:tc>
        <w:tc>
          <w:tcPr>
            <w:tcW w:w="645" w:type="dxa"/>
          </w:tcPr>
          <w:p>
            <w:pPr>
              <w:pStyle w:val="20"/>
              <w:ind w:firstLine="0" w:firstLineChars="0"/>
              <w:rPr>
                <w:rFonts w:hint="eastAsia" w:hAnsi="宋体" w:eastAsia="宋体"/>
                <w:b w:val="0"/>
                <w:bCs w:val="0"/>
                <w:color w:val="auto"/>
                <w:sz w:val="21"/>
                <w:szCs w:val="21"/>
                <w:highlight w:val="none"/>
                <w:lang w:val="en-US" w:eastAsia="zh-CN" w:bidi="ar"/>
              </w:rPr>
            </w:pPr>
            <w:r>
              <w:rPr>
                <w:rFonts w:hint="default" w:hAnsi="宋体"/>
                <w:b w:val="0"/>
                <w:bCs w:val="0"/>
                <w:color w:val="auto"/>
                <w:sz w:val="21"/>
                <w:szCs w:val="21"/>
                <w:highlight w:val="none"/>
                <w:lang w:val="en-US" w:bidi="ar"/>
              </w:rPr>
              <w:t>1</w:t>
            </w:r>
            <w:r>
              <w:rPr>
                <w:rFonts w:hint="eastAsia" w:hAnsi="宋体"/>
                <w:b w:val="0"/>
                <w:bCs w:val="0"/>
                <w:color w:val="auto"/>
                <w:sz w:val="21"/>
                <w:szCs w:val="21"/>
                <w:highlight w:val="none"/>
                <w:lang w:val="en-US" w:eastAsia="zh-CN" w:bidi="ar"/>
              </w:rPr>
              <w:t>0</w:t>
            </w:r>
          </w:p>
        </w:tc>
        <w:tc>
          <w:tcPr>
            <w:tcW w:w="7265" w:type="dxa"/>
            <w:vAlign w:val="top"/>
          </w:tcPr>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1、整机最大外形尺寸≤260 * 289 * 47（mm）；</w:t>
            </w:r>
          </w:p>
          <w:p>
            <w:pPr>
              <w:spacing w:line="360" w:lineRule="auto"/>
              <w:ind w:firstLine="0" w:firstLineChars="0"/>
              <w:jc w:val="left"/>
              <w:rPr>
                <w:rFonts w:hint="default" w:ascii="宋体" w:hAnsi="宋体" w:cs="宋体"/>
                <w:b w:val="0"/>
                <w:bCs w:val="0"/>
                <w:color w:val="auto"/>
                <w:szCs w:val="21"/>
                <w:highlight w:val="none"/>
                <w:lang w:val="en-US"/>
              </w:rPr>
            </w:pPr>
            <w:r>
              <w:rPr>
                <w:rFonts w:hint="eastAsia"/>
                <w:b w:val="0"/>
                <w:bCs w:val="0"/>
                <w:color w:val="auto"/>
                <w:highlight w:val="none"/>
              </w:rPr>
              <w:t>▲</w:t>
            </w:r>
            <w:r>
              <w:rPr>
                <w:rFonts w:hint="default" w:ascii="宋体" w:hAnsi="宋体" w:cs="宋体"/>
                <w:b w:val="0"/>
                <w:bCs w:val="0"/>
                <w:color w:val="auto"/>
                <w:szCs w:val="21"/>
                <w:highlight w:val="none"/>
                <w:lang w:val="en-US"/>
              </w:rPr>
              <w:t>2、整机正面采用铝合金外壳设计，外部无任何可见的内部功能模块连接线；出线接口使用线槽屏蔽盖，出线美观；</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★3、整机采用一体设计，产品边缘采用圆角包边防护；背板采用金属材质，有效屏蔽内部电路器件辐射；</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4、整机壁挂式固定方式，挂壁后使用螺丝进行锁紧固定，避免模块脱落；</w:t>
            </w:r>
          </w:p>
          <w:p>
            <w:pPr>
              <w:spacing w:line="360" w:lineRule="auto"/>
              <w:ind w:firstLine="0" w:firstLineChars="0"/>
              <w:jc w:val="left"/>
              <w:rPr>
                <w:rFonts w:hint="default" w:ascii="宋体" w:hAnsi="宋体" w:cs="宋体"/>
                <w:b w:val="0"/>
                <w:bCs w:val="0"/>
                <w:color w:val="auto"/>
                <w:szCs w:val="21"/>
                <w:highlight w:val="none"/>
                <w:lang w:val="en-US"/>
              </w:rPr>
            </w:pPr>
            <w:r>
              <w:rPr>
                <w:rFonts w:hint="eastAsia"/>
                <w:b w:val="0"/>
                <w:bCs w:val="0"/>
                <w:color w:val="auto"/>
                <w:highlight w:val="none"/>
              </w:rPr>
              <w:t>▲</w:t>
            </w:r>
            <w:r>
              <w:rPr>
                <w:rFonts w:hint="default" w:ascii="宋体" w:hAnsi="宋体" w:cs="宋体"/>
                <w:b w:val="0"/>
                <w:bCs w:val="0"/>
                <w:color w:val="auto"/>
                <w:szCs w:val="21"/>
                <w:highlight w:val="none"/>
                <w:lang w:val="en-US"/>
              </w:rPr>
              <w:t>5、整机接口非外接拓展，不少于2路千兆以太网交换接口，一路连接外网（学校网络），一路连接多媒体教学设备；</w:t>
            </w:r>
          </w:p>
          <w:p>
            <w:pPr>
              <w:spacing w:line="360" w:lineRule="auto"/>
              <w:ind w:firstLine="0" w:firstLineChars="0"/>
              <w:jc w:val="left"/>
              <w:rPr>
                <w:rFonts w:hint="default" w:ascii="宋体" w:hAnsi="宋体" w:cs="宋体"/>
                <w:b w:val="0"/>
                <w:bCs w:val="0"/>
                <w:color w:val="auto"/>
                <w:szCs w:val="21"/>
                <w:highlight w:val="none"/>
                <w:lang w:val="en-US"/>
              </w:rPr>
            </w:pPr>
            <w:r>
              <w:rPr>
                <w:rFonts w:hint="eastAsia"/>
                <w:b w:val="0"/>
                <w:bCs w:val="0"/>
                <w:color w:val="auto"/>
                <w:highlight w:val="none"/>
              </w:rPr>
              <w:t>▲</w:t>
            </w:r>
            <w:r>
              <w:rPr>
                <w:rFonts w:hint="default" w:ascii="宋体" w:hAnsi="宋体" w:cs="宋体"/>
                <w:b w:val="0"/>
                <w:bCs w:val="0"/>
                <w:color w:val="auto"/>
                <w:szCs w:val="21"/>
                <w:highlight w:val="none"/>
                <w:lang w:val="en-US"/>
              </w:rPr>
              <w:t xml:space="preserve">6、不少于3路支持PoE功能的千兆以太网接口，支持级联PoE功能的网络摄像机和阵列麦克风； </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7、不少于1路MicroSD卡接口，支持通过MicroSD卡升级整机系统软件；</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8、不少于1路Type-C 接口，支持调试和控制功能；</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9、整机支持红绿双色工作状态LED指示灯；绿色常亮表示正常工作；红色常亮代表故障；红色闪烁代表系统处于升级过程；</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10、整机底部支持独立按键；</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11、在休眠模式下，短按唤醒算力模块；</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12、在任何情况下长按底部按键5秒以上，系统重启；</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13、整机内置网卡，支持2路网口连接以太网，实现有线上网功能；</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整机内置独立千兆网络交换机，满足外接的多媒体教学设备（一体机/智慧黑板），实现与AI算力模块单元之间通信；</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★14、整机处理器内核不低于8核A53内核芯片，主频≥2.3GHz；</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15、整机系统支持不低于linux 5.4，采用LPDDR4内存，内存容量大于等于16GB；采用SSD存储，支持TCG-OPAL 2.0硬件加密功能，存储容量大于等于256GB；</w:t>
            </w:r>
          </w:p>
          <w:p>
            <w:pPr>
              <w:spacing w:line="360" w:lineRule="auto"/>
              <w:ind w:firstLine="0" w:firstLineChars="0"/>
              <w:jc w:val="left"/>
              <w:rPr>
                <w:rFonts w:hint="default" w:ascii="宋体" w:hAnsi="宋体" w:cs="宋体"/>
                <w:b w:val="0"/>
                <w:bCs w:val="0"/>
                <w:color w:val="auto"/>
                <w:szCs w:val="21"/>
                <w:highlight w:val="none"/>
                <w:lang w:val="en-US"/>
              </w:rPr>
            </w:pPr>
            <w:r>
              <w:rPr>
                <w:rFonts w:hint="eastAsia"/>
                <w:b w:val="0"/>
                <w:bCs w:val="0"/>
                <w:color w:val="auto"/>
                <w:highlight w:val="none"/>
              </w:rPr>
              <w:t>▲</w:t>
            </w:r>
            <w:r>
              <w:rPr>
                <w:rFonts w:hint="default" w:ascii="宋体" w:hAnsi="宋体" w:cs="宋体"/>
                <w:b w:val="0"/>
                <w:bCs w:val="0"/>
                <w:color w:val="auto"/>
                <w:szCs w:val="21"/>
                <w:highlight w:val="none"/>
                <w:lang w:val="en-US"/>
              </w:rPr>
              <w:t>16、整机采用国产AI算力芯片，峰值算力不低于32TOPS@INT8峰值算力，支持H.264&amp;H.265解码格式，解码能力支持32x1080P@25fps，8x4K@25fps，不低于8K ；编码能力不低于12x1080P@25fps, 不低于3x4K@25fps，不低于8K。支持JPEG图片编解码：1080P@600fps，不低于32768*32768。</w:t>
            </w:r>
          </w:p>
          <w:p>
            <w:pPr>
              <w:spacing w:line="360" w:lineRule="auto"/>
              <w:ind w:firstLine="0" w:firstLineChars="0"/>
              <w:jc w:val="left"/>
              <w:rPr>
                <w:rFonts w:hint="default" w:ascii="宋体" w:hAnsi="宋体" w:cs="宋体"/>
                <w:b w:val="0"/>
                <w:bCs w:val="0"/>
                <w:color w:val="auto"/>
                <w:szCs w:val="21"/>
                <w:highlight w:val="none"/>
                <w:lang w:val="en-US"/>
              </w:rPr>
            </w:pPr>
            <w:r>
              <w:rPr>
                <w:rFonts w:hint="eastAsia"/>
                <w:b w:val="0"/>
                <w:bCs w:val="0"/>
                <w:color w:val="auto"/>
                <w:highlight w:val="none"/>
              </w:rPr>
              <w:t>▲</w:t>
            </w:r>
            <w:r>
              <w:rPr>
                <w:rFonts w:hint="default" w:ascii="宋体" w:hAnsi="宋体" w:cs="宋体"/>
                <w:b w:val="0"/>
                <w:bCs w:val="0"/>
                <w:color w:val="auto"/>
                <w:szCs w:val="21"/>
                <w:highlight w:val="none"/>
                <w:lang w:val="en-US"/>
              </w:rPr>
              <w:t>17、整机存储器支持TCG-OPAL 2.0硬件加密功能，既不影响硬盘读写性能又保障用户数据安全，每一块存储器密钥均根据特定算法生成，和设备一一绑定；</w:t>
            </w:r>
          </w:p>
          <w:p>
            <w:pPr>
              <w:spacing w:line="360" w:lineRule="auto"/>
              <w:ind w:firstLine="0" w:firstLineChars="0"/>
              <w:jc w:val="left"/>
              <w:rPr>
                <w:rFonts w:hint="default" w:ascii="宋体" w:hAnsi="宋体" w:cs="宋体"/>
                <w:b w:val="0"/>
                <w:bCs w:val="0"/>
                <w:color w:val="auto"/>
                <w:szCs w:val="21"/>
                <w:highlight w:val="none"/>
                <w:lang w:val="en-US"/>
              </w:rPr>
            </w:pPr>
            <w:r>
              <w:rPr>
                <w:rFonts w:hint="eastAsia"/>
                <w:b w:val="0"/>
                <w:bCs w:val="0"/>
                <w:color w:val="auto"/>
                <w:highlight w:val="none"/>
              </w:rPr>
              <w:t>▲</w:t>
            </w:r>
            <w:r>
              <w:rPr>
                <w:rFonts w:hint="default" w:ascii="宋体" w:hAnsi="宋体" w:cs="宋体"/>
                <w:b w:val="0"/>
                <w:bCs w:val="0"/>
                <w:color w:val="auto"/>
                <w:szCs w:val="21"/>
                <w:highlight w:val="none"/>
                <w:lang w:val="en-US"/>
              </w:rPr>
              <w:t>18、整机支持通过web管理后台实现定时开关机、远程关机功能、查看设备在线状态；</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支持云端在线系统固件升级。</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19、整机处于无任务并无人操作状态下，5分钟后自动进入低功耗模式；</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支持AC220V独立供电，功耗≤80W；</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二、AI授课功能</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1、对输入的图片内容，智能识别试题，实现智能预判并提供对应的工具和资源;支持智能切割题目，可对单题进行讲解和批注，也可翻页查看其他试题;识别存在的手写笔迹，支持一键抠除笔迹;识别存在的几何图形(如长方体、立方体、圆柱体、圆锥、组合图形等)，支持获取具体的几何图形的三维尺寸比例(如长、宽、高)，并可对 2D 图片进行3D 重建:支持自由调整几何体的尺寸，包括按比例缩放、单独修改长宽高(对于圆柱体和圆锥体则是半径和高);支持为几何体的各个面和棱涂不同的颜色，并可360°旋转视角观察涂色面与未涂色面，支持通过平面展开图展示。</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2、对输入的图片内容，智能识别小学语文教材内容，并提取教材中的文本生成课文的朗读3、音频:支持定位到课文中的生词表，提取生词卡并可展示其部首、读音、笔画顺序和数量，还可分步展示和连续展示笔画书写。</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4、智能识别输入的书写笔迹，进行笔锋智能美化，模拟纸上书写的起笔、行笔和收笔等效果。</w:t>
            </w:r>
          </w:p>
          <w:p>
            <w:pPr>
              <w:spacing w:line="360" w:lineRule="auto"/>
              <w:ind w:firstLine="0" w:firstLineChars="0"/>
              <w:jc w:val="left"/>
              <w:rPr>
                <w:rFonts w:hint="default" w:ascii="宋体" w:hAnsi="宋体" w:cs="宋体"/>
                <w:b w:val="0"/>
                <w:bCs w:val="0"/>
                <w:color w:val="auto"/>
                <w:szCs w:val="21"/>
                <w:highlight w:val="none"/>
                <w:lang w:val="en-US"/>
              </w:rPr>
            </w:pPr>
            <w:r>
              <w:rPr>
                <w:rFonts w:hint="default" w:ascii="宋体" w:hAnsi="宋体" w:cs="宋体"/>
                <w:b w:val="0"/>
                <w:bCs w:val="0"/>
                <w:color w:val="auto"/>
                <w:szCs w:val="21"/>
                <w:highlight w:val="none"/>
                <w:lang w:val="en-US"/>
              </w:rPr>
              <w:t>智能识别批注输入的内容类型:提取中文字符、英文词语、数学公式等结构化元素，并映射为相应的学科工具，如几何图形、汉字卡、单词卡和函数等。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3</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视频展台</w:t>
            </w:r>
          </w:p>
        </w:tc>
        <w:tc>
          <w:tcPr>
            <w:tcW w:w="630" w:type="dxa"/>
            <w:gridSpan w:val="2"/>
          </w:tcPr>
          <w:p>
            <w:pPr>
              <w:pStyle w:val="20"/>
              <w:ind w:firstLine="0" w:firstLineChars="0"/>
              <w:rPr>
                <w:rFonts w:hint="default" w:hAnsi="宋体"/>
                <w:b w:val="0"/>
                <w:bCs w:val="0"/>
                <w:color w:val="auto"/>
                <w:sz w:val="21"/>
                <w:szCs w:val="21"/>
                <w:highlight w:val="none"/>
                <w:lang w:val="en-US" w:bidi="ar"/>
              </w:rPr>
            </w:pPr>
            <w:r>
              <w:rPr>
                <w:rFonts w:hint="default" w:hAnsi="宋体"/>
                <w:b w:val="0"/>
                <w:bCs w:val="0"/>
                <w:color w:val="auto"/>
                <w:sz w:val="21"/>
                <w:szCs w:val="21"/>
                <w:highlight w:val="none"/>
                <w:lang w:val="en-US" w:bidi="ar"/>
              </w:rPr>
              <w:t>台</w:t>
            </w:r>
          </w:p>
        </w:tc>
        <w:tc>
          <w:tcPr>
            <w:tcW w:w="645" w:type="dxa"/>
          </w:tcPr>
          <w:p>
            <w:pPr>
              <w:pStyle w:val="20"/>
              <w:ind w:firstLine="0" w:firstLineChars="0"/>
              <w:rPr>
                <w:rFonts w:hint="default"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15</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0"/>
                <w:sz w:val="21"/>
                <w:szCs w:val="21"/>
                <w:highlight w:val="none"/>
                <w:lang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2、A4大小拍摄幅面，1080P动态视频预览达到30帧/秒；托板及挂墙部分采用金属加强，托板可承重3kg，整机壁挂式安装。</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3、支持展台成像画面实时批注，预设多种笔划粗细及颜色供选择，且支持对展台成像画面联同批注内容进行同步缩放、移动。</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4、展示托板正上方具备LED补光灯，保证展示区域的亮度及展示效果，补光灯开关采用触摸按键设计，同时可通过交互智能平板中的软件直接控制开关；带自动对焦摄像头。</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5、具有故障自动检测功能：在调用展台却无法出现镜头采集画面信号时，可自动出现检测链接，并给出导致性原因（如硬件连接、摄像头占用、配套软件版本等问题）。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4</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推拉米黄板</w:t>
            </w:r>
          </w:p>
        </w:tc>
        <w:tc>
          <w:tcPr>
            <w:tcW w:w="630" w:type="dxa"/>
            <w:gridSpan w:val="2"/>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套</w:t>
            </w:r>
          </w:p>
        </w:tc>
        <w:tc>
          <w:tcPr>
            <w:tcW w:w="645" w:type="dxa"/>
          </w:tcPr>
          <w:p>
            <w:pPr>
              <w:pStyle w:val="20"/>
              <w:ind w:firstLine="0" w:firstLineChars="0"/>
              <w:rPr>
                <w:rFonts w:hint="default"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eastAsia="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bidi="ar"/>
              </w:rPr>
              <w:t>结构：推拉板由四块书写板及铝合金边框组装而成，书写板分内外双层结构，内层为两块固定书写板与液晶一体机正面平齐，外层为两块滑动书写板，滑动板配装刻有黑板品牌LOGO标识的挂锁，开闭自如确保液晶一体机的安全管理。</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2、基本尺寸：≥4000mm×1305mm，可根据所配电子产品适当调整，确保与一体机的有效配套。</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3、书写板面：环保教学专用彩色涂层钢板，浅米黄色，厚度≥0.3mm，硬度≥4H，板面可吸附磁针、磁片，书写面光滑、平整，颜色均匀，坚固耐用、哑光，投影可视效果佳，有效地保护了师生的视力健康。</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4、内芯材料：高强度、吸音、聚苯乙烯泡沫板，采用国</w:t>
            </w:r>
            <w:r>
              <w:rPr>
                <w:rFonts w:hint="eastAsia" w:ascii="宋体" w:hAnsi="宋体" w:cs="宋体"/>
                <w:b w:val="0"/>
                <w:bCs w:val="0"/>
                <w:color w:val="auto"/>
                <w:kern w:val="0"/>
                <w:sz w:val="21"/>
                <w:szCs w:val="21"/>
                <w:highlight w:val="none"/>
                <w:lang w:val="en-US" w:eastAsia="zh-CN" w:bidi="ar"/>
              </w:rPr>
              <w:t>标</w:t>
            </w:r>
            <w:r>
              <w:rPr>
                <w:rFonts w:hint="eastAsia" w:ascii="宋体" w:hAnsi="宋体" w:cs="宋体"/>
                <w:b w:val="0"/>
                <w:bCs w:val="0"/>
                <w:color w:val="auto"/>
                <w:kern w:val="0"/>
                <w:sz w:val="21"/>
                <w:szCs w:val="21"/>
                <w:highlight w:val="none"/>
                <w:lang w:bidi="ar"/>
              </w:rPr>
              <w:t>适用工艺，书写无吱咔声，改善书写手感。</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5、背板：采用优质防锈热镀锌钢板，厚度≥0.25mm，流水线一次成型，间隔80mm压有20mm凹槽加强筋,确保均布承压不低于635N，凹槽造型美观、增加强度，更加耐用。</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6、覆板：采用环保型双组份聚氨酯胶水，自动化流水线覆板作业，牵引、滴胶、刷胶、压固、切割下料一次完成，确保粘接牢固板面平整，甲醛释放量≤0.3mg/L，符合GB/T 28231-2011《书写板安全卫生要求》。</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7、边框：采用工业用高强度铝合金型材，电泳香槟色，模具挤压一次成型，上框规格57mm×100mm，左右框规格29mm×100mm。轨道上置隐藏式平滑轮滑道，结构性解决滑轮受灰尘影响的情况，配有宽度≥30mm的板托，板托与滑动系统分离，与边框一次模具成形，可放置书写笔，方便实用。</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8、包角材料：采用抗老化高强度ABS工程塑料注塑成型。规格：100mm×29mm×29mm，采用双壁成腔流线型设计，≥R25mm的圆角，正面带黑板品牌LOGO标识，无尖角毛刺，符合JY0001-2003《教学仪器设备产品一般质量要求》。</w:t>
            </w:r>
            <w:r>
              <w:rPr>
                <w:rFonts w:hint="eastAsia" w:ascii="宋体" w:hAnsi="宋体" w:cs="宋体"/>
                <w:b w:val="0"/>
                <w:bCs w:val="0"/>
                <w:color w:val="auto"/>
                <w:kern w:val="0"/>
                <w:sz w:val="21"/>
                <w:szCs w:val="21"/>
                <w:highlight w:val="none"/>
                <w:lang w:bidi="ar"/>
              </w:rPr>
              <w:br w:type="textWrapping"/>
            </w:r>
            <w:r>
              <w:rPr>
                <w:rFonts w:hint="eastAsia" w:ascii="宋体" w:hAnsi="宋体" w:cs="宋体"/>
                <w:b w:val="0"/>
                <w:bCs w:val="0"/>
                <w:color w:val="auto"/>
                <w:kern w:val="0"/>
                <w:sz w:val="21"/>
                <w:szCs w:val="21"/>
                <w:highlight w:val="none"/>
                <w:lang w:bidi="ar"/>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default"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5</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AI智慧黑板</w:t>
            </w:r>
          </w:p>
        </w:tc>
        <w:tc>
          <w:tcPr>
            <w:tcW w:w="630" w:type="dxa"/>
            <w:gridSpan w:val="2"/>
          </w:tcPr>
          <w:p>
            <w:pPr>
              <w:pStyle w:val="20"/>
              <w:ind w:firstLine="0" w:firstLineChars="0"/>
              <w:rPr>
                <w:rFonts w:hint="default"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台</w:t>
            </w:r>
          </w:p>
        </w:tc>
        <w:tc>
          <w:tcPr>
            <w:tcW w:w="645" w:type="dxa"/>
          </w:tcPr>
          <w:p>
            <w:pPr>
              <w:pStyle w:val="20"/>
              <w:ind w:firstLine="0" w:firstLineChars="0"/>
              <w:rPr>
                <w:rFonts w:hint="default"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5</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一、基础参数</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（一）整体设计</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1.整机采用全金属外壳，三拼接平面一体化设计，主副屏过渡平滑，中间无单独边框阻隔，屏幕边缘采用圆角包边防护，整机背板采用金属材质。整机背板采用金属材质，有效屏蔽内部电路器件辐射；</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2.主屏支持普通粉笔直接书写，整机两侧副屏可支持以下媒介（普通粉笔、液体粉笔、成膜笔）进行板书书写。副屏支持磁吸附功能，可以满足带有磁吸的板擦等教具进行吸附在副屏上。</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3.整机显示屏幕采用全贴合方式，屏幕保护玻璃与显示液晶屏组件，在结构上通过光学胶完全贴合在一起，中间贴合层无空气介质，减少显示面板与玻璃间的偏光、散射，画面显示更加清晰通透、可视角度更广。</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4.显示屏幕采用全物理防眩光钢化玻璃，有效保护屏幕显示画面，支持防眩光功能，钢化玻璃表面硬度≥9H。</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5.整机屏幕采用86英寸超高清LED液晶显示屏，显示比例16:9，分辨率3840×2160，灰度等级≥256级。</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6.整机上边框内置非独立智能拼接摄像头，通过≥3个摄像头智能拼接，每个摄像头像素值均大于800 万。智能拼接摄像头，支持清晰度TV lines ≥ 1600 lines。视场角≥141度且水平视场角≥139度，可拍摄≥1600万像素的照片，支持输出8192×2048分辨率的照片和视频，支持画面畸变矫正功能。</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7.整机上边框内置≥1个非独立式广角高清摄像头，视场角≥142度且水平视场角≥121度，支持输出4:3、16:9比例的图片和视频；在清晰度为2592 x 1944分辨率下，支持30帧的视频输出。</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8.整机上边框内置非独式广角摄像头和智能拼接摄像头， 采用一体化集成设计，摄像头数量≥4个。均支持 3D 降噪算法和数字宽动态范围成像WDR 技术，支持输出 MJPG、 H.264 视频格式。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9.整机上边框内置非独立的广角高清摄像头，在距离整机1.7米情况下，且拍摄范围可以覆盖摄像头垂直法线左右距离大于等于4米，可以实现人脸识别。</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10.整机支持距离摄像头位置≥10米距离的AI识别人脸。</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11.整机摄像头支持人脸识别、清点人数、随机抽人；识别所有学生，显示标记，然后随机抽选，同时显示标记不少于60人。</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12.整机支持上边框内置非独立摄像头模组，同时输出至少 3 路视频流，同时支持课堂远程巡课、课堂教学数据采集、本地画面预览（拍照或视频录制）。</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13.整机内置摄像头（非外扩），PC通道下支持通过视频展台软件调用摄像头进行二维码扫码识别，具备摄像头工作指示灯，摄像头运行时，有指示灯提示。整机支持通过人脸识别进行登录账号。</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14.整机摄像头支持环境色温判断，根据环境调节合适的显示图像效果。</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15.整机内置扬声器采用缝隙发声技术，喇叭采用槽式开口设计。</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16.整机内置非独立外扩展的8阵列麦克风，拾音角度≥180°，可用于对教室环境音频进行采集，拾音距离≥12m。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（二）按键及接口功能设计</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1.整机具备至少6个前置按键，可实现开关机、调出中控菜单、音量+/-、护眼、录屏操作。</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2.整机具备三合一电源按键，同一电源物理按键完成Android系统和Windows系统的开机、节能熄屏、关机操作；关机状态下按按键开机；开机状态下按按键实现节能熄屏/唤醒，长按按键实现关机。</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3.支持经典护眼模式，可通过前置面板物理功能按键一键启用经典护眼模式。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4.设备支持通过前置面板物理按键一键启动录屏功能，可将屏幕中显示的课件、音频内容与人声同时录制。</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5.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6.整机关机状态下，通过长按电源键进入设置界面后，可点击屏幕选择恢复Android系统及Windows操作系统到出厂默认状态，无需额外工具辅助。</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7.整机关机状态下，通过长按电源键进入设置界面后，可点击屏幕选择故障检测、系统还原功能，系统还原可单独还原PC系统，单独还原整机系统。</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8.支持通道自动跳转功能，如整机处于正常使用状态，HDMI信号接入时，能自动识别并切换到对应的HDMI信号源通道，且断开后能回到上一通道。</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9.在HDMI、Android以及Windows信号源模式下，整机屏幕支持手势下移实现半屏显示，半屏显示时可通过点击上方屏幕返回全屏。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10.支持通道记忆功能，开机默认回到最近一次关机时的显示通道。整机在五分钟内处于无信号接收状态时，能够自动关机。</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11.支持外接信号输入时自动唤醒功能，整机处于关机通电状态，外接电脑显示信号通过HDMI传输线连接至整机时，整机可智能识别外接电脑设备信号输入并自动开机。</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12.侧置输入接口具备2路HDMI、1路RS232、1路USB接口；侧置输出接口具备1路音频输出、1路触控USB输出；前置输入接口具备3路USB接口（包含1路Type-C、2路USB），前置USB接口支持Android系统、Windows系统读取外接移动存储设备。</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13.整机具备前置Type-C接口，通过Type-C接口实现音视频输入，外接电脑设备经双头Type-C线连接至整机，即可把外接电脑设备画面投到整机上，同时在整机上操作画面，可实现触摸电脑的操作，无需再连接触控USB线。</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14.外接电脑设备经双头Type-C线连接至整机，可调用整机内置的摄像头、麦克风、扬声器，在外接电脑即可控制整机拍摄教室画面。</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15.前置Type-C接口，支持通过不带转换装置的外部线缆，实现外接电脑HDMI信号的接入显示。</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16.外接电脑设备连接整机且触摸信号连通时，外接电脑设备可直接读取整机前置USB接口的移动存储设备数据，连接整机前置USB接口的翻页笔和无线键鼠外接设备可直接使用于外接电脑。</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17.支持智能U盘锁功能，整机可设置触摸及按键锁定，锁定后无法随意自由操作，需要使用时插入USB key可解锁。</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18.支持通过Type-C接口U盘进行文件传输，兼容Type-C接口手机充电，type-C 支持最大充电功率15W。</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（三）视听系统设计</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1.整机色域覆盖率（NTSC）≥72%。</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2.整机背光系统支持DC调光方式，多级亮度调节，支持白颜色背景下最暗亮度≤100nit，用于提升显示对比度。</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3.整机支持色彩空间可选，包含标准模式和sRGB模式，在sRGB模式下可做到高色准△E≤1。</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4.整机采用硬件低蓝光背光技术，在源头减少有害蓝光波段能量，蓝光占比（有害蓝光415～455nm能量综合）/（整体蓝光400～500能量综合）＜50%。</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5.整机视网膜蓝光危害（蓝光加权辐射亮度LB）满足IEC TR 62778:2014蓝光危害RG0级别。</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6.支持标准、多媒体和节能三种图像模式调节，支持自定义图像设置，可对对比度、屏幕色温、图像亮度、亮度范围、色彩空间调节设置。</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7.整机系统支持手势上滑调出人工智能画质调节模式（AI-PQ），在安卓通道下可根据屏幕内容自动调节画质参数，当屏幕出现人物、建筑、夜景等元素时，自动调整对比度、饱和度、锐利度、色调色相值、高光/阴影。</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8.整机全通道支持纸质护眼模式，可实现画面纹理的实时调整；支持纸质纹理：牛皮纸、素描纸、宣纸、水彩纸、水纹纸；支持透明度调节；支持色温调节，纸质护眼模式下，显示画面各像素点灰度不规则，减少背景干扰。</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9.整机内置2.2声道扬声器，位于设备上边框，顶置朝前发声，前朝向10W高音扬声器2个，上朝向20W中低音扬声器2个，额定总功率60W。</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10.整机可选择高级音效设置，支持在左右声道平衡显示范围中进行更改；中低频段显示调节范围125Hz～1KHz，高频段显示调节范围 2KHz～16KHz，分贝显示-12dB～12dB 调节范围。</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11.整机扬声器在100%音量下，可做到1米处声压级≥88db，10米处声压级≥79dB。</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12.内置摄像头、麦克风无需外接线材连接，无任何可见外接线材及模块化拼接痕迹，未占用整机设备端口。</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13.支持标准、听力、观影和AI空间感知音效模式，AI空间感知音效模式可通过内置麦克风采集教室物理环境声音，自动生成符合当前教室物理环境的频段、音量、音效。</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（四）嵌入式系统设计</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1.嵌入式系统版本不低于Android 13，内存≥2GB，存储空间≥8GB。</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2.嵌入式Android操作系统下，白板支持对已经书写的笔迹和形状的颜色进行更换。互动白板支持不同背景颜色，同时提供学科背景，如：五线谱、信纸、田字格、英文格、篮球和足球场地平面图。</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3.无PC状态下，嵌入式系统内置互动白板支持十笔书写及手掌擦除（手掌擦除面积根据手掌与屏幕的接触面大小自动调整），白板书写内容可以PDF、IWB和SVG格式导出。支持10种以上平面图形工具。支持8种以上立体图形工具。</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4.无PC状态下，嵌入式系统内置互动白板支持全局漫游，并能在工具栏中对全局内容进行预览和移动。</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5.无PC状态下，嵌入式Android操作系统下可使用白板书写、WPS软件和网页浏览。</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6.在嵌入式Android操作系统下，能对TV多媒体USB所读取到的文件进行自动归类，可分类查找文档、板书、图片、音视频，检索后可直接在界面中打开。</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（五）OPS电脑系统设计</w:t>
            </w:r>
          </w:p>
          <w:p>
            <w:pPr>
              <w:pStyle w:val="17"/>
              <w:ind w:left="0" w:leftChars="0" w:firstLine="0" w:firstLineChars="0"/>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1.搭载Intel</w:t>
            </w:r>
            <w:r>
              <w:rPr>
                <w:rFonts w:hint="eastAsia"/>
                <w:highlight w:val="none"/>
                <w:lang w:val="en-US" w:eastAsia="zh-CN"/>
              </w:rPr>
              <w:t>Core</w:t>
            </w:r>
            <w:r>
              <w:rPr>
                <w:rFonts w:hint="eastAsia" w:ascii="宋体" w:hAnsi="宋体" w:cs="宋体"/>
                <w:b w:val="0"/>
                <w:bCs w:val="0"/>
                <w:color w:val="auto"/>
                <w:kern w:val="0"/>
                <w:sz w:val="21"/>
                <w:szCs w:val="21"/>
                <w:highlight w:val="none"/>
                <w:lang w:bidi="ar"/>
              </w:rPr>
              <w:t>系列i5 CPU或以上配置，</w:t>
            </w:r>
            <w:r>
              <w:rPr>
                <w:rFonts w:hint="eastAsia" w:ascii="宋体" w:hAnsi="宋体" w:cs="宋体"/>
                <w:b w:val="0"/>
                <w:bCs w:val="0"/>
                <w:color w:val="auto"/>
                <w:kern w:val="0"/>
                <w:sz w:val="21"/>
                <w:szCs w:val="21"/>
                <w:highlight w:val="none"/>
                <w:lang w:val="en-US" w:eastAsia="zh-CN" w:bidi="ar"/>
              </w:rPr>
              <w:t>16</w:t>
            </w:r>
            <w:r>
              <w:rPr>
                <w:rFonts w:hint="eastAsia" w:ascii="宋体" w:hAnsi="宋体" w:cs="宋体"/>
                <w:b w:val="0"/>
                <w:bCs w:val="0"/>
                <w:color w:val="auto"/>
                <w:kern w:val="0"/>
                <w:sz w:val="21"/>
                <w:szCs w:val="21"/>
                <w:highlight w:val="none"/>
                <w:lang w:bidi="ar"/>
              </w:rPr>
              <w:t>GB DDR4笔记本内存或以上配置，256GB或以上SSD固态硬盘。</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2.采用按压式卡扣，无需工具就可快速拆卸电脑模块，具有标准 PC 防盗锁孔，确保电脑模块安全防盗。</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3.PC模块可抽拉式插入整机，可实现无单独接线的插拔。</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4.和整机的连接接口针脚数≤40pin，采用万兆级接口，传输速率≥10Gbps。</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5.具有独立非外扩展的视频输出接口：≥1路HDMI 。具有独立非外扩展的电脑USB接口：≥3路USB。</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（六）触控系统设计</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1.整机屏幕采用电容触控方式，支持Windows系统中进行40点或以上触控，支持Android系统中进行40点或以上触控。</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2.触摸屏在照度100k lx（勒克司）环境下仍能正常工作。</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3.从内部Android通道切换到内部PC通道后，触摸框在1s内达到可触控状态，从内部PC通道切换到外部通道后，触摸框在3s内达到可触控状态。</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4.支持Windows 7、Windows 8、Windows 10、Windows 11、Linux、Mac Os、UOS和麒麟系统外置电脑操作系统接入时，无需安装触摸驱动。</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5.整机系统支持书写触控延迟≤25ms，触摸响应时间≤4ms，触摸最小识别物≤3mm，整机触控书写功能集成预测算法，在书写速度≥50cm/s，支持笔迹距离笔的距离小于20mm。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6.整机支持提笔书写，在Windows系统下可实现无需点击任意功能入口，当检测到触控笔笔尖接触屏幕时，自动进入书写模式。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7.整机触摸支持动态压力感应，支持无任何电子功能的普通书写笔在整机上书写或点压时，整机能感应压力变化，书写或点压过程笔迹呈现不同粗细。</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8.整机支持手笔分离，通过提笔即写唤醒批注功能后，可进行手笔分离功能，使用笔正常书写，使用手指可以操作应用，进行点击操作。</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9.支持智能板擦功能，系统可根据触控物体的形状自动识别出实物板擦，可擦除电子白板中的内容，无需依赖外部电子设备。</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bidi="ar"/>
              </w:rPr>
              <w:t>10.在整机全信号源通道下，支持十指长按屏幕5秒和遥控器两种方式实现触摸锁定及解锁，触摸锁定时整机无法被触控操作。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spacing w:line="360" w:lineRule="auto"/>
              <w:ind w:firstLine="0" w:firstLineChars="0"/>
              <w:jc w:val="left"/>
              <w:rPr>
                <w:rFonts w:hint="default" w:ascii="宋体" w:hAnsi="宋体" w:cs="宋体"/>
                <w:b w:val="0"/>
                <w:bCs w:val="0"/>
                <w:color w:val="auto"/>
                <w:szCs w:val="21"/>
                <w:highlight w:val="none"/>
                <w:lang w:val="en-US"/>
              </w:rPr>
            </w:pPr>
            <w:r>
              <w:rPr>
                <w:rFonts w:hint="eastAsia" w:hAnsi="宋体"/>
                <w:b w:val="0"/>
                <w:bCs w:val="0"/>
                <w:color w:val="auto"/>
                <w:sz w:val="21"/>
                <w:szCs w:val="21"/>
                <w:highlight w:val="none"/>
                <w:lang w:val="en-US" w:eastAsia="zh-CN" w:bidi="ar"/>
              </w:rPr>
              <w:t>（二）智慧互动大屏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1</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智能交互一体机</w:t>
            </w:r>
          </w:p>
        </w:tc>
        <w:tc>
          <w:tcPr>
            <w:tcW w:w="630" w:type="dxa"/>
            <w:gridSpan w:val="2"/>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台</w:t>
            </w:r>
          </w:p>
        </w:tc>
        <w:tc>
          <w:tcPr>
            <w:tcW w:w="645" w:type="dxa"/>
          </w:tcPr>
          <w:p>
            <w:pPr>
              <w:pStyle w:val="20"/>
              <w:ind w:firstLine="0" w:firstLineChars="0"/>
              <w:rPr>
                <w:rFonts w:hint="default" w:hAnsi="宋体"/>
                <w:b w:val="0"/>
                <w:bCs w:val="0"/>
                <w:color w:val="auto"/>
                <w:sz w:val="21"/>
                <w:szCs w:val="21"/>
                <w:highlight w:val="none"/>
                <w:lang w:val="en-US" w:bidi="ar"/>
              </w:rPr>
            </w:pPr>
            <w:r>
              <w:rPr>
                <w:rFonts w:hint="default" w:hAnsi="宋体"/>
                <w:b w:val="0"/>
                <w:bCs w:val="0"/>
                <w:color w:val="auto"/>
                <w:sz w:val="21"/>
                <w:szCs w:val="21"/>
                <w:highlight w:val="none"/>
                <w:lang w:val="en-US" w:bidi="ar"/>
              </w:rPr>
              <w:t>6</w:t>
            </w:r>
          </w:p>
        </w:tc>
        <w:tc>
          <w:tcPr>
            <w:tcW w:w="7265" w:type="dxa"/>
            <w:vAlign w:val="top"/>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一、整体设计</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w:t>
            </w:r>
            <w:r>
              <w:rPr>
                <w:rFonts w:hint="default" w:ascii="宋体" w:hAnsi="宋体" w:cs="宋体"/>
                <w:b w:val="0"/>
                <w:bCs w:val="0"/>
                <w:color w:val="auto"/>
                <w:kern w:val="0"/>
                <w:sz w:val="21"/>
                <w:szCs w:val="21"/>
                <w:highlight w:val="none"/>
                <w:lang w:bidi="ar"/>
              </w:rPr>
              <w:t>整机屏幕采用86英寸液晶面板（对角线）；整机采用一体化设计，外观简洁无任何可见内部功能模块连接线。整机边角采用弧形设计，表面无尖锐边缘或凸起。整机采用UHD超高清液晶屏，显示比例16:9，分辨率3840*2160。</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w:t>
            </w:r>
            <w:r>
              <w:rPr>
                <w:rFonts w:hint="default" w:ascii="宋体" w:hAnsi="宋体" w:cs="宋体"/>
                <w:b w:val="0"/>
                <w:bCs w:val="0"/>
                <w:color w:val="auto"/>
                <w:kern w:val="0"/>
                <w:sz w:val="21"/>
                <w:szCs w:val="21"/>
                <w:highlight w:val="none"/>
                <w:lang w:val="en-US" w:eastAsia="zh-CN" w:bidi="ar"/>
              </w:rPr>
              <w:t>2.</w:t>
            </w:r>
            <w:r>
              <w:rPr>
                <w:rFonts w:hint="default" w:ascii="宋体" w:hAnsi="宋体" w:cs="宋体"/>
                <w:b w:val="0"/>
                <w:bCs w:val="0"/>
                <w:color w:val="auto"/>
                <w:kern w:val="0"/>
                <w:sz w:val="21"/>
                <w:szCs w:val="21"/>
                <w:highlight w:val="none"/>
                <w:lang w:bidi="ar"/>
              </w:rPr>
              <w:t>整机画面对比度及色彩还原真实，画面细节及Gamma无损失，确保师生观看画面不会因显示损耗导致视觉偏差。</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w:t>
            </w:r>
            <w:r>
              <w:rPr>
                <w:rFonts w:hint="default" w:ascii="宋体" w:hAnsi="宋体" w:cs="宋体"/>
                <w:b w:val="0"/>
                <w:bCs w:val="0"/>
                <w:color w:val="auto"/>
                <w:kern w:val="0"/>
                <w:sz w:val="21"/>
                <w:szCs w:val="21"/>
                <w:highlight w:val="none"/>
                <w:lang w:val="en-US" w:eastAsia="zh-CN" w:bidi="ar"/>
              </w:rPr>
              <w:t>3.</w:t>
            </w:r>
            <w:r>
              <w:rPr>
                <w:rFonts w:hint="default" w:ascii="宋体" w:hAnsi="宋体" w:cs="宋体"/>
                <w:b w:val="0"/>
                <w:bCs w:val="0"/>
                <w:color w:val="auto"/>
                <w:kern w:val="0"/>
                <w:sz w:val="21"/>
                <w:szCs w:val="21"/>
                <w:highlight w:val="none"/>
                <w:lang w:bidi="ar"/>
              </w:rPr>
              <w:t>整机支持全通道4K显示，全通道OSD菜单及整机内置系统均支持4K图像显示。</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w:t>
            </w:r>
            <w:r>
              <w:rPr>
                <w:rFonts w:hint="default" w:ascii="宋体" w:hAnsi="宋体" w:cs="宋体"/>
                <w:b w:val="0"/>
                <w:bCs w:val="0"/>
                <w:color w:val="auto"/>
                <w:kern w:val="0"/>
                <w:sz w:val="21"/>
                <w:szCs w:val="21"/>
                <w:highlight w:val="none"/>
                <w:lang w:val="en-US" w:eastAsia="zh-CN" w:bidi="ar"/>
              </w:rPr>
              <w:t>4.</w:t>
            </w:r>
            <w:r>
              <w:rPr>
                <w:rFonts w:hint="default" w:ascii="宋体" w:hAnsi="宋体" w:cs="宋体"/>
                <w:b w:val="0"/>
                <w:bCs w:val="0"/>
                <w:color w:val="auto"/>
                <w:kern w:val="0"/>
                <w:sz w:val="21"/>
                <w:szCs w:val="21"/>
                <w:highlight w:val="none"/>
                <w:lang w:bidi="ar"/>
              </w:rPr>
              <w:t>整机屏幕保证显示画面无频闪，有效避免视觉疲劳，呵护师生用眼健康。</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5.</w:t>
            </w:r>
            <w:r>
              <w:rPr>
                <w:rFonts w:hint="default" w:ascii="宋体" w:hAnsi="宋体" w:cs="宋体"/>
                <w:b w:val="0"/>
                <w:bCs w:val="0"/>
                <w:color w:val="auto"/>
                <w:kern w:val="0"/>
                <w:sz w:val="21"/>
                <w:szCs w:val="21"/>
                <w:highlight w:val="none"/>
                <w:lang w:bidi="ar"/>
              </w:rPr>
              <w:t>整机屏幕灰度等级≥256级。整机可视角度≥178°。整机NTSC色域覆盖率≥85%。整机最大屏幕亮度≥300cd/m²，使用时屏幕亮度不大于400cd/m²。为保障整机色彩显示效果，需支持高色准，sRGB色彩△E≤1。</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6.</w:t>
            </w:r>
            <w:r>
              <w:rPr>
                <w:rFonts w:hint="default" w:ascii="宋体" w:hAnsi="宋体" w:cs="宋体"/>
                <w:b w:val="0"/>
                <w:bCs w:val="0"/>
                <w:color w:val="auto"/>
                <w:kern w:val="0"/>
                <w:sz w:val="21"/>
                <w:szCs w:val="21"/>
                <w:highlight w:val="none"/>
                <w:lang w:bidi="ar"/>
              </w:rPr>
              <w:t>整机采用硬件低蓝光背光技术，在源头减少有害蓝光波段能量，蓝光占比（有害蓝光415～455nm能量综合）/（整体蓝光400～500能量综合）＜50%，低蓝光保护显示不偏色、不泛黄。</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7.</w:t>
            </w:r>
            <w:r>
              <w:rPr>
                <w:rFonts w:hint="default" w:ascii="宋体" w:hAnsi="宋体" w:cs="宋体"/>
                <w:b w:val="0"/>
                <w:bCs w:val="0"/>
                <w:color w:val="auto"/>
                <w:kern w:val="0"/>
                <w:sz w:val="21"/>
                <w:szCs w:val="21"/>
                <w:highlight w:val="none"/>
                <w:lang w:bidi="ar"/>
              </w:rPr>
              <w:t>钢化玻璃厚度≤4mm，表面硬度≥9H或者≥莫式7级。</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w:t>
            </w:r>
            <w:r>
              <w:rPr>
                <w:rFonts w:hint="default" w:ascii="宋体" w:hAnsi="宋体" w:cs="宋体"/>
                <w:b w:val="0"/>
                <w:bCs w:val="0"/>
                <w:color w:val="auto"/>
                <w:kern w:val="0"/>
                <w:sz w:val="21"/>
                <w:szCs w:val="21"/>
                <w:highlight w:val="none"/>
                <w:lang w:val="en-US" w:eastAsia="zh-CN" w:bidi="ar"/>
              </w:rPr>
              <w:t>8.</w:t>
            </w:r>
            <w:r>
              <w:rPr>
                <w:rFonts w:hint="default" w:ascii="宋体" w:hAnsi="宋体" w:cs="宋体"/>
                <w:b w:val="0"/>
                <w:bCs w:val="0"/>
                <w:color w:val="auto"/>
                <w:kern w:val="0"/>
                <w:sz w:val="21"/>
                <w:szCs w:val="21"/>
                <w:highlight w:val="none"/>
                <w:lang w:bidi="ar"/>
              </w:rPr>
              <w:t>整机表面采用全物理防眩光钢化玻璃，有效防止眩光的同时还能吸收部分环境光，进一步降低环境光对显示的干扰，保障在明亮教室中暗场画面的清晰显示。</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eastAsia" w:ascii="宋体" w:hAnsi="宋体" w:cs="宋体"/>
                <w:b w:val="0"/>
                <w:bCs w:val="0"/>
                <w:color w:val="auto"/>
                <w:kern w:val="0"/>
                <w:sz w:val="21"/>
                <w:szCs w:val="21"/>
                <w:highlight w:val="none"/>
                <w:lang w:val="en-US" w:eastAsia="zh-CN" w:bidi="ar"/>
              </w:rPr>
              <w:t>二、</w:t>
            </w:r>
            <w:r>
              <w:rPr>
                <w:rFonts w:hint="default" w:ascii="宋体" w:hAnsi="宋体" w:cs="宋体"/>
                <w:b w:val="0"/>
                <w:bCs w:val="0"/>
                <w:color w:val="auto"/>
                <w:kern w:val="0"/>
                <w:sz w:val="21"/>
                <w:szCs w:val="21"/>
                <w:highlight w:val="none"/>
                <w:lang w:bidi="ar"/>
              </w:rPr>
              <w:t>整机设计</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w:t>
            </w:r>
            <w:r>
              <w:rPr>
                <w:rFonts w:hint="default" w:ascii="宋体" w:hAnsi="宋体" w:cs="宋体"/>
                <w:b w:val="0"/>
                <w:bCs w:val="0"/>
                <w:color w:val="auto"/>
                <w:kern w:val="0"/>
                <w:sz w:val="21"/>
                <w:szCs w:val="21"/>
                <w:highlight w:val="none"/>
                <w:lang w:bidi="ar"/>
              </w:rPr>
              <w:t>整机嵌入式安卓系统版本不低于Android 14，内存≥4GB，存储空间≥32GB，并具备内存可扩展设备，根据需要可升级至2T。</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2.</w:t>
            </w:r>
            <w:r>
              <w:rPr>
                <w:rFonts w:hint="default" w:ascii="宋体" w:hAnsi="宋体" w:cs="宋体"/>
                <w:b w:val="0"/>
                <w:bCs w:val="0"/>
                <w:color w:val="auto"/>
                <w:kern w:val="0"/>
                <w:sz w:val="21"/>
                <w:szCs w:val="21"/>
                <w:highlight w:val="none"/>
                <w:lang w:bidi="ar"/>
              </w:rPr>
              <w:t>采用红外/电容触控技术，支持Windows系统中进行不低于40点触控，支持在Android系统中进行40点或以上触控。</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3.</w:t>
            </w:r>
            <w:r>
              <w:rPr>
                <w:rFonts w:hint="default" w:ascii="宋体" w:hAnsi="宋体" w:cs="宋体"/>
                <w:b w:val="0"/>
                <w:bCs w:val="0"/>
                <w:color w:val="auto"/>
                <w:kern w:val="0"/>
                <w:sz w:val="21"/>
                <w:szCs w:val="21"/>
                <w:highlight w:val="none"/>
                <w:lang w:bidi="ar"/>
              </w:rPr>
              <w:t>触摸分辨率32768*32768。触摸响应时间≤4ms，触摸书写延迟≤15ms。</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4.</w:t>
            </w:r>
            <w:r>
              <w:rPr>
                <w:rFonts w:hint="default" w:ascii="宋体" w:hAnsi="宋体" w:cs="宋体"/>
                <w:b w:val="0"/>
                <w:bCs w:val="0"/>
                <w:color w:val="auto"/>
                <w:kern w:val="0"/>
                <w:sz w:val="21"/>
                <w:szCs w:val="21"/>
                <w:highlight w:val="none"/>
                <w:lang w:bidi="ar"/>
              </w:rPr>
              <w:t>为保证整机触控流畅性，连续触控时，连续的两次触控点检测时间间隔≤7ms，最小识别物≤2mm，触摸精度±1mm。</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5.</w:t>
            </w:r>
            <w:r>
              <w:rPr>
                <w:rFonts w:hint="default" w:ascii="宋体" w:hAnsi="宋体" w:cs="宋体"/>
                <w:b w:val="0"/>
                <w:bCs w:val="0"/>
                <w:color w:val="auto"/>
                <w:kern w:val="0"/>
                <w:sz w:val="21"/>
                <w:szCs w:val="21"/>
                <w:highlight w:val="none"/>
                <w:lang w:bidi="ar"/>
              </w:rPr>
              <w:t>整机具备至少6个前置物理按键，包括三合一电源按键，设置、音量加、音量减、录屏、护眼，其中含2个可自定义功能按键。</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6.</w:t>
            </w:r>
            <w:r>
              <w:rPr>
                <w:rFonts w:hint="default" w:ascii="宋体" w:hAnsi="宋体" w:cs="宋体"/>
                <w:b w:val="0"/>
                <w:bCs w:val="0"/>
                <w:color w:val="auto"/>
                <w:kern w:val="0"/>
                <w:sz w:val="21"/>
                <w:szCs w:val="21"/>
                <w:highlight w:val="none"/>
                <w:lang w:bidi="ar"/>
              </w:rPr>
              <w:t>整机三合一电源按键，同一按键可实现Android系统和Windows系统的一键开机、关机、节能/唤醒操作。关机状态下按按键开机，开机状态下按按键实现节能/唤醒，长按按键实现关机。</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7.</w:t>
            </w:r>
            <w:r>
              <w:rPr>
                <w:rFonts w:hint="default" w:ascii="宋体" w:hAnsi="宋体" w:cs="宋体"/>
                <w:b w:val="0"/>
                <w:bCs w:val="0"/>
                <w:color w:val="auto"/>
                <w:kern w:val="0"/>
                <w:sz w:val="21"/>
                <w:szCs w:val="21"/>
                <w:highlight w:val="none"/>
                <w:lang w:bidi="ar"/>
              </w:rPr>
              <w:t>整机前置接口具备防撞防尘挡板设计，挡板采用转轴式翻转。防止接口在连接外接设备使用时与推拉黑板产生碰撞，造成设备损坏，同时有效避免粉尘堵塞接口。</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8.</w:t>
            </w:r>
            <w:r>
              <w:rPr>
                <w:rFonts w:hint="default" w:ascii="宋体" w:hAnsi="宋体" w:cs="宋体"/>
                <w:b w:val="0"/>
                <w:bCs w:val="0"/>
                <w:color w:val="auto"/>
                <w:kern w:val="0"/>
                <w:sz w:val="21"/>
                <w:szCs w:val="21"/>
                <w:highlight w:val="none"/>
                <w:lang w:bidi="ar"/>
              </w:rPr>
              <w:t>整机前置3路USB输入接口（包含1路Type-C、2路USB），前置USB接口支持Android、Windows双系统读取外接移动存储设备，接口具备明显的丝印标识。</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9.</w:t>
            </w:r>
            <w:r>
              <w:rPr>
                <w:rFonts w:hint="default" w:ascii="宋体" w:hAnsi="宋体" w:cs="宋体"/>
                <w:b w:val="0"/>
                <w:bCs w:val="0"/>
                <w:color w:val="auto"/>
                <w:kern w:val="0"/>
                <w:sz w:val="21"/>
                <w:szCs w:val="21"/>
                <w:highlight w:val="none"/>
                <w:lang w:bidi="ar"/>
              </w:rPr>
              <w:t>整机侧置输入接口具备2路HDMI、1路RS232、1路USB、1路RJ45接口，整机侧置输出接口具备1路音频输出、1路触控USB输出，所有接口具备明显的丝印标识。</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10.</w:t>
            </w:r>
            <w:r>
              <w:rPr>
                <w:rFonts w:hint="default" w:ascii="宋体" w:hAnsi="宋体" w:cs="宋体"/>
                <w:b w:val="0"/>
                <w:bCs w:val="0"/>
                <w:color w:val="auto"/>
                <w:kern w:val="0"/>
                <w:sz w:val="21"/>
                <w:szCs w:val="21"/>
                <w:highlight w:val="none"/>
                <w:lang w:bidi="ar"/>
              </w:rPr>
              <w:t>前置Type-C接口支持65W快充，可以给教学平板、教学笔记本、手机等进行快速充电。</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11.</w:t>
            </w:r>
            <w:r>
              <w:rPr>
                <w:rFonts w:hint="default" w:ascii="宋体" w:hAnsi="宋体" w:cs="宋体"/>
                <w:b w:val="0"/>
                <w:bCs w:val="0"/>
                <w:color w:val="auto"/>
                <w:kern w:val="0"/>
                <w:sz w:val="21"/>
                <w:szCs w:val="21"/>
                <w:highlight w:val="none"/>
                <w:lang w:bidi="ar"/>
              </w:rPr>
              <w:t>摄像头拍摄像素数≥3200万，对角角度≥145度，水平角度≥125度。</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12.</w:t>
            </w:r>
            <w:r>
              <w:rPr>
                <w:rFonts w:hint="default" w:ascii="宋体" w:hAnsi="宋体" w:cs="宋体"/>
                <w:b w:val="0"/>
                <w:bCs w:val="0"/>
                <w:color w:val="auto"/>
                <w:kern w:val="0"/>
                <w:sz w:val="21"/>
                <w:szCs w:val="21"/>
                <w:highlight w:val="none"/>
                <w:lang w:bidi="ar"/>
              </w:rPr>
              <w:t>整机内置8阵列麦克风，麦克风拾音距离≥12米。</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13.</w:t>
            </w:r>
            <w:r>
              <w:rPr>
                <w:rFonts w:hint="default" w:ascii="宋体" w:hAnsi="宋体" w:cs="宋体"/>
                <w:b w:val="0"/>
                <w:bCs w:val="0"/>
                <w:color w:val="auto"/>
                <w:kern w:val="0"/>
                <w:sz w:val="21"/>
                <w:szCs w:val="21"/>
                <w:highlight w:val="none"/>
                <w:lang w:bidi="ar"/>
              </w:rPr>
              <w:t>Wi-Fi和AP热点工作距离≥12m。</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14.</w:t>
            </w:r>
            <w:r>
              <w:rPr>
                <w:rFonts w:hint="default" w:ascii="宋体" w:hAnsi="宋体" w:cs="宋体"/>
                <w:b w:val="0"/>
                <w:bCs w:val="0"/>
                <w:color w:val="auto"/>
                <w:kern w:val="0"/>
                <w:sz w:val="21"/>
                <w:szCs w:val="21"/>
                <w:highlight w:val="none"/>
                <w:lang w:bidi="ar"/>
              </w:rPr>
              <w:t>整机支持通过物理按键、手势及触摸快捷按键等方式快捷调用半屏模式。</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w:t>
            </w:r>
            <w:r>
              <w:rPr>
                <w:rFonts w:hint="default" w:ascii="宋体" w:hAnsi="宋体" w:cs="宋体"/>
                <w:b w:val="0"/>
                <w:bCs w:val="0"/>
                <w:color w:val="auto"/>
                <w:kern w:val="0"/>
                <w:sz w:val="21"/>
                <w:szCs w:val="21"/>
                <w:highlight w:val="none"/>
                <w:lang w:val="en-US" w:eastAsia="zh-CN" w:bidi="ar"/>
              </w:rPr>
              <w:t>15.</w:t>
            </w:r>
            <w:r>
              <w:rPr>
                <w:rFonts w:hint="default" w:ascii="宋体" w:hAnsi="宋体" w:cs="宋体"/>
                <w:b w:val="0"/>
                <w:bCs w:val="0"/>
                <w:color w:val="auto"/>
                <w:kern w:val="0"/>
                <w:sz w:val="21"/>
                <w:szCs w:val="21"/>
                <w:highlight w:val="none"/>
                <w:lang w:bidi="ar"/>
              </w:rPr>
              <w:t>整机具备分级降屏（1/3、1/2）功能，用户可以根据使用情况自行选择降1/3或者1/2屏。</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16.</w:t>
            </w:r>
            <w:r>
              <w:rPr>
                <w:rFonts w:hint="default" w:ascii="宋体" w:hAnsi="宋体" w:cs="宋体"/>
                <w:b w:val="0"/>
                <w:bCs w:val="0"/>
                <w:color w:val="auto"/>
                <w:kern w:val="0"/>
                <w:sz w:val="21"/>
                <w:szCs w:val="21"/>
                <w:highlight w:val="none"/>
                <w:lang w:bidi="ar"/>
              </w:rPr>
              <w:t>整机设备开机启动后，自动进入教学桌面，支持账号登录、退出，自动获取个人云端教学课件列表。</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17.</w:t>
            </w:r>
            <w:r>
              <w:rPr>
                <w:rFonts w:hint="default" w:ascii="宋体" w:hAnsi="宋体" w:cs="宋体"/>
                <w:b w:val="0"/>
                <w:bCs w:val="0"/>
                <w:color w:val="auto"/>
                <w:kern w:val="0"/>
                <w:sz w:val="21"/>
                <w:szCs w:val="21"/>
                <w:highlight w:val="none"/>
                <w:lang w:bidi="ar"/>
              </w:rPr>
              <w:t>嵌入式Android操作系统下，内置电子视力表软件，支持通过触摸方式进行视力检测，助力校园近视防控工作开展。</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18.</w:t>
            </w:r>
            <w:r>
              <w:rPr>
                <w:rFonts w:hint="default" w:ascii="宋体" w:hAnsi="宋体" w:cs="宋体"/>
                <w:b w:val="0"/>
                <w:bCs w:val="0"/>
                <w:color w:val="auto"/>
                <w:kern w:val="0"/>
                <w:sz w:val="21"/>
                <w:szCs w:val="21"/>
                <w:highlight w:val="none"/>
                <w:lang w:bidi="ar"/>
              </w:rPr>
              <w:t>电子视力表软件由设备生产厂商与与权威三甲医院眼科共同开发，通过权威眼科医院临床试验验证，符合标准对数视力表相关要求，保证测试数据的准确性和权威性。</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19.</w:t>
            </w:r>
            <w:r>
              <w:rPr>
                <w:rFonts w:hint="default" w:ascii="宋体" w:hAnsi="宋体" w:cs="宋体"/>
                <w:b w:val="0"/>
                <w:bCs w:val="0"/>
                <w:color w:val="auto"/>
                <w:kern w:val="0"/>
                <w:sz w:val="21"/>
                <w:szCs w:val="21"/>
                <w:highlight w:val="none"/>
                <w:lang w:bidi="ar"/>
              </w:rPr>
              <w:t>检测模式：支持进行单人视力检测及全班视力检测，检测时支持裸眼检测和戴镜检测两种方式；在全班检测模式下，自动提醒下一位准备检测的同学，提高检测效率。</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20.</w:t>
            </w:r>
            <w:r>
              <w:rPr>
                <w:rFonts w:hint="default" w:ascii="宋体" w:hAnsi="宋体" w:cs="宋体"/>
                <w:b w:val="0"/>
                <w:bCs w:val="0"/>
                <w:color w:val="auto"/>
                <w:kern w:val="0"/>
                <w:sz w:val="21"/>
                <w:szCs w:val="21"/>
                <w:highlight w:val="none"/>
                <w:lang w:bidi="ar"/>
              </w:rPr>
              <w:t>内置权威三甲医院眼科制作的护眼百科内容，包含专家视频、护眼动画等资源；不少于50个权威护眼视频。支持在系统后台导出视力数据进行统计分析；同时支持在本地端查看、导出学生视力数据。</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21.</w:t>
            </w:r>
            <w:r>
              <w:rPr>
                <w:rFonts w:hint="default" w:ascii="宋体" w:hAnsi="宋体" w:cs="宋体"/>
                <w:b w:val="0"/>
                <w:bCs w:val="0"/>
                <w:color w:val="auto"/>
                <w:kern w:val="0"/>
                <w:sz w:val="21"/>
                <w:szCs w:val="21"/>
                <w:highlight w:val="none"/>
                <w:lang w:bidi="ar"/>
              </w:rPr>
              <w:t>支持后台多级权限帐号管理，提供班级、年级、全校等管理员账号权限。</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22.</w:t>
            </w:r>
            <w:r>
              <w:rPr>
                <w:rFonts w:hint="default" w:ascii="宋体" w:hAnsi="宋体" w:cs="宋体"/>
                <w:b w:val="0"/>
                <w:bCs w:val="0"/>
                <w:color w:val="auto"/>
                <w:kern w:val="0"/>
                <w:sz w:val="21"/>
                <w:szCs w:val="21"/>
                <w:highlight w:val="none"/>
                <w:lang w:bidi="ar"/>
              </w:rPr>
              <w:t>不同屏幕尺寸下，软件会自动判断并提醒测试距离，不会因为屏幕尺寸的变化导致视力表测试偏差。</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三、电脑配置</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1.采用Intel通用标准80pin接口，即插即用，易于维护。</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 xml:space="preserve">2.主板搭载Intel </w:t>
            </w:r>
            <w:r>
              <w:rPr>
                <w:rFonts w:hint="eastAsia" w:ascii="宋体" w:hAnsi="宋体" w:cs="宋体"/>
                <w:b w:val="0"/>
                <w:bCs w:val="0"/>
                <w:color w:val="auto"/>
                <w:kern w:val="0"/>
                <w:sz w:val="21"/>
                <w:szCs w:val="21"/>
                <w:highlight w:val="none"/>
                <w:lang w:eastAsia="zh-CN" w:bidi="ar"/>
              </w:rPr>
              <w:t>core</w:t>
            </w:r>
            <w:r>
              <w:rPr>
                <w:rFonts w:hint="default" w:ascii="宋体" w:hAnsi="宋体" w:cs="宋体"/>
                <w:b w:val="0"/>
                <w:bCs w:val="0"/>
                <w:color w:val="auto"/>
                <w:kern w:val="0"/>
                <w:sz w:val="21"/>
                <w:szCs w:val="21"/>
                <w:highlight w:val="none"/>
                <w:lang w:bidi="ar"/>
              </w:rPr>
              <w:t>I5或以上系列CPU。内存：8GB 笔记本内存或以上配置。硬盘：</w:t>
            </w:r>
            <w:r>
              <w:rPr>
                <w:rFonts w:hint="eastAsia" w:ascii="宋体" w:hAnsi="宋体" w:cs="宋体"/>
                <w:b w:val="0"/>
                <w:bCs w:val="0"/>
                <w:color w:val="auto"/>
                <w:kern w:val="0"/>
                <w:sz w:val="21"/>
                <w:szCs w:val="21"/>
                <w:highlight w:val="none"/>
                <w:lang w:val="en-US" w:eastAsia="zh-CN" w:bidi="ar"/>
              </w:rPr>
              <w:t>256</w:t>
            </w:r>
            <w:r>
              <w:rPr>
                <w:rFonts w:hint="default" w:ascii="宋体" w:hAnsi="宋体" w:cs="宋体"/>
                <w:b w:val="0"/>
                <w:bCs w:val="0"/>
                <w:color w:val="auto"/>
                <w:kern w:val="0"/>
                <w:sz w:val="21"/>
                <w:szCs w:val="21"/>
                <w:highlight w:val="none"/>
                <w:lang w:bidi="ar"/>
              </w:rPr>
              <w:t>GB或以上SSD固态硬盘。</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3.机身采用智能风扇散热设计，确保封闭空间内有效散热。PC模块可抽拉式插入整机，可实现无单独接线的插拔。采用手拧螺丝卡扣，确保PC模块安装固定到位，同时无需工具就可快速拆卸电脑模块。</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4.具有独立非外扩展的视频输出接口：≥1路HDMI，≥1路DP。具有独立非外扩展的电脑USB接口：≥4路USB3.0，≥2路USB2.0。</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5.具有标准PC防盗锁功能，确保电脑模块安全防盗。</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四、教学软件功能</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（一）备授课一体化中心</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1.备课空间：提供教师个人备课网盘，个人空间不少于50G，并可按课件、微课等内容进行归类；</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2.智能备课插件：提供基于原生PPT与WPS的智能备课插件，非自有格式或嵌套式的备课工具，课件默认输出格式为PPT与WPS的默认格式，非专有格式，不改变教师传统备课习惯；</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3.资源导入：支持备课资源与智能备课插件的无缝结合，方便将图片、视频、互动微件、3D素材、题库资源等一键插入到原生PPT、WPS内,并能按学段、学科、资源类型、知识点、关键字等关键信息搜索资源；</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4.网络资源：原生PPT、WPS等支持一键引入互联网链接资源，搜索链接后可一键将页面插入至PPT、WPS等内，并能够在ppt、WPS等播放状态下进行页面二次跳转；</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5.课堂活动：如趣味分类、超级分类、翻翻卡、双人PK、连线题、猜词游戏、趣味素材、选词填空、选择题、判断题、比较大小、趣味检测、趣味拼词、思维导图（思维导图支持多类型模板，如经典思维、逻辑结构、彩色枝丫、鱼尾逻辑、发散思维、组织结构、目录组织、鱼骨图、天盘图，支持插入链接、图片、音视频、总结，导出为本地文件）等；</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6.课本授课：支持将校本统一教材、教辅资料、校本教材、经典阅读等资源按学科、年级、册别、出版社进行归类,配套的教学资源一键下载并与教材知识点关联并内置于教材知识点对应位置，支持拖动至对应教材知识点任意位置；支持按资源名称快捷搜索相关资源，并能实现同步导入与编辑；</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7.白板授课：提供多学科主题模板(拼音田字格、田字格、米字格、四线格、坐标系、小方格、日字格、五线谱、篮球场、足球场、白板等),支持自定义白板主题，并可在白板任意位置进行原笔迹书写、批注、擦除、拖动等；插入图片或截图等功能到白板中，支持切换图片的锁定状态，即拖动板书内容时图片可以和板书同步移动或缩放，也可以图片位置和大小固定，板书内容移动或缩放；支持多个图片同时分别处于锁定和解锁状态；</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8.课件授课：支持一键调取本机、个人网盘与学校网盘内的教学课件，并实现教学课件文档的手势识别(多级放大、滑动翻页、缩略图等)，播放过程中可实现自由批注与笔迹内容同步保存；</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(二)教学应用工具</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1.教学书写：支持任意教学环境下(白板讲解、PPT讲解、视频播放等)进行全屏原笔迹书写，支持无限板书，无需二次点击、翻页或跳转，在当前白板页面可通过双指拖动实现无限板书，并对板书进行自由缩放；</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2.讲解助手：提供画笔、板书图章、板擦(区域擦除、撤销、清空等，板擦大小可自由调整等)、聚焦、放大镜、计时、录制视频、幕布、计时器等基础教学工具，其中聚焦功能实现图像增强、文字识别、高亮显示等，方便复制、编辑画面内的文字；幕布功能实现拖动黑色幕布遮盖的部分，可以在板书内容固定不动的情况下调整幕布遮盖的位置；也可以拖动幕布擦除后展露出的板书，在幕布位置固定不动的情况下，调整展露出的板书内容；</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3.基础学科工具：提供多学科的学科工具，如平面图形、立体图形、尺规、量角器、函数工具、英文词典、算盘、计数器、数学动图、诗词卡片、仿真实验、构图助手、立体截面等，其中尺规和平面图形支持角度和长度的数字标注，化学仪器包括加热、计量、分离、收集、干燥等，物理仪器包括磁学、电学、光学、力学、热学、声学等，立体图形有已填充图形和未填充图形，已填充图形支持多类型展开、旋转、填充、删除等，未填充图形支持支持多种展开、自由调整展开幅度、边框四色调节、复制、删除等；</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4.学科资源应用：支持一键调取学科可视化资源，包括但不限于以下知识点：小学数学(图形与几何、数与代数、统计与概率等)、小学科学(生命科学、物质科学、地球与宇宙科学、技术与工程)、初中数学(代数、几何、函数、统计概率等)、初中物理(声光热能、力与运动、电与磁等)、初中化学(科学探究、身边的化学物质、物质的化学变化、化学与社会发展、物质构成的奥秘等)、初中地理(自然地理、中国地理、世界地理等)、初中生物(生物圈、植物、人体、动物与微生物、生命的延续等)、高中数学(集合与常用逻辑用语、不等式、函数、导数、积分、三角函数与解三角形、平面向量、数列、立体几何、平面解析几何、计数原理与统计概率等)、高中物理(力与运动、电与磁、原子物理、动量与能量等)、高中化学(无机化学、实验化学、结构化学、化学反应原理、有机化学等)、高中地理(自然地理、人文地理、区域地理等)、高中生物(分子与细胞、遗传与进化、稳态与调节、生物与环境、生物技术与工程)等；</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5.智能云白板：支持将教师板书同步保存至云端，并按时间、班级、来源等条件进行归档，支持跨终端调取复用以及二次编辑修改（非JPG格式与PDF格式）；支持将板书内容同步分享至设备终端或微信小程序端，支持将板书分享学科组教师、校本资源，支持一键生成分享二维码、链接，分享至微信、QQ等，所分享的板书不仅支持查看其内容，同时云端调取的云白板可打开查看插入的文档、视频等富媒体资源；云端存储的板书内容可同步删除或批量导出至本地；支持导入图片格式文件至云白板；</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6.智能工具板：基于即时手写智能识别的智能工具板，可实现中英文智能转写、智能搜索、图形识别与函数识别等功能，智能工具板内的所有板书记录可同步保存至智能云白板；</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(1)中英文智能转写：支持将手写的中英文字词自动识别并转写为标准印刷体，字体大小可无级放大；支持对中文生字的手写识别并可实现读音、笔顺、笔画、偏旁部首、组词等；</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(2)中英文智能识别：支持画圈搜索手写的中英文字词，实时搜索互联网资源；</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(3)图形识别：支持将教师手写的图形自动识别为标准规范图形，相关图形能够自由调整大小、角度等，并支持填色、复制、删除等功能；</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(4)函数识别：支持将教师手写的函数公式(非键盘输入)自动识别并转换为匹配的函数图形，并可通过手势划词直接进行删除与修改，支持将相应的函数图形直接插入到智能工具板内；</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7.课堂实录：支持基于任意授课场景、界面下进行课堂实录，录制过程中可随时预览、暂停、结束，可以收起录制按钮，也可对视频、音频、导出、存储四个方面进行设置，视频设置包括但不限于录制范围、画质选择、时间提示、视频水印、鼠标显示、画中画；音频设置包括声音来源、录制准备；导出设置包括视频剪辑；存储设置包括视频存放地址；录制结束后生成MP4格式视频文件，一键保存到本地和网盘，并分享到班级和学生；</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8.智适应学习与推送：支持教师将包括但不限于趣味分类、超级分类、翻翻卡、连线题、猜词游戏、趣味素材、选词填空、选择题、判断题、比较大小等交互式资源一键分享，可实现探究式、体验式学习，实时判断对错，并进行闯关答题。</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(三)系统管理中心</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1.授课登录：支持教师通过个人账号、微信授权或二维码等方式进行身份识别快速登录授课；登录后，即时进入上课模式，并自动获取云端课件；支持课件云同步功能，课件上的所有修改、操作均可同步保存至云；</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2.班级管理：支持教师设置班级信息，包括学段、年级、班级名称；支持设置学生信息，包括学生姓名、学生所属分组等信息；</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bidi="ar"/>
              </w:rPr>
            </w:pPr>
            <w:r>
              <w:rPr>
                <w:rFonts w:hint="default" w:ascii="宋体" w:hAnsi="宋体" w:cs="宋体"/>
                <w:b w:val="0"/>
                <w:bCs w:val="0"/>
                <w:color w:val="auto"/>
                <w:kern w:val="0"/>
                <w:sz w:val="21"/>
                <w:szCs w:val="21"/>
                <w:highlight w:val="none"/>
                <w:lang w:bidi="ar"/>
              </w:rPr>
              <w:t>3.支持设置是否开启多人书写、板书美颜级别(低、中、高)、是否开启手势板擦等；支持设置节能模式，可自由设置设定时间内无人操作自动关机等功能。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2</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推拉黑板</w:t>
            </w:r>
          </w:p>
        </w:tc>
        <w:tc>
          <w:tcPr>
            <w:tcW w:w="630" w:type="dxa"/>
            <w:gridSpan w:val="2"/>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套</w:t>
            </w:r>
          </w:p>
        </w:tc>
        <w:tc>
          <w:tcPr>
            <w:tcW w:w="645"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6</w:t>
            </w:r>
          </w:p>
        </w:tc>
        <w:tc>
          <w:tcPr>
            <w:tcW w:w="7265" w:type="dxa"/>
            <w:shd w:val="clear" w:color="auto" w:fill="auto"/>
            <w:vAlign w:val="top"/>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bidi="ar"/>
              </w:rPr>
              <w:t>双层结构四块装与边框组合，电子产品居中放置。内层为固定书写板与电子产品正面平齐，外层为滑动书写板，开闭自如确保电子产品的安全管理。</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bidi="ar"/>
              </w:rPr>
              <w:t>基本尺寸：≥4000mm×1305mm，根据实际尺寸确保与电子产品的有效配套。</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bidi="ar"/>
              </w:rPr>
              <w:t>板面：采用优质烤漆板面，墨绿色、亚光，厚度≥0.3mm，粗糙度为Ra1.6-3.2 um，光泽度≤6光泽单位，没有因黑板本身原因产生的眩光，书写流畅字迹清晰、板面表面附有一层透明保护膜。板面支持磁性材料吸附，方便教师展示教学素材。</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4.</w:t>
            </w:r>
            <w:r>
              <w:rPr>
                <w:rFonts w:hint="eastAsia" w:ascii="宋体" w:hAnsi="宋体" w:cs="宋体"/>
                <w:b w:val="0"/>
                <w:bCs w:val="0"/>
                <w:color w:val="auto"/>
                <w:kern w:val="0"/>
                <w:sz w:val="21"/>
                <w:szCs w:val="21"/>
                <w:highlight w:val="none"/>
                <w:lang w:bidi="ar"/>
              </w:rPr>
              <w:t>边框：工业用高强度铝合金型材，电泳香槟色，模具挤压一次成型，上框规格57mm×100mm，左右框规格29mm×100mm。，板托宽度≥30mm，板托与滑动系统分离，结构性解决滑轮受灰尘影响的滑动情况，与边框一次模具成形，可放置书写笔，方便实用。</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5.</w:t>
            </w:r>
            <w:r>
              <w:rPr>
                <w:rFonts w:hint="eastAsia" w:ascii="宋体" w:hAnsi="宋体" w:cs="宋体"/>
                <w:b w:val="0"/>
                <w:bCs w:val="0"/>
                <w:color w:val="auto"/>
                <w:kern w:val="0"/>
                <w:sz w:val="21"/>
                <w:szCs w:val="21"/>
                <w:highlight w:val="none"/>
                <w:lang w:bidi="ar"/>
              </w:rPr>
              <w:t>滑轮：上轨采用减震消音双组吊轮，滑轮使用高精度轴承，下轨采用双组滑块，数目各4组，上下均匀安装，推拉顺畅自如稳定性好。</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6.</w:t>
            </w:r>
            <w:r>
              <w:rPr>
                <w:rFonts w:hint="eastAsia" w:ascii="宋体" w:hAnsi="宋体" w:cs="宋体"/>
                <w:b w:val="0"/>
                <w:bCs w:val="0"/>
                <w:color w:val="auto"/>
                <w:kern w:val="0"/>
                <w:sz w:val="21"/>
                <w:szCs w:val="21"/>
                <w:highlight w:val="none"/>
                <w:lang w:bidi="ar"/>
              </w:rPr>
              <w:t>背板：采用优质防锈热镀锌钢板，厚度≥0.25mm，流水线一次成型，间隔80mm压有20mm凹槽加强筋凹槽增加强度，更加耐用。</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7.</w:t>
            </w:r>
            <w:r>
              <w:rPr>
                <w:rFonts w:hint="eastAsia" w:ascii="宋体" w:hAnsi="宋体" w:cs="宋体"/>
                <w:b w:val="0"/>
                <w:bCs w:val="0"/>
                <w:color w:val="auto"/>
                <w:kern w:val="0"/>
                <w:sz w:val="21"/>
                <w:szCs w:val="21"/>
                <w:highlight w:val="none"/>
                <w:lang w:bidi="ar"/>
              </w:rPr>
              <w:t>包角：采用抗老化高强度ABS工程塑料注塑成型。采用双壁成腔流线型设计，≥R25mm的圆角，正面带黑板品牌LOGO标识，无尖角毛刺。</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val="en-US" w:eastAsia="zh-CN" w:bidi="ar"/>
              </w:rPr>
              <w:t>8.</w:t>
            </w:r>
            <w:r>
              <w:rPr>
                <w:rFonts w:hint="eastAsia" w:ascii="宋体" w:hAnsi="宋体" w:cs="宋体"/>
                <w:b w:val="0"/>
                <w:bCs w:val="0"/>
                <w:color w:val="auto"/>
                <w:kern w:val="0"/>
                <w:sz w:val="21"/>
                <w:szCs w:val="21"/>
                <w:highlight w:val="none"/>
                <w:lang w:bidi="ar"/>
              </w:rPr>
              <w:t>安装：配装自制钢制安装件，规格95*50*60mm，隐形安装、没有外露的挂接件，符合GB 21027-2007《学生用品的安全通用要求》。</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9.</w:t>
            </w:r>
            <w:r>
              <w:rPr>
                <w:rFonts w:hint="eastAsia" w:ascii="宋体" w:hAnsi="宋体" w:cs="宋体"/>
                <w:b w:val="0"/>
                <w:bCs w:val="0"/>
                <w:color w:val="auto"/>
                <w:kern w:val="0"/>
                <w:sz w:val="21"/>
                <w:szCs w:val="21"/>
                <w:highlight w:val="none"/>
                <w:lang w:bidi="ar"/>
              </w:rPr>
              <w:t>包装：采用环保型材料，符合国家产品包装要求，单套或双套纸箱独立包装，箱体印有制造商名称、LOGO标识、地址、服务热线等信息。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3</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视频展台</w:t>
            </w:r>
          </w:p>
        </w:tc>
        <w:tc>
          <w:tcPr>
            <w:tcW w:w="630" w:type="dxa"/>
            <w:gridSpan w:val="2"/>
          </w:tcPr>
          <w:p>
            <w:pPr>
              <w:pStyle w:val="20"/>
              <w:ind w:firstLine="0" w:firstLineChars="0"/>
              <w:rPr>
                <w:rFonts w:hint="default" w:hAnsi="宋体"/>
                <w:b w:val="0"/>
                <w:bCs w:val="0"/>
                <w:color w:val="auto"/>
                <w:sz w:val="21"/>
                <w:szCs w:val="21"/>
                <w:highlight w:val="none"/>
                <w:lang w:val="en-US" w:bidi="ar"/>
              </w:rPr>
            </w:pPr>
            <w:r>
              <w:rPr>
                <w:rFonts w:hint="default" w:hAnsi="宋体"/>
                <w:b w:val="0"/>
                <w:bCs w:val="0"/>
                <w:color w:val="auto"/>
                <w:sz w:val="21"/>
                <w:szCs w:val="21"/>
                <w:highlight w:val="none"/>
                <w:lang w:val="en-US" w:bidi="ar"/>
              </w:rPr>
              <w:t>台</w:t>
            </w:r>
          </w:p>
        </w:tc>
        <w:tc>
          <w:tcPr>
            <w:tcW w:w="645"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6</w:t>
            </w:r>
          </w:p>
        </w:tc>
        <w:tc>
          <w:tcPr>
            <w:tcW w:w="7265" w:type="dxa"/>
            <w:shd w:val="clear" w:color="auto" w:fill="auto"/>
            <w:vAlign w:val="top"/>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1、</w:t>
            </w:r>
            <w:r>
              <w:rPr>
                <w:rFonts w:hint="eastAsia" w:ascii="宋体" w:hAnsi="宋体" w:cs="宋体"/>
                <w:b w:val="0"/>
                <w:bCs w:val="0"/>
                <w:color w:val="auto"/>
                <w:kern w:val="0"/>
                <w:sz w:val="21"/>
                <w:szCs w:val="21"/>
                <w:highlight w:val="none"/>
                <w:lang w:val="en-US" w:eastAsia="zh-CN" w:bidi="ar"/>
              </w:rPr>
              <w:t>摄像头：摄像头可拍摄不少于1300W像素的照片。</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2、</w:t>
            </w:r>
            <w:r>
              <w:rPr>
                <w:rFonts w:hint="eastAsia" w:ascii="宋体" w:hAnsi="宋体" w:cs="宋体"/>
                <w:b w:val="0"/>
                <w:bCs w:val="0"/>
                <w:color w:val="auto"/>
                <w:kern w:val="0"/>
                <w:sz w:val="21"/>
                <w:szCs w:val="21"/>
                <w:highlight w:val="none"/>
                <w:lang w:val="en-US" w:eastAsia="zh-CN" w:bidi="ar"/>
              </w:rPr>
              <w:t>视频预览：采用A4大小拍摄幅面，1080P动态视频预览达到30帧/秒。</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3、</w:t>
            </w:r>
            <w:r>
              <w:rPr>
                <w:rFonts w:hint="eastAsia" w:ascii="宋体" w:hAnsi="宋体" w:cs="宋体"/>
                <w:b w:val="0"/>
                <w:bCs w:val="0"/>
                <w:color w:val="auto"/>
                <w:kern w:val="0"/>
                <w:sz w:val="21"/>
                <w:szCs w:val="21"/>
                <w:highlight w:val="none"/>
                <w:lang w:val="en-US" w:eastAsia="zh-CN" w:bidi="ar"/>
              </w:rPr>
              <w:t>LED补光灯：展台具备不少于三级的补光灯，补光灯采用触摸按键设计。</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4、</w:t>
            </w:r>
            <w:r>
              <w:rPr>
                <w:rFonts w:hint="eastAsia" w:ascii="宋体" w:hAnsi="宋体" w:cs="宋体"/>
                <w:b w:val="0"/>
                <w:bCs w:val="0"/>
                <w:color w:val="auto"/>
                <w:kern w:val="0"/>
                <w:sz w:val="21"/>
                <w:szCs w:val="21"/>
                <w:highlight w:val="none"/>
                <w:lang w:val="en-US" w:eastAsia="zh-CN" w:bidi="ar"/>
              </w:rPr>
              <w:t>实时批注：支持展台画面实时批注，且批注内容与展台画面同步缩放移动。</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5、</w:t>
            </w:r>
            <w:r>
              <w:rPr>
                <w:rFonts w:hint="eastAsia" w:ascii="宋体" w:hAnsi="宋体" w:cs="宋体"/>
                <w:b w:val="0"/>
                <w:bCs w:val="0"/>
                <w:color w:val="auto"/>
                <w:kern w:val="0"/>
                <w:sz w:val="21"/>
                <w:szCs w:val="21"/>
                <w:highlight w:val="none"/>
                <w:lang w:val="en-US" w:eastAsia="zh-CN" w:bidi="ar"/>
              </w:rPr>
              <w:t>动态推送：展台软件带国学经典文句动态推送功能，每次启动软件，都会推送不同的经典国学文句，用于迅速抓取学生的注意力回归黑板。</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6、</w:t>
            </w:r>
            <w:r>
              <w:rPr>
                <w:rFonts w:hint="eastAsia" w:ascii="宋体" w:hAnsi="宋体" w:cs="宋体"/>
                <w:b w:val="0"/>
                <w:bCs w:val="0"/>
                <w:color w:val="auto"/>
                <w:kern w:val="0"/>
                <w:sz w:val="21"/>
                <w:szCs w:val="21"/>
                <w:highlight w:val="none"/>
                <w:lang w:val="en-US" w:eastAsia="zh-CN" w:bidi="ar"/>
              </w:rPr>
              <w:t>画面操作：支持对展台实时画面进行方法、缩小、旋转、冻结操作。</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7、</w:t>
            </w:r>
            <w:r>
              <w:rPr>
                <w:rFonts w:hint="eastAsia" w:ascii="宋体" w:hAnsi="宋体" w:cs="宋体"/>
                <w:b w:val="0"/>
                <w:bCs w:val="0"/>
                <w:color w:val="auto"/>
                <w:kern w:val="0"/>
                <w:sz w:val="21"/>
                <w:szCs w:val="21"/>
                <w:highlight w:val="none"/>
                <w:lang w:val="en-US" w:eastAsia="zh-CN" w:bidi="ar"/>
              </w:rPr>
              <w:t xml:space="preserve"> 自动调整：展台软件带自动文字正向，软件可以根据实际展示文件的文字方向（无论是正的，反的，偏斜的），进行自动的旋转调整，保持文字永远都是正向展示，同时实现展示文件自动居中，方便老师随意放纸，无需调整与操作。</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8、</w:t>
            </w:r>
            <w:r>
              <w:rPr>
                <w:rFonts w:hint="eastAsia" w:ascii="宋体" w:hAnsi="宋体" w:cs="宋体"/>
                <w:b w:val="0"/>
                <w:bCs w:val="0"/>
                <w:color w:val="auto"/>
                <w:kern w:val="0"/>
                <w:sz w:val="21"/>
                <w:szCs w:val="21"/>
                <w:highlight w:val="none"/>
                <w:lang w:val="en-US" w:eastAsia="zh-CN" w:bidi="ar"/>
              </w:rPr>
              <w:t>自动缩放：展台软件带自动的放大与缩小的功能，软件可以根据展示物的大小，自动进行放大与缩小，小的展示物体可以自动放大到同屏的等比例，大的展示物体可以自动缩小到同屏等比例。</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9、</w:t>
            </w:r>
            <w:r>
              <w:rPr>
                <w:rFonts w:hint="eastAsia" w:ascii="宋体" w:hAnsi="宋体" w:cs="宋体"/>
                <w:b w:val="0"/>
                <w:bCs w:val="0"/>
                <w:color w:val="auto"/>
                <w:kern w:val="0"/>
                <w:sz w:val="21"/>
                <w:szCs w:val="21"/>
                <w:highlight w:val="none"/>
                <w:lang w:val="en-US" w:eastAsia="zh-CN" w:bidi="ar"/>
              </w:rPr>
              <w:t>双击居中：展台软件带双击屏幕局部放大的功能，老师可以通过双击局部位置，自动的放大局部展示区，同时自动使局部位置居中摆放。</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10、</w:t>
            </w:r>
            <w:r>
              <w:rPr>
                <w:rFonts w:hint="eastAsia" w:ascii="宋体" w:hAnsi="宋体" w:cs="宋体"/>
                <w:b w:val="0"/>
                <w:bCs w:val="0"/>
                <w:color w:val="auto"/>
                <w:kern w:val="0"/>
                <w:sz w:val="21"/>
                <w:szCs w:val="21"/>
                <w:highlight w:val="none"/>
                <w:lang w:val="en-US" w:eastAsia="zh-CN" w:bidi="ar"/>
              </w:rPr>
              <w:t>十点触摸：展台软件支持10点以上触摸，在画笔状态下支持同时10点以上流畅标注。方便老师与多名学生在课堂上实现互动与参与，增加课堂的趣味与多彩。</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11、</w:t>
            </w:r>
            <w:r>
              <w:rPr>
                <w:rFonts w:hint="eastAsia" w:ascii="宋体" w:hAnsi="宋体" w:cs="宋体"/>
                <w:b w:val="0"/>
                <w:bCs w:val="0"/>
                <w:color w:val="auto"/>
                <w:kern w:val="0"/>
                <w:sz w:val="21"/>
                <w:szCs w:val="21"/>
                <w:highlight w:val="none"/>
                <w:lang w:val="en-US" w:eastAsia="zh-CN" w:bidi="ar"/>
              </w:rPr>
              <w:t>文字识别：展台软件带OCR框选识别文字功能，老师可以在动态视频下框选展示物其中一段文字，软件自动提取文字，可用于直接放入Word或者复制带走。</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12、</w:t>
            </w:r>
            <w:r>
              <w:rPr>
                <w:rFonts w:hint="eastAsia" w:ascii="宋体" w:hAnsi="宋体" w:cs="宋体"/>
                <w:b w:val="0"/>
                <w:bCs w:val="0"/>
                <w:color w:val="auto"/>
                <w:kern w:val="0"/>
                <w:sz w:val="21"/>
                <w:szCs w:val="21"/>
                <w:highlight w:val="none"/>
                <w:lang w:val="en-US" w:eastAsia="zh-CN" w:bidi="ar"/>
              </w:rPr>
              <w:t>自动扫描：专业展台软件带检测到物体自动扫描功能，同时扫描文档可自动纠偏，精准去多余边角，可自动修复破损纸张图像。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13、</w:t>
            </w:r>
            <w:r>
              <w:rPr>
                <w:rFonts w:hint="eastAsia" w:ascii="宋体" w:hAnsi="宋体" w:cs="宋体"/>
                <w:b w:val="0"/>
                <w:bCs w:val="0"/>
                <w:color w:val="auto"/>
                <w:kern w:val="0"/>
                <w:sz w:val="21"/>
                <w:szCs w:val="21"/>
                <w:highlight w:val="none"/>
                <w:lang w:val="en-US" w:eastAsia="zh-CN" w:bidi="ar"/>
              </w:rPr>
              <w:t>对比教学：展台软件带对比教学功能，可以实现动态视频与静态图片的对比教学，每个对比展示区都支持双击局部放大，批注笔记与图片联动，展示区的全屏切换等。方便老师针对不同学生试卷和作业进行对比教学。</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14、</w:t>
            </w:r>
            <w:r>
              <w:rPr>
                <w:rFonts w:hint="eastAsia" w:ascii="宋体" w:hAnsi="宋体" w:cs="宋体"/>
                <w:b w:val="0"/>
                <w:bCs w:val="0"/>
                <w:color w:val="auto"/>
                <w:kern w:val="0"/>
                <w:sz w:val="21"/>
                <w:szCs w:val="21"/>
                <w:highlight w:val="none"/>
                <w:lang w:val="en-US" w:eastAsia="zh-CN" w:bidi="ar"/>
              </w:rPr>
              <w:t>二维码扫描：展台软件带二维码扫描功能，帮助老师快速直接调用,访问课本上二维码拓展知识内容。</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15、</w:t>
            </w:r>
            <w:r>
              <w:rPr>
                <w:rFonts w:hint="eastAsia" w:ascii="宋体" w:hAnsi="宋体" w:cs="宋体"/>
                <w:b w:val="0"/>
                <w:bCs w:val="0"/>
                <w:color w:val="auto"/>
                <w:kern w:val="0"/>
                <w:sz w:val="21"/>
                <w:szCs w:val="21"/>
                <w:highlight w:val="none"/>
                <w:lang w:val="en-US" w:eastAsia="zh-CN" w:bidi="ar"/>
              </w:rPr>
              <w:t>PDF合成：展台软件带一键PDF合成功能，老师可以一键把多张图片合成PDF文件。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4</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系统集成</w:t>
            </w:r>
          </w:p>
        </w:tc>
        <w:tc>
          <w:tcPr>
            <w:tcW w:w="630" w:type="dxa"/>
            <w:gridSpan w:val="2"/>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项</w:t>
            </w:r>
          </w:p>
        </w:tc>
        <w:tc>
          <w:tcPr>
            <w:tcW w:w="645"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6</w:t>
            </w:r>
          </w:p>
        </w:tc>
        <w:tc>
          <w:tcPr>
            <w:tcW w:w="7265" w:type="dxa"/>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安装要求：</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1.材料：3＋5芯专业VGA线，四芯RS232控制线，铜线电源线，铜线投影电源线，专业音频线，插座等必备配件，六类网线。视频线接头</w:t>
            </w:r>
            <w:r>
              <w:rPr>
                <w:rFonts w:hint="eastAsia" w:ascii="宋体" w:hAnsi="宋体" w:cs="宋体"/>
                <w:b w:val="0"/>
                <w:bCs w:val="0"/>
                <w:color w:val="auto"/>
                <w:kern w:val="0"/>
                <w:sz w:val="21"/>
                <w:szCs w:val="21"/>
                <w:highlight w:val="none"/>
                <w:lang w:val="en-US" w:eastAsia="zh-CN" w:bidi="ar"/>
              </w:rPr>
              <w:t>，</w:t>
            </w:r>
            <w:r>
              <w:rPr>
                <w:rFonts w:hint="default" w:ascii="宋体" w:hAnsi="宋体" w:cs="宋体"/>
                <w:b w:val="0"/>
                <w:bCs w:val="0"/>
                <w:color w:val="auto"/>
                <w:kern w:val="0"/>
                <w:sz w:val="21"/>
                <w:szCs w:val="21"/>
                <w:highlight w:val="none"/>
                <w:lang w:val="en-US" w:eastAsia="zh-CN" w:bidi="ar"/>
              </w:rPr>
              <w:t>电源插座等线材设备以及相关的周边设备</w:t>
            </w:r>
            <w:r>
              <w:rPr>
                <w:rFonts w:hint="eastAsia" w:ascii="宋体" w:hAnsi="宋体" w:cs="宋体"/>
                <w:b w:val="0"/>
                <w:bCs w:val="0"/>
                <w:color w:val="auto"/>
                <w:kern w:val="0"/>
                <w:sz w:val="21"/>
                <w:szCs w:val="21"/>
                <w:highlight w:val="none"/>
                <w:lang w:val="en-US" w:eastAsia="zh-CN" w:bidi="ar"/>
              </w:rPr>
              <w:t>，</w:t>
            </w:r>
            <w:r>
              <w:rPr>
                <w:rFonts w:hint="default" w:ascii="宋体" w:hAnsi="宋体" w:cs="宋体"/>
                <w:b w:val="0"/>
                <w:bCs w:val="0"/>
                <w:color w:val="auto"/>
                <w:kern w:val="0"/>
                <w:sz w:val="21"/>
                <w:szCs w:val="21"/>
                <w:highlight w:val="none"/>
                <w:lang w:val="en-US" w:eastAsia="zh-CN" w:bidi="ar"/>
              </w:rPr>
              <w:t>音视频线接头及相关配件</w:t>
            </w:r>
            <w:r>
              <w:rPr>
                <w:rFonts w:hint="eastAsia" w:ascii="宋体" w:hAnsi="宋体" w:cs="宋体"/>
                <w:b w:val="0"/>
                <w:bCs w:val="0"/>
                <w:color w:val="auto"/>
                <w:kern w:val="0"/>
                <w:sz w:val="21"/>
                <w:szCs w:val="21"/>
                <w:highlight w:val="none"/>
                <w:lang w:val="en-US" w:eastAsia="zh-CN" w:bidi="ar"/>
              </w:rPr>
              <w:t>，</w:t>
            </w:r>
            <w:r>
              <w:rPr>
                <w:rFonts w:hint="default" w:ascii="宋体" w:hAnsi="宋体" w:cs="宋体"/>
                <w:b w:val="0"/>
                <w:bCs w:val="0"/>
                <w:color w:val="auto"/>
                <w:kern w:val="0"/>
                <w:sz w:val="21"/>
                <w:szCs w:val="21"/>
                <w:highlight w:val="none"/>
                <w:lang w:val="en-US" w:eastAsia="zh-CN" w:bidi="ar"/>
              </w:rPr>
              <w:t>材料全部包干并安装</w:t>
            </w:r>
            <w:r>
              <w:rPr>
                <w:rFonts w:hint="eastAsia" w:ascii="宋体" w:hAnsi="宋体" w:cs="宋体"/>
                <w:b w:val="0"/>
                <w:bCs w:val="0"/>
                <w:color w:val="auto"/>
                <w:kern w:val="0"/>
                <w:sz w:val="21"/>
                <w:szCs w:val="21"/>
                <w:highlight w:val="none"/>
                <w:lang w:val="en-US" w:eastAsia="zh-CN" w:bidi="ar"/>
              </w:rPr>
              <w:t>、</w:t>
            </w:r>
            <w:r>
              <w:rPr>
                <w:rFonts w:hint="default" w:ascii="宋体" w:hAnsi="宋体" w:cs="宋体"/>
                <w:b w:val="0"/>
                <w:bCs w:val="0"/>
                <w:color w:val="auto"/>
                <w:kern w:val="0"/>
                <w:sz w:val="21"/>
                <w:szCs w:val="21"/>
                <w:highlight w:val="none"/>
                <w:lang w:val="en-US" w:eastAsia="zh-CN" w:bidi="ar"/>
              </w:rPr>
              <w:t>调试</w:t>
            </w:r>
            <w:r>
              <w:rPr>
                <w:rFonts w:hint="eastAsia" w:ascii="宋体" w:hAnsi="宋体" w:cs="宋体"/>
                <w:b w:val="0"/>
                <w:bCs w:val="0"/>
                <w:color w:val="auto"/>
                <w:kern w:val="0"/>
                <w:sz w:val="21"/>
                <w:szCs w:val="21"/>
                <w:highlight w:val="none"/>
                <w:lang w:val="en-US" w:eastAsia="zh-CN" w:bidi="ar"/>
              </w:rPr>
              <w:t>、</w:t>
            </w:r>
            <w:r>
              <w:rPr>
                <w:rFonts w:hint="default" w:ascii="宋体" w:hAnsi="宋体" w:cs="宋体"/>
                <w:b w:val="0"/>
                <w:bCs w:val="0"/>
                <w:color w:val="auto"/>
                <w:kern w:val="0"/>
                <w:sz w:val="21"/>
                <w:szCs w:val="21"/>
                <w:highlight w:val="none"/>
                <w:lang w:val="en-US" w:eastAsia="zh-CN" w:bidi="ar"/>
              </w:rPr>
              <w:t>培训直至设备正常使用</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2.中控各接口连接正常，完成中控到教室网络信息点的布线；</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安装工艺：安装前要把安装方案的思路</w:t>
            </w:r>
            <w:r>
              <w:rPr>
                <w:rFonts w:hint="eastAsia" w:ascii="宋体" w:hAnsi="宋体" w:cs="宋体"/>
                <w:b w:val="0"/>
                <w:bCs w:val="0"/>
                <w:color w:val="auto"/>
                <w:kern w:val="0"/>
                <w:sz w:val="21"/>
                <w:szCs w:val="21"/>
                <w:highlight w:val="none"/>
                <w:lang w:val="en-US" w:eastAsia="zh-CN" w:bidi="ar"/>
              </w:rPr>
              <w:t>、</w:t>
            </w:r>
            <w:r>
              <w:rPr>
                <w:rFonts w:hint="default" w:ascii="宋体" w:hAnsi="宋体" w:cs="宋体"/>
                <w:b w:val="0"/>
                <w:bCs w:val="0"/>
                <w:color w:val="auto"/>
                <w:kern w:val="0"/>
                <w:sz w:val="21"/>
                <w:szCs w:val="21"/>
                <w:highlight w:val="none"/>
                <w:lang w:val="en-US" w:eastAsia="zh-CN" w:bidi="ar"/>
              </w:rPr>
              <w:t>优点</w:t>
            </w:r>
            <w:r>
              <w:rPr>
                <w:rFonts w:hint="eastAsia" w:ascii="宋体" w:hAnsi="宋体" w:cs="宋体"/>
                <w:b w:val="0"/>
                <w:bCs w:val="0"/>
                <w:color w:val="auto"/>
                <w:kern w:val="0"/>
                <w:sz w:val="21"/>
                <w:szCs w:val="21"/>
                <w:highlight w:val="none"/>
                <w:lang w:val="en-US" w:eastAsia="zh-CN" w:bidi="ar"/>
              </w:rPr>
              <w:t>、</w:t>
            </w:r>
            <w:r>
              <w:rPr>
                <w:rFonts w:hint="default" w:ascii="宋体" w:hAnsi="宋体" w:cs="宋体"/>
                <w:b w:val="0"/>
                <w:bCs w:val="0"/>
                <w:color w:val="auto"/>
                <w:kern w:val="0"/>
                <w:sz w:val="21"/>
                <w:szCs w:val="21"/>
                <w:highlight w:val="none"/>
                <w:lang w:val="en-US" w:eastAsia="zh-CN" w:bidi="ar"/>
              </w:rPr>
              <w:t>可能存在的问题事先与使用方沟通好，形成书面协议作备忘。所有线路尽量不要经过地面，当不得已要经过地面时要敷设耐踩耐踢的金属防锈线槽（边缘厚度≥1.2mm），所有弯角不得有锐利突出，强弱电分槽敷设，安装整齐美观.牢靠。</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4.线槽内强电必须套管；</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5.线槽转弯处必须使用专用线槽转角。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spacing w:line="360" w:lineRule="auto"/>
              <w:ind w:firstLine="0" w:firstLineChars="0"/>
              <w:jc w:val="left"/>
              <w:rPr>
                <w:rFonts w:hint="default" w:ascii="宋体" w:hAnsi="宋体" w:cs="宋体"/>
                <w:b w:val="0"/>
                <w:bCs w:val="0"/>
                <w:color w:val="auto"/>
                <w:szCs w:val="21"/>
                <w:highlight w:val="none"/>
                <w:lang w:val="en-US"/>
              </w:rPr>
            </w:pPr>
            <w:r>
              <w:rPr>
                <w:rFonts w:hint="eastAsia" w:hAnsi="宋体"/>
                <w:b/>
                <w:bCs/>
                <w:color w:val="auto"/>
                <w:sz w:val="21"/>
                <w:szCs w:val="21"/>
                <w:highlight w:val="none"/>
                <w:lang w:val="en-US" w:eastAsia="zh-CN" w:bidi="ar"/>
              </w:rPr>
              <w:t>学生床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1</w:t>
            </w:r>
          </w:p>
        </w:tc>
        <w:tc>
          <w:tcPr>
            <w:tcW w:w="888" w:type="dxa"/>
          </w:tcPr>
          <w:p>
            <w:pPr>
              <w:pStyle w:val="20"/>
              <w:ind w:firstLine="0" w:firstLineChars="0"/>
              <w:rPr>
                <w:rFonts w:hint="eastAsia" w:hAnsi="宋体"/>
                <w:b w:val="0"/>
                <w:bCs w:val="0"/>
                <w:color w:val="auto"/>
                <w:sz w:val="21"/>
                <w:szCs w:val="21"/>
                <w:highlight w:val="none"/>
                <w:lang w:val="en-US" w:eastAsia="zh-CN" w:bidi="ar"/>
              </w:rPr>
            </w:pPr>
            <w:r>
              <w:rPr>
                <w:rFonts w:hint="eastAsia" w:ascii="宋体" w:hAnsi="宋体" w:cs="宋体"/>
                <w:b w:val="0"/>
                <w:bCs w:val="0"/>
                <w:color w:val="auto"/>
                <w:sz w:val="21"/>
                <w:szCs w:val="21"/>
                <w:highlight w:val="none"/>
              </w:rPr>
              <w:t>铁架床</w:t>
            </w:r>
          </w:p>
        </w:tc>
        <w:tc>
          <w:tcPr>
            <w:tcW w:w="630" w:type="dxa"/>
            <w:gridSpan w:val="2"/>
          </w:tcPr>
          <w:p>
            <w:pPr>
              <w:pStyle w:val="20"/>
              <w:ind w:firstLine="0" w:firstLineChars="0"/>
              <w:rPr>
                <w:rFonts w:hint="eastAsia" w:hAnsi="宋体" w:eastAsia="宋体"/>
                <w:b w:val="0"/>
                <w:bCs w:val="0"/>
                <w:color w:val="auto"/>
                <w:sz w:val="21"/>
                <w:szCs w:val="21"/>
                <w:highlight w:val="none"/>
                <w:lang w:val="en-US" w:eastAsia="zh-CN" w:bidi="ar"/>
              </w:rPr>
            </w:pPr>
            <w:r>
              <w:rPr>
                <w:rFonts w:hint="eastAsia" w:hAnsi="宋体"/>
                <w:b w:val="0"/>
                <w:bCs w:val="0"/>
                <w:color w:val="auto"/>
                <w:sz w:val="21"/>
                <w:szCs w:val="21"/>
                <w:highlight w:val="none"/>
                <w:lang w:val="en-US" w:eastAsia="zh-CN" w:bidi="ar"/>
              </w:rPr>
              <w:t>套</w:t>
            </w:r>
          </w:p>
        </w:tc>
        <w:tc>
          <w:tcPr>
            <w:tcW w:w="645" w:type="dxa"/>
          </w:tcPr>
          <w:p>
            <w:pPr>
              <w:pStyle w:val="20"/>
              <w:ind w:firstLine="0" w:firstLineChars="0"/>
              <w:rPr>
                <w:rFonts w:hint="default" w:hAnsi="宋体"/>
                <w:b w:val="0"/>
                <w:bCs w:val="0"/>
                <w:color w:val="auto"/>
                <w:sz w:val="21"/>
                <w:szCs w:val="21"/>
                <w:highlight w:val="none"/>
                <w:lang w:val="en-US" w:bidi="ar"/>
              </w:rPr>
            </w:pPr>
            <w:r>
              <w:rPr>
                <w:rFonts w:hint="default" w:hAnsi="宋体"/>
                <w:b w:val="0"/>
                <w:bCs w:val="0"/>
                <w:color w:val="auto"/>
                <w:sz w:val="21"/>
                <w:szCs w:val="21"/>
                <w:highlight w:val="none"/>
                <w:lang w:val="en-US" w:bidi="ar"/>
              </w:rPr>
              <w:t>450</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一、双层床的型号尺寸</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双层床的型号规格及结构应符合国家标准GB/T3328-2016《家具床类主要尺寸》的规定要求。双层床尺寸分为中学、小学用两种。</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（一）中学双层床的尺寸：</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2000 mm×900 mm×1800mm（长×宽×高），上下床铺面间的层间净高为1000mm。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（二）小学双层床的尺寸：</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1850 mm×800 mm×1700mm（长×宽×高），上下床铺面间的层间净高为900mm。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二、双层床的材料要求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（一）金属件</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1、主体材料</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边主柱：方管约40mm×40mm，厚度不小于1.5mm。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主柱横担：矩形管约25mm×25mm，厚度不小于1.2mm。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床梃（床母）：矩形管约50mm×25mm，厚度不小于1.5mm。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床梃（床母）横担：矩形管约30mm×20mm，厚度不小于1.2mm，上床铺床梃（床母）横担不少于4根，下床铺床梃（床母）横担不少于4根。</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上床铺面安全栏板及床两端护栏：双层床的安全栏板规格：1100mm×300mm（长×高），安全栏竖管不少于5根，钢管直径19mm，管壁厚：1.0mm。安全栏板与主柱距离（缺口长度）为500mm。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主柱卡口规格：≤26mm×26mm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床梃（床母）卡梢部位钢材厚度不小于1.5mm，卡梢总宽度不小于20mm，卡梢进深不少于15mm，床梃（床母）扣件规格不小于200mm×50mm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床梯子：方管约25mm×25mm，厚度不小于1.2mm，床梯宽度约为300mm，脚踏数量不少于4根。</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上床铺蚊帐架采用不小于Φ16×δ1.0的圆管制成，床铺蚊帐圈孔径Φ30mm。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2、材料质量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双层床的金属件的技术要求和试验方法符合国家标准GB/T 3325-2017《金属家具通用技术条件》的规定。双层床所用钢材不低于高频焊接冷轧钢板，质量必须符合国家标准GB/T700-2006《碳素结构钢》要求，钢材表面粗糙度Ra的最大值为1.6μm，金属件材质不允许使用出现孔洞、缺口、开裂、尖角、裂缝、叠缝、腐蚀、离层、结疤、氧化皮等影响产品结构强度、外观和安全的材料。</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3、双层床结构</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床架钢件部分分为6个组件，具体为：1、床左拼，2、床右拼，3、上床架（含安全栏），4、下床架，5、蚊帐架1副，6、床梯子1套。</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（二）木制件</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1、床板：（中学）1915 mm×840 mm（长×宽），（小学）：1765 mm×740 mm（长×宽）；采用厚度不小于15mm的双面光杉木板；每块床板的拼装板料数量最多不得超过8块；固定横条不少于3条，规格为30mm×20mm的实木方料。</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2、双层床所用木材须进行防虫、除脂、干燥处理，不允许使用有边角缺陷、虫蛀、腐朽、霉变、开裂、变形等影响产品结构强度和外观的材料，材质符合国家标准要求。每张双层床配2块床板。</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3、含水率：双层床加工所用木板含水率应不高于16%。双层床板出厂时木材含水率不高于16%。</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（三）其它材料</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1、脚套。</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床脚和床主柱顶端的脚套为内嵌式黑色脚套，采用超高分子量PE材料制作，壁厚不小于2mm,底厚不小于5mm，进深不小于30mm，加强筋不少于5圈, 加强筋厚度不小于1.2mm，底面规格不小于42mm×42mm,脚套与床脚（或主柱顶端）应结合紧密，牢靠，不脱落。建议：加强筋内径不小于36mm×36mm，加强筋外径不小于39mm×39mm。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三、双层床的加工要求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（一）金属件加工要求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1、金属件外观、加工要求按照QB/T 2741-2013《学生公寓多功能家具》中5.3的规定执行。</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2、管材应无裂缝、叠缝，外露管口端面应封闭。</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焊接件焊接时采用二氧化碳保护焊接。焊接件之间的连接部分均应全部圈焊接（结构不需要时除外），不允许脱焊、虚焊、焊穿、错位现象；焊接处应无夹渣、气孔、焊瘤、焊丝头、咬边、飞溅；焊疤表面波纹应均匀、高低之差应不大于1mm。焊接后须经打磨处理。</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4、冲压件应无脱层、裂缝。</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（二）木制件加工要求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木制件外观、加工要求等按照QB/T 2741-2013《学生公寓多功能家具》中5.3的规定执行。</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（三）金属件的连接</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1、床梃（床母）与主柱连接方式必须为卡梢式，连接件需防锈处理。</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2、其他金属零、部件的连接方式必须采用焊接连接，不允许采用铆钉连接（铆接）和螺钉连接。（除铭牌、床梯子与床梃（床母）、主柱与床梃（床母）连接外）。</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3、床梯子与床梃（床母）的联接采用与上下床梃（床母）垂直插入定位方。</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4、床两端护栏及安全栏板与床梃（床母）连接必须圈焊，安全栏板两侧必须插孔焊接。</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5、双层床必须预设2个固定装置以便与墙体进行固定，固定装置设置在安全栏对面床梃（床母）适当位置，放置内径10mm的钢制中空内芯。</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6、下床铺必须在合适位置设置固定蚊帐装置。</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（四）双层床加工尺寸要求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双层床的外形尺寸，形状和位置公差分别按照QB/T 2741-2013《学生公寓多功能家具》中的5.1和5.2的规定执行。</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（五）双层床的力学性能要求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双层床的力学性能要求按照QB/T 2741-2013《学生公寓多功能家具》中5.5的规定执行。</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四、双层床的涂饰要求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（一）涂饰要求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1、涂饰前双层床零、部件的表面应光滑、平整，不得有飞边、尖角、毛刺等可能造成机械伤害的缺陷。金属件应无开裂、脱焊、漏焊、焊渣等缺陷。</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2、涂饰前金属件零、部件表面必须进行预备处理，采用除锈、防锈处理工艺，除去锈迹等其他污迹后进行涂装打底磷化处理。</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3、预备处理后表面不得有氧化皮、锈蚀、粘砂等其他杂质，磷化层达到工艺要求，预备处理后应及时使用热固性砂纹粉进行涂饰。</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（二）涂饰层外观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1、金属件涂层应无漏喷、锈蚀；应光滑均匀，色泽一致，应无流挂、疙瘩、皱皮、飞漆等缺陷。</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2、每批产品（含双层床）不允许有明显色差。</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3、产品上的五金配件应做防锈处理。</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（三）表面理化性能</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产品表面理化性能要求按QB/T 2741-2013《学生公寓多功能家具》中的表3规定执行。</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五、双层床产品的外观和安全卫生要求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（一）双层床外观应符合QB/T 2741-2013《学生公寓多功能家具》中5.3的规定。双层床产品外表不允许出现明显的材质缺陷，不允许出现超出《技术要求》规定的加工要求和涂饰外观缺陷，不允许出现明显的变形。</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（二）双层床安全栏板质量必须符合国家标准GB 24430.1-2009《家用双层床安全第1部分：要求》中4.3的要求。必须镶嵌床垫（或床褥）放置高度永久性警示线，警示线距离安全栏板上端距离为200mm，警示线清晰、醒目。</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（三）床梯子质量必须符合国家标准GB 24430.1-2009《家用双层床安全第1部分：要求》中4.6要求。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（四）双层床产品外表不允许出现局部压陷、局部凹痕、局部超厚、尖角、锐边、裂口（缝）等易造成危险的缺陷；在接触人体或收藏物品的部位应无毛刺、刃口、棱角；管材外露管口端面应封闭。</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(五)双层床安装、包装、运输要求。</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1、产品着地应平稳，安装后应牢固可靠，不应出现摇摆现象，使用时床板与金属件不允许发出摩擦声。</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2、产品包装、运输按JY 0001-2003《教学仪器设备产品一般质量要求》规定执行。</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3、双层床产品固定部位的结合应牢固无松动、无少件、漏钉、透钉(预留孔、选择孔除外)。</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（六）双层床产品应贴有符合《技术要求》的产品组装示意图、产品型号标牌和生产厂家标牌。双层床的四只脚及主柱顶端分别牢靠地嵌上内嵌式脚套。</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（七）有害物质限量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1、双层床涂饰所用涂料和胶粘剂中有害物质限量应符合国家标准GB 18583-2008《室内装饰装修材料胶粘剂中有害物质限量》的规定。</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2、双层床产品的甲醛释放限量和色漆的有害物质限量应符合国家标准GB 18584-2001《室内装饰装修材料木家具中有害物质限量》的规定。</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仿宋_GB2312" w:hAnsi="仿宋_GB2312" w:eastAsia="仿宋_GB2312" w:cs="仿宋_GB2312"/>
                <w:b w:val="0"/>
                <w:bCs w:val="0"/>
                <w:color w:val="auto"/>
                <w:kern w:val="0"/>
                <w:sz w:val="21"/>
                <w:szCs w:val="21"/>
                <w:highlight w:val="none"/>
                <w:lang w:val="en-US" w:eastAsia="zh-CN" w:bidi="ar"/>
              </w:rPr>
              <w:t>★</w:t>
            </w:r>
            <w:r>
              <w:rPr>
                <w:rFonts w:hint="eastAsia" w:ascii="宋体" w:hAnsi="宋体" w:cs="宋体"/>
                <w:b w:val="0"/>
                <w:bCs w:val="0"/>
                <w:color w:val="auto"/>
                <w:kern w:val="0"/>
                <w:sz w:val="21"/>
                <w:szCs w:val="21"/>
                <w:highlight w:val="none"/>
                <w:lang w:val="en-US" w:eastAsia="zh-CN" w:bidi="ar"/>
              </w:rPr>
              <w:t>八、供应商必须提供边立柱由具有资质的第三方检验机构出具的合格检测报告复印件【检测报告包含但不限于以下内容：壁厚、基材化学成分(C≤0.20%、Si≤0.35%、Mn≤1.40%、P≤0.045%、S≤0.045%)、金属喷漆涂层理化性能(硬度≥H、附着力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spacing w:line="360" w:lineRule="auto"/>
              <w:ind w:firstLine="0" w:firstLineChars="0"/>
              <w:jc w:val="left"/>
              <w:rPr>
                <w:rFonts w:hint="eastAsia" w:ascii="宋体" w:hAnsi="宋体" w:eastAsia="宋体" w:cs="宋体"/>
                <w:b w:val="0"/>
                <w:bCs w:val="0"/>
                <w:color w:val="auto"/>
                <w:szCs w:val="21"/>
                <w:highlight w:val="none"/>
                <w:lang w:val="en-US" w:eastAsia="zh-CN"/>
              </w:rPr>
            </w:pPr>
            <w:r>
              <w:rPr>
                <w:rFonts w:hint="default" w:ascii="宋体" w:hAnsi="宋体" w:cs="宋体"/>
                <w:b w:val="0"/>
                <w:bCs w:val="0"/>
                <w:color w:val="auto"/>
                <w:szCs w:val="21"/>
                <w:highlight w:val="none"/>
                <w:lang w:val="en-US"/>
              </w:rPr>
              <w:t>物理</w:t>
            </w:r>
            <w:r>
              <w:rPr>
                <w:rFonts w:hint="eastAsia" w:ascii="宋体" w:hAnsi="宋体" w:cs="宋体"/>
                <w:b w:val="0"/>
                <w:bCs w:val="0"/>
                <w:color w:val="auto"/>
                <w:szCs w:val="21"/>
                <w:highlight w:val="none"/>
                <w:lang w:val="en-US" w:eastAsia="zh-CN"/>
              </w:rPr>
              <w:t>教学设备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吹风机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功率≥1000W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仪器车</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辆</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600mm×400mm×800mm，车轮Φ75mm，厚25mm；一轮带刹车，车轮固定，车架扭动量(上部)≤20mm；钢材制作，载重≥60kg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一字螺丝刀</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Φ6mm，长150mm；Φ3mm，长75mm；工作部带磁性,硬度不低于HRC48；旋杆采用铬钒钢，长度不小于100mm，应经镀铬防锈处理；手柄采用高强度PP+高强性TPR注塑成型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剥线钳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Φ0.5mm～2.5mm；刃口闭合状态间隙应不大于0.3mm，刃口错位应不大于0.2mm；钳口硬度不低于HRA65或HRC30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钢丝钳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160mm，抗弯强度1120N，扭力矩15N·m，15°;剪切性能Φ16mm钢丝，580N；夹持面硬度不低于44HRC；PVC环保手柄，在不大于18N的力作用下撑开角度不小于22°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尖嘴钳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160mm，抗弯强度710N，剪切性能Φ1.6mm钢丝,570N；在不大于18N的力作用下撑开角度不小于22°,硬度不低于44HRC，PVC手柄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平口钳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普通机用平口钳；钳口宽度100mm，最大张开度100mm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斜口钳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125mm，双刃刀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民用剪刀</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长170mm，用于剪布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红液温度计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量程-20℃~100℃,分度值1℃,示值误差&lt;±1.5℃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演示温度计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量程-5℃~100℃,分度值1℃,误差±1℃;全长不小于565mm，感温泡长度不小于30mm，标尺不小于350mm，标度板上有摄氏温标和热力学温标；在板面中段承受垂直与板面方向4.9N的力时，板中部挠度应不大于5mm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数字温度计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量程-30℃~200℃,分辨力0.1℃,误差&lt;±1.5℃;不接电脑，可独立运行，自带显示屏,表盘尺寸≥180mm×90mm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陶土网</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功能同石棉网，陶土材质，尺寸不小于125mm×125mm，0.8mm钢丝制成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两用气筒</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活塞胶垫，气嘴外径8mm±0.1mm，长度15mm，台阶口；抽气压强达到6.7kPa时，放置30s，漏气引起的压强变化应≤2.6kPa；充气压强达到290kPa时，放置30s，漏气引起的压强变化应≤9.8kPa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碘升华凝华管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碘密封于碘锤内，无色透明硼硅酸盐玻璃制管Φ28mm×34mm，两端面应为凹面，热冲击应不低于200℃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制作简易温度计实验材料</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小玻璃瓶、胶塞、细玻璃管、5mL红色食用色素等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磁悬浮原理实验器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包括2个小圆柱形磁体、配套试管等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圆柱体组</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包括纯铜、铝(或铝合金)和铁(钢)等3种材质圆柱体;圆柱体直径20mm，高32mm；每个圆柱体配网兜(质量小于0.01g)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立方体组</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包括黄铜、铁、铝、木4种材料的5个立方体，其中铝材2个，黄铜(边长20mm)、铁(边长20mm)、铝(边长25mm)、铝(边长30mm)、木材(边长50mm)各1个，带不锈钢挂钩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望远镜</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双筒，7×35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内聚力演示器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2个铅圆柱体、旋转式刮削器、挤压器和2根扳杆组成；圆柱体尺寸约Φ20mm×50mm，铅柱镶铁部分长度约为铅圆柱长度的1/2，挤压架应采用铁质结构，2个铅圆柱体应能装入挤压器中，通过螺旋实现挤压；挤压器螺旋挤压的最大和最小距离差应≥35mm，挤压器装入铅圆柱挤压至人力不能继续挤压时，在挤压方向的形变应≤0.25mm；刮削器由转柄、刀片和刀轴组成，削平的两铅圆柱体端面压在一起后，承受轴向拉力应≥60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演示测力计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平板式；量程0N一2N，分度值0.1N；示值误差≤1/4分度，升降示差≤1/2分度，重复性偏差≤1/4分度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条形盒测力计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量程0N一2.5N，分度值0.05N；示值误差≤1/4分度，升降示差≤1/2分度，重复性偏差≤1/4分度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数字测力计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量程0N～20N，误差≤±1.0%FS±1字，采样频率应不低于100次/秒，可测拉力和压力，不接电脑能独立运行，显示屏尺寸不小于30mm×40mm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金属钩码</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50g±0.5g，每盒10个，可叠放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惯性演示器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观察的物体应能收回，成功率不小于98%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浮力原理演示器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透明的大水箱、小水箱、排气管、浮体、连通管(A、B)、控制阀和支架组成。连通管A中部装有阀门，浮体放在小水箱上口，从周围缓缓加入水，浮体不浮起；打开阀门，使水面从小水箱中向浮体底部缓缓上升，当接触浮体底部时浮体上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气体浮力演示器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抽气式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物体浮沉条件演示器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由透明盛液筒(内径≥95mm，深度≥285mm)、浮体及附件(U形杯、叉子、注射器、密度计)组成；悬浮应有微调，浮体可处于漂浮、悬浮、下沉三种状态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潜水艇浮沉演示器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由潜水艇模型、注射器、软乳胶管组成；潜水艇模型中间为透明气室，顶部有吸排气孔,下端有进水孔，用注射器控制沉浮；能连续完成下沉、上浮交替动作不小于2次，悬浮时倾斜不超过10。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压力作用效果演示器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由3组规格相同的长方体金属块、带刻度的透明长方体容器、硬海绵块组成；跟金属块的3个面积对应的3块海绵应受力形变均匀；透明塑料盒带刻度，金属块和海绵方便取出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钉板实验材料</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由钉板、气球等组成；用密钉板时水袋不破，用疏钉板时水袋破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液体对器壁压强演示器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透明圆筒壁同一直线上不同高度处应有3个喷嘴，对面应有1个喷嘴；配4个喷嘴塞或盖，有表示深度的标尺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连通器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由粗直管、细直管、细弯折管、细带球管等组成，尺寸210mm×210mm×120mm，底座应平稳；粗管外径30mm，细管外径12mm，无色透明材料透光率≥90%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马德堡半球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由半球、拉手、气嘴、阀门、橡胶管2根以及底座等组成；球体外径应≥80mm，气嘴外径8mm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空盒气压计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DYM3型，量程870hPa～1050hPa，整10hPa点示值误差不应超过±0.7hPa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流体压强与流速关系演示器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气体/液体两用式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飞机升力原理演示器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由机翼模型(或飞机模型，硬质塑料制成)、平行风源风机、底座、滑杆等组成，机翼下表面水平；若有调速电位器的Ⅱ类电器，金属外壳(以及与金属外壳相连的螺母)不应露在外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演示滑轮组</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组</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由单滑轮2件、三并滑轮2件、三串滑轮2件、支杆滑轮2件组成，附滑轮绳；额定负荷：单滑轮9.8N，串及并滑轮为19.6N，支杆滑轮为9.8N；满负荷时，单、支杆滑轮的效率不应低于90％，并、串滑轮的效率不应低于75%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在15m范围内铃声清晰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初中声学实验箱</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可完成声音的产生、声音的传播、声音的特性、噪声的测量等实验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凹面镜</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直径100mm，焦距65mm，镜片为玻璃基质镀反射膜，配支架和镜座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凸面镜</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透明水槽</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250mm×180mm×100mm，透明塑料制，透光率≥85%,壁厚≥2mm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透镜及其应用实验器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盒</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简单测量凸透镜的焦距，用凸透镜和凹透镜做望远镜，用凸透镜做投影、照相的原理等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白光的色散与合成演示器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光源、三棱镜、三棱镜台、光屏、支承系统等组成；两块棱镜应配对，用ZF3玻璃制,其折射率之差不大于0.003，中部色散之差不大于0.0004。实验效果：做白光的色散实验时，可见光区域内光谱连续清晰；能把白光色散后的七色光谱带还原成白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光的三原色合成实验器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可单独显示红、绿、蓝三原色，也可显示双色光混合色和三色光混合色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光具盘c</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分离型、磁吸附式。矩形光盘长≥650mm，宽≥240mm；圆形光盘直径≥250mm。盘面分四个象限,以一条直径为始边，分别刻有0°~90°刻度。半导体激光光源，可显示5条平行光。光学零件：梯形玻砖1件，等腰直角棱镜1件，半圆柱透镜1件，小双凹柱透镜1件，小双凸柱透镜1件，双凸透镜1件，大双凸柱透镜1件，平面镜1件，凹凸柱面镜1件，正三棱镜2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光具组</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双凸透镜2件，平凸透镜1件，双凹透镜1件，“l”字屏1件，白光屏1件，毛玻璃光屏1件，烛台1件(能调节焰心的高度)。光源出口照度≥500lx，0.5m处照度不小于出口照度的3／5。支承机构应能使光路上元件的光心基本等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玻棒(附丝绸)</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或有机玻棒(附丝绸)，丝绸面积≥350mm×350mm。在规定工作条件下，用丝绸裹住玻棒(或有机玻棒)，做一次快速拉出，棒上所带的电荷用D－YDQ－Z－100型指针验电器检验张角≥30°(≥50°)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胶棒(附毛皮)</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或聚碳酸酯棒(附毛皮)，毛皮面积≥150mm×150mm。在规定工作条件下，用毛皮裹胶棒(或聚碳酸脂棒)，做一次快速拉出，棒上所带的电荷用D－YDQ－Z－100型指针验电器检验张角≥30°(≥45°)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指针验电器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外壳、圆球、法拉第圆筒、导电杆、绝缘子、指针、指针架、接地线柱等构成。外壳应由不能带静电的材料制成，外壳上观察面应采用透明材料(透光率≥90%)；指针用非磁性材料，长度≥100mm。性能要求：相对湿度≤65%环境，圆球加9kV直流高压，指针张开角度在45°~50°;移去高压后，指针保持30°以上的时间≥20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感应起电机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起电盘、底座、莱顿瓶、集电杆、放电杆、电刷、电刷杆、皮带轮、连接片等组成。起电盘上导电膜应采用铝箔和纸箔交替分布；莱顿瓶应采用塑料制成，电容量应≥30pF，击穿电压应≥42kV；集电杆采用直径不低于4mm的冷拉圆钢制成，电梳应由针状金属杆或束状裸铜线制成，与起电盘距离不应小于6mm；放电杆采用直径为3mm的冷拉圆钢制成，表面镀铬，绝缘手柄长度应≥80mm，体积电阻率≥1016Ω·m；电刷应采用束状磷铜线；导电膜与起电盘的90°剥离强度应≥8N。性能要求：在温度为20℃、相对湿度为65%±5%的环境中，摇柄转速120r/min，火花放电距离应≥55mm；在温度为5℃~30℃范围，相对湿度为85%±5%的条件下，仪器应正常工作，火花放电距离应≥30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蹄形磁铁</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D-CG-LU-100，表面磁感应强度≥0.055T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磁感线演示器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无色透明塑料外壳，油封铁粉式，仪器尺寸不小于200mm×120mm；环境温度大于10℃时，摇匀铁粉时间每次≤20s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磁感线演示板</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每块板上有130以上个空穴，内含自由活动小铁棒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铁粉</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盒</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铁屑要均匀，颗粒小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电流磁场演示器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直流导线、圆线圈、螺线管的磁场分布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蹄形电磁铁</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磁路总长度不小于220mm，两磁极面中心距离不小于40mm，线圈骨架两端有接线柱、焊片及垫圈，工作电流≤1A，工作电压≤6V，连续工作20min后线圈温升应不大于75℃,吸力≥49N，剩余磁力≤5.88N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螺线管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组</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透明底板，纯铜漆包线，单层绕线，线圈绕向清晰可见，宜附带手柄磁针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充磁器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有充磁时间自动控制功能，外壳为非铁磁性材料，线圈轴向长度不小于80mm，能充两极间距大于28mm、磁极截面积小于42mm×24mm的U形磁铁以及截面积小于42mm×24mm的条形磁铁，电源与线圈骨架以及外壳金属件之间抗电强度3000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演示电磁继电器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包括电磁线圈、铁芯、轭铁、衔铁、常开触点、常闭触点、弹簧、底座等。电磁铁额定工作电压直流9V，工作电流100mA±15mA，吸合电流≤70mA，释放电流20mA～40mA。触点常闭电阻≤1Ω,常开电阻≤0.5Ω,开距≥2mm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方形线圈</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非金属材料正方形框架；线圈应由直径Φ0.41mmQZ型漆包线绕150匝以上制成，线圈边长为63mm±3mm；线圈引线为截面积为0.20mm20.25mm2、长320mm的多股软线，线端接线叉；接线棒由绝缘材料制成，长度150mm～160mm，安装红、黑接插两用接线柱，两接线柱的间距等于线圈宽度；接线棒固定端外径10mm，能固定在方座支架的垂直夹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滚摆</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包括摆体(摆轮和摆轴)、悬线和支架等。摆轮采用金属材质，直径125mm；摆轴采用钢材制作，直径8mm，长160mm；支架高460mm,横梁长300mm；摆体质量为0.6kg～0.8kg。摆体前10次的回升累计递减量应≤65mm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气体做功内能减少演示器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10kΩ的NTC热敏电阻封在100mL注射器内，同时可演示内能减少和内能增大，热响应时间≤1s（配微电流放大器使用）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空气压缩引火仪</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气缸、底座、端盖、活塞等部分组成。气缸用透明有机玻璃制作，内径Φ10mm，外径Φ25mm，长130mm，底座Φ65mm，手柄Φ40mm，活塞杆Φ8mm。活塞体应使用弹性材料制成，活塞与气缸气密性应良好，连续压缩引火100次后密封圈性能不变。应能引燃脱脂棉，不应使用硝化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汽油机模型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四冲程，单缸，示结构原理。由进气管、进气阀、排气管、排气阀、气缸、活塞、连杆、曲轴、火花塞、齿轮凸轮总成、飞轮、挺杆等组成。手动转动，活塞运动压缩比6:1~8:1，整体高不小于300mm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电珠(小灯泡)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1.5V、0.3A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电珠(小灯泡)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2.5V、0.3A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电珠(小灯泡)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3.8V、0.3A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单刀开关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最高工作电压36V，额定工作电流6A。开关闸刀、接线柱、垫片均为铜质。闸刀宽度≥7mm,闸刀厚度≥0.7mm。接线柱直径为4mm，有效行程≥4mm。通额定电流，导电部分允许温升≤35℃,操作手柄允许温升≤25℃。开关的绝缘强度应能承受1200V。在额定直流电流工作条件下，接线两端直流电压降≤100m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滑动变阻器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5Ω,3A（误差应&lt;±10%；滑杆应采用正六边形、正四边形或正三角形截面，不应采用圆形截面；电阻丝采用康铜丝，接线柱应有防松动装置；额定电流工作30min温升≤300℃）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滑动变阻器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20Ω,2A（误差应&lt;±10%；滑杆应采用正六边形、正四边形或正三角形截面，不应采用圆形截面；电阻丝采用康铜丝，接线柱应有防松动装置；额定电流工作30min温升≤300℃）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滑动变阻器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50Ω,1.5A（误差应&lt;±10%；滑杆应采用正六边形、正四边形或正三角形截面，不应采用圆形截面；电阻丝采用康铜丝，接线柱应有防松动装置；额定电流工作30min温升≤300℃）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电阻圈</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组</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5Ω、1.5A，10Ω、1.0A，15Ω、0.6A共3种规格，阻值误差≤±1%；电阻丝应采用锰铜线或康铜线绕制；按额定电流连续工作15min后，5Ω、1.5A，10Ω、1.0A，15Ω、0.6A电阻圈外壳两侧温升分别不应高于60K、60K和45K；按额定电流连续工作2h后外壳不应出现焦灼、熔化变形、冒烟现象；加热后电阻值变化应在1%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电阻定律演示器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由底板、2种金属导线(康铜、镍铬)、接线柱、连接片、支撑架等组成；康铜导线2根(长均为1000mm，直径分别为0.5mm、0.3mm)；镍铬线2根(长分别为1000mm、500mm，直径均为0.3mm)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接线夹导线</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长度分别为200mm、300mm、400mm；单芯4mm纯铜接线夹，纯铜导线；宜用不同线色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焦耳定律演示器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液体式，同一产品上数字温度计误差不大于±0.5℃,透明贮液筒不少于3个，底座不少于3个，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家庭电路示教板</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配电部分：三线10A插头与电网连接，带剩余电流保护器的过电流保护器(空气开关)、单相静止式有功电能表(2.0级，5A)。负荷部分：三极和二极插座、三极和二极插头、螺口灯座(E27)1个、插口灯座(E27)1个、E27LED螺口灯泡、卡口－螺口转换器(有卡口灯座时配)、倒扳开关、拉线开关、宜有声控开关和光控开关。火线用红色,零线用蓝色，保护地线用黄绿双色。示教板应能竖立在桌上。开关电极应为左面是零线，右面是火线，三极插座上面是保护接地线。底板可用木板或塑料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default" w:ascii="宋体" w:hAnsi="宋体" w:eastAsia="宋体" w:cs="宋体"/>
                <w:b w:val="0"/>
                <w:bCs w:val="0"/>
                <w:color w:val="auto"/>
                <w:sz w:val="21"/>
                <w:szCs w:val="21"/>
                <w:highlight w:val="none"/>
                <w:lang w:val="en-US" w:eastAsia="zh-CN" w:bidi="ar"/>
              </w:rPr>
              <w:t>化学</w:t>
            </w:r>
            <w:r>
              <w:rPr>
                <w:rFonts w:hint="eastAsia" w:hAnsi="宋体" w:cs="宋体"/>
                <w:b w:val="0"/>
                <w:bCs w:val="0"/>
                <w:color w:val="auto"/>
                <w:sz w:val="21"/>
                <w:szCs w:val="21"/>
                <w:highlight w:val="none"/>
                <w:lang w:val="en-US" w:eastAsia="zh-CN" w:bidi="ar"/>
              </w:rPr>
              <w:t>教学设备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课堂智能反馈系统（含学生观察摄像机、教师观察摄像机、数字阵列麦克风）</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eastAsia"/>
                <w:highlight w:val="none"/>
              </w:rPr>
            </w:pPr>
            <w:r>
              <w:rPr>
                <w:rFonts w:hint="eastAsia"/>
                <w:highlight w:val="none"/>
              </w:rPr>
              <w:t>一、课堂智能反馈系统</w:t>
            </w:r>
          </w:p>
          <w:p>
            <w:pPr>
              <w:widowControl/>
              <w:numPr>
                <w:ilvl w:val="0"/>
                <w:numId w:val="0"/>
              </w:numPr>
              <w:spacing w:beforeLines="0" w:afterLines="0"/>
              <w:jc w:val="left"/>
              <w:textAlignment w:val="center"/>
              <w:rPr>
                <w:rFonts w:hint="eastAsia"/>
                <w:highlight w:val="none"/>
              </w:rPr>
            </w:pPr>
            <w:r>
              <w:rPr>
                <w:rFonts w:hint="eastAsia"/>
                <w:highlight w:val="none"/>
              </w:rPr>
              <w:t>★ 1、系统支持对教室环境的3D还原重建，形成桌椅、讲台、一体机的真实环境建模，采集到的师生互动行为自动对应到具体课桌位置；支持正前方、左前方、右前方、左后方、右后方5种视角转换。</w:t>
            </w:r>
          </w:p>
          <w:p>
            <w:pPr>
              <w:widowControl/>
              <w:numPr>
                <w:ilvl w:val="0"/>
                <w:numId w:val="0"/>
              </w:numPr>
              <w:spacing w:beforeLines="0" w:afterLines="0"/>
              <w:jc w:val="left"/>
              <w:textAlignment w:val="center"/>
              <w:rPr>
                <w:rFonts w:hint="eastAsia"/>
                <w:highlight w:val="none"/>
              </w:rPr>
            </w:pPr>
            <w:r>
              <w:rPr>
                <w:rFonts w:hint="eastAsia"/>
                <w:highlight w:val="none"/>
              </w:rPr>
              <w:t xml:space="preserve"> 2、在2D/3D课堂孪生界面中，通过颜色深浅表示学生参与互动的活跃程度，基于学生上台次数、举手次数、问答次数计算学生活跃程度，颜色越深则代表越活跃。</w:t>
            </w:r>
          </w:p>
          <w:p>
            <w:pPr>
              <w:widowControl/>
              <w:numPr>
                <w:ilvl w:val="0"/>
                <w:numId w:val="0"/>
              </w:numPr>
              <w:spacing w:beforeLines="0" w:afterLines="0"/>
              <w:jc w:val="left"/>
              <w:textAlignment w:val="center"/>
              <w:rPr>
                <w:rFonts w:hint="eastAsia"/>
                <w:highlight w:val="none"/>
              </w:rPr>
            </w:pPr>
            <w:r>
              <w:rPr>
                <w:rFonts w:hint="eastAsia"/>
                <w:highlight w:val="none"/>
              </w:rPr>
              <w:t xml:space="preserve"> 3、在2D/3D课堂孪生界面中，支持在地面上显示教师的巡堂轨迹，颜色越深代表停留时间越长。</w:t>
            </w:r>
          </w:p>
          <w:p>
            <w:pPr>
              <w:widowControl/>
              <w:numPr>
                <w:ilvl w:val="0"/>
                <w:numId w:val="0"/>
              </w:numPr>
              <w:spacing w:beforeLines="0" w:afterLines="0"/>
              <w:jc w:val="left"/>
              <w:textAlignment w:val="center"/>
              <w:rPr>
                <w:rFonts w:hint="eastAsia"/>
                <w:highlight w:val="none"/>
              </w:rPr>
            </w:pPr>
            <w:r>
              <w:rPr>
                <w:rFonts w:hint="eastAsia"/>
                <w:highlight w:val="none"/>
              </w:rPr>
              <w:t>★ 4、系统具备内置生成式大模型和教学内容辅助生成算法，教学内容自动生成课程总览、师生对话、课堂互动、新课标落实四个维度的课堂反馈建议，可查看课程知识点、符合知识性目标的提问、不合适的提问、提问优化建议、所有提问、课堂互动评价、课堂互动建议、基于新课标的授课分析、亮点和改进建议。</w:t>
            </w:r>
          </w:p>
          <w:p>
            <w:pPr>
              <w:widowControl/>
              <w:numPr>
                <w:ilvl w:val="0"/>
                <w:numId w:val="0"/>
              </w:numPr>
              <w:spacing w:beforeLines="0" w:afterLines="0"/>
              <w:jc w:val="left"/>
              <w:textAlignment w:val="center"/>
              <w:rPr>
                <w:rFonts w:hint="eastAsia"/>
                <w:highlight w:val="none"/>
              </w:rPr>
            </w:pPr>
            <w:r>
              <w:rPr>
                <w:rFonts w:hint="eastAsia"/>
                <w:highlight w:val="none"/>
              </w:rPr>
              <w:t>5、系统自动统计教师授课、师生互动、小组讨论、课堂练习的时间分布情况，支持按照时序图样式、和饼图样式展示，展示不同课堂行为发生的顺序、时长。</w:t>
            </w:r>
          </w:p>
          <w:p>
            <w:pPr>
              <w:widowControl/>
              <w:numPr>
                <w:ilvl w:val="0"/>
                <w:numId w:val="0"/>
              </w:numPr>
              <w:spacing w:beforeLines="0" w:afterLines="0"/>
              <w:jc w:val="left"/>
              <w:textAlignment w:val="center"/>
              <w:rPr>
                <w:rFonts w:hint="eastAsia"/>
                <w:highlight w:val="none"/>
              </w:rPr>
            </w:pPr>
            <w:r>
              <w:rPr>
                <w:rFonts w:hint="eastAsia"/>
                <w:highlight w:val="none"/>
              </w:rPr>
              <w:t>6、系统自动统计教师授课、师生互动、小组讨论、课堂练习的时间分布情况，支持按照时序图样式、和饼图样式展示，展示不同课堂行为发生的顺序、时长。</w:t>
            </w:r>
          </w:p>
          <w:p>
            <w:pPr>
              <w:widowControl/>
              <w:numPr>
                <w:ilvl w:val="0"/>
                <w:numId w:val="0"/>
              </w:numPr>
              <w:spacing w:beforeLines="0" w:afterLines="0"/>
              <w:jc w:val="left"/>
              <w:textAlignment w:val="center"/>
              <w:rPr>
                <w:rFonts w:hint="eastAsia"/>
                <w:highlight w:val="none"/>
              </w:rPr>
            </w:pPr>
            <w:r>
              <w:rPr>
                <w:rFonts w:hint="eastAsia"/>
                <w:highlight w:val="none"/>
              </w:rPr>
              <w:t>7、系统将课堂中老师和学生的声音转写为文字，按照前后文自动切割为不同的片段；片段支持展开查看详细文字，支持跳转到文字段落对应的视频片段。</w:t>
            </w:r>
          </w:p>
          <w:p>
            <w:pPr>
              <w:widowControl/>
              <w:numPr>
                <w:ilvl w:val="0"/>
                <w:numId w:val="0"/>
              </w:numPr>
              <w:spacing w:beforeLines="0" w:afterLines="0"/>
              <w:jc w:val="left"/>
              <w:textAlignment w:val="center"/>
              <w:rPr>
                <w:rFonts w:hint="eastAsia"/>
                <w:highlight w:val="none"/>
              </w:rPr>
            </w:pPr>
            <w:r>
              <w:rPr>
                <w:rFonts w:hint="eastAsia"/>
                <w:highlight w:val="none"/>
              </w:rPr>
              <w:t>8、系统支持对语音转写中的师生问答进行自动识别，所有的提问自动高亮显示，支持将识别出的问答实录一键导出为云文档。</w:t>
            </w:r>
          </w:p>
          <w:p>
            <w:pPr>
              <w:widowControl/>
              <w:numPr>
                <w:ilvl w:val="0"/>
                <w:numId w:val="0"/>
              </w:numPr>
              <w:spacing w:beforeLines="0" w:afterLines="0"/>
              <w:jc w:val="left"/>
              <w:textAlignment w:val="center"/>
              <w:rPr>
                <w:rFonts w:hint="eastAsia"/>
                <w:highlight w:val="none"/>
              </w:rPr>
            </w:pPr>
            <w:r>
              <w:rPr>
                <w:rFonts w:hint="eastAsia"/>
                <w:highlight w:val="none"/>
              </w:rPr>
              <w:t>9、系统支持自动识别问题分类，按简单型、追问型、思考再答型、自问自答、无响应进行分类统计，通过饼图表呈现。</w:t>
            </w:r>
          </w:p>
          <w:p>
            <w:pPr>
              <w:widowControl/>
              <w:numPr>
                <w:ilvl w:val="0"/>
                <w:numId w:val="0"/>
              </w:numPr>
              <w:spacing w:beforeLines="0" w:afterLines="0"/>
              <w:jc w:val="left"/>
              <w:textAlignment w:val="center"/>
              <w:rPr>
                <w:rFonts w:hint="eastAsia"/>
                <w:highlight w:val="none"/>
              </w:rPr>
            </w:pPr>
            <w:r>
              <w:rPr>
                <w:rFonts w:hint="eastAsia"/>
                <w:highlight w:val="none"/>
              </w:rPr>
              <w:t>10、系统支持点击问答模式柱状图对该类型的提问进行筛选，问答实录中显示对应文字明细，文字明细会按师生角色区分，并自动进行分段分句，支持跳转到文字段落对应的视频片段。</w:t>
            </w:r>
          </w:p>
          <w:p>
            <w:pPr>
              <w:widowControl/>
              <w:numPr>
                <w:ilvl w:val="0"/>
                <w:numId w:val="0"/>
              </w:numPr>
              <w:spacing w:beforeLines="0" w:afterLines="0"/>
              <w:jc w:val="left"/>
              <w:textAlignment w:val="center"/>
              <w:rPr>
                <w:rFonts w:hint="eastAsia"/>
                <w:highlight w:val="none"/>
              </w:rPr>
            </w:pPr>
            <w:r>
              <w:rPr>
                <w:rFonts w:hint="eastAsia"/>
                <w:highlight w:val="none"/>
              </w:rPr>
              <w:t>11、系统支持通过弗兰德斯编码规则对课堂数据进行每秒1次的打点，自动计算出启发/指导比（I/D）、学生稳态比（PSSR）、教学内容比（CCR）、学生发言比（PIR）、教师提问比（TQR）的指标数值，通过雷达图呈现。</w:t>
            </w:r>
          </w:p>
          <w:p>
            <w:pPr>
              <w:widowControl/>
              <w:numPr>
                <w:ilvl w:val="0"/>
                <w:numId w:val="0"/>
              </w:numPr>
              <w:spacing w:beforeLines="0" w:afterLines="0"/>
              <w:jc w:val="left"/>
              <w:textAlignment w:val="center"/>
              <w:rPr>
                <w:rFonts w:hint="eastAsia"/>
                <w:highlight w:val="none"/>
              </w:rPr>
            </w:pPr>
            <w:r>
              <w:rPr>
                <w:rFonts w:hint="eastAsia"/>
                <w:highlight w:val="none"/>
              </w:rPr>
              <w:t>12、系统支持将本堂课的弗兰德斯编码数值和标准数据进行对比，通过上下箭头呈现高于或低于标准数值；可查看弗兰德斯矩阵编码打点信息，每1秒为一个点，将课堂的全部过程进行打点标记。</w:t>
            </w:r>
          </w:p>
          <w:p>
            <w:pPr>
              <w:widowControl/>
              <w:numPr>
                <w:ilvl w:val="0"/>
                <w:numId w:val="0"/>
              </w:numPr>
              <w:spacing w:beforeLines="0" w:afterLines="0"/>
              <w:jc w:val="left"/>
              <w:textAlignment w:val="center"/>
              <w:rPr>
                <w:rFonts w:hint="eastAsia"/>
                <w:highlight w:val="none"/>
              </w:rPr>
            </w:pPr>
            <w:r>
              <w:rPr>
                <w:rFonts w:hint="eastAsia"/>
                <w:highlight w:val="none"/>
              </w:rPr>
              <w:t>13、系统支持教师画面、学生画面双窗口显示，小窗口可自由拖动位置和自由切换；视频画面与互动课件一一对应，点击互动课件缩略图，可跳转至对应视频片段。</w:t>
            </w:r>
          </w:p>
          <w:p>
            <w:pPr>
              <w:widowControl/>
              <w:numPr>
                <w:ilvl w:val="0"/>
                <w:numId w:val="0"/>
              </w:numPr>
              <w:spacing w:beforeLines="0" w:afterLines="0"/>
              <w:jc w:val="left"/>
              <w:textAlignment w:val="center"/>
              <w:rPr>
                <w:rFonts w:hint="eastAsia"/>
                <w:highlight w:val="none"/>
              </w:rPr>
            </w:pPr>
            <w:r>
              <w:rPr>
                <w:rFonts w:hint="eastAsia"/>
                <w:highlight w:val="none"/>
              </w:rPr>
              <w:t>14、系统将课堂实录自动切割为关键片段，根据模式的选择播放指定类型的片段内容；片段中包含提问、回答、举手、上台、齐读、讨论的教学事件，播放进度条支持显示事件类型、定位播放功能。</w:t>
            </w:r>
          </w:p>
          <w:p>
            <w:pPr>
              <w:widowControl/>
              <w:numPr>
                <w:ilvl w:val="0"/>
                <w:numId w:val="0"/>
              </w:numPr>
              <w:spacing w:beforeLines="0" w:afterLines="0"/>
              <w:jc w:val="left"/>
              <w:textAlignment w:val="center"/>
              <w:rPr>
                <w:rFonts w:hint="eastAsia"/>
                <w:highlight w:val="none"/>
              </w:rPr>
            </w:pPr>
            <w:r>
              <w:rPr>
                <w:rFonts w:hint="eastAsia"/>
                <w:highlight w:val="none"/>
              </w:rPr>
              <w:t>15、系统支持教学环节、课堂互动、完整回放三种播放模式，可任意切换。</w:t>
            </w:r>
          </w:p>
          <w:p>
            <w:pPr>
              <w:widowControl/>
              <w:numPr>
                <w:ilvl w:val="0"/>
                <w:numId w:val="0"/>
              </w:numPr>
              <w:spacing w:beforeLines="0" w:afterLines="0"/>
              <w:jc w:val="left"/>
              <w:textAlignment w:val="center"/>
              <w:rPr>
                <w:rFonts w:hint="eastAsia"/>
                <w:highlight w:val="none"/>
              </w:rPr>
            </w:pPr>
            <w:r>
              <w:rPr>
                <w:rFonts w:hint="eastAsia"/>
                <w:highlight w:val="none"/>
              </w:rPr>
              <w:t>16、系统支持计算本节课的教师行为占有率Rt、师生行为转换率Ch，基于本节课的Rt值、Ch值得出本节课的教学模式，教学模式包含：混合型、练习型、讲授型、对话型。</w:t>
            </w:r>
          </w:p>
          <w:p>
            <w:pPr>
              <w:widowControl/>
              <w:numPr>
                <w:ilvl w:val="0"/>
                <w:numId w:val="0"/>
              </w:numPr>
              <w:spacing w:beforeLines="0" w:afterLines="0"/>
              <w:jc w:val="left"/>
              <w:textAlignment w:val="center"/>
              <w:rPr>
                <w:rFonts w:hint="eastAsia"/>
                <w:highlight w:val="none"/>
              </w:rPr>
            </w:pPr>
            <w:r>
              <w:rPr>
                <w:rFonts w:hint="eastAsia"/>
                <w:highlight w:val="none"/>
              </w:rPr>
              <w:t>17、系统支持以海报、二维码的方式分享给他人，支持在移动端查看报告。</w:t>
            </w:r>
          </w:p>
          <w:p>
            <w:pPr>
              <w:widowControl/>
              <w:numPr>
                <w:ilvl w:val="0"/>
                <w:numId w:val="0"/>
              </w:numPr>
              <w:spacing w:beforeLines="0" w:afterLines="0"/>
              <w:jc w:val="left"/>
              <w:textAlignment w:val="center"/>
              <w:rPr>
                <w:rFonts w:hint="eastAsia"/>
                <w:highlight w:val="none"/>
              </w:rPr>
            </w:pPr>
            <w:r>
              <w:rPr>
                <w:rFonts w:hint="eastAsia"/>
                <w:highlight w:val="none"/>
              </w:rPr>
              <w:t>18、系统支持将听评课记录关联，通过听课记录快速跳转课堂实录片段，并能抽象出评课摘要，呈现本节课人工评价各维度的评分</w:t>
            </w:r>
          </w:p>
          <w:p>
            <w:pPr>
              <w:widowControl/>
              <w:numPr>
                <w:ilvl w:val="0"/>
                <w:numId w:val="0"/>
              </w:numPr>
              <w:spacing w:beforeLines="0" w:afterLines="0"/>
              <w:jc w:val="left"/>
              <w:textAlignment w:val="center"/>
              <w:rPr>
                <w:rFonts w:hint="eastAsia"/>
                <w:highlight w:val="none"/>
              </w:rPr>
            </w:pPr>
            <w:r>
              <w:rPr>
                <w:rFonts w:hint="eastAsia"/>
                <w:highlight w:val="none"/>
              </w:rPr>
              <w:t>▲19、系统支持将两节课数据进行对比，实现同课异构分析，包含教学时间分配、问答模式、提问类型、学生应答、教师理答、弗兰德斯互动分析、S-T教学分析、Rt-Ch教学分析等多个模型，以可视化图像方式对比。</w:t>
            </w:r>
          </w:p>
          <w:p>
            <w:pPr>
              <w:widowControl/>
              <w:numPr>
                <w:ilvl w:val="0"/>
                <w:numId w:val="0"/>
              </w:numPr>
              <w:spacing w:beforeLines="0" w:afterLines="0"/>
              <w:jc w:val="left"/>
              <w:textAlignment w:val="center"/>
              <w:rPr>
                <w:rFonts w:hint="eastAsia"/>
                <w:highlight w:val="none"/>
              </w:rPr>
            </w:pPr>
            <w:r>
              <w:rPr>
                <w:rFonts w:hint="eastAsia"/>
                <w:highlight w:val="none"/>
              </w:rPr>
              <w:t>▲20、系统支持将老师多节课数据分析，形成老师的成长趋势，包含巡堂轨迹变动，教学时间分配变化，提问类型及数量变化，并以图表形式展现。</w:t>
            </w:r>
          </w:p>
          <w:p>
            <w:pPr>
              <w:widowControl/>
              <w:numPr>
                <w:ilvl w:val="0"/>
                <w:numId w:val="0"/>
              </w:numPr>
              <w:spacing w:beforeLines="0" w:afterLines="0"/>
              <w:jc w:val="left"/>
              <w:textAlignment w:val="center"/>
              <w:rPr>
                <w:rFonts w:hint="eastAsia"/>
                <w:highlight w:val="none"/>
              </w:rPr>
            </w:pPr>
            <w:r>
              <w:rPr>
                <w:rFonts w:hint="eastAsia"/>
                <w:highlight w:val="none"/>
              </w:rPr>
              <w:t>21、系统支持以学校为单位，查阅本校设备报告录制情况，直接查阅每份报告，并能查阅部署设备数、昨日活跃设备数、报告生成数、昨日新增数、本校老师参与度、本校报告学科分布等数据；还能支持以教师的形式进行查阅。</w:t>
            </w:r>
          </w:p>
          <w:p>
            <w:pPr>
              <w:widowControl/>
              <w:numPr>
                <w:ilvl w:val="0"/>
                <w:numId w:val="0"/>
              </w:numPr>
              <w:spacing w:beforeLines="0" w:afterLines="0"/>
              <w:jc w:val="left"/>
              <w:textAlignment w:val="center"/>
              <w:rPr>
                <w:rFonts w:hint="eastAsia"/>
                <w:highlight w:val="none"/>
              </w:rPr>
            </w:pPr>
            <w:r>
              <w:rPr>
                <w:rFonts w:hint="eastAsia"/>
                <w:highlight w:val="none"/>
              </w:rPr>
              <w:t>22、系统支持学校、老师下载报告所录制的视频，以mp4形式进行保存。</w:t>
            </w:r>
          </w:p>
          <w:p>
            <w:pPr>
              <w:widowControl/>
              <w:numPr>
                <w:ilvl w:val="0"/>
                <w:numId w:val="0"/>
              </w:numPr>
              <w:spacing w:beforeLines="0" w:afterLines="0"/>
              <w:jc w:val="left"/>
              <w:textAlignment w:val="center"/>
              <w:rPr>
                <w:rFonts w:hint="eastAsia"/>
                <w:highlight w:val="none"/>
              </w:rPr>
            </w:pPr>
            <w:r>
              <w:rPr>
                <w:rFonts w:hint="eastAsia"/>
                <w:b w:val="0"/>
                <w:bCs w:val="0"/>
                <w:color w:val="auto"/>
                <w:highlight w:val="none"/>
              </w:rPr>
              <w:t>▲</w:t>
            </w:r>
            <w:r>
              <w:rPr>
                <w:rFonts w:hint="eastAsia"/>
                <w:highlight w:val="none"/>
              </w:rPr>
              <w:t>23、系统支持将报告下载至本地，报告中包含基础数据、AI建议、教学时间分配、讲学环节时间轴、PTA模型、问答模型、提问类型、弗兰德斯编码图、S-T/Rt-Ch教学分析图、提问数据统计、提问详情列表。</w:t>
            </w:r>
          </w:p>
          <w:p>
            <w:pPr>
              <w:widowControl/>
              <w:numPr>
                <w:ilvl w:val="0"/>
                <w:numId w:val="0"/>
              </w:numPr>
              <w:spacing w:beforeLines="0" w:afterLines="0"/>
              <w:jc w:val="left"/>
              <w:textAlignment w:val="center"/>
              <w:rPr>
                <w:rFonts w:hint="eastAsia"/>
                <w:highlight w:val="none"/>
              </w:rPr>
            </w:pPr>
            <w:r>
              <w:rPr>
                <w:rFonts w:hint="eastAsia"/>
                <w:highlight w:val="none"/>
              </w:rPr>
              <w:t>▲24</w:t>
            </w:r>
            <w:r>
              <w:rPr>
                <w:rFonts w:hint="eastAsia"/>
                <w:highlight w:val="none"/>
                <w:lang w:val="en-US" w:eastAsia="zh-CN"/>
              </w:rPr>
              <w:t>.</w:t>
            </w:r>
            <w:r>
              <w:rPr>
                <w:rFonts w:hint="eastAsia"/>
                <w:highlight w:val="none"/>
              </w:rPr>
              <w:t>系统根据教学内容，基于教学环节、教学任务、教学行为三个特征，形成用户教学流程分布执行情况，支持以进度样式展示，展示不同课堂行为环节的开展情况</w:t>
            </w:r>
          </w:p>
          <w:p>
            <w:pPr>
              <w:widowControl/>
              <w:numPr>
                <w:ilvl w:val="0"/>
                <w:numId w:val="0"/>
              </w:numPr>
              <w:spacing w:beforeLines="0" w:afterLines="0"/>
              <w:jc w:val="left"/>
              <w:textAlignment w:val="center"/>
              <w:rPr>
                <w:rFonts w:hint="eastAsia"/>
                <w:highlight w:val="none"/>
              </w:rPr>
            </w:pPr>
            <w:r>
              <w:rPr>
                <w:rFonts w:hint="eastAsia"/>
                <w:highlight w:val="none"/>
                <w:lang w:val="en-US" w:eastAsia="zh-CN"/>
              </w:rPr>
              <w:t>二、</w:t>
            </w:r>
            <w:r>
              <w:rPr>
                <w:rFonts w:hint="eastAsia"/>
                <w:highlight w:val="none"/>
              </w:rPr>
              <w:t>学生观察摄像机</w:t>
            </w:r>
          </w:p>
          <w:p>
            <w:pPr>
              <w:widowControl/>
              <w:numPr>
                <w:ilvl w:val="0"/>
                <w:numId w:val="0"/>
              </w:numPr>
              <w:spacing w:beforeLines="0" w:afterLines="0"/>
              <w:jc w:val="left"/>
              <w:textAlignment w:val="center"/>
              <w:rPr>
                <w:rFonts w:hint="eastAsia"/>
                <w:highlight w:val="none"/>
              </w:rPr>
            </w:pPr>
            <w:r>
              <w:rPr>
                <w:rFonts w:hint="eastAsia"/>
                <w:highlight w:val="none"/>
              </w:rPr>
              <w:t>1、采用一体化设计，内置四个摄像头和8阵列麦克风，支持PoE和DC12V直流供电。</w:t>
            </w:r>
          </w:p>
          <w:p>
            <w:pPr>
              <w:widowControl/>
              <w:numPr>
                <w:ilvl w:val="0"/>
                <w:numId w:val="0"/>
              </w:numPr>
              <w:spacing w:beforeLines="0" w:afterLines="0"/>
              <w:jc w:val="left"/>
              <w:textAlignment w:val="center"/>
              <w:rPr>
                <w:rFonts w:hint="eastAsia"/>
                <w:highlight w:val="none"/>
              </w:rPr>
            </w:pPr>
            <w:r>
              <w:rPr>
                <w:rFonts w:hint="eastAsia"/>
                <w:highlight w:val="none"/>
              </w:rPr>
              <w:t>2、内置专属的不低于4核音频CPU处理器，配置独立不低于64MB系统内存，不低于256MB存储空间；支持不低于8路麦克风数据处理，采样率不低于192k，AAC编码码率不低于480kbps。</w:t>
            </w:r>
          </w:p>
          <w:p>
            <w:pPr>
              <w:widowControl/>
              <w:numPr>
                <w:ilvl w:val="0"/>
                <w:numId w:val="0"/>
              </w:numPr>
              <w:spacing w:beforeLines="0" w:afterLines="0"/>
              <w:jc w:val="left"/>
              <w:textAlignment w:val="center"/>
              <w:rPr>
                <w:rFonts w:hint="eastAsia"/>
                <w:highlight w:val="none"/>
              </w:rPr>
            </w:pPr>
            <w:r>
              <w:rPr>
                <w:rFonts w:hint="eastAsia"/>
                <w:highlight w:val="none"/>
              </w:rPr>
              <w:t>3、内置8阵列麦克风，拾音角度≥180°，可用于对教室环境音频进行采集，拾音距离≥12m时，信噪比不低于15dB。</w:t>
            </w:r>
          </w:p>
          <w:p>
            <w:pPr>
              <w:widowControl/>
              <w:numPr>
                <w:ilvl w:val="0"/>
                <w:numId w:val="0"/>
              </w:numPr>
              <w:spacing w:beforeLines="0" w:afterLines="0"/>
              <w:jc w:val="left"/>
              <w:textAlignment w:val="center"/>
              <w:rPr>
                <w:rFonts w:hint="eastAsia"/>
                <w:highlight w:val="none"/>
              </w:rPr>
            </w:pPr>
            <w:r>
              <w:rPr>
                <w:rFonts w:hint="eastAsia"/>
                <w:highlight w:val="none"/>
              </w:rPr>
              <w:t>4、支持MJPG、H.264视频编码格式，支持输出1080p、4k、8k分辨率画面。</w:t>
            </w:r>
          </w:p>
          <w:p>
            <w:pPr>
              <w:widowControl/>
              <w:numPr>
                <w:ilvl w:val="0"/>
                <w:numId w:val="0"/>
              </w:numPr>
              <w:spacing w:beforeLines="0" w:afterLines="0"/>
              <w:jc w:val="left"/>
              <w:textAlignment w:val="center"/>
              <w:rPr>
                <w:rFonts w:hint="eastAsia"/>
                <w:highlight w:val="none"/>
              </w:rPr>
            </w:pPr>
            <w:r>
              <w:rPr>
                <w:rFonts w:hint="eastAsia"/>
                <w:highlight w:val="none"/>
              </w:rPr>
              <w:t>5、内置非独立式摄像头，采用一体化集成设计，摄像头数量≥4个；像素值均不低于800万； 均支持 3D 降噪算法和数字宽动态范围成像WDR 技术，支持输出 MJPG、 H.264 视频格式。</w:t>
            </w:r>
          </w:p>
          <w:p>
            <w:pPr>
              <w:widowControl/>
              <w:numPr>
                <w:ilvl w:val="0"/>
                <w:numId w:val="0"/>
              </w:numPr>
              <w:spacing w:beforeLines="0" w:afterLines="0"/>
              <w:jc w:val="left"/>
              <w:textAlignment w:val="center"/>
              <w:rPr>
                <w:rFonts w:hint="eastAsia"/>
                <w:highlight w:val="none"/>
              </w:rPr>
            </w:pPr>
            <w:r>
              <w:rPr>
                <w:rFonts w:hint="eastAsia"/>
                <w:highlight w:val="none"/>
              </w:rPr>
              <w:t>6、内置的智能拼接摄像头，视场角≥141度且水平视场角≥139度，可拍摄≥1600万像素的照片，支持输出8192×2048分辨率的照片和视频，支持画面畸变矫正功能 。</w:t>
            </w:r>
          </w:p>
          <w:p>
            <w:pPr>
              <w:widowControl/>
              <w:numPr>
                <w:ilvl w:val="0"/>
                <w:numId w:val="0"/>
              </w:numPr>
              <w:spacing w:beforeLines="0" w:afterLines="0"/>
              <w:jc w:val="left"/>
              <w:textAlignment w:val="center"/>
              <w:rPr>
                <w:rFonts w:hint="eastAsia"/>
                <w:highlight w:val="none"/>
              </w:rPr>
            </w:pPr>
            <w:r>
              <w:rPr>
                <w:rFonts w:hint="eastAsia"/>
                <w:highlight w:val="none"/>
              </w:rPr>
              <w:t>7、内置1路独立式广角高清摄像头，视场角≥151度且水平视场角≥135度，支持输出4:3、16:9比例的图片和视频；支持1920 x 1080，3840 x 2160分辨率输出；在清晰度为3840 x 2160分辨率下，支持30帧的视频输出。</w:t>
            </w:r>
          </w:p>
          <w:p>
            <w:pPr>
              <w:widowControl/>
              <w:numPr>
                <w:ilvl w:val="0"/>
                <w:numId w:val="0"/>
              </w:numPr>
              <w:spacing w:beforeLines="0" w:afterLines="0"/>
              <w:jc w:val="left"/>
              <w:textAlignment w:val="center"/>
              <w:rPr>
                <w:rFonts w:hint="eastAsia"/>
                <w:highlight w:val="none"/>
              </w:rPr>
            </w:pPr>
            <w:r>
              <w:rPr>
                <w:rFonts w:hint="eastAsia"/>
                <w:highlight w:val="none"/>
              </w:rPr>
              <w:t>8、内置非独立摄像头模组，同时输出至少 3 路视频流，同时支持课堂远程巡课、课堂教学数据采集、本地画面预览（拍照或视频录制）。</w:t>
            </w:r>
          </w:p>
          <w:p>
            <w:pPr>
              <w:widowControl/>
              <w:numPr>
                <w:ilvl w:val="0"/>
                <w:numId w:val="0"/>
              </w:numPr>
              <w:spacing w:beforeLines="0" w:afterLines="0"/>
              <w:jc w:val="left"/>
              <w:textAlignment w:val="center"/>
              <w:rPr>
                <w:rFonts w:hint="eastAsia"/>
                <w:highlight w:val="none"/>
              </w:rPr>
            </w:pPr>
            <w:r>
              <w:rPr>
                <w:rFonts w:hint="eastAsia"/>
                <w:highlight w:val="none"/>
              </w:rPr>
              <w:t>9、内置网卡，无需外接网络连接设备，连接网线至PoE in或PoE out接口均可实现联网功能。</w:t>
            </w:r>
          </w:p>
          <w:p>
            <w:pPr>
              <w:widowControl/>
              <w:numPr>
                <w:ilvl w:val="0"/>
                <w:numId w:val="0"/>
              </w:numPr>
              <w:spacing w:beforeLines="0" w:afterLines="0"/>
              <w:jc w:val="left"/>
              <w:textAlignment w:val="center"/>
              <w:rPr>
                <w:rFonts w:hint="eastAsia"/>
                <w:highlight w:val="none"/>
              </w:rPr>
            </w:pPr>
            <w:r>
              <w:rPr>
                <w:rFonts w:hint="eastAsia"/>
                <w:highlight w:val="none"/>
              </w:rPr>
              <w:t>三、教师观察摄像机</w:t>
            </w:r>
          </w:p>
          <w:p>
            <w:pPr>
              <w:widowControl/>
              <w:numPr>
                <w:ilvl w:val="0"/>
                <w:numId w:val="0"/>
              </w:numPr>
              <w:spacing w:beforeLines="0" w:afterLines="0"/>
              <w:jc w:val="left"/>
              <w:textAlignment w:val="center"/>
              <w:rPr>
                <w:rFonts w:hint="eastAsia"/>
                <w:highlight w:val="none"/>
              </w:rPr>
            </w:pPr>
            <w:r>
              <w:rPr>
                <w:rFonts w:hint="eastAsia"/>
                <w:highlight w:val="none"/>
              </w:rPr>
              <w:t>1、采用一体化设计，内置4k摄像头和麦克风。</w:t>
            </w:r>
          </w:p>
          <w:p>
            <w:pPr>
              <w:widowControl/>
              <w:numPr>
                <w:ilvl w:val="0"/>
                <w:numId w:val="0"/>
              </w:numPr>
              <w:spacing w:beforeLines="0" w:afterLines="0"/>
              <w:jc w:val="left"/>
              <w:textAlignment w:val="center"/>
              <w:rPr>
                <w:rFonts w:hint="eastAsia"/>
                <w:highlight w:val="none"/>
              </w:rPr>
            </w:pPr>
            <w:r>
              <w:rPr>
                <w:rFonts w:hint="eastAsia"/>
                <w:highlight w:val="none"/>
              </w:rPr>
              <w:t>2、摄像头水平视场角≥40°，对角线视场角≥45°。</w:t>
            </w:r>
          </w:p>
          <w:p>
            <w:pPr>
              <w:widowControl/>
              <w:numPr>
                <w:ilvl w:val="0"/>
                <w:numId w:val="0"/>
              </w:numPr>
              <w:spacing w:beforeLines="0" w:afterLines="0"/>
              <w:jc w:val="left"/>
              <w:textAlignment w:val="center"/>
              <w:rPr>
                <w:rFonts w:hint="eastAsia"/>
                <w:highlight w:val="none"/>
              </w:rPr>
            </w:pPr>
            <w:r>
              <w:rPr>
                <w:rFonts w:hint="eastAsia"/>
                <w:highlight w:val="none"/>
              </w:rPr>
              <w:t>3、摄像头传感器有效像素≥800万 。</w:t>
            </w:r>
          </w:p>
          <w:p>
            <w:pPr>
              <w:widowControl/>
              <w:numPr>
                <w:ilvl w:val="0"/>
                <w:numId w:val="0"/>
              </w:numPr>
              <w:spacing w:beforeLines="0" w:afterLines="0"/>
              <w:jc w:val="left"/>
              <w:textAlignment w:val="center"/>
              <w:rPr>
                <w:rFonts w:hint="eastAsia"/>
                <w:highlight w:val="none"/>
              </w:rPr>
            </w:pPr>
            <w:r>
              <w:rPr>
                <w:rFonts w:hint="eastAsia"/>
                <w:highlight w:val="none"/>
              </w:rPr>
              <w:t>4、摄像头支持4K超高清影像输出。</w:t>
            </w:r>
          </w:p>
          <w:p>
            <w:pPr>
              <w:widowControl/>
              <w:numPr>
                <w:ilvl w:val="0"/>
                <w:numId w:val="0"/>
              </w:numPr>
              <w:spacing w:beforeLines="0" w:afterLines="0"/>
              <w:jc w:val="left"/>
              <w:textAlignment w:val="center"/>
              <w:rPr>
                <w:rFonts w:hint="eastAsia"/>
                <w:highlight w:val="none"/>
              </w:rPr>
            </w:pPr>
            <w:r>
              <w:rPr>
                <w:rFonts w:hint="eastAsia"/>
                <w:highlight w:val="none"/>
              </w:rPr>
              <w:t>5、可提供3840×2160图像编码输出，同时向下兼容 1920×1080、1280×720 分辨率；</w:t>
            </w:r>
          </w:p>
          <w:p>
            <w:pPr>
              <w:widowControl/>
              <w:numPr>
                <w:ilvl w:val="0"/>
                <w:numId w:val="0"/>
              </w:numPr>
              <w:spacing w:beforeLines="0" w:afterLines="0"/>
              <w:jc w:val="left"/>
              <w:textAlignment w:val="center"/>
              <w:rPr>
                <w:rFonts w:hint="eastAsia"/>
                <w:highlight w:val="none"/>
              </w:rPr>
            </w:pPr>
            <w:r>
              <w:rPr>
                <w:rFonts w:hint="eastAsia"/>
                <w:highlight w:val="none"/>
              </w:rPr>
              <w:t>6、可同时提供3路编码输出，1路支持1920x1080分辨率的课堂实录画面，帧率可设置25fps、30fps；1路支持3840x2160分辨率；1路1920x1080分辨率板书画面，菜单设置帧率可选10/5/3/1 帧；</w:t>
            </w:r>
          </w:p>
          <w:p>
            <w:pPr>
              <w:widowControl/>
              <w:numPr>
                <w:ilvl w:val="0"/>
                <w:numId w:val="0"/>
              </w:numPr>
              <w:spacing w:beforeLines="0" w:afterLines="0"/>
              <w:jc w:val="left"/>
              <w:textAlignment w:val="center"/>
              <w:rPr>
                <w:rFonts w:hint="eastAsia"/>
                <w:highlight w:val="none"/>
              </w:rPr>
            </w:pPr>
            <w:r>
              <w:rPr>
                <w:rFonts w:hint="eastAsia"/>
                <w:highlight w:val="none"/>
              </w:rPr>
              <w:t>7、内置8阵列麦克风，拾音角度≥180°，麦克风拾音距离≥12m。内置视频处理器采用四核处理器，linux 5.1及以上操作系统，≥512MB系统内存、≥128MB存储空间。</w:t>
            </w:r>
          </w:p>
          <w:p>
            <w:pPr>
              <w:widowControl/>
              <w:numPr>
                <w:ilvl w:val="0"/>
                <w:numId w:val="0"/>
              </w:numPr>
              <w:spacing w:beforeLines="0" w:afterLines="0"/>
              <w:jc w:val="left"/>
              <w:textAlignment w:val="center"/>
              <w:rPr>
                <w:rFonts w:hint="eastAsia"/>
                <w:highlight w:val="none"/>
              </w:rPr>
            </w:pPr>
            <w:r>
              <w:rPr>
                <w:rFonts w:hint="eastAsia"/>
                <w:highlight w:val="none"/>
              </w:rPr>
              <w:t>8、软件支持web端进行远程OTA在线升级</w:t>
            </w:r>
          </w:p>
          <w:p>
            <w:pPr>
              <w:widowControl/>
              <w:numPr>
                <w:ilvl w:val="0"/>
                <w:numId w:val="0"/>
              </w:numPr>
              <w:spacing w:beforeLines="0" w:afterLines="0"/>
              <w:jc w:val="left"/>
              <w:textAlignment w:val="center"/>
              <w:rPr>
                <w:rFonts w:hint="eastAsia"/>
                <w:highlight w:val="none"/>
              </w:rPr>
            </w:pPr>
            <w:r>
              <w:rPr>
                <w:rFonts w:hint="eastAsia"/>
                <w:highlight w:val="none"/>
              </w:rPr>
              <w:t>9、接口含2路RJ45级联接口，PoE in支持RJ45音频输入，PoE out 支持网络级联和信息输出；1路DC接口；1个红绿双色指示灯，支持显示产品工作状态；1路针孔按键，支持复位重启设备功能。</w:t>
            </w:r>
          </w:p>
          <w:p>
            <w:pPr>
              <w:widowControl/>
              <w:numPr>
                <w:ilvl w:val="0"/>
                <w:numId w:val="0"/>
              </w:numPr>
              <w:spacing w:beforeLines="0" w:afterLines="0"/>
              <w:jc w:val="left"/>
              <w:textAlignment w:val="center"/>
              <w:rPr>
                <w:rFonts w:hint="eastAsia"/>
                <w:highlight w:val="none"/>
              </w:rPr>
            </w:pPr>
            <w:r>
              <w:rPr>
                <w:rFonts w:hint="eastAsia"/>
                <w:highlight w:val="none"/>
              </w:rPr>
              <w:t>10、支持2种供电方式，PoE和DC12V供电方式</w:t>
            </w:r>
          </w:p>
          <w:p>
            <w:pPr>
              <w:widowControl/>
              <w:numPr>
                <w:ilvl w:val="0"/>
                <w:numId w:val="0"/>
              </w:numPr>
              <w:spacing w:beforeLines="0" w:afterLines="0"/>
              <w:jc w:val="left"/>
              <w:textAlignment w:val="center"/>
              <w:rPr>
                <w:rFonts w:hint="eastAsia"/>
                <w:highlight w:val="none"/>
              </w:rPr>
            </w:pPr>
            <w:r>
              <w:rPr>
                <w:rFonts w:hint="eastAsia"/>
                <w:highlight w:val="none"/>
              </w:rPr>
              <w:t>11、支持POE有线网络供电，只需要1路网线，即可实现供电及网络信号传输，支持同时输出全景输出和板书记忆多路画面。</w:t>
            </w:r>
          </w:p>
          <w:p>
            <w:pPr>
              <w:widowControl/>
              <w:numPr>
                <w:ilvl w:val="0"/>
                <w:numId w:val="0"/>
              </w:numPr>
              <w:spacing w:beforeLines="0" w:afterLines="0"/>
              <w:jc w:val="left"/>
              <w:textAlignment w:val="center"/>
              <w:rPr>
                <w:rFonts w:hint="eastAsia"/>
                <w:highlight w:val="none"/>
              </w:rPr>
            </w:pPr>
            <w:r>
              <w:rPr>
                <w:rFonts w:hint="eastAsia"/>
                <w:highlight w:val="none"/>
              </w:rPr>
              <w:t>四、数字阵列麦克风</w:t>
            </w:r>
          </w:p>
          <w:p>
            <w:pPr>
              <w:widowControl/>
              <w:numPr>
                <w:ilvl w:val="0"/>
                <w:numId w:val="0"/>
              </w:numPr>
              <w:spacing w:beforeLines="0" w:afterLines="0"/>
              <w:jc w:val="left"/>
              <w:textAlignment w:val="center"/>
              <w:rPr>
                <w:rFonts w:hint="eastAsia"/>
                <w:highlight w:val="none"/>
              </w:rPr>
            </w:pPr>
            <w:r>
              <w:rPr>
                <w:rFonts w:hint="eastAsia"/>
                <w:highlight w:val="none"/>
              </w:rPr>
              <w:t>1、采用一体化设计，内置6个传感器单元，组成环形阵列。</w:t>
            </w:r>
          </w:p>
          <w:p>
            <w:pPr>
              <w:widowControl/>
              <w:numPr>
                <w:ilvl w:val="0"/>
                <w:numId w:val="0"/>
              </w:numPr>
              <w:spacing w:beforeLines="0" w:afterLines="0"/>
              <w:jc w:val="left"/>
              <w:textAlignment w:val="center"/>
              <w:rPr>
                <w:rFonts w:hint="eastAsia"/>
                <w:highlight w:val="none"/>
              </w:rPr>
            </w:pPr>
            <w:r>
              <w:rPr>
                <w:rFonts w:hint="eastAsia"/>
                <w:highlight w:val="none"/>
              </w:rPr>
              <w:t>2、内置阵列麦克风，360°全向拾音，麦克风拾音距离≥4m。</w:t>
            </w:r>
          </w:p>
          <w:p>
            <w:pPr>
              <w:widowControl/>
              <w:numPr>
                <w:ilvl w:val="0"/>
                <w:numId w:val="0"/>
              </w:numPr>
              <w:spacing w:beforeLines="0" w:afterLines="0"/>
              <w:jc w:val="left"/>
              <w:textAlignment w:val="center"/>
              <w:rPr>
                <w:rFonts w:hint="eastAsia"/>
                <w:highlight w:val="none"/>
              </w:rPr>
            </w:pPr>
            <w:r>
              <w:rPr>
                <w:rFonts w:hint="eastAsia"/>
                <w:highlight w:val="none"/>
              </w:rPr>
              <w:t>3、音频处理采用4核国产音频处理芯片。</w:t>
            </w:r>
          </w:p>
          <w:p>
            <w:pPr>
              <w:widowControl/>
              <w:numPr>
                <w:ilvl w:val="0"/>
                <w:numId w:val="0"/>
              </w:numPr>
              <w:spacing w:beforeLines="0" w:afterLines="0"/>
              <w:jc w:val="left"/>
              <w:textAlignment w:val="center"/>
              <w:rPr>
                <w:rFonts w:hint="eastAsia"/>
                <w:highlight w:val="none"/>
              </w:rPr>
            </w:pPr>
            <w:r>
              <w:rPr>
                <w:rFonts w:hint="eastAsia"/>
                <w:highlight w:val="none"/>
              </w:rPr>
              <w:t>4、阵列麦克风具备≥1个状态指示灯，可显示麦克风工作状态，蓝灯表示工作状态正常，红灯表示无法正常拾音。</w:t>
            </w:r>
          </w:p>
          <w:p>
            <w:pPr>
              <w:widowControl/>
              <w:numPr>
                <w:ilvl w:val="0"/>
                <w:numId w:val="0"/>
              </w:numPr>
              <w:spacing w:beforeLines="0" w:afterLines="0"/>
              <w:jc w:val="left"/>
              <w:textAlignment w:val="center"/>
              <w:rPr>
                <w:rFonts w:hint="eastAsia"/>
                <w:highlight w:val="none"/>
              </w:rPr>
            </w:pPr>
            <w:r>
              <w:rPr>
                <w:rFonts w:hint="eastAsia"/>
                <w:highlight w:val="none"/>
              </w:rPr>
              <w:t>5、支持数字音频传输。</w:t>
            </w:r>
          </w:p>
          <w:p>
            <w:pPr>
              <w:widowControl/>
              <w:numPr>
                <w:ilvl w:val="0"/>
                <w:numId w:val="0"/>
              </w:numPr>
              <w:spacing w:beforeLines="0" w:afterLines="0"/>
              <w:jc w:val="left"/>
              <w:textAlignment w:val="center"/>
              <w:rPr>
                <w:rFonts w:hint="eastAsia"/>
                <w:highlight w:val="none"/>
              </w:rPr>
            </w:pPr>
            <w:r>
              <w:rPr>
                <w:rFonts w:hint="eastAsia"/>
                <w:highlight w:val="none"/>
              </w:rPr>
              <w:t>6、接口含2路RJ45级联接口，Down支持RJ45音频输入，Up 支持网络级联和信息输出，同时支持PoE in电源；1路USB音频接口；2路3.5mm AUX接口，支持音频输入输出接口；1个红绿双色指示灯，支持显示产品工作状态。</w:t>
            </w:r>
          </w:p>
          <w:p>
            <w:pPr>
              <w:widowControl/>
              <w:numPr>
                <w:ilvl w:val="0"/>
                <w:numId w:val="0"/>
              </w:numPr>
              <w:spacing w:beforeLines="0" w:afterLines="0"/>
              <w:jc w:val="left"/>
              <w:textAlignment w:val="center"/>
              <w:rPr>
                <w:rFonts w:hint="eastAsia"/>
                <w:highlight w:val="none"/>
              </w:rPr>
            </w:pPr>
            <w:r>
              <w:rPr>
                <w:rFonts w:hint="eastAsia"/>
                <w:highlight w:val="none"/>
              </w:rPr>
              <w:t>7、支持POE有线网络供电，只需要1路网线，即可实现供电及信号传输。</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highlight w:val="none"/>
              </w:rPr>
              <w:t>8、支持POE供电，其中一路为POE IN，另一路为POE OUT，支持给外部POE设备供电。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实验服</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可分为大、中、小号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耐酸手套</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双</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机械性能不低于3级，无破损，手套应有长度≥15cm的套袖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一次性乳胶手套</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盒</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耐酸碱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教学电源</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交流2V～12V，5A，每2V一档；直流1.5V～12V，2A,分为1.5V、3V、4.5V、6V、9V、12V，共6档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仪器车</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辆</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600mm×400mm×800mm，不锈钢材质，至少两层，各层带可拆卸护栏，总载重≥60kg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试剂瓶托盘</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搪瓷或塑料材质，内沿≥400mm×290mm×95mm，耐酸碱，无毒，符合承重需求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玻璃管切割器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可切割直径20mm以下玻璃管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电子天平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200g，0.01g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数字测温计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量程-30℃~200℃,分辨力0.1℃。不接电脑，可独立运行，自带显示屏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酸度计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笔式，pH测量范围0～14，分辨力0.1，读数清晰，有自动关机节电模式，配校准试剂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教学支架</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方形座，含铁夹、复夹、铁圈，重心稳定不晃动，夹持器内侧应有垫衬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试管架</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木制或塑料制，8孔，孔径25mm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试管架</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木制或塑料制，8孔，孔径35mm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量筒</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量筒</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试管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Φ18mm×180mm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试管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Φ32mm×200mm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气体发生器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250mL，漏斗柄与瓶身连接口内壁间隔≤2mm（单边）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坩埚钳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200mm，钢制，中间弯曲部分内径应在2cm～3cm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镊子</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不锈钢制，平头，长125mm，钢板厚1.2mm，前部应有防滑脱锯齿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陶土网</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金属网尺寸≥125mm×125mm，耐火材料为陶土，功能等同于石棉网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燃烧匙</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铜勺，勺直径18mm，深10mm，铁柄，柄长约300mm,长柄和铜勺连接稳定结实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药匙</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长度≥13cm，带小勺，材质可选金属、牛角、塑料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橡胶塞</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kg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000、00、0～10号，白色，质地均匀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试管刷</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Φ18mm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塑料水槽</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250mm×180mm×100mm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铁丝</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直径≤2mm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紫铜片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初中化学用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活性炭</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初中化学用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氧化钙</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石蕊</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指示剂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酚酞</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指示剂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pH广泛试纸</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本</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实验数据采集处理软件</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软件采用扁平化设计，界面简介，操作简单，可以满足物理、生物、化学、水质、环境等课程的需求，实验内容对应全国各版本实验课程、软件支持基础型学习、探究型学习和研究性学习等各类需求,软件支持平台：Windows、Android、IOS等系统。</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1.自动识别连接的传感器，支持软件切换传感器量程；</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2.自动调整窗格显示最佳效果；</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3.提供多种显示方式：数字、图线、仪表等；</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4.支持自定义软件界面，可以自由变换图线的颜色与样式；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5.支持采集器脱机状态下配置实验文件，设定采集参数和工作方式；</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6.支持多通道并行采集，最多支持18通道（拓展），采集最高采样频率200k；</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7.内置多种函数模板，实验人员可以根据需要插入具体变量，得出相对应关系；</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8.智能电源、人体健康指标、斜面上力的分解、智能二维实验系统等专业控制软件嵌入实验系统，方便操作和实验研究；</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9.可以对数据列表进行诸如增加变量，删除数据，求最大、最小值，求平均值，并添加到相应位置的操作；</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10.可以将表格的数据导出到办公软件中（excel、wps表格等）；</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11.可以自动生成实验报告，并将图线插入到实验报告的相应位置。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数据采集器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1.支持6通道TYPE-C接口并行采集，单通道最高采样率200kHz，数字采样率0.1μs；</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2.USB供电，预留5VDC接口，为采集器提供外部电源；</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3.具备2路USB-A型接口，可以外接USB设备，也可以级联采集器使用；</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4.采集器级联状态下最多支持18路传感器同时实验；</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5.采用USB2.0标准传输数据，采用USB-B型接口与pc或者pad连接之用；</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6.采集器模拟采样分辨率12-bits，数字采样分辨率0.1μs；</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7.传感器即插即用，不区分模拟和数字通道使用，所有接口具备防静电TVS。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温度传感器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量程：-80℃～+200℃；分辨率：0.1℃；接口为TYPE-C接口，连接传感器无需辨认方向。(支持有线通讯和无线通讯方式，可在windows和安卓系统下进行实验)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pH传感器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量程:0～14，分辨率:0.01,5℃～60℃测试环境，禁止有机油脂测试环境；接口为TYPE-C接口，连接传感器无需辨认方向。(支持有线通讯和无线通讯方式，可在windows和安卓系统下进行实验)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溶液导电演示器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电表式，10mA，DC6V，串联电位器1kΩ,电阻560Ω。五组溶液同时比较，1×7开关（其中一档校准),采用不锈钢或石墨电极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cs="宋体"/>
                <w:b w:val="0"/>
                <w:bCs w:val="0"/>
                <w:color w:val="auto"/>
                <w:sz w:val="21"/>
                <w:szCs w:val="21"/>
                <w:highlight w:val="none"/>
                <w:lang w:val="en-US" w:eastAsia="zh-CN"/>
              </w:rPr>
              <w:t>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水电解演示器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电解液为10％NaOH或者5％H2SO4溶液，碱式或酸式。实验时间：制取30mL氢气，使用电压9V，时间约5min。制取氢气一端的气体出口应采用尖嘴导管。制取氧气一端的气体出口应采用贮气漏斗。贮气漏斗的容积应为10mL。加液漏斗容积≥80mL。电极材料应使电解水时产生的氢气与氧气的体积之比为2:1，误差≤5%玻璃仪器无明显外观缺陷，便于操作、耐用，电极不易损坏；刻度清晰耐磨，示数易于读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cs="宋体"/>
                <w:b w:val="0"/>
                <w:bCs w:val="0"/>
                <w:color w:val="auto"/>
                <w:sz w:val="21"/>
                <w:szCs w:val="21"/>
                <w:highlight w:val="none"/>
                <w:lang w:val="en-US" w:eastAsia="zh-CN"/>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水电解实验器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电解液为10％NaOH或者5％H2SO4溶液。实验时间：制取20mL氢气，使用电压12V，时间约1min；采用相同条件电解Na2SO4溶液，时间不超过5min。电极材料应使电解水时产生的氢气与氧气的体积之比为2:1，误差≤5％；仪器无明显外观缺陷，便于操作、坚固耐用；刻度清晰耐磨，示数易于读取，电极不易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cs="宋体"/>
                <w:b w:val="0"/>
                <w:bCs w:val="0"/>
                <w:color w:val="auto"/>
                <w:sz w:val="21"/>
                <w:szCs w:val="21"/>
                <w:highlight w:val="none"/>
                <w:lang w:val="en-US" w:eastAsia="zh-CN"/>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分子间隔演示器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无色透明，容积约为100mL，可明显观察酒精与水混合后的体积变化耐用，不易碎，刻度清晰、耐磨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cs="宋体"/>
                <w:b w:val="0"/>
                <w:bCs w:val="0"/>
                <w:color w:val="auto"/>
                <w:sz w:val="21"/>
                <w:szCs w:val="21"/>
                <w:highlight w:val="none"/>
                <w:lang w:val="en-US" w:eastAsia="zh-CN"/>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分子结构模型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球棍式或比例式；Φ40mm塑料球：碳原子（黑色）4个,氧原子（红色）13个，氮原子（深蓝色）2个，硫原子(黄色）2个；Φ30mm塑料球：氢原子（白色）12个能够完成水、氢气、氧气、二氧化碳等分子模型的搭建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cs="宋体"/>
                <w:b w:val="0"/>
                <w:bCs w:val="0"/>
                <w:color w:val="auto"/>
                <w:sz w:val="21"/>
                <w:szCs w:val="21"/>
                <w:highlight w:val="none"/>
                <w:lang w:val="en-US" w:eastAsia="zh-CN"/>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分子结构模型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球棍式或比例式；Φ25mm塑料球：碳原子（黑色）4个,氧原子（红色）13个，氮原子（深蓝色）2个，硫原子(黄色）2个；Φ17mm塑料球：氢原子（白色）12个能够完成水、氢气、氧气、二氧化碳等分子模型的搭建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r>
              <w:rPr>
                <w:rFonts w:hint="eastAsia" w:ascii="宋体" w:hAnsi="宋体" w:cs="宋体"/>
                <w:b w:val="0"/>
                <w:bCs w:val="0"/>
                <w:color w:val="auto"/>
                <w:sz w:val="21"/>
                <w:szCs w:val="21"/>
                <w:highlight w:val="none"/>
                <w:lang w:val="en-US" w:eastAsia="zh-CN"/>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元素学习卡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卡的厚度及大小适中，不易折损，耐用；卡片正面应有元素的名称、符号，元素名称、符号应准确，字迹清晰;可附有与该元素相关的图片，色彩美观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生物</w:t>
            </w:r>
            <w:r>
              <w:rPr>
                <w:rFonts w:hint="eastAsia" w:ascii="宋体" w:hAnsi="宋体" w:cs="宋体"/>
                <w:b w:val="0"/>
                <w:bCs w:val="0"/>
                <w:color w:val="auto"/>
                <w:kern w:val="0"/>
                <w:sz w:val="21"/>
                <w:szCs w:val="21"/>
                <w:highlight w:val="none"/>
                <w:lang w:val="en-US" w:eastAsia="zh-CN" w:bidi="ar"/>
              </w:rPr>
              <w:t>教学设备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洗眼器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台式双口，铜质阀体，软性橡胶喷淋头，水流锁定开关，1.5m供水软管，PVC管外覆不锈钢网，流量12L/min～18L/min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一次性PE手套</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包</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塑料材质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电磁炉</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功率可调，额定功率≥1600W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恒温水浴锅</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水浴控温范围：室温+5℃~99.9℃,水温控制±0.5℃,不锈钢内胆，数字显示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榨汁机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≥18000r/min，≥1.0L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高压灭菌器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≥30L，立式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恒温培养箱</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控温范围：室温+5℃~65℃,±1℃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光照培养箱</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光照强度：0lx～12000lx分级可调，控温范围：10℃~50℃（有光照)，温度波动性：±1℃,温度均匀度：±2℃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光照培养架</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多层，插孔暗式布线，独立开关，光照强度3000lx/5000lx/7000lx三档可调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超声波清洗机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20L～30L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仪器车</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辆</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600mm×400mm×800mm，不锈钢材质，至少两层,各层带可拆卸护栏，总载重≥60kg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整理箱</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PP材质，储存及分发试剂用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实验用品提篮</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木制，配有提手，490mm×360mm×290mm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打孔器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刀口式，材质为不锈钢管、钢管或黄铜管，每组不少于4支，外径分别为9mm、8mm、7mm、6mm，并配一支带柄金属通扦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电动钻孔器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钻头可拆卸，应配有2个以上不同孔径的钻头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电子天平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200g，0.01g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电子秒表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专用型，全时段分辨力0.01s；有防震、防水功能，电池更换周期≥1.5年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红液温度计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0℃~100℃,分度值1℃,示值误差&lt;1.5℃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水银温度计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0℃~200℃,分度值1℃,示值误差&lt;0.5℃,有保护套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干湿球温度计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-25℃~50℃,分度值0.2℃;测量湿度0%~100%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计数器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手持式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解剖盘</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260mm×200mm×30mm，蜡盘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镊子</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尖头，140mm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镊子</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28</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弯头，140mm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生物体的结构层次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包括显微镜、细胞的一般结构、单细胞生物、植物细胞分裂、动物细胞分裂、人体的基本组织、植物的基本组织等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生物与环境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包括生态系统的组成、不同类型的生态系统等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生物圈中的绿色植物</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包括植物种子结构及其萌发、芽的结构、植物的根、植物的花、果实的结构及来源示意图、双子叶木本植物的茎、单子叶植物的茎、植物茎中的输导组织、植物的叶片等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生物圈中的人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人体的消化系统、血液、血管、人体血液循环系统、心脏、人体的泌尿系统、肾结构及尿的形成过程、皮肤、人体神经系统、人脑结构、脊髓与反射、眼球与视觉、耳与听觉、嗅觉和味觉、人体主要内分泌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动物的运动和行为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包括鲫鱼结构、家鸽结构、家兔结构、人体骨骼、脊柱和关节等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生物的生殖、发育和遗传</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包括男女性生殖系统、人生殖发育过程示意图、生男生女图解、蝗虫生活史、家蚕生活史、青蛙生活史、生物无性生殖等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生物多样性</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包括细菌、病毒、真菌、细菌病毒与真菌大小比较、藻类植物、苔藓植物、蕨类植物、裸子植物、动物拟态、食草动物和食肉动物牙的比较、生物进化树等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生物技术</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包括克隆技术图解、植物组织培养技术等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健康地生活</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包括男女身高和体重的变化、月经和月经周期、常见寄生虫病及其传播途径、常见传染病及其传播途径、人体非特异性免疫、人工呼吸与胸外心脏按压示意图、止血方法示意图、骨折固定方法示意图等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青春期教育</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包括身体的发育、青春期的发育特征、青春期的心理变化、青春期的心理健康的主要特征、青春期常见的心理问题等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中学生物显微图谱</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本</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包括动物、植物、微生物等符合初中生物学教学需求的玻片标本在显微镜下真实的拍摄图片，所示的组织结构应完整清楚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培养皿</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三通连接管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Y形，Φ7mm~Φ8mm，连接完好，管口应作打磨或烧结处理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滴管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100mm，直形，滴管尖嘴口径1mm，上端有防滑脱翻口，翻口处直径比滴管直径略多1mm～2mm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载玻片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盒</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无色透明，平整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盖玻片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包</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无色透明，平整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止水皮管夹</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Φ3mm钢丝制成，作防锈处理，夹持角度≥60º,弹性好，不漏液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橡胶塞</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kg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000、00、0～10号，白色，质地均匀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橡胶管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kg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外径9mm，内径6mm，乳白色，具有耐油、耐酸碱、耐压等特性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剪枝剪</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高碳钢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花盆</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塑料材质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种植工具包</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含铲子（长30cm～32cm，宽5.5cm～8cm）、耙子（长30cm~32cm，宽7.5cm～8.5cm）；铁质，软橡胶手柄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种植辅助材料</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kg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砾石、珍珠岩、腐殖土等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育苗盘</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塑料材质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标记笔</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双头，油性墨水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植物组织培养基试剂盒</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包含MS培养基和其他植物生长调节激素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牛肉膏</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蛋白胨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碘</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氯化钠</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碳酸氢钠</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甘油</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柠檬酸钠</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蔗糖</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可溶性淀粉</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琼脂</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葡萄糖</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酚酞</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g</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试剂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pH广泛试纸</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本</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定性滤纸</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盒</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快速，9cm，100张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生物显微镜</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双目，消色差物镜：4×、10×、40×、100×;广视场目镜：WF10×;带照明光源和聚光镜，亮度连续可调；双层移动式载物台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数码液晶显微镜a</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消色差物镜：4×、10×、40×;广视场目镜：WF10×（选配）；带照明光源和聚光镜，双层移动式载物台；自带液晶屏（液晶屏≥9寸，分辨率≥1280×800），拍照≥500万像素，录像分辨率≥720p/30fps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字母装片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“e”或“b”，多重染色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放大镜</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手持式，有效通光孔径≥40mm，5倍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口腔上皮细胞装片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细胞质着色均匀，细胞核明显，细胞界限清晰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洋葱鳞片叶表皮装片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细胞质着色均匀，细胞核明显，细胞界限清晰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植物细胞模型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以洋葱表皮细胞为参考材料，示细胞壁、细胞膜、细胞质、细胞核、核仁和液泡等结构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动物细胞模型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示细胞膜、细胞质、细胞核、核仁等结构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草履虫模型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草履虫纵剖模型，各部着色应协调，并能相互区分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植物细胞有丝分裂切片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洋葱根尖纵切，应显示处于分裂前期、中期、后期、末期的细胞，分裂各期染色体的形态特征典型，分裂中期和后期纺锤丝隐约可见，细胞核、核仁、染色体应着色明显，细胞质色淡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单层扁平上皮装片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取材于动物的肠系膜等，应能看清由边缘不规则而呈锯齿状的扁平细胞组成的单层上皮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纤维结缔组织切片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腱纵切，取材于哺乳动物或两栖动物的跟腱或尾腱，应能看清平行排列的胶原纤维束和呈不规则四边形的腱细胞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疏松结缔组织装片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取材于哺乳细胞的皮下结缔组织，应能看清纵横交错的胶原纤维和弹力纤维以及大量的成纤维细胞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骨骼肌纵横切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取材于哺乳动物的膈肌，应能看清肌外膜、肌束膜、肌纤维膜、肌纤维及其细胞核和小血管等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平滑肌分离装片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取材于两栖动物或哺乳动物消化管的基层，应能看清大部分被分离成单个的长梭形平滑肌细胞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心肌切片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取材于哺乳动物的心脏，应能看清柱状并具有分枝的肌纤维（肌细胞）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运动神经元装片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应能看清运动神经元的细胞体和突起、细胞核以及少量的神经纤维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水质检测工具箱</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含水质测试笔、氨氮试剂、磷酸盐试剂、溶解氧试剂等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空气质量检测仪</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可检测甲醛、PM2.5等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声级计</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130dB，0.1dB，手持式，数显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玉米种子纵切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应显示子叶、胚芽、胚芽鞘、胚轴、胚根和胚根鞘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根纵剖模型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应以单子叶植物玉米的根尖为参考材料，示根尖的解剖结构，根尖中部做不同方向的纵剖面，突出维管柱，示根冠、分生区、伸长区、成熟区和原形成层等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植物根尖纵切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应取材于玉米根，取材部位为根冠至根毛区，应明显显示根冠、分生区、伸长区、根毛区和原形成层等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顶芽纵切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应取材于黑藻顶芽，应能看清生长锥、叶原基、幼叶、腋芽原基和芽轴，生长锥及幼叶处细胞不应有明显的“质壁分离”现象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桃花模型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放大的盛开状态的桃花模型，花冠的直径330mm±15mm，示花柄、花托、花萼、花冠、雄蕊和雌蕊，花瓣、雌蕊可拆装，子房做纵剖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小麦花模型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放大的小麦花模型，高300mm±20mm，并附以小穗为单位（至少八个）的复穗状花序模型，高250mm±20mm，示外稃、内稃、雄蕊、雌蕊和浆片，复穗状花序模型：至少1个小穗可拆下，至少1个小穗去掉颖片和外稃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导管、筛管结构模型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显微结构的立体放大模型，包括环纹导管、螺纹导管、网纹导管、孔纹导管及筛管，形态结构应正确、自然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木本双子叶植物茎横切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取材于三年生椴木枝，应能看清表皮、木栓层、厚角组织、皮层、韧皮部、形成层、木质部、髓部和髓射线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南瓜茎纵切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应能看清皮层、机械组织、薄壁组织、双韧维管束和髓腔，在双韧维管束的纵断面上应能看清网纹导管或环纹导管或螺纹导管中的两种和筛管、筛板等结构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叶构造模型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以蚕豆叶为参考材料，示双子叶植物叶的构造，示上表皮、下表皮、栅栏组织、海绵组织、主脉、侧脉、木质部、韧皮部、形成层、气孔等部位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迎春叶横切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应显示叶片横断面的上下表皮、栅栏组织、海绵组织及叶脉等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植物光合作用、呼吸作用、蒸腾作用演示器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由透明的有机透明容器，漏斗、上盖板、试管及试管架组合而成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人体半身模型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自然大，橡胶制，示消化系统、呼吸系统、泌尿系统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小肠切片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应能看清粘膜，包括绒毛、粘膜肌层和肠腺，粘膜下层、肌层和浆膜等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喉解剖模型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应正确显示喉软骨、喉肌、喉腔、喉口等结构特征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肺泡模型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应正确显示细支气管、呼吸性细支气管、肺泡管、肺泡囊、肺泡、肺泡隔、肺动脉、肺静脉、肺泡毛细血管网、支气管动脉、支气管静脉、平滑肌、弹性纤维等结构特征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人体呼吸运动模型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电动式，通过胸骨、肋、肺、气管、膈等模型部件，结合动力驱动组成呼吸运动模型的运行系统，应能模拟人体呼吸运动过程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膈肌运动模拟器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高度250mm±15mm，宽度或直径220mm±15mm,膈的直径（或长径）≥170mm；应模拟显示胸腔、膈、气管、支气管、肺（或肺泡）等结构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人血涂片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染色均匀，能看清红血细胞和白血细胞，细胞不重叠、无变形和自溶现象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动静脉血管横切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取材于哺乳动物的腹主动脉和下腔静脉，内皮应90%以上完整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心脏解剖模型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三倍自然大，示上腔静脉、下腔静脉、主动脉、肺动脉、动脉韧带、左冠状动脉、右冠状动脉、冠状窦,左心房、右心房、左心室、右心室、二尖瓣、三尖瓣、主动脉瓣、肺动脉瓣、卵圆窝、冠状窦口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心脏解剖模型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自然大，示上腔静脉、下腔静脉、主动脉、肺动脉、左心房、右心房、左心室、右心室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男性泌尿生殖系统模型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自然大，结构清晰，位置精准，比例适宜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女性泌尿生殖系统模型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自然大，结构清晰，位置精准，比例适宜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09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肾单位、肾小体模型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肾单位模型≥400mm×240mm，示肾小体、肾小管和集合管等；肾小体模型直径≥100mm，半剖，示肾小球、肾小囊、入球小动脉和出球小动脉等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眼球解剖模型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8</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6倍自然大，应采用硬质热塑性塑料制作，角膜、虹膜应完整显示，两者和眼球内的晶状体、玻璃体分别可拆下，各部的肌肉、膜壁、血管和神经等的形态结构、位置、比例、颜色均应正确自然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眼球仪</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由放大的成人眼球模型、晶状体曲度调节器、光源、矫正镜盘、视网膜成像显示屏及手持式显示屏等组成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耳解剖模型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6倍自然大，应完整显示外耳道、鼓膜、听小骨、鼓室、咽鼓管、鼓膜张肌、乳突窦、前庭、骨半规管、耳蜗、前庭窗、蜗窗、前庭蜗神经等结构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脑解剖模型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自然大，大脑做正中矢状切面，左侧脑半球经外侧沟向枕部再做水平切面，并保留完整的脑干形态，应示大脑、小脑、延髓、脑桥、上下丘、胼胝体、透明隔、嗅球、视神经、动眼神经等部位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脊髓横切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应能看清被膜、灰质和白质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运动神经末梢装片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应能看清完整的神经纤维及其分枝伸向肌纤维形成运动终板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橡皮锤</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25</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膝跳反射用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人体骨骼模型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850mm，各部分骨的形态特征，应正确清晰，富有真实感，骨缝应清楚，骨性鼻腔，眶及所有孔，管、沟、裂显示应正确自然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人体肌肉模型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850mm全身，示浅层肌及部分深层肌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19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家蚕生活史标本</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盒/块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干制或包埋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蝗虫生活史标本</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盒/块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干制或包埋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蜜蜂生活史标本</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盒/块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干制或包埋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菜粉蝶生活史标本</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盒/块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干制或包埋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蛙发育顺序标本</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瓶/块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浸制c或包埋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正常人染色体装片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多重染色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蛔虫标本</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瓶/块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雌、雄各一条，浸制c或包埋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节肢动物标本</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盒/块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常见六种以上，干制或包埋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昆虫标本</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盒/块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常见六种以上，干制或包埋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病毒模型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放大100万倍，示噬菌体的解剖结构和特征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细菌模型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示细菌的横截面，鞭毛、包涵体、质粒和染色体的典型构造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细菌三型涂片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示球菌、杆菌、螺旋菌三种形态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酵母菌装片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应能看清细胞壁、细胞核、细胞质、液泡和细胞膜等结构，可见芽体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青霉装片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应能看清分生孢子梗和顶端的扫帚枝，菌丝、孢子梗、孢子应无收缩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曲霉装片</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片</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应能看清营养菌丝及其上的分生孢子梗、顶囊和顶端的分生孢子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酸奶机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全自动，304不锈钢或食品级塑料内胆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35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果酒果醋发酵装置</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透明，最大容积1L，采用安全、环保材质，具水封及气泡限速装置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数学</w:t>
            </w:r>
            <w:r>
              <w:rPr>
                <w:rFonts w:hint="eastAsia" w:hAnsi="宋体" w:cs="宋体"/>
                <w:b w:val="0"/>
                <w:bCs w:val="0"/>
                <w:color w:val="auto"/>
                <w:sz w:val="21"/>
                <w:szCs w:val="21"/>
                <w:highlight w:val="none"/>
                <w:lang w:val="en-US" w:eastAsia="zh-CN" w:bidi="ar"/>
              </w:rPr>
              <w:t>教学设备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坐标纸</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张</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方格每间隔 10mm 有一条粗线，每间隔 5mm有一条中线，每间隔 1mm 有一条细线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圆规</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演示用；工程塑料或木制，圆规两脚张开松紧应可调，一脚端部可夹普通粉笔，另一脚端部能在黑板定位（宜采用橡胶摩擦定位）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平面几何演示器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演示角、平行线、三角形、直角三角形、四边形、对称、圆、正多边形等内容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卡纸</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包</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A4，180 g/m2 ，100 张/包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探索勾股定理的材料</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用几何图形面积证明直角三角形斜边的平方等于两条直角边平方之和，以及应用勾股定理证明平方和的多种方法，磁吸式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图形变换材料</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坐标纸、图形计算器（本标准已配）平行四边形 50 mm×40 mm 塑料片 2 个，梯形 40mm×60 mm×30 mm 塑料片 2 个，三角形 30 mm×40 mm×60 mm 塑料片 2 个，平移、旋转及对称图纸各 1 张，可利用面积测量器作底板；或通过创客方式自制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default" w:ascii="宋体" w:hAnsi="宋体" w:eastAsia="宋体" w:cs="宋体"/>
                <w:b w:val="0"/>
                <w:bCs w:val="0"/>
                <w:color w:val="auto"/>
                <w:sz w:val="21"/>
                <w:szCs w:val="21"/>
                <w:highlight w:val="none"/>
                <w:lang w:val="en-US" w:eastAsia="zh-CN" w:bidi="ar"/>
              </w:rPr>
              <w:t>体育</w:t>
            </w:r>
            <w:r>
              <w:rPr>
                <w:rFonts w:hint="eastAsia" w:hAnsi="宋体" w:cs="宋体"/>
                <w:b w:val="0"/>
                <w:bCs w:val="0"/>
                <w:color w:val="auto"/>
                <w:sz w:val="21"/>
                <w:szCs w:val="21"/>
                <w:highlight w:val="none"/>
                <w:lang w:val="en-US" w:eastAsia="zh-CN" w:bidi="ar"/>
              </w:rPr>
              <w:t>教学设备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录放音机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单卡，支持 U 盘、 内存卡，可读光盘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电动充气泵</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ind w:left="0" w:leftChars="0" w:firstLine="0" w:firstLineChar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220V 全自动数显，用于篮球、排球、足球充气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数字秒表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纽扣电池，三排显示，60时段记忆功能（1/100秒精确计时）预置倒数计时，专设步频节拍器可显示最快、最慢、平均时间时间、日历、定时闹响（12/24小时制式转换）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布卷尺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盒</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20m，仿皮外壳，苎麻布卷尺，防水，防腐蚀； 铜制卡扣和收放扣 QB/T 1519-2011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布卷尺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盒</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30m，仿皮外壳，苎麻布卷尺，防水，防腐蚀； 铜制卡扣和收放扣 QB/T 1519-2011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布卷尺</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盒</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50m，仿皮外壳，苎麻布卷尺，防水，防腐蚀； 铜制卡扣和收放扣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标志筒</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高 180 mm、230 mm、320 mm、380 mm、480 mm 等， 4 种颜色，圆锥体状，放置平稳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标志杆</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高 1.2m~1.6m，立柱直径 25mm，三角形红色旗面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初中体育教学挂图</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应为国家正式出版物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立定跳远测试仪</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量程：90cm~300cm，分度值 1cm，允差： ±1cm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 米跑测试仪</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单人，可扩展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跳高架</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立柱高度 1600mm~2000mm；高度刻度 500mm~ 1800mm；横杆托长 60mm，宽 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跳高垫</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尺寸3000mm×2000mm×300mm，采用牛津布外皮；内胆为26#优质高弹海绵,经防静电处理,强力好,接缝处平整、均匀牢固、棱角平整、手把结实.色泽均匀一致。表面层不得由对视觉由干扰的图像或标志。可在长度方向对半折叠，两侧各有提手、便于移动，聚乙稀高泡海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跳高横杆</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长 3000mm~4000mm，直径 25mm~30mm,质量不超 过 2000g,采用不宜折断的适宜材料制成，不应 采用金属材料，除两端外，横截面应呈圆形，颜色醒目。横杆固定在立柱上，中心自然下垂应小 于 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起跑器</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长 690mm,宽≥100mm,三角体抵脚板,长 160mm, 宽 120mm,高 130mm，倾斜度可调整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发令枪</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双发式。钢制枪身，手柄为专用塑料材质,5.6mm定装发令弹；击发方式：单发击发；声响：100米处不小于60分贝；烟雾：150米处清晰可见。符合教学标准要求。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体能训练绳梯</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8</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绳梯长度 9.5m,宽度可以任意调节，柔软塑胶材料制成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山羊</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升降1000mm-1300mm，升降间距50mm，山羊头内用实木拼接，外包革面，尺寸：500mm×300mm×260mm±5mm。腿外管直径60mm，内管直径48mm，壁厚3mm；羊脚底椭圆面长泾100mm，短径80mm，采用铸铁.山羊身必须平整，软硬适宜，手感舒服，底托，箍于腿连接牢靠内外管配合严密，升降灵活，组装后落地平稳，应色泽一致，不允许有伤疤，缝线应不漏针跳线，无气泡无流挂。腿外管表面采用抛丸喷砂，酸洗磷化除锈，表面静电喷涂，全部使用优质纯聚酯室外粉末，厚度不低于80um色彩鲜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初中生用篮球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60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圆周长 695mm~725mm；质量 490g~560g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篮球网</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篮网长 400mm~450mm，网口直径 450mm，网底直 径 350mm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气排球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圆周长为 610mm~630mm，质量 150g~170g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气排球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圆周长为 760mm~780mm，质量 150g~ 170g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少年足球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4#，圆周长 615mm~650mm；质量 315g~ 405g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成年足球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5#：圆周长 675mm~710mm；质量 382g~ 468g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足球网</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 号足球网宽度 7320mm，高度 2440mm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足球网</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 号足球网宽度 3000mm，高度 2000mm；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乒乓球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120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直径 43.4mm~44.4mm，质量 2.20g~2.60g，弹 跳 220mm~250mm，圆度 0.4mm，受冲击不小于 700 次无破裂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乒乓球拍</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用来击球的拍面应用一层齿粒向外的胶粒片覆 盖，连同粘合剂，厚度应不超过 2mm，或者用齿 粒向内或向外的海绵胶粒片覆盖，连同粘合剂， 厚度应不超过4mm。底板与胶粒片或海绵胶粒片 的粘接结合力应≥4N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羽毛球</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120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球口外径 65mm~68mm，球头直径 25mm~27mm， 球头高度 24mm~26mm，毛片插长 63mm~64mm， 质量 4.50g~5.80g，毛片数量 16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羽毛球拍</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26</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总长度≤660mm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羽毛球网柱</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1．移动式。底座外形尺寸：400mm*300mm*170mm，石子配重90kg，底部配有滚轮，移动静音，使用方便，室内室外通用。</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柱高1550mm，使用￠42mm钢管，壁厚2.5mm,支架顶部加一滑动滚轮，缓冲拉绳与支架间的摩擦，同时更好的操控球网的长度和高度。配有电镀铸铁轮，金属紧线器，带卡轮，金属摇把，轻轻摇动即可拉紧绳网，不会松动。内侧对称配有相应高度的球网挂钩，用来固定羽毛球网。</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外表面采用静电粉末喷塑工艺，涂饰层附着力应达到一级，硬度达到2H、有一定的耐冲击性能，表面无皱纹、无漏喷、起泡、脱皮及明显的划痕等缺陷。喷涂前必须采取除锈处理，以确保涂层在户外长期使用。产品涂料配方不应含有毒元素。</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4.各部件焊接应严密牢固，不应有漏焊、虚焊、裂纹等缺陷。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羽毛球网</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件</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羽毛球网长度≥6100mm，宽度 500mm±25mm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棍</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木制品，长度1800mm，φ20mm-30mm，材质：白蜡杆。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剑</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木或钢制品。剑总长不小于 900mm，箭柄长 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刀</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把</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木或钢制品。刀总长不小于 800mm，刀柄长 150mm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36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枪</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杆</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木制品，长度1800mm，φ20mm-30mm，材质：白蜡杆，带枪头。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37</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跳绳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短跳绳，绳长度 2600mm~2800mm，直径 6mm~ 7mm，质量 60g~80g,柄(2 个)：长度 140mm~ 170mm，直径 26mm~33mm，质量 70g~90g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38</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跳绳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短跳绳，绳长度 2800mm~3000mm，直径 7mm~ 8mm，质量 90g~120g，柄(2 个)：长度 140mm~ 170mm，直径 26mm~33mm，质量 70g~90g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39</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跳绳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长跳绳，绳长度 4000mm~6000mm，直径 8~9mm， 质量 140g~235g；柄(2 个)：长度 140mm~170mm， 直径 26mm~33mm，质量 70g~90g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40</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跳绳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13</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长跳绳，绳长度 7000mm~8000mm，直径 8~9mm， 质量 230g~300g，柄(2 个)：长度 140mm~170mm， 直径 26mm~33mm，质量 70g~90g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41</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花毽</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键毛应采用8 支~10 支彩色鸡羽，扎成圆形， 毽垫直径 30mm~32mm，厚度 3mm~4mm，球高 130mm~180mm，球重 13g~15g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42</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软式飞盘</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个</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10</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直径不小于20cm，采用硅胶制作,柔软易折叠。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43</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拔河绳</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根</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3</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长 30m,质量 10kg 左右,采用天然麻棕线绞制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44</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板鞋</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副</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9</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适用于板鞋竞赛，三人板鞋，长约100cm，宽约9.5cm，厚2.5cm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45</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标志碟</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套</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直径约19厘米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46</w:t>
            </w:r>
          </w:p>
        </w:tc>
        <w:tc>
          <w:tcPr>
            <w:tcW w:w="888" w:type="dxa"/>
            <w:shd w:val="clear" w:color="auto" w:fill="FFFFFF"/>
            <w:vAlign w:val="center"/>
          </w:tcPr>
          <w:p>
            <w:pPr>
              <w:pStyle w:val="19"/>
              <w:bidi w:val="0"/>
              <w:ind w:left="0" w:leftChars="0" w:firstLine="0" w:firstLine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电子记分牌</w:t>
            </w:r>
          </w:p>
        </w:tc>
        <w:tc>
          <w:tcPr>
            <w:tcW w:w="630" w:type="dxa"/>
            <w:gridSpan w:val="2"/>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台</w:t>
            </w:r>
          </w:p>
        </w:tc>
        <w:tc>
          <w:tcPr>
            <w:tcW w:w="645" w:type="dxa"/>
            <w:shd w:val="clear" w:color="auto" w:fill="FFFFFF"/>
            <w:vAlign w:val="center"/>
          </w:tcPr>
          <w:p>
            <w:pPr>
              <w:pStyle w:val="19"/>
              <w:bidi w:val="0"/>
              <w:ind w:left="0" w:leftChars="0" w:firstLine="0" w:firstLineChars="0"/>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2</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电子式，可显示队名、大比分、局比分、犯规、 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音乐</w:t>
            </w:r>
            <w:r>
              <w:rPr>
                <w:rFonts w:hint="eastAsia" w:hAnsi="宋体" w:cs="宋体"/>
                <w:b w:val="0"/>
                <w:bCs w:val="0"/>
                <w:color w:val="auto"/>
                <w:sz w:val="21"/>
                <w:szCs w:val="21"/>
                <w:highlight w:val="none"/>
                <w:lang w:val="en-US" w:eastAsia="zh-CN" w:bidi="ar"/>
              </w:rPr>
              <w:t>教学设备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auto"/>
            <w:vAlign w:val="top"/>
          </w:tcPr>
          <w:p>
            <w:pPr>
              <w:pStyle w:val="20"/>
              <w:spacing w:beforeLines="0" w:afterLines="0"/>
              <w:ind w:firstLine="0" w:firstLineChars="0"/>
              <w:rPr>
                <w:rFonts w:hint="eastAsia" w:ascii="宋体" w:hAnsi="宋体" w:eastAsia="宋体" w:cs="宋体"/>
                <w:b w:val="0"/>
                <w:bCs w:val="0"/>
                <w:color w:val="000000"/>
                <w:sz w:val="21"/>
                <w:szCs w:val="21"/>
                <w:highlight w:val="none"/>
                <w:lang w:val="en-US" w:eastAsia="zh-CN" w:bidi="ar-SA"/>
              </w:rPr>
            </w:pPr>
            <w:r>
              <w:rPr>
                <w:rFonts w:hint="default" w:hAnsi="宋体"/>
                <w:b w:val="0"/>
                <w:bCs w:val="0"/>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b w:val="0"/>
                <w:bCs w:val="0"/>
                <w:color w:val="000000"/>
                <w:sz w:val="21"/>
                <w:szCs w:val="21"/>
                <w:highlight w:val="none"/>
                <w:lang w:val="en-US" w:eastAsia="zh-CN" w:bidi="ar-SA"/>
              </w:rPr>
            </w:pPr>
            <w:r>
              <w:rPr>
                <w:rFonts w:hint="default" w:hAnsi="宋体"/>
                <w:b w:val="0"/>
                <w:bCs w:val="0"/>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b w:val="0"/>
                <w:bCs w:val="0"/>
                <w:color w:val="auto"/>
                <w:sz w:val="21"/>
                <w:szCs w:val="21"/>
                <w:highlight w:val="none"/>
                <w:lang w:val="en-US" w:eastAsia="zh-CN" w:bidi="ar-SA"/>
              </w:rPr>
            </w:pPr>
            <w:r>
              <w:rPr>
                <w:rFonts w:hint="default" w:hAnsi="宋体"/>
                <w:b w:val="0"/>
                <w:bCs w:val="0"/>
                <w:color w:val="auto"/>
                <w:sz w:val="21"/>
                <w:szCs w:val="21"/>
                <w:highlight w:val="none"/>
                <w:lang w:bidi="ar"/>
              </w:rPr>
              <w:t>数量</w:t>
            </w:r>
          </w:p>
        </w:tc>
        <w:tc>
          <w:tcPr>
            <w:tcW w:w="7265" w:type="dxa"/>
            <w:shd w:val="clear" w:color="auto" w:fill="auto"/>
            <w:vAlign w:val="top"/>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default" w:ascii="宋体" w:hAnsi="宋体" w:cs="宋体"/>
                <w:b w:val="0"/>
                <w:bCs w:val="0"/>
                <w:color w:val="auto"/>
                <w:kern w:val="0"/>
                <w:sz w:val="21"/>
                <w:szCs w:val="21"/>
                <w:highlight w:val="none"/>
                <w:lang w:val="en-US" w:eastAsia="zh-CN"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888" w:type="dxa"/>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电子钢琴</w:t>
            </w:r>
          </w:p>
        </w:tc>
        <w:tc>
          <w:tcPr>
            <w:tcW w:w="630" w:type="dxa"/>
            <w:gridSpan w:val="2"/>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台</w:t>
            </w:r>
          </w:p>
        </w:tc>
        <w:tc>
          <w:tcPr>
            <w:tcW w:w="645" w:type="dxa"/>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default" w:ascii="宋体" w:hAnsi="宋体" w:eastAsia="宋体" w:cs="宋体"/>
                <w:b w:val="0"/>
                <w:bCs w:val="0"/>
                <w:color w:val="auto"/>
                <w:sz w:val="21"/>
                <w:szCs w:val="21"/>
                <w:highlight w:val="none"/>
                <w:lang w:val="en-US" w:eastAsia="zh-CN" w:bidi="ar"/>
              </w:rPr>
              <w:t>7</w:t>
            </w:r>
          </w:p>
        </w:tc>
        <w:tc>
          <w:tcPr>
            <w:tcW w:w="7265" w:type="dxa"/>
            <w:shd w:val="clear" w:color="auto" w:fill="FFFFFF"/>
            <w:vAlign w:val="center"/>
          </w:tcPr>
          <w:p>
            <w:pPr>
              <w:widowControl/>
              <w:numPr>
                <w:ilvl w:val="0"/>
                <w:numId w:val="0"/>
              </w:numPr>
              <w:spacing w:beforeLines="0" w:afterLines="0"/>
              <w:jc w:val="left"/>
              <w:textAlignment w:val="center"/>
              <w:rPr>
                <w:rFonts w:hint="eastAsia"/>
                <w:highlight w:val="none"/>
              </w:rPr>
            </w:pPr>
            <w:r>
              <w:rPr>
                <w:rFonts w:hint="eastAsia"/>
                <w:highlight w:val="none"/>
              </w:rPr>
              <w:t>1.键盘:88键，不低于GHC键盘，亚光黑键</w:t>
            </w:r>
          </w:p>
          <w:p>
            <w:pPr>
              <w:widowControl/>
              <w:numPr>
                <w:ilvl w:val="0"/>
                <w:numId w:val="0"/>
              </w:numPr>
              <w:spacing w:beforeLines="0" w:afterLines="0"/>
              <w:jc w:val="left"/>
              <w:textAlignment w:val="center"/>
              <w:rPr>
                <w:rFonts w:hint="eastAsia"/>
                <w:highlight w:val="none"/>
              </w:rPr>
            </w:pPr>
            <w:r>
              <w:rPr>
                <w:rFonts w:hint="eastAsia"/>
                <w:highlight w:val="none"/>
              </w:rPr>
              <w:t>2.力度响应:不少于4种</w:t>
            </w:r>
          </w:p>
          <w:p>
            <w:pPr>
              <w:widowControl/>
              <w:numPr>
                <w:ilvl w:val="0"/>
                <w:numId w:val="0"/>
              </w:numPr>
              <w:spacing w:beforeLines="0" w:afterLines="0"/>
              <w:jc w:val="left"/>
              <w:textAlignment w:val="center"/>
              <w:rPr>
                <w:rFonts w:hint="eastAsia"/>
                <w:highlight w:val="none"/>
              </w:rPr>
            </w:pPr>
            <w:r>
              <w:rPr>
                <w:rFonts w:hint="eastAsia"/>
                <w:highlight w:val="none"/>
              </w:rPr>
              <w:t>3.音源采样:不低于CFIIIS音乐会三角琴音色采样</w:t>
            </w:r>
          </w:p>
          <w:p>
            <w:pPr>
              <w:widowControl/>
              <w:numPr>
                <w:ilvl w:val="0"/>
                <w:numId w:val="0"/>
              </w:numPr>
              <w:spacing w:beforeLines="0" w:afterLines="0"/>
              <w:jc w:val="left"/>
              <w:textAlignment w:val="center"/>
              <w:rPr>
                <w:rFonts w:hint="eastAsia"/>
                <w:highlight w:val="none"/>
              </w:rPr>
            </w:pPr>
            <w:r>
              <w:rPr>
                <w:rFonts w:hint="eastAsia"/>
                <w:highlight w:val="none"/>
              </w:rPr>
              <w:t>4.面板:中文面板</w:t>
            </w:r>
          </w:p>
          <w:p>
            <w:pPr>
              <w:widowControl/>
              <w:numPr>
                <w:ilvl w:val="0"/>
                <w:numId w:val="0"/>
              </w:numPr>
              <w:spacing w:beforeLines="0" w:afterLines="0"/>
              <w:jc w:val="left"/>
              <w:textAlignment w:val="center"/>
              <w:rPr>
                <w:rFonts w:hint="eastAsia"/>
                <w:highlight w:val="none"/>
              </w:rPr>
            </w:pPr>
            <w:r>
              <w:rPr>
                <w:rFonts w:hint="eastAsia"/>
                <w:highlight w:val="none"/>
              </w:rPr>
              <w:t>5.最大复音数:不少于60个。</w:t>
            </w:r>
          </w:p>
          <w:p>
            <w:pPr>
              <w:widowControl/>
              <w:numPr>
                <w:ilvl w:val="0"/>
                <w:numId w:val="0"/>
              </w:numPr>
              <w:spacing w:beforeLines="0" w:afterLines="0"/>
              <w:jc w:val="left"/>
              <w:textAlignment w:val="center"/>
              <w:rPr>
                <w:rFonts w:hint="eastAsia"/>
                <w:highlight w:val="none"/>
              </w:rPr>
            </w:pPr>
            <w:r>
              <w:rPr>
                <w:rFonts w:hint="eastAsia"/>
                <w:highlight w:val="none"/>
              </w:rPr>
              <w:t>6.音色:不少于10种内置音色，至少包含1种中国民族乐器。</w:t>
            </w:r>
          </w:p>
          <w:p>
            <w:pPr>
              <w:widowControl/>
              <w:numPr>
                <w:ilvl w:val="0"/>
                <w:numId w:val="0"/>
              </w:numPr>
              <w:spacing w:beforeLines="0" w:afterLines="0"/>
              <w:jc w:val="left"/>
              <w:textAlignment w:val="center"/>
              <w:rPr>
                <w:rFonts w:hint="eastAsia"/>
                <w:highlight w:val="none"/>
              </w:rPr>
            </w:pPr>
            <w:r>
              <w:rPr>
                <w:rFonts w:hint="eastAsia"/>
                <w:highlight w:val="none"/>
              </w:rPr>
              <w:t>7.预置乐曲数:不少于10音色示范曲+10首钢琴预置乐曲</w:t>
            </w:r>
          </w:p>
          <w:p>
            <w:pPr>
              <w:widowControl/>
              <w:numPr>
                <w:ilvl w:val="0"/>
                <w:numId w:val="0"/>
              </w:numPr>
              <w:spacing w:beforeLines="0" w:afterLines="0"/>
              <w:jc w:val="left"/>
              <w:textAlignment w:val="center"/>
              <w:rPr>
                <w:rFonts w:hint="eastAsia"/>
                <w:highlight w:val="none"/>
              </w:rPr>
            </w:pPr>
            <w:r>
              <w:rPr>
                <w:rFonts w:hint="eastAsia"/>
                <w:highlight w:val="none"/>
              </w:rPr>
              <w:t>8.混响效果:不少于4种混响效果，不少于1种声音增强效果</w:t>
            </w:r>
          </w:p>
          <w:p>
            <w:pPr>
              <w:widowControl/>
              <w:numPr>
                <w:ilvl w:val="0"/>
                <w:numId w:val="0"/>
              </w:numPr>
              <w:spacing w:beforeLines="0" w:afterLines="0"/>
              <w:jc w:val="left"/>
              <w:textAlignment w:val="center"/>
              <w:rPr>
                <w:rFonts w:hint="eastAsia"/>
                <w:highlight w:val="none"/>
              </w:rPr>
            </w:pPr>
            <w:r>
              <w:rPr>
                <w:rFonts w:hint="eastAsia"/>
                <w:highlight w:val="none"/>
              </w:rPr>
              <w:t>★9.音频扩展:具备音频输入功能。</w:t>
            </w:r>
          </w:p>
          <w:p>
            <w:pPr>
              <w:widowControl/>
              <w:numPr>
                <w:ilvl w:val="0"/>
                <w:numId w:val="0"/>
              </w:numPr>
              <w:spacing w:beforeLines="0" w:afterLines="0"/>
              <w:jc w:val="left"/>
              <w:textAlignment w:val="center"/>
              <w:rPr>
                <w:rFonts w:hint="eastAsia"/>
                <w:highlight w:val="none"/>
              </w:rPr>
            </w:pPr>
            <w:r>
              <w:rPr>
                <w:rFonts w:hint="eastAsia"/>
                <w:highlight w:val="none"/>
              </w:rPr>
              <w:t>10.功能:双人演奏，双音色</w:t>
            </w:r>
          </w:p>
          <w:p>
            <w:pPr>
              <w:widowControl/>
              <w:numPr>
                <w:ilvl w:val="0"/>
                <w:numId w:val="0"/>
              </w:numPr>
              <w:spacing w:beforeLines="0" w:afterLines="0"/>
              <w:jc w:val="left"/>
              <w:textAlignment w:val="center"/>
              <w:rPr>
                <w:rFonts w:hint="eastAsia"/>
                <w:highlight w:val="none"/>
              </w:rPr>
            </w:pPr>
            <w:r>
              <w:rPr>
                <w:rFonts w:hint="eastAsia"/>
                <w:highlight w:val="none"/>
              </w:rPr>
              <w:t>11.移调:-6-0-+6。</w:t>
            </w:r>
          </w:p>
          <w:p>
            <w:pPr>
              <w:widowControl/>
              <w:numPr>
                <w:ilvl w:val="0"/>
                <w:numId w:val="0"/>
              </w:numPr>
              <w:spacing w:beforeLines="0" w:afterLines="0"/>
              <w:jc w:val="left"/>
              <w:textAlignment w:val="center"/>
              <w:rPr>
                <w:rFonts w:hint="eastAsia"/>
                <w:highlight w:val="none"/>
              </w:rPr>
            </w:pPr>
            <w:r>
              <w:rPr>
                <w:rFonts w:hint="eastAsia"/>
                <w:highlight w:val="none"/>
              </w:rPr>
              <w:t>12.调音:A4=大约440Hz可调节幅度±24Hz以上。</w:t>
            </w:r>
          </w:p>
          <w:p>
            <w:pPr>
              <w:widowControl/>
              <w:numPr>
                <w:ilvl w:val="0"/>
                <w:numId w:val="0"/>
              </w:numPr>
              <w:spacing w:beforeLines="0" w:afterLines="0"/>
              <w:jc w:val="left"/>
              <w:textAlignment w:val="center"/>
              <w:rPr>
                <w:rFonts w:hint="eastAsia"/>
                <w:highlight w:val="none"/>
              </w:rPr>
            </w:pPr>
            <w:r>
              <w:rPr>
                <w:rFonts w:hint="eastAsia"/>
                <w:highlight w:val="none"/>
              </w:rPr>
              <w:t>★13.节拍器:速度范围32-280</w:t>
            </w:r>
          </w:p>
          <w:p>
            <w:pPr>
              <w:widowControl/>
              <w:numPr>
                <w:ilvl w:val="0"/>
                <w:numId w:val="0"/>
              </w:numPr>
              <w:spacing w:beforeLines="0" w:afterLines="0"/>
              <w:jc w:val="left"/>
              <w:textAlignment w:val="center"/>
              <w:rPr>
                <w:rFonts w:hint="eastAsia"/>
                <w:highlight w:val="none"/>
              </w:rPr>
            </w:pPr>
            <w:r>
              <w:rPr>
                <w:rFonts w:hint="eastAsia"/>
                <w:highlight w:val="none"/>
              </w:rPr>
              <w:t>14.踏板接口:钢琴三踏板(可进行柔音及抽选延音踏板操作)。</w:t>
            </w:r>
          </w:p>
          <w:p>
            <w:pPr>
              <w:widowControl/>
              <w:numPr>
                <w:ilvl w:val="0"/>
                <w:numId w:val="0"/>
              </w:numPr>
              <w:spacing w:beforeLines="0" w:afterLines="0"/>
              <w:jc w:val="left"/>
              <w:textAlignment w:val="center"/>
              <w:rPr>
                <w:rFonts w:hint="eastAsia"/>
                <w:highlight w:val="none"/>
              </w:rPr>
            </w:pPr>
            <w:r>
              <w:rPr>
                <w:rFonts w:hint="eastAsia"/>
                <w:highlight w:val="none"/>
              </w:rPr>
              <w:t>15.耳机输出:不少于1个。</w:t>
            </w:r>
          </w:p>
          <w:p>
            <w:pPr>
              <w:widowControl/>
              <w:numPr>
                <w:ilvl w:val="0"/>
                <w:numId w:val="0"/>
              </w:numPr>
              <w:spacing w:beforeLines="0" w:afterLines="0"/>
              <w:jc w:val="left"/>
              <w:textAlignment w:val="center"/>
              <w:rPr>
                <w:rFonts w:hint="eastAsia"/>
                <w:highlight w:val="none"/>
              </w:rPr>
            </w:pPr>
            <w:r>
              <w:rPr>
                <w:rFonts w:hint="eastAsia"/>
                <w:highlight w:val="none"/>
              </w:rPr>
              <w:t>16.可连接智能手机或智能平板APP:不少于可以连接2款APP。</w:t>
            </w:r>
          </w:p>
          <w:p>
            <w:pPr>
              <w:widowControl/>
              <w:numPr>
                <w:ilvl w:val="0"/>
                <w:numId w:val="0"/>
              </w:numPr>
              <w:spacing w:beforeLines="0" w:afterLines="0"/>
              <w:jc w:val="left"/>
              <w:textAlignment w:val="center"/>
              <w:rPr>
                <w:rFonts w:hint="eastAsia"/>
                <w:highlight w:val="none"/>
              </w:rPr>
            </w:pPr>
            <w:r>
              <w:rPr>
                <w:rFonts w:hint="eastAsia"/>
                <w:highlight w:val="none"/>
              </w:rPr>
              <w:t>17.USB 接口:具备。</w:t>
            </w:r>
          </w:p>
          <w:p>
            <w:pPr>
              <w:widowControl/>
              <w:numPr>
                <w:ilvl w:val="0"/>
                <w:numId w:val="0"/>
              </w:numPr>
              <w:spacing w:beforeLines="0" w:afterLines="0"/>
              <w:jc w:val="left"/>
              <w:textAlignment w:val="center"/>
              <w:rPr>
                <w:rFonts w:hint="eastAsia"/>
                <w:highlight w:val="none"/>
              </w:rPr>
            </w:pPr>
            <w:r>
              <w:rPr>
                <w:rFonts w:hint="eastAsia"/>
                <w:highlight w:val="none"/>
              </w:rPr>
              <w:t>18.自动关机功能:有。</w:t>
            </w:r>
          </w:p>
          <w:p>
            <w:pPr>
              <w:widowControl/>
              <w:numPr>
                <w:ilvl w:val="0"/>
                <w:numId w:val="0"/>
              </w:numPr>
              <w:spacing w:beforeLines="0" w:afterLines="0"/>
              <w:jc w:val="left"/>
              <w:textAlignment w:val="center"/>
              <w:rPr>
                <w:rFonts w:hint="eastAsia"/>
                <w:highlight w:val="none"/>
              </w:rPr>
            </w:pPr>
            <w:r>
              <w:rPr>
                <w:rFonts w:hint="eastAsia"/>
                <w:highlight w:val="none"/>
              </w:rPr>
              <w:t>19.扬声器输出功率:不少于14W</w:t>
            </w:r>
          </w:p>
          <w:p>
            <w:pPr>
              <w:widowControl/>
              <w:numPr>
                <w:ilvl w:val="0"/>
                <w:numId w:val="0"/>
              </w:numPr>
              <w:spacing w:beforeLines="0" w:afterLines="0"/>
              <w:jc w:val="left"/>
              <w:textAlignment w:val="center"/>
              <w:rPr>
                <w:rFonts w:hint="eastAsia"/>
                <w:highlight w:val="none"/>
              </w:rPr>
            </w:pPr>
            <w:r>
              <w:rPr>
                <w:rFonts w:hint="eastAsia"/>
                <w:highlight w:val="none"/>
              </w:rPr>
              <w:t>20.功耗:不少于6W(使用原厂适配器情况下)</w:t>
            </w:r>
          </w:p>
          <w:p>
            <w:pPr>
              <w:widowControl/>
              <w:numPr>
                <w:ilvl w:val="0"/>
                <w:numId w:val="0"/>
              </w:numPr>
              <w:spacing w:beforeLines="0" w:afterLines="0"/>
              <w:jc w:val="left"/>
              <w:textAlignment w:val="center"/>
              <w:rPr>
                <w:rFonts w:hint="eastAsia"/>
                <w:highlight w:val="none"/>
              </w:rPr>
            </w:pPr>
            <w:r>
              <w:rPr>
                <w:rFonts w:hint="eastAsia"/>
                <w:highlight w:val="none"/>
              </w:rPr>
              <w:t>21.主机尺寸:长1326mm*宽268mm*高129mm</w:t>
            </w:r>
          </w:p>
          <w:p>
            <w:pPr>
              <w:widowControl/>
              <w:numPr>
                <w:ilvl w:val="0"/>
                <w:numId w:val="0"/>
              </w:numPr>
              <w:spacing w:beforeLines="0" w:afterLines="0"/>
              <w:jc w:val="left"/>
              <w:textAlignment w:val="center"/>
              <w:rPr>
                <w:rFonts w:hint="eastAsia"/>
                <w:highlight w:val="none"/>
              </w:rPr>
            </w:pPr>
            <w:r>
              <w:rPr>
                <w:rFonts w:hint="eastAsia"/>
                <w:highlight w:val="none"/>
              </w:rPr>
              <w:t>22.主机重量:11.1KG</w:t>
            </w:r>
          </w:p>
          <w:p>
            <w:pPr>
              <w:widowControl/>
              <w:numPr>
                <w:ilvl w:val="0"/>
                <w:numId w:val="0"/>
              </w:numPr>
              <w:spacing w:beforeLines="0" w:afterLines="0"/>
              <w:jc w:val="left"/>
              <w:textAlignment w:val="center"/>
              <w:rPr>
                <w:rFonts w:hint="eastAsia"/>
                <w:highlight w:val="none"/>
              </w:rPr>
            </w:pPr>
            <w:r>
              <w:rPr>
                <w:rFonts w:hint="eastAsia"/>
                <w:highlight w:val="none"/>
              </w:rPr>
              <w:t>23.电源、乐谱架、原厂三踏板、原厂琴架、说明书、保修卡。</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highlight w:val="none"/>
              </w:rPr>
              <w:t>★24.为保证供应商所竞标产品的售后与保障，供货时须提供产品制造商售后服务承诺书原件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合唱台</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组</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整体尺寸为，1200*1200*600mm，分三层设计，每层踏台宽度为400mm，长度为1200mm，台阶高度为200mm。整体材质采用AA级18mm橡木实木板材制作。底部加强梁为2根橡木竖板，合唱台表面经打磨抛光处理，三遍底漆两遍面漆，油漆采用环保无甲醛清漆净味漆，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3</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沙锤</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对</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材质：木质，原木色，抛光打磨去锋边，无毛刺，边缘光滑。</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规格：长约15CM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4</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双响筒</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副</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规格：长约18CM，发声孔直径约4CM；</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材质：木质，原木加沟，光滑无毛刺，声音响亮。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5</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木鱼</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套</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规格：宽*高≧①9.5*7.2cm ②≧8.6*6.5cm ③≧8.5*6.4cm ④≧7.8*6.2cm ⑤≧7.4*6cm ⑥≧7.1*5.4cm ⑦≧6.3*5.2cm ⑧≧6*4.8cm。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材质：木质</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使用方法：手持敲槌，敲击不同尺寸的木鱼，会有不一样的声音；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铃鼓</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套</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规格：8寸，直径约20CM，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材质：由木质鼓圈，聚酯皮鼓面，6组铃片组成。</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使用方法：演奏时，手持铃鼓摇动鼓身即可作响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7</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三角铁</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套</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钢制，边长分别为 15cm、20cm、25cm，三件一套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8</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碰铃</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副</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2</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规格：外径约4.5CM；</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材质：镀铜；</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由一根红绳连接两个碰钟组成，使用时拿住绳子的根部，互相碰击可发出清脆明亮的声音。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9</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堂鼓</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个</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1、规格：直径约26cm，高度约32cm；含架子。</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2、材质：实木鼓身，牛皮鼓面；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10</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中虎音锣</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个</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铜制，直径约 30cm，硬木锣锤，边缘无毛刺，锣面无裂缝，表面抛光氧化处理并涂油；音质无杂音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11</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小锣</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个</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铜制，直径约 22cm，硬木锣锤，边缘无毛刺，锣面无裂缝，表面抛光氧化处理并涂油；音质无杂音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12</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铙</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副</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铜制，直径约27cm，铙面光、弧度适度、圆度准确、边缘厚度一致， 中间的帽形大小和两面的音高要相同，两面为一副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13</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钹</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副</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铜制，直径约14cm，钹面光、 弧度适度、圆度准确、边缘厚度一致，中间的帽形大小和两面的音高要相同，两面为一副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14</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拖杆音箱</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台</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5</w:t>
            </w:r>
          </w:p>
        </w:tc>
        <w:tc>
          <w:tcPr>
            <w:tcW w:w="7265" w:type="dxa"/>
            <w:shd w:val="clear" w:color="auto" w:fill="FFFFFF"/>
            <w:vAlign w:val="center"/>
          </w:tcPr>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有 USB 接口，蓝牙连接，3.5MM 音频插口，读卡器，重低音，含手持、头戴麦克风，外接供电，内置电池， 一次充电可连续使用 6 小时以上，带遥控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FF0000"/>
                <w:sz w:val="21"/>
                <w:szCs w:val="21"/>
                <w:highlight w:val="none"/>
                <w:lang w:val="en-US" w:eastAsia="zh-CN" w:bidi="ar"/>
              </w:rPr>
            </w:pPr>
            <w:r>
              <w:rPr>
                <w:rFonts w:hint="eastAsia" w:ascii="宋体" w:hAnsi="宋体" w:eastAsia="宋体" w:cs="宋体"/>
                <w:b w:val="0"/>
                <w:bCs w:val="0"/>
                <w:color w:val="FF0000"/>
                <w:sz w:val="21"/>
                <w:szCs w:val="21"/>
                <w:highlight w:val="none"/>
                <w:lang w:val="en-US" w:eastAsia="zh-CN" w:bidi="ar"/>
              </w:rPr>
              <w:t>15</w:t>
            </w:r>
          </w:p>
        </w:tc>
        <w:tc>
          <w:tcPr>
            <w:tcW w:w="888" w:type="dxa"/>
            <w:shd w:val="clear" w:color="auto" w:fill="FFFFFF"/>
            <w:vAlign w:val="center"/>
          </w:tcPr>
          <w:p>
            <w:pPr>
              <w:pStyle w:val="20"/>
              <w:ind w:firstLine="0" w:firstLineChars="0"/>
              <w:rPr>
                <w:rFonts w:hint="eastAsia" w:ascii="宋体" w:hAnsi="宋体" w:eastAsia="宋体" w:cs="宋体"/>
                <w:b w:val="0"/>
                <w:bCs w:val="0"/>
                <w:color w:val="FF0000"/>
                <w:sz w:val="21"/>
                <w:szCs w:val="21"/>
                <w:highlight w:val="none"/>
                <w:lang w:val="en-US" w:eastAsia="zh-CN" w:bidi="ar"/>
              </w:rPr>
            </w:pPr>
            <w:r>
              <w:rPr>
                <w:rFonts w:hint="eastAsia" w:ascii="宋体" w:hAnsi="宋体" w:eastAsia="宋体" w:cs="宋体"/>
                <w:b w:val="0"/>
                <w:bCs w:val="0"/>
                <w:color w:val="FF0000"/>
                <w:sz w:val="21"/>
                <w:szCs w:val="21"/>
                <w:highlight w:val="none"/>
                <w:lang w:val="en-US" w:eastAsia="zh-CN" w:bidi="ar"/>
              </w:rPr>
              <w:t>筝</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台</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1.产品规格： 1.63米</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2.面板材质 ：兰考一级泡桐木</w:t>
            </w:r>
            <w:r>
              <w:rPr>
                <w:rFonts w:hint="eastAsia" w:ascii="Segoe UI" w:hAnsi="Segoe UI" w:eastAsia="宋体" w:cs="Segoe UI"/>
                <w:i w:val="0"/>
                <w:iCs w:val="0"/>
                <w:caps w:val="0"/>
                <w:spacing w:val="0"/>
                <w:sz w:val="21"/>
                <w:szCs w:val="21"/>
                <w:highlight w:val="none"/>
                <w:shd w:val="clear" w:fill="FFFFFF"/>
                <w:lang w:val="en-US" w:eastAsia="zh-CN"/>
              </w:rPr>
              <w:t>或</w:t>
            </w:r>
            <w:r>
              <w:rPr>
                <w:rFonts w:ascii="Segoe UI" w:hAnsi="Segoe UI" w:eastAsia="Segoe UI" w:cs="Segoe UI"/>
                <w:i w:val="0"/>
                <w:iCs w:val="0"/>
                <w:caps w:val="0"/>
                <w:spacing w:val="0"/>
                <w:sz w:val="21"/>
                <w:szCs w:val="21"/>
                <w:highlight w:val="none"/>
                <w:shd w:val="clear" w:fill="FFFFFF"/>
              </w:rPr>
              <w:t>符合行业标准</w:t>
            </w:r>
            <w:r>
              <w:rPr>
                <w:rFonts w:hint="eastAsia" w:ascii="Segoe UI" w:hAnsi="Segoe UI" w:eastAsia="宋体" w:cs="Segoe UI"/>
                <w:i w:val="0"/>
                <w:iCs w:val="0"/>
                <w:caps w:val="0"/>
                <w:spacing w:val="0"/>
                <w:sz w:val="21"/>
                <w:szCs w:val="21"/>
                <w:highlight w:val="none"/>
                <w:shd w:val="clear" w:fill="FFFFFF"/>
                <w:lang w:val="en-US" w:eastAsia="zh-CN"/>
              </w:rPr>
              <w:t>同等级别以上</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3.底板材质：</w:t>
            </w:r>
            <w:r>
              <w:rPr>
                <w:rFonts w:ascii="Segoe UI" w:hAnsi="Segoe UI" w:eastAsia="Segoe UI" w:cs="Segoe UI"/>
                <w:i w:val="0"/>
                <w:iCs w:val="0"/>
                <w:caps w:val="0"/>
                <w:spacing w:val="0"/>
                <w:sz w:val="21"/>
                <w:szCs w:val="21"/>
                <w:highlight w:val="none"/>
                <w:shd w:val="clear" w:fill="FFFFFF"/>
              </w:rPr>
              <w:t>优质泡桐木</w:t>
            </w:r>
            <w:r>
              <w:rPr>
                <w:rFonts w:hint="eastAsia" w:ascii="Segoe UI" w:hAnsi="Segoe UI" w:eastAsia="宋体" w:cs="Segoe UI"/>
                <w:i w:val="0"/>
                <w:iCs w:val="0"/>
                <w:caps w:val="0"/>
                <w:spacing w:val="0"/>
                <w:sz w:val="21"/>
                <w:szCs w:val="21"/>
                <w:highlight w:val="none"/>
                <w:shd w:val="clear" w:fill="FFFFFF"/>
                <w:lang w:val="en-US" w:eastAsia="zh-CN"/>
              </w:rPr>
              <w:t>或</w:t>
            </w:r>
            <w:r>
              <w:rPr>
                <w:rFonts w:ascii="Segoe UI" w:hAnsi="Segoe UI" w:eastAsia="Segoe UI" w:cs="Segoe UI"/>
                <w:i w:val="0"/>
                <w:iCs w:val="0"/>
                <w:caps w:val="0"/>
                <w:spacing w:val="0"/>
                <w:sz w:val="21"/>
                <w:szCs w:val="21"/>
                <w:highlight w:val="none"/>
                <w:shd w:val="clear" w:fill="FFFFFF"/>
              </w:rPr>
              <w:t>符合行业标准</w:t>
            </w:r>
            <w:r>
              <w:rPr>
                <w:rFonts w:hint="eastAsia" w:ascii="Segoe UI" w:hAnsi="Segoe UI" w:eastAsia="宋体" w:cs="Segoe UI"/>
                <w:i w:val="0"/>
                <w:iCs w:val="0"/>
                <w:caps w:val="0"/>
                <w:spacing w:val="0"/>
                <w:sz w:val="21"/>
                <w:szCs w:val="21"/>
                <w:highlight w:val="none"/>
                <w:shd w:val="clear" w:fill="FFFFFF"/>
                <w:lang w:val="en-US" w:eastAsia="zh-CN"/>
              </w:rPr>
              <w:t>同等级别以上</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4.琴弦材质：呢绒钢丝琴弦</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5.琴码材质 ：</w:t>
            </w:r>
            <w:r>
              <w:rPr>
                <w:rFonts w:ascii="Segoe UI" w:hAnsi="Segoe UI" w:eastAsia="Segoe UI" w:cs="Segoe UI"/>
                <w:i w:val="0"/>
                <w:iCs w:val="0"/>
                <w:caps w:val="0"/>
                <w:spacing w:val="0"/>
                <w:sz w:val="21"/>
                <w:szCs w:val="21"/>
                <w:highlight w:val="none"/>
                <w:shd w:val="clear" w:fill="FFFFFF"/>
              </w:rPr>
              <w:t>硬木（如檀木、红木、酸枝木等</w:t>
            </w:r>
            <w:r>
              <w:rPr>
                <w:rFonts w:hint="eastAsia" w:ascii="Segoe UI" w:hAnsi="Segoe UI" w:eastAsia="宋体" w:cs="Segoe UI"/>
                <w:i w:val="0"/>
                <w:iCs w:val="0"/>
                <w:caps w:val="0"/>
                <w:spacing w:val="0"/>
                <w:sz w:val="21"/>
                <w:szCs w:val="21"/>
                <w:highlight w:val="none"/>
                <w:shd w:val="clear" w:fill="FFFFFF"/>
                <w:lang w:eastAsia="zh-CN"/>
              </w:rPr>
              <w:t>）</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6.工艺 ：漆画工艺</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7.级别：考级演奏琴</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8.特点 ：高音清脆 明亮；中音圆润 饱满；低音 浑厚有力余音长 （带架子）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16</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爵士鼓</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个</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1.五鼓四镲</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2.底鼓：22"*16"</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3.军鼓：14"*5.5"</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4.嗵鼓：12"*10"</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5.嗵鼓：10"*9"</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6.地鼓：16"*16”</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7.镲片尺寸：12"踩镲*2片、14"强音镲*1片、15"强音镲*1片</w:t>
            </w:r>
          </w:p>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8.鼓皮：透明双层油皮</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9.鼓腔：加厚鼓腔，电镀压圈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17</w:t>
            </w:r>
          </w:p>
        </w:tc>
        <w:tc>
          <w:tcPr>
            <w:tcW w:w="888" w:type="dxa"/>
            <w:shd w:val="clear" w:color="auto" w:fill="FFFFFF"/>
            <w:vAlign w:val="center"/>
          </w:tcPr>
          <w:p>
            <w:pPr>
              <w:pStyle w:val="20"/>
              <w:ind w:firstLine="0" w:firstLineChars="0"/>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非洲鼓</w:t>
            </w:r>
          </w:p>
        </w:tc>
        <w:tc>
          <w:tcPr>
            <w:tcW w:w="630" w:type="dxa"/>
            <w:gridSpan w:val="2"/>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个</w:t>
            </w:r>
          </w:p>
        </w:tc>
        <w:tc>
          <w:tcPr>
            <w:tcW w:w="645" w:type="dxa"/>
            <w:shd w:val="clear" w:color="auto" w:fill="FFFFFF"/>
            <w:vAlign w:val="center"/>
          </w:tcPr>
          <w:p>
            <w:pPr>
              <w:pStyle w:val="20"/>
              <w:ind w:firstLine="0" w:firstLineChars="0"/>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60</w:t>
            </w:r>
          </w:p>
        </w:tc>
        <w:tc>
          <w:tcPr>
            <w:tcW w:w="7265" w:type="dxa"/>
            <w:shd w:val="clear" w:color="auto" w:fill="FFFFFF"/>
            <w:vAlign w:val="center"/>
          </w:tcPr>
          <w:p>
            <w:pPr>
              <w:widowControl/>
              <w:numPr>
                <w:ilvl w:val="0"/>
                <w:numId w:val="0"/>
              </w:numPr>
              <w:spacing w:beforeLines="0" w:afterLines="0"/>
              <w:jc w:val="left"/>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尺寸：12寸</w:t>
            </w:r>
          </w:p>
          <w:p>
            <w:pPr>
              <w:widowControl/>
              <w:numPr>
                <w:ilvl w:val="0"/>
                <w:numId w:val="0"/>
              </w:numPr>
              <w:spacing w:beforeLines="0" w:afterLines="0"/>
              <w:jc w:val="left"/>
              <w:textAlignment w:val="center"/>
              <w:rPr>
                <w:rFonts w:hint="default"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材质：桃花芯、木整木掏空、羊皮鼓皮。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0" w:type="dxa"/>
            <w:gridSpan w:val="6"/>
            <w:vAlign w:val="center"/>
          </w:tcPr>
          <w:p>
            <w:pPr>
              <w:widowControl/>
              <w:ind w:firstLine="0" w:firstLineChars="0"/>
              <w:jc w:val="left"/>
              <w:textAlignment w:val="top"/>
              <w:rPr>
                <w:rFonts w:hint="eastAsia" w:ascii="宋体" w:hAnsi="宋体" w:cs="宋体"/>
                <w:b w:val="0"/>
                <w:bCs w:val="0"/>
                <w:color w:val="auto"/>
                <w:kern w:val="0"/>
                <w:szCs w:val="21"/>
                <w:highlight w:val="none"/>
                <w:lang w:bidi="ar"/>
              </w:rPr>
            </w:pPr>
            <w:r>
              <w:rPr>
                <w:rFonts w:hint="eastAsia" w:ascii="宋体" w:hAnsi="宋体" w:cs="宋体"/>
                <w:b w:val="0"/>
                <w:bCs w:val="0"/>
                <w:color w:val="auto"/>
                <w:szCs w:val="21"/>
                <w:highlight w:val="none"/>
              </w:rPr>
              <w:t>商务要求：</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sz w:val="21"/>
                <w:szCs w:val="21"/>
                <w:highlight w:val="none"/>
              </w:rPr>
              <w:t>投标要求</w:t>
            </w:r>
          </w:p>
        </w:tc>
        <w:tc>
          <w:tcPr>
            <w:tcW w:w="8403" w:type="dxa"/>
            <w:gridSpan w:val="3"/>
            <w:shd w:val="clear" w:color="auto" w:fill="FFFFFF"/>
            <w:vAlign w:val="center"/>
          </w:tcPr>
          <w:p>
            <w:pPr>
              <w:spacing w:beforeLines="0" w:afterLines="0" w:line="360" w:lineRule="auto"/>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sz w:val="21"/>
                <w:szCs w:val="21"/>
                <w:highlight w:val="none"/>
              </w:rPr>
              <w:t>1.投标人提供的产品必须是全新、完整、未使用过的、符合国家有关质量安全标准的合格产品。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kern w:val="0"/>
                <w:sz w:val="21"/>
                <w:szCs w:val="21"/>
                <w:highlight w:val="none"/>
                <w:lang w:bidi="ar"/>
              </w:rPr>
              <w:t>合同签订期</w:t>
            </w:r>
          </w:p>
        </w:tc>
        <w:tc>
          <w:tcPr>
            <w:tcW w:w="8403"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自中标通知书发出之日起10日内。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kern w:val="0"/>
                <w:sz w:val="21"/>
                <w:szCs w:val="21"/>
                <w:highlight w:val="none"/>
                <w:lang w:bidi="ar"/>
              </w:rPr>
              <w:t>交货时间及地点</w:t>
            </w:r>
          </w:p>
        </w:tc>
        <w:tc>
          <w:tcPr>
            <w:tcW w:w="8403" w:type="dxa"/>
            <w:gridSpan w:val="3"/>
            <w:shd w:val="clear" w:color="auto" w:fill="FFFFFF"/>
            <w:vAlign w:val="center"/>
          </w:tcPr>
          <w:p>
            <w:pPr>
              <w:widowControl/>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1.交货期：</w:t>
            </w:r>
            <w:r>
              <w:rPr>
                <w:rFonts w:hint="default" w:ascii="宋体" w:hAnsi="宋体" w:cs="宋体"/>
                <w:b w:val="0"/>
                <w:bCs w:val="0"/>
                <w:color w:val="auto"/>
                <w:sz w:val="21"/>
                <w:szCs w:val="21"/>
                <w:highlight w:val="none"/>
              </w:rPr>
              <w:t>签订合同后</w:t>
            </w:r>
            <w:r>
              <w:rPr>
                <w:rFonts w:hint="eastAsia" w:ascii="宋体" w:hAnsi="宋体" w:cs="宋体"/>
                <w:b w:val="0"/>
                <w:bCs w:val="0"/>
                <w:color w:val="auto"/>
                <w:sz w:val="21"/>
                <w:szCs w:val="21"/>
                <w:highlight w:val="none"/>
                <w:lang w:val="en-US" w:eastAsia="zh-CN"/>
              </w:rPr>
              <w:t>30</w:t>
            </w:r>
            <w:r>
              <w:rPr>
                <w:rFonts w:hint="default" w:ascii="宋体" w:hAnsi="宋体" w:cs="宋体"/>
                <w:b w:val="0"/>
                <w:bCs w:val="0"/>
                <w:color w:val="auto"/>
                <w:sz w:val="21"/>
                <w:szCs w:val="21"/>
                <w:highlight w:val="none"/>
              </w:rPr>
              <w:t>个工作日内安装调试竣工验收交付使用。</w:t>
            </w:r>
          </w:p>
          <w:p>
            <w:pPr>
              <w:pStyle w:val="17"/>
              <w:spacing w:line="360" w:lineRule="auto"/>
              <w:ind w:left="0" w:leftChars="0" w:firstLine="0" w:firstLineChars="0"/>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2.交货地点：广西钦州浦北县</w:t>
            </w:r>
            <w:r>
              <w:rPr>
                <w:rFonts w:hint="eastAsia" w:ascii="宋体" w:hAnsi="宋体" w:cs="宋体"/>
                <w:kern w:val="0"/>
                <w:sz w:val="21"/>
                <w:szCs w:val="21"/>
                <w:highlight w:val="none"/>
                <w:lang w:val="en-US" w:eastAsia="zh-CN" w:bidi="ar"/>
              </w:rPr>
              <w:t>金浦中学、浦北县第八小学</w:t>
            </w:r>
            <w:r>
              <w:rPr>
                <w:rFonts w:hint="default" w:ascii="宋体" w:hAnsi="宋体" w:cs="宋体"/>
                <w:b w:val="0"/>
                <w:bCs w:val="0"/>
                <w:color w:val="auto"/>
                <w:kern w:val="0"/>
                <w:sz w:val="21"/>
                <w:szCs w:val="21"/>
                <w:highlight w:val="none"/>
                <w:lang w:bidi="ar"/>
              </w:rPr>
              <w:t>；</w:t>
            </w:r>
          </w:p>
          <w:p>
            <w:pPr>
              <w:widowControl/>
              <w:spacing w:beforeLines="0" w:afterLines="0" w:line="360" w:lineRule="auto"/>
              <w:ind w:left="0" w:leftChars="0" w:firstLine="0" w:firstLineChars="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3.交货方式：现场交货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kern w:val="0"/>
                <w:sz w:val="21"/>
                <w:szCs w:val="21"/>
                <w:highlight w:val="none"/>
                <w:lang w:bidi="ar"/>
              </w:rPr>
              <w:t>质保期限</w:t>
            </w:r>
          </w:p>
        </w:tc>
        <w:tc>
          <w:tcPr>
            <w:tcW w:w="8403"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按国家有关产品“三包”规定执行“三包”，自货物验收合格之日起计算，产品质保期最短不少于 1 年（“技术参数要求”有要求的则按其要求）。若厂家质保期超过此年限的，合同履行过程中按厂家规定执行。质保期满后，终身维护。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kern w:val="0"/>
                <w:sz w:val="21"/>
                <w:szCs w:val="21"/>
                <w:highlight w:val="none"/>
                <w:lang w:bidi="ar"/>
              </w:rPr>
              <w:t>售后服务要求</w:t>
            </w:r>
          </w:p>
        </w:tc>
        <w:tc>
          <w:tcPr>
            <w:tcW w:w="8403" w:type="dxa"/>
            <w:gridSpan w:val="3"/>
            <w:shd w:val="clear" w:color="auto" w:fill="FFFFFF"/>
            <w:vAlign w:val="center"/>
          </w:tcPr>
          <w:p>
            <w:pPr>
              <w:widowControl/>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1.中标人按采购人指定的地点负责送货上门、安装、调试，负责培训使用人员和维护人员。 </w:t>
            </w:r>
          </w:p>
          <w:p>
            <w:pPr>
              <w:widowControl/>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2.中标人必须提供安装、配线以及软硬件的测试和调整服务。系统安装之前，应先对用户人员进行现场培训。开始安装时，应让用户的硬软件和系统集成人员参与安装、检测和排除故障。中标人在施工、安装、调试等全过程中接受采购人的监督。 </w:t>
            </w:r>
          </w:p>
          <w:p>
            <w:pPr>
              <w:widowControl/>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3.在中标人承诺的质保期内，设备保修包换所需要的配件均是原厂原装，不得使用兼容货物。 </w:t>
            </w:r>
          </w:p>
          <w:p>
            <w:pPr>
              <w:widowControl/>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4.售后服务按厂家承诺执行。中标人超过厂家承诺标准的，按中标人提交的售后服务承诺书执行。中标人定期回访以及对设备进行维护；质保期后中标人需提供维修维护服务。 </w:t>
            </w:r>
          </w:p>
          <w:p>
            <w:pPr>
              <w:widowControl/>
              <w:spacing w:beforeLines="0" w:afterLines="0" w:line="360" w:lineRule="auto"/>
              <w:ind w:left="0" w:leftChars="0" w:firstLine="0" w:firstLineChars="0"/>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5.中标人在质量保证期内应当为采购人提供以下技术支持和服务：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（1）电话咨询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中标人应当为采购人提供技术援助电话，解答采购人在使用中遇到的问题，及时为采购人提出解决问题的建议。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（2）服务响应时间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质保期内，采购人遇到使用或技术问题，电话咨询不能解决的，中标人应在 8小时内到达现场进行处理，到达现场后 5 小时内排除故障，恢复正常使用。保证采购人正常使用，产生的一切费用由中标人承担。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（3）技术升级 </w:t>
            </w:r>
          </w:p>
          <w:p>
            <w:pPr>
              <w:widowControl/>
              <w:spacing w:beforeLines="0" w:afterLines="0" w:line="360" w:lineRule="auto"/>
              <w:jc w:val="left"/>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在质保期内，如果中标人的产品或服务升级，中标人应及时通知采购人，如采购人有相应要求，中标人应对采购人购买的产品或服务进行升级。</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6.质保期外服务要求质量保证期过后，采购人需要继续由原中标人提供售后服务的，中标人应提供电话咨询服务，并应承诺提供产品或服务上门维护，中标人和制造商应以优惠价格提供售后服务。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7.备品备件及易损件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中标人售后服务中，维修使用的备品备件及易损件应为原厂配件，未经采购人同意不得使用非原厂配件。 </w:t>
            </w:r>
          </w:p>
          <w:p>
            <w:pPr>
              <w:widowControl/>
              <w:spacing w:beforeLines="0" w:afterLines="0"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8.培训要求：中标人对其提供产品或服务的使用和操作应尽培训义务。中标人应提供对本项目的使用单位进行培训服务，涉及的相关费用应计算在项目报价内，并使使用人员能独立、熟练操作系统。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kern w:val="0"/>
                <w:sz w:val="21"/>
                <w:szCs w:val="21"/>
                <w:highlight w:val="none"/>
                <w:lang w:bidi="ar"/>
              </w:rPr>
              <w:t>付款方式</w:t>
            </w:r>
          </w:p>
        </w:tc>
        <w:tc>
          <w:tcPr>
            <w:tcW w:w="8403" w:type="dxa"/>
            <w:gridSpan w:val="3"/>
            <w:shd w:val="clear" w:color="auto" w:fill="FFFFFF"/>
            <w:vAlign w:val="center"/>
          </w:tcPr>
          <w:p>
            <w:pPr>
              <w:spacing w:beforeLines="0" w:afterLines="0"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highlight w:val="none"/>
              </w:rPr>
              <w:t>合同签订后10个工作日内，采购人以转账方式向</w:t>
            </w:r>
            <w:r>
              <w:rPr>
                <w:rFonts w:hint="eastAsia"/>
                <w:highlight w:val="none"/>
                <w:lang w:val="en-US" w:eastAsia="zh-CN"/>
              </w:rPr>
              <w:t>中标</w:t>
            </w:r>
            <w:r>
              <w:rPr>
                <w:rFonts w:hint="eastAsia"/>
                <w:highlight w:val="none"/>
              </w:rPr>
              <w:t>人支付合同金额的30%作为预付款，项目最终验收合格后</w:t>
            </w:r>
            <w:r>
              <w:rPr>
                <w:rFonts w:hint="eastAsia"/>
                <w:highlight w:val="none"/>
                <w:lang w:val="en-US" w:eastAsia="zh-CN"/>
              </w:rPr>
              <w:t>30</w:t>
            </w:r>
            <w:r>
              <w:rPr>
                <w:rFonts w:hint="eastAsia"/>
                <w:highlight w:val="none"/>
              </w:rPr>
              <w:t>个工作日内，采购人支付成交人剩余款项，</w:t>
            </w:r>
            <w:r>
              <w:rPr>
                <w:rFonts w:hint="eastAsia"/>
                <w:highlight w:val="none"/>
                <w:lang w:val="en-US" w:eastAsia="zh-CN"/>
              </w:rPr>
              <w:t>中标</w:t>
            </w:r>
            <w:r>
              <w:rPr>
                <w:rFonts w:hint="eastAsia"/>
                <w:highlight w:val="none"/>
              </w:rPr>
              <w:t>人须在付尾款前一次性开具与最终结算金额相对应的发票给采购人。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default" w:ascii="宋体" w:hAnsi="宋体" w:cs="宋体"/>
                <w:b w:val="0"/>
                <w:bCs w:val="0"/>
                <w:sz w:val="21"/>
                <w:szCs w:val="21"/>
                <w:highlight w:val="none"/>
              </w:rPr>
            </w:pPr>
            <w:r>
              <w:rPr>
                <w:rFonts w:hint="default" w:ascii="宋体" w:hAnsi="宋体" w:cs="宋体"/>
                <w:b w:val="0"/>
                <w:bCs w:val="0"/>
                <w:kern w:val="0"/>
                <w:sz w:val="21"/>
                <w:szCs w:val="21"/>
                <w:highlight w:val="none"/>
                <w:lang w:bidi="ar"/>
              </w:rPr>
              <w:t>报价要求</w:t>
            </w:r>
          </w:p>
          <w:p>
            <w:pPr>
              <w:widowControl/>
              <w:spacing w:beforeLines="0" w:afterLines="0" w:line="360" w:lineRule="auto"/>
              <w:ind w:firstLine="420" w:firstLineChars="200"/>
              <w:jc w:val="center"/>
              <w:rPr>
                <w:rFonts w:hint="eastAsia" w:ascii="宋体" w:hAnsi="宋体" w:eastAsia="宋体" w:cs="宋体"/>
                <w:b w:val="0"/>
                <w:bCs w:val="0"/>
                <w:color w:val="FF0000"/>
                <w:kern w:val="2"/>
                <w:sz w:val="21"/>
                <w:szCs w:val="21"/>
                <w:highlight w:val="none"/>
                <w:lang w:val="en-US" w:eastAsia="zh-CN" w:bidi="ar-SA"/>
              </w:rPr>
            </w:pPr>
          </w:p>
        </w:tc>
        <w:tc>
          <w:tcPr>
            <w:tcW w:w="8403"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投标报价为采购人指定地点的现场交货价，包括但不限于：投标报价包含货物采购、备品备件、工具、运抵指定交货地点、装卸费、现场安装、环境布置、设备调试及验收的各种费用和售后服务、保险、税金、培训及其他所有成本费用的总和。项目实施过程中产生的所有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kern w:val="0"/>
                <w:sz w:val="21"/>
                <w:szCs w:val="21"/>
                <w:highlight w:val="none"/>
                <w:lang w:bidi="ar"/>
              </w:rPr>
              <w:t>备品备件及耗材等要求</w:t>
            </w:r>
          </w:p>
        </w:tc>
        <w:tc>
          <w:tcPr>
            <w:tcW w:w="8403"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有稳定的备件供应渠道，并从设备厂商的中国公司及其分销商购置整机和备件补充，可以满足客户的设备在升级、扩充和保修服务配件及消耗品等多方面的需求，中标人就相关备品备件及耗材价格与采购人友好协商，应以优惠价格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3"/>
            <w:shd w:val="clear" w:color="auto" w:fill="FFFFFF"/>
            <w:vAlign w:val="center"/>
          </w:tcPr>
          <w:p>
            <w:pPr>
              <w:widowControl/>
              <w:spacing w:beforeLines="0" w:afterLines="0" w:line="360" w:lineRule="auto"/>
              <w:ind w:left="0" w:leftChars="0" w:firstLine="0" w:firstLineChars="0"/>
              <w:jc w:val="both"/>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kern w:val="0"/>
                <w:sz w:val="21"/>
                <w:szCs w:val="21"/>
                <w:highlight w:val="none"/>
                <w:lang w:bidi="ar"/>
              </w:rPr>
              <w:t>规范标准</w:t>
            </w:r>
          </w:p>
        </w:tc>
        <w:tc>
          <w:tcPr>
            <w:tcW w:w="8403"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采购标的需执行的国家标准、行业标准、地方标准或者其他标准、规范。多项标准的，按最新标准或较高标准执行。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3"/>
            <w:shd w:val="clear" w:color="auto" w:fill="FFFFFF"/>
            <w:vAlign w:val="center"/>
          </w:tcPr>
          <w:p>
            <w:pPr>
              <w:widowControl/>
              <w:spacing w:beforeLines="0" w:afterLines="0" w:line="360" w:lineRule="auto"/>
              <w:ind w:left="0" w:leftChars="0" w:firstLine="0" w:firstLineChars="0"/>
              <w:jc w:val="left"/>
              <w:rPr>
                <w:rFonts w:hint="eastAsia" w:ascii="宋体" w:hAnsi="宋体" w:eastAsia="宋体" w:cs="宋体"/>
                <w:b w:val="0"/>
                <w:bCs w:val="0"/>
                <w:color w:val="FF0000"/>
                <w:kern w:val="2"/>
                <w:sz w:val="21"/>
                <w:szCs w:val="21"/>
                <w:highlight w:val="none"/>
                <w:lang w:val="en-US" w:eastAsia="zh-CN" w:bidi="ar-SA"/>
              </w:rPr>
            </w:pPr>
            <w:r>
              <w:rPr>
                <w:rFonts w:hint="default" w:ascii="宋体" w:hAnsi="宋体" w:cs="宋体"/>
                <w:b w:val="0"/>
                <w:bCs w:val="0"/>
                <w:kern w:val="0"/>
                <w:sz w:val="21"/>
                <w:szCs w:val="21"/>
                <w:highlight w:val="none"/>
                <w:lang w:bidi="ar"/>
              </w:rPr>
              <w:t>验收标准及要求</w:t>
            </w:r>
          </w:p>
        </w:tc>
        <w:tc>
          <w:tcPr>
            <w:tcW w:w="8403" w:type="dxa"/>
            <w:gridSpan w:val="3"/>
            <w:shd w:val="clear" w:color="auto" w:fill="FFFFFF"/>
            <w:vAlign w:val="top"/>
          </w:tcPr>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1.验收依据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按合同要求及国家标准进行验收。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2.验收标准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（1）所供产品的规格、数量、功能、材质、颜色等符合招标文件采购需求及采购合同约定的要求。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（2）所供产品的外观完好，无严重碰撞、表皮脱落、五金件生锈等明显瑕疵。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（3）所供产品结构牢固，无安全隐患。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（4）如有抽检要求的，检测结果符合招标文件采购需求及采购合同约定的要求。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（5）所有产品均已运输至指定地点，并安装调试完毕。 </w:t>
            </w:r>
          </w:p>
          <w:p>
            <w:pPr>
              <w:widowControl/>
              <w:spacing w:beforeLines="0" w:afterLines="0" w:line="360" w:lineRule="auto"/>
              <w:jc w:val="left"/>
              <w:rPr>
                <w:rFonts w:hint="default" w:ascii="宋体" w:hAnsi="宋体" w:cs="宋体"/>
                <w:b w:val="0"/>
                <w:bCs w:val="0"/>
                <w:color w:val="auto"/>
                <w:kern w:val="0"/>
                <w:sz w:val="21"/>
                <w:szCs w:val="21"/>
                <w:highlight w:val="none"/>
                <w:lang w:bidi="ar"/>
              </w:rPr>
            </w:pPr>
            <w:r>
              <w:rPr>
                <w:rFonts w:hint="default" w:ascii="宋体" w:hAnsi="宋体" w:cs="宋体"/>
                <w:b w:val="0"/>
                <w:bCs w:val="0"/>
                <w:color w:val="auto"/>
                <w:kern w:val="0"/>
                <w:sz w:val="21"/>
                <w:szCs w:val="21"/>
                <w:highlight w:val="none"/>
                <w:lang w:bidi="ar"/>
              </w:rPr>
              <w:t xml:space="preserve">（6）招标文件采购需求及采购合同约定的附件、工具、技术资料等齐全；提供产品使用说明书、合格证。 </w:t>
            </w:r>
          </w:p>
          <w:p>
            <w:pPr>
              <w:pStyle w:val="32"/>
              <w:spacing w:beforeLines="0" w:afterLines="0" w:line="360" w:lineRule="auto"/>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（7）环境布置达到项目采购需求标准。</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3.验收要求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（1）采购人可以根据采购项目具体情况自行组织验收，或者委托第三方机构或部门开展采购项目履约验收工作，验收过程中所产生的一切费用均由中标人承担，报价时应考虑相关费用。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（2）本项目验收如委托第三方机构组织实施的，由验收小组对照招标文件的技术参数要求核对检验，如不符合招标文件的技术参数要求的，按合同约定执行， 中标人承担所有责任和费用。采购人保留进一步追究责任的权利。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①验收活动开始前，中标人应对货物作出全面检查和对验收文件进行整理，并列出清单，作为采购人收货验收和使用的技术条件依据。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②因验收不合格的，需要再次组织验收的，由此产生相关成本费用由中标人承担。 </w:t>
            </w:r>
          </w:p>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 xml:space="preserve">（3）验收时中标人提供验收文档，具体如下：技术方案、实施方案、售后服务方案、培训方案、系统部署文档、测试文档、使用说明书、电子文档等。 </w:t>
            </w:r>
          </w:p>
          <w:p>
            <w:pPr>
              <w:widowControl/>
              <w:spacing w:beforeLines="0" w:afterLines="0" w:line="360" w:lineRule="auto"/>
              <w:ind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 xml:space="preserve">（4）对所有要求出具的证明文件的原件进行核查，如不符合招标文件的技术需求及要求，以及提供虚假承诺的，按相关规定做退货处理及违约处理，中标人承担所有责任和费用，采购人保留进一步追究责任的权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7" w:type="dxa"/>
            <w:gridSpan w:val="3"/>
            <w:shd w:val="clear" w:color="auto" w:fill="FFFFFF"/>
            <w:vAlign w:val="center"/>
          </w:tcPr>
          <w:p>
            <w:pPr>
              <w:widowControl/>
              <w:spacing w:beforeLines="0" w:afterLines="0" w:line="360" w:lineRule="auto"/>
              <w:ind w:left="0" w:leftChars="0" w:firstLine="0" w:firstLineChars="0"/>
              <w:jc w:val="left"/>
              <w:rPr>
                <w:rFonts w:hint="eastAsia" w:ascii="宋体" w:hAnsi="宋体" w:eastAsia="宋体" w:cs="宋体"/>
                <w:b w:val="0"/>
                <w:bCs w:val="0"/>
                <w:color w:val="FF0000"/>
                <w:kern w:val="2"/>
                <w:sz w:val="21"/>
                <w:szCs w:val="21"/>
                <w:highlight w:val="none"/>
                <w:lang w:val="en-US" w:eastAsia="zh-CN" w:bidi="ar-SA"/>
              </w:rPr>
            </w:pPr>
            <w:bookmarkStart w:id="75" w:name="OLE_LINK20" w:colFirst="0" w:colLast="1"/>
            <w:r>
              <w:rPr>
                <w:rFonts w:hint="default" w:ascii="宋体" w:hAnsi="宋体" w:cs="宋体"/>
                <w:b w:val="0"/>
                <w:bCs w:val="0"/>
                <w:kern w:val="0"/>
                <w:sz w:val="21"/>
                <w:szCs w:val="21"/>
                <w:highlight w:val="none"/>
                <w:lang w:bidi="ar"/>
              </w:rPr>
              <w:t>核心产品</w:t>
            </w:r>
          </w:p>
        </w:tc>
        <w:tc>
          <w:tcPr>
            <w:tcW w:w="8403" w:type="dxa"/>
            <w:gridSpan w:val="3"/>
            <w:shd w:val="clear" w:color="auto" w:fill="FFFFFF"/>
            <w:vAlign w:val="top"/>
          </w:tcPr>
          <w:p>
            <w:pPr>
              <w:widowControl/>
              <w:spacing w:beforeLines="0" w:afterLines="0" w:line="360" w:lineRule="auto"/>
              <w:jc w:val="left"/>
              <w:rPr>
                <w:rFonts w:hint="default" w:ascii="宋体" w:hAnsi="宋体" w:cs="宋体"/>
                <w:b w:val="0"/>
                <w:bCs w:val="0"/>
                <w:color w:val="auto"/>
                <w:sz w:val="21"/>
                <w:szCs w:val="21"/>
                <w:highlight w:val="none"/>
              </w:rPr>
            </w:pPr>
            <w:r>
              <w:rPr>
                <w:rFonts w:hint="default" w:ascii="宋体" w:hAnsi="宋体" w:cs="宋体"/>
                <w:b w:val="0"/>
                <w:bCs w:val="0"/>
                <w:color w:val="auto"/>
                <w:kern w:val="0"/>
                <w:sz w:val="21"/>
                <w:szCs w:val="21"/>
                <w:highlight w:val="none"/>
                <w:lang w:bidi="ar"/>
              </w:rPr>
              <w:t>本项目需求表中</w:t>
            </w:r>
            <w:r>
              <w:rPr>
                <w:rFonts w:hint="eastAsia" w:ascii="宋体" w:hAnsi="宋体" w:cs="宋体"/>
                <w:b w:val="0"/>
                <w:bCs w:val="0"/>
                <w:color w:val="auto"/>
                <w:kern w:val="0"/>
                <w:sz w:val="21"/>
                <w:szCs w:val="21"/>
                <w:highlight w:val="none"/>
                <w:lang w:val="en-US" w:eastAsia="zh-CN" w:bidi="ar"/>
              </w:rPr>
              <w:t>一、计算机1.</w:t>
            </w:r>
            <w:r>
              <w:rPr>
                <w:rFonts w:hint="eastAsia" w:ascii="宋体" w:hAnsi="宋体" w:cs="宋体"/>
                <w:b/>
                <w:bCs/>
                <w:color w:val="auto"/>
                <w:kern w:val="0"/>
                <w:sz w:val="21"/>
                <w:szCs w:val="21"/>
                <w:highlight w:val="none"/>
                <w:u w:val="single"/>
                <w:lang w:val="en-US" w:eastAsia="zh-CN" w:bidi="ar"/>
              </w:rPr>
              <w:t>教师</w:t>
            </w:r>
            <w:r>
              <w:rPr>
                <w:rFonts w:hint="default" w:ascii="宋体" w:hAnsi="宋体" w:cs="宋体"/>
                <w:b/>
                <w:bCs/>
                <w:color w:val="auto"/>
                <w:sz w:val="21"/>
                <w:szCs w:val="21"/>
                <w:highlight w:val="none"/>
                <w:u w:val="single"/>
              </w:rPr>
              <w:t>计算机</w:t>
            </w:r>
            <w:r>
              <w:rPr>
                <w:rFonts w:hint="eastAsia" w:ascii="宋体" w:hAnsi="宋体" w:eastAsia="宋体" w:cs="宋体"/>
                <w:b w:val="0"/>
                <w:bCs w:val="0"/>
                <w:color w:val="auto"/>
                <w:kern w:val="0"/>
                <w:sz w:val="21"/>
                <w:szCs w:val="21"/>
                <w:highlight w:val="none"/>
                <w:lang w:eastAsia="zh-CN" w:bidi="ar"/>
              </w:rPr>
              <w:t>的</w:t>
            </w:r>
            <w:r>
              <w:rPr>
                <w:rFonts w:hint="default" w:ascii="宋体" w:hAnsi="宋体" w:cs="宋体"/>
                <w:b w:val="0"/>
                <w:bCs w:val="0"/>
                <w:color w:val="auto"/>
                <w:kern w:val="0"/>
                <w:sz w:val="21"/>
                <w:szCs w:val="21"/>
                <w:highlight w:val="none"/>
                <w:lang w:bidi="ar"/>
              </w:rPr>
              <w:t xml:space="preserve">为核心产品。 </w:t>
            </w:r>
          </w:p>
          <w:p>
            <w:pPr>
              <w:widowControl/>
              <w:spacing w:beforeLines="0" w:afterLines="0" w:line="360" w:lineRule="auto"/>
              <w:ind w:firstLine="420" w:firstLineChars="200"/>
              <w:jc w:val="left"/>
              <w:rPr>
                <w:rFonts w:hint="default" w:ascii="宋体" w:hAnsi="宋体" w:eastAsia="宋体" w:cs="宋体"/>
                <w:b w:val="0"/>
                <w:bCs w:val="0"/>
                <w:color w:val="auto"/>
                <w:kern w:val="2"/>
                <w:sz w:val="21"/>
                <w:szCs w:val="21"/>
                <w:highlight w:val="none"/>
                <w:lang w:val="en-US" w:eastAsia="zh-CN" w:bidi="ar-SA"/>
              </w:rPr>
            </w:pPr>
            <w:r>
              <w:rPr>
                <w:rFonts w:hint="default" w:ascii="宋体" w:hAnsi="宋体" w:cs="宋体"/>
                <w:b w:val="0"/>
                <w:bCs w:val="0"/>
                <w:color w:val="auto"/>
                <w:kern w:val="0"/>
                <w:sz w:val="21"/>
                <w:szCs w:val="21"/>
                <w:highlight w:val="none"/>
                <w:lang w:bidi="ar"/>
              </w:rPr>
              <w:t xml:space="preserve">多家投标人提供的核心产品品牌相同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tc>
      </w:tr>
      <w:bookmarkEnd w:id="75"/>
    </w:tbl>
    <w:p>
      <w:pPr>
        <w:ind w:firstLine="0" w:firstLineChars="0"/>
        <w:rPr>
          <w:rFonts w:hint="eastAsia" w:ascii="宋体" w:hAnsi="宋体"/>
          <w:szCs w:val="21"/>
          <w:highlight w:val="none"/>
        </w:rPr>
      </w:pPr>
      <w:r>
        <w:rPr>
          <w:rFonts w:hint="eastAsia" w:ascii="宋体" w:hAnsi="宋体"/>
          <w:szCs w:val="21"/>
          <w:highlight w:val="none"/>
        </w:rPr>
        <w:br w:type="page"/>
      </w:r>
      <w:bookmarkEnd w:id="69"/>
    </w:p>
    <w:p>
      <w:pPr>
        <w:ind w:firstLine="422"/>
        <w:rPr>
          <w:rFonts w:hint="eastAsia" w:ascii="宋体" w:hAnsi="宋体" w:eastAsia="宋体"/>
          <w:b/>
          <w:bCs/>
          <w:szCs w:val="21"/>
          <w:highlight w:val="none"/>
          <w:lang w:eastAsia="zh-CN"/>
        </w:rPr>
      </w:pPr>
      <w:bookmarkStart w:id="76" w:name="OLE_LINK11"/>
      <w:r>
        <w:rPr>
          <w:rFonts w:hint="eastAsia" w:ascii="宋体" w:hAnsi="宋体"/>
          <w:b/>
          <w:bCs/>
          <w:szCs w:val="21"/>
          <w:highlight w:val="none"/>
        </w:rPr>
        <w:t>标项二：</w:t>
      </w:r>
      <w:r>
        <w:rPr>
          <w:rFonts w:hint="eastAsia" w:ascii="宋体" w:hAnsi="宋体"/>
          <w:b/>
          <w:bCs/>
          <w:szCs w:val="21"/>
          <w:highlight w:val="none"/>
          <w:lang w:val="en-US" w:eastAsia="zh-CN"/>
        </w:rPr>
        <w:t xml:space="preserve"> </w:t>
      </w:r>
    </w:p>
    <w:p>
      <w:pPr>
        <w:ind w:firstLine="420"/>
        <w:rPr>
          <w:rFonts w:hint="eastAsia" w:ascii="宋体" w:hAnsi="宋体"/>
          <w:szCs w:val="21"/>
          <w:highlight w:val="none"/>
        </w:rPr>
      </w:pPr>
      <w:r>
        <w:rPr>
          <w:rFonts w:hint="eastAsia" w:ascii="宋体" w:hAnsi="宋体"/>
          <w:szCs w:val="21"/>
          <w:highlight w:val="none"/>
        </w:rPr>
        <w:t>预算金额</w:t>
      </w:r>
      <w:r>
        <w:rPr>
          <w:rFonts w:hint="eastAsia" w:ascii="宋体" w:hAnsi="宋体"/>
          <w:szCs w:val="21"/>
          <w:highlight w:val="none"/>
          <w:lang w:val="en-US" w:eastAsia="zh-CN"/>
        </w:rPr>
        <w:t>贰佰零肆万伍仟元整</w:t>
      </w:r>
      <w:r>
        <w:rPr>
          <w:rFonts w:hint="eastAsia" w:ascii="宋体" w:hAnsi="宋体"/>
          <w:szCs w:val="21"/>
          <w:highlight w:val="none"/>
        </w:rPr>
        <w:t>（</w:t>
      </w:r>
      <w:r>
        <w:rPr>
          <w:rFonts w:hint="eastAsia" w:ascii="宋体" w:hAnsi="宋体"/>
          <w:szCs w:val="21"/>
          <w:highlight w:val="none"/>
          <w:u w:val="single"/>
        </w:rPr>
        <w:t>￥</w:t>
      </w:r>
      <w:r>
        <w:rPr>
          <w:rFonts w:hint="eastAsia"/>
          <w:highlight w:val="none"/>
          <w:u w:val="single"/>
          <w:lang w:val="en-US" w:eastAsia="zh-CN"/>
        </w:rPr>
        <w:t>2,045,000.00</w:t>
      </w:r>
      <w:r>
        <w:rPr>
          <w:rFonts w:hint="eastAsia" w:ascii="宋体" w:hAnsi="宋体"/>
          <w:szCs w:val="21"/>
          <w:highlight w:val="none"/>
          <w:u w:val="single"/>
        </w:rPr>
        <w:t>.00</w:t>
      </w:r>
      <w:r>
        <w:rPr>
          <w:rFonts w:hint="eastAsia" w:ascii="宋体" w:hAnsi="宋体"/>
          <w:szCs w:val="21"/>
          <w:highlight w:val="none"/>
        </w:rPr>
        <w:t>）</w:t>
      </w:r>
    </w:p>
    <w:tbl>
      <w:tblPr>
        <w:tblStyle w:val="50"/>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
        <w:gridCol w:w="432"/>
        <w:gridCol w:w="888"/>
        <w:gridCol w:w="396"/>
        <w:gridCol w:w="234"/>
        <w:gridCol w:w="645"/>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90" w:hRule="atLeast"/>
        </w:trPr>
        <w:tc>
          <w:tcPr>
            <w:tcW w:w="432" w:type="dxa"/>
          </w:tcPr>
          <w:p>
            <w:pPr>
              <w:pStyle w:val="20"/>
              <w:ind w:firstLine="0" w:firstLineChars="0"/>
              <w:rPr>
                <w:rFonts w:hint="eastAsia" w:hAnsi="宋体"/>
                <w:color w:val="auto"/>
                <w:sz w:val="21"/>
                <w:szCs w:val="21"/>
                <w:highlight w:val="none"/>
              </w:rPr>
            </w:pPr>
            <w:r>
              <w:rPr>
                <w:rFonts w:hint="eastAsia" w:hAnsi="宋体"/>
                <w:color w:val="auto"/>
                <w:sz w:val="21"/>
                <w:szCs w:val="21"/>
                <w:highlight w:val="none"/>
                <w:lang w:bidi="ar"/>
              </w:rPr>
              <w:t>序号</w:t>
            </w:r>
          </w:p>
        </w:tc>
        <w:tc>
          <w:tcPr>
            <w:tcW w:w="888" w:type="dxa"/>
          </w:tcPr>
          <w:p>
            <w:pPr>
              <w:pStyle w:val="20"/>
              <w:ind w:firstLine="0" w:firstLineChars="0"/>
              <w:rPr>
                <w:rFonts w:hint="eastAsia" w:hAnsi="宋体"/>
                <w:color w:val="auto"/>
                <w:sz w:val="21"/>
                <w:szCs w:val="21"/>
                <w:highlight w:val="none"/>
              </w:rPr>
            </w:pPr>
            <w:r>
              <w:rPr>
                <w:rFonts w:hint="eastAsia" w:hAnsi="宋体"/>
                <w:color w:val="auto"/>
                <w:sz w:val="21"/>
                <w:szCs w:val="21"/>
                <w:highlight w:val="none"/>
                <w:lang w:bidi="ar"/>
              </w:rPr>
              <w:t>货物名称</w:t>
            </w:r>
          </w:p>
        </w:tc>
        <w:tc>
          <w:tcPr>
            <w:tcW w:w="630" w:type="dxa"/>
            <w:gridSpan w:val="2"/>
          </w:tcPr>
          <w:p>
            <w:pPr>
              <w:pStyle w:val="20"/>
              <w:ind w:firstLine="0" w:firstLineChars="0"/>
              <w:rPr>
                <w:rFonts w:hint="eastAsia" w:hAnsi="宋体"/>
                <w:color w:val="auto"/>
                <w:sz w:val="21"/>
                <w:szCs w:val="21"/>
                <w:highlight w:val="none"/>
              </w:rPr>
            </w:pPr>
            <w:r>
              <w:rPr>
                <w:rFonts w:hint="eastAsia" w:hAnsi="宋体"/>
                <w:color w:val="auto"/>
                <w:sz w:val="21"/>
                <w:szCs w:val="21"/>
                <w:highlight w:val="none"/>
                <w:lang w:bidi="ar"/>
              </w:rPr>
              <w:t>单位</w:t>
            </w:r>
          </w:p>
        </w:tc>
        <w:tc>
          <w:tcPr>
            <w:tcW w:w="645" w:type="dxa"/>
          </w:tcPr>
          <w:p>
            <w:pPr>
              <w:pStyle w:val="20"/>
              <w:ind w:firstLine="0" w:firstLineChars="0"/>
              <w:rPr>
                <w:rFonts w:hint="eastAsia" w:hAnsi="宋体"/>
                <w:color w:val="auto"/>
                <w:sz w:val="21"/>
                <w:szCs w:val="21"/>
                <w:highlight w:val="none"/>
              </w:rPr>
            </w:pPr>
            <w:r>
              <w:rPr>
                <w:rFonts w:hint="eastAsia" w:hAnsi="宋体"/>
                <w:color w:val="auto"/>
                <w:sz w:val="21"/>
                <w:szCs w:val="21"/>
                <w:highlight w:val="none"/>
                <w:lang w:bidi="ar"/>
              </w:rPr>
              <w:t>数量</w:t>
            </w:r>
          </w:p>
        </w:tc>
        <w:tc>
          <w:tcPr>
            <w:tcW w:w="7265" w:type="dxa"/>
          </w:tcPr>
          <w:p>
            <w:pPr>
              <w:pStyle w:val="20"/>
              <w:ind w:firstLine="308" w:firstLineChars="147"/>
              <w:rPr>
                <w:rFonts w:hint="eastAsia" w:hAnsi="宋体"/>
                <w:color w:val="auto"/>
                <w:sz w:val="21"/>
                <w:szCs w:val="21"/>
                <w:highlight w:val="none"/>
              </w:rPr>
            </w:pPr>
            <w:r>
              <w:rPr>
                <w:rFonts w:hint="eastAsia"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90" w:hRule="atLeast"/>
        </w:trPr>
        <w:tc>
          <w:tcPr>
            <w:tcW w:w="9860" w:type="dxa"/>
            <w:gridSpan w:val="6"/>
          </w:tcPr>
          <w:p>
            <w:pPr>
              <w:pStyle w:val="20"/>
              <w:ind w:firstLine="308" w:firstLineChars="147"/>
              <w:rPr>
                <w:rFonts w:hint="eastAsia" w:hAnsi="宋体"/>
                <w:color w:val="auto"/>
                <w:sz w:val="21"/>
                <w:szCs w:val="21"/>
                <w:highlight w:val="none"/>
                <w:lang w:bidi="ar"/>
              </w:rPr>
            </w:pPr>
            <w:r>
              <w:rPr>
                <w:rFonts w:hint="eastAsia" w:hAnsi="宋体"/>
                <w:color w:val="auto"/>
                <w:sz w:val="21"/>
                <w:szCs w:val="21"/>
                <w:highlight w:val="none"/>
                <w:lang w:bidi="ar"/>
              </w:rPr>
              <w:t>（一）教学设备</w:t>
            </w:r>
          </w:p>
        </w:tc>
      </w:tr>
      <w:bookmarkEnd w:id="7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eastAsia" w:hAnsi="宋体"/>
                <w:color w:val="auto"/>
                <w:sz w:val="21"/>
                <w:szCs w:val="21"/>
                <w:highlight w:val="none"/>
              </w:rPr>
            </w:pPr>
            <w:r>
              <w:rPr>
                <w:rFonts w:hint="eastAsia" w:hAnsi="宋体"/>
                <w:color w:val="auto"/>
                <w:sz w:val="21"/>
                <w:szCs w:val="21"/>
                <w:highlight w:val="none"/>
              </w:rPr>
              <w:t>1</w:t>
            </w:r>
          </w:p>
        </w:tc>
        <w:tc>
          <w:tcPr>
            <w:tcW w:w="888" w:type="dxa"/>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交互智能平板</w:t>
            </w:r>
          </w:p>
        </w:tc>
        <w:tc>
          <w:tcPr>
            <w:tcW w:w="630" w:type="dxa"/>
            <w:gridSpan w:val="2"/>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台</w:t>
            </w:r>
          </w:p>
        </w:tc>
        <w:tc>
          <w:tcPr>
            <w:tcW w:w="645" w:type="dxa"/>
          </w:tcPr>
          <w:p>
            <w:pPr>
              <w:pStyle w:val="20"/>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13</w:t>
            </w:r>
          </w:p>
        </w:tc>
        <w:tc>
          <w:tcPr>
            <w:tcW w:w="7265" w:type="dxa"/>
            <w:shd w:val="clear" w:color="auto" w:fill="FFFFFF"/>
            <w:vAlign w:val="center"/>
          </w:tcPr>
          <w:p>
            <w:pPr>
              <w:pStyle w:val="17"/>
              <w:numPr>
                <w:ilvl w:val="0"/>
                <w:numId w:val="2"/>
              </w:numP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集体备课设计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1、发起集备：支持选择教案、课件、胶囊资源上传发起集备研讨，支持设置多重访问权限，通过手机号搜索即可邀请外校老师，可用于跨校教研场景。</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2、进入集备：支持搜索集备名称/老师昵称，或按照学科/学段/年级/教材章节，我参与的/我发起的几个维度进行筛选查看，支持手机端/PC端进入集备页面。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3、集备研讨：参备成员可通过评论区发表观点，通过评论回复，点赞等功能营造浓厚的研讨氛围，评论消息支持实时提醒，支持图片的上传。</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4、在线批注：参备人在电脑端及手机端都可在线对教案进行随文式批注，追加批注，回复以及查看实时批注消息。支持对课件进行打点式的批注，通过批注快速定位研讨内容，高效完成协同备课。</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5、稿件编辑：完成本次研讨后，主备人可直接进入编辑页面编辑课件/教案，发布新稿件后，备课组进入下一轮打磨更新稿件后会给参备老师实时同步教研动态。</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6、稿件对比：可对集备中多稿的课件/教案/胶囊进行内容的横向对比，支持批注研讨过程数据对比回溯；</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7、获取稿件：参备成员可以随时获取和下载每一稿中的集备稿件到云课件，进行编辑或引用。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8、完成集备：完成研讨后，可以生成集体备课报告。集备终稿会自动上传到校本资源库，主备人可自定义上传目录，参备人即可前往校本资源库获取集备终稿。</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音视频教研活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二、整机接口设计与安全设计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1、侧置输入接口具备2路HDMI、1路RS232、1路USB接口。</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2、侧置输出接口具备1路音频输出、1路触控USB输出。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3、前置输入接口3路USB接口（包含1路Type-C、2路USB）。</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4、支持通过Type-C接口U盘进行文件传输，兼容Type-C接口手机充电。</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5、整机采用一体设计，外部无任何可见内部功能模块连接线。边角采用弧形设计，表面无尖锐边缘或凸起。</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6、整机采用全金属外壳设计，边框为金属一体成型。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7、整机屏幕边缘采用金属圆角包边防护，整机背板采用金属材质，有效屏蔽内部电路器件辐射；防潮耐盐雾蚀锈，适应多种教学环境。</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三、屏幕显示以及扬声器设计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1、整机屏幕采用≥86 英寸液晶显示器。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2、整机采用超高清LED液晶显示屏，显示比例16:9，分辨率3840×2160。</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3、整机色域覆盖率（NTSC）≥72%</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4、整机背光系统支持DC调光方式，多级亮度调节，支持白颜色背景下最暗亮度≤100nit，用于提升显示对比度。</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5、灰阶等级≥256级。</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6、整机屏幕蓝光占比（有害蓝光415～455nm能量综合）/（整体蓝光400～500能量综合）＜50%</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7、支持标准、多媒体和节能三种图像模式调节。</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8、支持自定义图像设置，可对对比度、屏幕色温、图像亮度、亮度范围、色彩空间调节设置。</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整机系统支持手势上滑调出人工智能画质调节模式（AI-PQ），在安卓通道下可根据屏幕内容自动调节画质参数，当屏幕出现人物、建筑、夜景等元素时，自动调整对比度、饱和度、锐利度、色调色相值、高光/阴影。</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10、整机视网膜蓝光危害（蓝光加权辐射亮度LB）满足IEC TR 62778:2014蓝光危害RG0级别</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11、整机全通道支持纸质护眼模式，可实现画面纹理的实时调整；支持纸质纹理：牛皮纸、素描纸、宣纸、水彩纸、水纹纸；支持透明度调节；支持色温调节。</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12、纸质护眼模式下，显示画面各像素点灰度不规则，减少背景干扰。</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13、整机扬声器采用模块化设计，无需打开背板即可单独拆卸，便于维护。</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四、整体无线与网络功能设计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1、整机无需外接无线网卡，在Windows系统下可实现Wi-Fi无线上网连接、AP无线热点发射和BT蓝牙连接功能。</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2、Wi-Fi和AP热点工作距离≥12m。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3、整机支持蓝牙Bluetooth 5.4标准，固件版本号HCI13.0/LMP13.0。</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4、整机PC端支持主动发现蓝牙外设从而连接（无需整机进入发现模式），支持连接外部蓝牙音箱播放音频。</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▲5、整机支持发出频率为18kHz-22kHz超声波信号，智能手机通过麦克风接收后，智能手机与整机无需在同一局域网内，可实现配对，一键投屏，用户无需手动输入投屏码或扫码获取投屏码；</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6、可实现外部电脑、手机设备的音视频信号实时传输到整机上；当使用外部电脑传屏时，支持触摸回传，在屏幕上部显示传屏工具栏，可以进行触摸回传控制、勿扰模式、暂停投屏功能；开启勿扰模式时，不允许其他人在进行传屏；投屏时可以选择过滤特定应用窗口，如邮件应用窗口。</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7、整机内置双WiFi6无线网卡（不接受外接），在Android和Windows系统下，可实现Wi-Fi无线上网连接、AP无线热点发射。</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8、整机内置双WiFi6无线网卡（不接受外接），在Android下支持无线设备同时连接数量≥32个，在Windows系统下支持无线设备同时连接≥8个；</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9、整机无需外接无线网卡，在Windows系统下接入无线网络，切换到嵌入式Android系统下可直接实现无线上网功能，不需手动重复设置。</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10、Wi-Fi及AP热点支持频段2.4GHz/5GHz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11、Wi-Fi制式支持IEEE 802.11 a/b/g/n/ac/ax；支持版本Wi-Fi6。</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五、侧边栏教学设计要求</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1、整机全通道侧边栏快捷菜单包含如下小工具：批注、降半屏、截屏、放大镜、倒计时、日历、聚光灯、秒表、冻屏、倒数日、答题、节拍器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2、整机全通道侧边栏快捷菜单小工具支持自定义，支持设置对应小工具的显示/隐藏。</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3、整机全通道侧边栏支持使用批注小工具进行批注讲解，可切换书写笔颜色、截屏保存批注内容、清屏，可根据手与屏幕的接触面积自动调整板擦工具的大小。</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4、整机全通道侧边栏支持将设备屏幕降低为半屏幕状态，点击上半屏幕可以返回全屏状态。</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5、整机全通道侧边栏支持自行选择所需截取屏幕范围，点击截屏即可成功截取屏幕，并自动保存。</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6、整机全通道侧边栏支持放大选中区域内容，并可支持对未选中区域关灯处理，实现聚光灯效果。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7、整机全通道侧边栏支持倒计时、正计时功能；倒计时，输入某特定时间值，可精确到秒，点击开始进入倒计时；正计时，点击开始计时便自动开始，并实时显示时间。</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8、整机全通道侧边栏支持打开日历，查看日期。</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9、整机全通道侧边栏支持聚光灯，支持聚光灯高亮区域大小调节、区域移动。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10、整机全通道侧边栏支持冻屏，将屏幕画面进行缩放。</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11、整机安卓和外接通道下侧边栏支持设置倒数日。</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12、整机安卓和外接通道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13、整机安卓和外接通道下侧边栏支持节拍器，支持设置节拍、轻重、节拍播放速度。全通道下可支持通过自定义按键调出该功能。</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14、整机支持在设备上通过摄像头获取教室内图像并自动识别图像内所有人员，并随机抽选1人。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15、整机支持在设备上通过摄像头获取教室内图像并自动识别图像内所有人员，并自动进行人数统计。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16、整机支持在设备上，通过侧边栏实现调用windows系统运行、打开文件夹、打开任务管理。</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17、整机Windows通道支持在通过侧边栏调取软键盘。</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18、整机Windows通道支持对当前运行中的应用进行窗口最大化、窗口最小化、应用强制关闭。</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19、整机处于非内置PC通道下，支持通过侧边栏进入PC通道。</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20、整机全通道侧边栏快捷菜单支持快捷调节音量、亮度，支持自动亮度模式，支持点击静音按钮静音。</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21、整机全通道侧边栏快捷菜单中应用软件可以进行切换，无需在已经开启的应用软件全屏模式下退出当前应用再选择更换。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22、整机全通道侧边栏支持自定义快捷菜单，支持windows应用固定，可将应用固定后，在侧边栏进行快捷打开。</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23、整机全通道侧边栏快捷菜单中可实时查看物联设备的连接情况，点击设备图标即可调出中控菜单进行管控。</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24、整机全通道侧边栏快捷菜单支持简洁模式和常规模式切换。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25、整机全通道侧边栏快捷菜单简洁模式，可进行打开批注、降半屏、主页的基础操作。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▲26、整机内置自习工具，通过整机麦克风监测教室中学生音量大小，当学生音量大于阈值时，屏幕自动弹窗提醒进行自习纪律干预。</w:t>
            </w:r>
          </w:p>
          <w:p>
            <w:pPr>
              <w:pStyle w:val="17"/>
              <w:numPr>
                <w:ilvl w:val="0"/>
                <w:numId w:val="3"/>
              </w:numP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整机系统设计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（一）电脑系统</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1、CPU：搭载Intel  </w:t>
            </w:r>
            <w:r>
              <w:rPr>
                <w:rFonts w:hint="eastAsia"/>
                <w:highlight w:val="none"/>
                <w:lang w:val="en-US" w:eastAsia="zh-CN"/>
              </w:rPr>
              <w:t>Core</w:t>
            </w:r>
            <w:r>
              <w:rPr>
                <w:rFonts w:hint="default" w:ascii="宋体" w:hAnsi="宋体" w:cs="宋体"/>
                <w:color w:val="auto"/>
                <w:kern w:val="0"/>
                <w:sz w:val="21"/>
                <w:szCs w:val="21"/>
                <w:highlight w:val="none"/>
                <w:lang w:bidi="ar"/>
              </w:rPr>
              <w:t>系列≥ i5  12代或以上配置CPU。</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2、内存：16 GB DDR4笔记本内存或以上配置。</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3、硬盘：256 GB或以上SSD固态硬盘。</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4、采用按压式卡扣，无需工具即可快速拆卸电脑模块。</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5、PC 模块可抽拉式插入整机，可实现无单独接线的拔插。</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6、具有独立非外拓展的视频输出接口：≥1 路 HDMI。</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7、具有独立非外拓展的电脑 USB 接口：至少具备 4个USB3.0 接口。</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8、具有标准 PC 防盗锁孔，确保电脑模块安全防盗。</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9、和整机的连接采用万兆级接口，传输速率≥10Gbps。</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10、和整机的连接接口针脚数≤40pin。</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（二）触摸系统</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1、支持Windows 7、Windows 8、Windows 10、Windows11、Linux、Mac Os、UOS和麒麟系统外置电脑操作系统接入时，无需安装触摸驱动。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2、触摸分辨率32768×32768。</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3、书写触控延迟≤25ms</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4、整机触控书写功能集成预测算法，在书写速度≥50cm/s，支持笔迹距离笔的距离小于20mm。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5、触摸响应≤4ms。</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6、触摸最小识别物≤3mm。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7、整机屏幕触摸有效识别高度不超过3mm，即触摸物体距离玻璃外表面高度不超过3mm时，触摸屏识别为点击操作。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8、整机支持提笔书写，在Windows系统下可实现无需点击任意功能入口，当检测到红外笔笔尖接触屏幕时，自动进入书写模式。</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9、整机支持手笔分离，通过提笔即写唤醒批注功能后，可进行手笔分离功能，使用笔正常书写，使用手指可以操作应用，进行点击操作。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10、整机触摸支持动态压力感应，支持无任何电子功能的普通书写笔在整机上书写或点压时，整机能感应压力变化，书写或点压过程笔迹呈现不同粗细。</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▲11、支持同一支笔，笔头、笔尾书写不同的颜色，且颜色可自定义。</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12、支持智能板擦功能，系统可根据触控物体的形状自动识别出实物板擦，可擦除电子白板中的内容，无需依赖外部电子设备。</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13、触摸屏具有防遮挡功能，触摸接收器在单点或多点遮挡后仍能正常书写。</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14、采用红外触控技术，支持Windows系统中进行</w:t>
            </w:r>
            <w:r>
              <w:rPr>
                <w:rFonts w:hint="eastAsia" w:ascii="宋体" w:hAnsi="宋体" w:cs="宋体"/>
                <w:color w:val="auto"/>
                <w:kern w:val="0"/>
                <w:sz w:val="21"/>
                <w:szCs w:val="21"/>
                <w:highlight w:val="none"/>
                <w:lang w:val="en-US" w:eastAsia="zh-CN" w:bidi="ar"/>
              </w:rPr>
              <w:t>2</w:t>
            </w:r>
            <w:r>
              <w:rPr>
                <w:rFonts w:hint="default" w:ascii="宋体" w:hAnsi="宋体" w:cs="宋体"/>
                <w:color w:val="auto"/>
                <w:kern w:val="0"/>
                <w:sz w:val="21"/>
                <w:szCs w:val="21"/>
                <w:highlight w:val="none"/>
                <w:lang w:bidi="ar"/>
              </w:rPr>
              <w:t>0点或以上触控，支持在Android系统中进行</w:t>
            </w:r>
            <w:r>
              <w:rPr>
                <w:rFonts w:hint="eastAsia" w:ascii="宋体" w:hAnsi="宋体" w:cs="宋体"/>
                <w:color w:val="auto"/>
                <w:kern w:val="0"/>
                <w:sz w:val="21"/>
                <w:szCs w:val="21"/>
                <w:highlight w:val="none"/>
                <w:lang w:val="en-US" w:eastAsia="zh-CN" w:bidi="ar"/>
              </w:rPr>
              <w:t>2</w:t>
            </w:r>
            <w:r>
              <w:rPr>
                <w:rFonts w:hint="default" w:ascii="宋体" w:hAnsi="宋体" w:cs="宋体"/>
                <w:color w:val="auto"/>
                <w:kern w:val="0"/>
                <w:sz w:val="21"/>
                <w:szCs w:val="21"/>
                <w:highlight w:val="none"/>
                <w:lang w:bidi="ar"/>
              </w:rPr>
              <w:t>0点或以上触控。</w:t>
            </w:r>
          </w:p>
          <w:p>
            <w:pPr>
              <w:pStyle w:val="17"/>
              <w:numPr>
                <w:ilvl w:val="0"/>
                <w:numId w:val="0"/>
              </w:numP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（三）安卓系统</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▲1、整机嵌入式系统版本≥Android 14，主频≥1.8GHz，内存≥2GB，存储空间≥8GB。</w:t>
            </w:r>
          </w:p>
          <w:p>
            <w:pPr>
              <w:pStyle w:val="17"/>
              <w:numPr>
                <w:ilvl w:val="0"/>
                <w:numId w:val="0"/>
              </w:numP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2、嵌入式Android操作系统下，白板支持对已经书写的笔迹和形状和颜色进行更换。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3、在嵌入式系统下使用白板软件时，整机可自行调节屏幕亮度。</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4、嵌入式Android操作系统下，互动白板支持不同背景颜色，同时提供学科背景，如：五线谱、信纸、田字格、英文格、篮球和足球场地平面图。</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无PC状态下，嵌入式系统内置互动白板支持十笔书写及手掌擦除（手掌擦除面积根据手掌与屏幕的接触面大小自动调整），白板书写内容可以PDF、IWB和SVG格式导出。支持10种以上平面图形工具。支持8种以上立体图形工具。</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6、无PC状态下，嵌入式系统内置互动白板支持全局漫游，并能在工具栏中对全局内容进行预览和移动。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7、无PC状态下，嵌入式Android 操作系统下可使用白板书写、WPS 软件和网页浏览</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8、在嵌入式Android操作系统下，能对TV多媒体USB所读取到的文件进行自动归类，可分类查找文档、板书、图片、音视频，检索后可直接在界面中打开。</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▲9、支持智能书写功能，书写文字自动识别为标准印刷体，支持图形识别功能，可将多种手绘图形转化为矩形、三角形、圆形等标准图形。</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▲10、整机嵌入式芯片内置 2TOPS AI 算力，可用于 AI 图像、音频处理。</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七、教学桌面设计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1、整机设备开机启动后，自动进入教学桌面，支持账号登录、退出，自动获取个人云端教学课件列表、并可进入全部课件列表。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2、整机设备支持多种身份识别方式，支持通过账号登录、手机扫码登录，并支持账号安全登录检测。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3、整机设备支持统一互通的用户身份认证服务，账号登录后，打开教学白板软件教学应用工具时无需再次输入账号密码重复登录。</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4、整机设备教学桌面支持教学白板软件和文件管理软件；教学桌面首页支持自定义桌面应用，支持展示至少8个应用入口，并提供进入本机所有应用的入口。</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▲5、整机设备可将应用编辑到教学桌面首页，编辑方式支持从教学桌面首页进入编辑，支持在全部应用列表中进入编辑2种方式。教学桌面首页应用支持无需进入应用编辑页面，在首页指定应用上长按进行移除。</w:t>
            </w:r>
            <w:r>
              <w:rPr>
                <w:rFonts w:hint="default" w:ascii="宋体" w:hAnsi="宋体" w:cs="宋体"/>
                <w:b/>
                <w:color w:val="auto"/>
                <w:kern w:val="0"/>
                <w:sz w:val="21"/>
                <w:szCs w:val="21"/>
                <w:highlight w:val="none"/>
                <w:lang w:bidi="ar"/>
              </w:rPr>
              <w:br w:type="textWrapping"/>
            </w:r>
            <w:r>
              <w:rPr>
                <w:rFonts w:hint="default" w:ascii="宋体" w:hAnsi="宋体" w:cs="宋体"/>
                <w:color w:val="auto"/>
                <w:kern w:val="0"/>
                <w:sz w:val="21"/>
                <w:szCs w:val="21"/>
                <w:highlight w:val="none"/>
                <w:lang w:bidi="ar"/>
              </w:rPr>
              <w:t>6、整机设备教学桌面支持查看设备盘符，支持本地磁盘和外接U盘、移动硬盘，点击即可打开该磁盘查看磁盘文件。教学桌面支持显示存储空间状态，当存储空间即将满载时候进行红色标记明显提示。7、整机设备教学桌面支持推荐应用，推荐应用支持移除。</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8、整机设备教学桌面支持进行应用卸载。</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▲9、整机设备教学桌面的教师登录账号后，可自动获取并在桌面显示最近使用的教学课件，点击课件可直接进入授课模式；并支持查看所有个人教学课件资源。</w:t>
            </w:r>
            <w:r>
              <w:rPr>
                <w:rFonts w:hint="default" w:ascii="宋体" w:hAnsi="宋体" w:eastAsia="宋体" w:cs="宋体"/>
                <w:b/>
                <w:strike/>
                <w:dstrike w:val="0"/>
                <w:color w:val="auto"/>
                <w:kern w:val="0"/>
                <w:sz w:val="21"/>
                <w:szCs w:val="21"/>
                <w:highlight w:val="none"/>
                <w:lang w:bidi="ar"/>
              </w:rPr>
              <w:br w:type="textWrapping"/>
            </w:r>
            <w:r>
              <w:rPr>
                <w:rFonts w:hint="default" w:ascii="宋体" w:hAnsi="宋体" w:cs="宋体"/>
                <w:color w:val="auto"/>
                <w:kern w:val="0"/>
                <w:sz w:val="21"/>
                <w:szCs w:val="21"/>
                <w:highlight w:val="none"/>
                <w:lang w:bidi="ar"/>
              </w:rPr>
              <w:t>10、整机设备教学桌面支持进行壁纸编辑，内置10张以上壁纸，支持自定义壁纸。</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11、整机设备教学桌面支持U盘、移动硬盘外接存储设备直接在桌面显示，无需打开文件浏览器即可查看文件列表，并且支持文件打开。支持查看全部文件列表以及按照文档、图片、音视频分类方式查看文件列表。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12、整机设备教学桌面U盘文件查看窗口支持使用文件浏览器打开U盘。</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13、整机设备教学桌面支持进行通道切换，当设备有其他输入源时，可在桌面点击信号源进行输入源切换。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14、整机设备教学桌面支持进行锁屏操作。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15、整机设备教学桌面支持进行重启、关机操作。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▲16、整机内置朗读工具，通过整机麦克风监测教室中学生的朗读情况，并以游戏化界面反馈学生朗读音量大小。</w:t>
            </w:r>
          </w:p>
          <w:p>
            <w:pPr>
              <w:pStyle w:val="17"/>
              <w:numPr>
                <w:ilvl w:val="0"/>
                <w:numId w:val="4"/>
              </w:numP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整机硬件设计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1、三合一电源按键，同一电源物理按键完成Android系统和Windows系统的开机、节能熄屏、关机操作；关机状态下按按键开机；开机状态下按按键实现节能熄屏/唤醒，长按按键实现关机。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2、整机具备至少6个前置按键，可实现开关机、调出中控菜单、音量+/-、护眼、录屏操作。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3、支持经典护眼模式，可通过前置面板物理功能按键一键启用经典护眼模式。</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4、设备支持通过前置面板物理按键一键启动录屏功能，可将屏幕中显示的课件、音频内容与人声同时录制。</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5、前置 USB 接口具备防撞挡板设计，防撞挡板采用转轴式翻转。</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整机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7、整机内置2.2声道扬声器，位于设备上边框，顶置朝前发声，前朝向10W高音扬声器2个，上朝向20W中低音扬声器2个，额定总功率60W。</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▲8、整机可选择高级音效设置，支持在左右声道平衡显示范围中进行更改；中低频段显示调节范围125Hz～1KHz，高频段显示调节范围 2KHz～16KHz，分贝显示-12dB～12dB 调节范围。</w:t>
            </w:r>
            <w:r>
              <w:rPr>
                <w:rFonts w:hint="default" w:ascii="宋体" w:hAnsi="宋体" w:eastAsia="宋体" w:cs="宋体"/>
                <w:b/>
                <w:strike/>
                <w:dstrike w:val="0"/>
                <w:color w:val="auto"/>
                <w:kern w:val="0"/>
                <w:sz w:val="21"/>
                <w:szCs w:val="21"/>
                <w:highlight w:val="none"/>
                <w:lang w:bidi="ar"/>
              </w:rPr>
              <w:br w:type="textWrapping"/>
            </w:r>
            <w:r>
              <w:rPr>
                <w:rFonts w:hint="default" w:ascii="宋体" w:hAnsi="宋体" w:cs="宋体"/>
                <w:color w:val="auto"/>
                <w:kern w:val="0"/>
                <w:sz w:val="21"/>
                <w:szCs w:val="21"/>
                <w:highlight w:val="none"/>
                <w:lang w:bidi="ar"/>
              </w:rPr>
              <w:t>9、整机内置非独立外扩展的4阵列麦克风，可用于对教室环境音频进行采集，麦克风拾音距离≥12米。</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10、整机内置扬声器采用缝隙发声技术，喇叭采用槽式开口设计，不大于5.8mm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11、整机扬声器在100%音量下，可做到1米处声压级≥88db，10米处声压级≥79dB</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12、内置摄像头、麦克风无需外接线材连接，无任何可见外接线材及模块化拼接痕迹，未占用整机设备端口。</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13、支持标准、听力、观影和AI空间感知音效模式，AI空间感知音效模式可通过内置麦克风采集教室物理环境声音，自动生成符合当前教室物理环境的频段、音量、音效。</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14、整机内置摄像头（非外扩），PC通道下支持通过视频展台软件调用摄像头进行二维码扫码识别。</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15、具备摄像头工作指示灯，摄像头运行时，有指示灯提示。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16、整机上边框内置非独立摄像头，采用一体化集成设计，可拍摄≥1300万像素数的照片，可拍摄输出4K分辨率的视频。</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17、整机摄像头对角线视场角≥120度</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18、整机内置非独立的高清摄像头，可用于远程巡课。</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19、整机摄像头支持人脸识别、清点人数、随机抽人；识别所有学生，显示标记，然后随机抽选，同时显示标记不少于60人。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20、整机支持通过人脸识别进行登录账号。</w:t>
            </w:r>
          </w:p>
          <w:p>
            <w:pPr>
              <w:pStyle w:val="17"/>
              <w:numPr>
                <w:ilvl w:val="0"/>
                <w:numId w:val="0"/>
              </w:numP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21、整机摄像头支持环境色温判断，根据环境调节合适的显示图像效果。</w:t>
            </w:r>
          </w:p>
          <w:p>
            <w:pPr>
              <w:pStyle w:val="17"/>
              <w:numPr>
                <w:ilvl w:val="0"/>
                <w:numId w:val="0"/>
              </w:numP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▲22、整机支持在无任何外部设备的情况下，实时录制用户朗读内容， 识别用户声纹并进行统一身份登录，登录后自动获取个人云端教学课件列表，打开教学白板软件时可跳过软件自带登录步骤。</w:t>
            </w:r>
            <w:r>
              <w:rPr>
                <w:rFonts w:hint="default" w:ascii="宋体" w:hAnsi="宋体" w:eastAsia="宋体" w:cs="宋体"/>
                <w:b/>
                <w:strike/>
                <w:dstrike w:val="0"/>
                <w:color w:val="auto"/>
                <w:kern w:val="0"/>
                <w:sz w:val="21"/>
                <w:szCs w:val="21"/>
                <w:highlight w:val="none"/>
                <w:lang w:bidi="ar"/>
              </w:rPr>
              <w:br w:type="textWrapping"/>
            </w:r>
            <w:r>
              <w:rPr>
                <w:rFonts w:hint="default" w:ascii="宋体" w:hAnsi="宋体" w:cs="宋体"/>
                <w:color w:val="auto"/>
                <w:kern w:val="0"/>
                <w:sz w:val="21"/>
                <w:szCs w:val="21"/>
                <w:highlight w:val="none"/>
                <w:lang w:bidi="ar"/>
              </w:rPr>
              <w:t>九、设备运维管理系统</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 专属工作台：支持设置显隐组件来定制专属工作台。支持通过设备总览组件快捷查看学校所有设备实时状态及达标情况。支持通过设备巡视组件实时了解教室和设备的情况。支持通过设备使用情况组件了解设备活跃分布及长时间未使用的设备情况，设置智能策略来对设备进行管控；支持通过软件使用情况组件掌握学校教师常用的教学软件，快速拦截风险应用；支持通过老师使用情况了解教师对信息化设备的使用率；支持通过网站访问情况了解设备上使用的常用网址，并可快速设置黑名单来禁止设备上的违规访问行为。</w:t>
            </w:r>
            <w:r>
              <w:rPr>
                <w:rFonts w:hint="default" w:ascii="宋体" w:hAnsi="宋体" w:eastAsia="宋体" w:cs="宋体"/>
                <w:b/>
                <w:strike/>
                <w:dstrike w:val="0"/>
                <w:color w:val="auto"/>
                <w:kern w:val="0"/>
                <w:sz w:val="21"/>
                <w:szCs w:val="21"/>
                <w:highlight w:val="none"/>
                <w:lang w:bidi="ar"/>
              </w:rPr>
              <w:br w:type="textWrapping"/>
            </w:r>
            <w:r>
              <w:rPr>
                <w:rFonts w:hint="default" w:ascii="宋体" w:hAnsi="宋体" w:cs="宋体"/>
                <w:color w:val="auto"/>
                <w:kern w:val="0"/>
                <w:sz w:val="21"/>
                <w:szCs w:val="21"/>
                <w:highlight w:val="none"/>
                <w:lang w:bidi="ar"/>
              </w:rPr>
              <w:t>2. 设备治理建议：支持自定义设备类型及数量，掌握校内设备资产分布情况；支持根据老师、学科、设备三大维度查看设备使用排行，并提供信息化设备利用率提升指南。支持查看本校常用软件、网址访问排行、全校设备画面截图；支持查看设备网络负载、硬件负载情况，并提供网络优化、硬件升级指南。</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 批量磁盘清理：支持远程批量清理设备磁盘；支持清理指定磁盘的指定文件夹；支持清理系统盘备份、缓存、日志等文件；支持迁移系统盘视频、图片、音乐、文档文件；支持格式化非系统盘磁盘。</w:t>
            </w:r>
            <w:r>
              <w:rPr>
                <w:rFonts w:hint="default" w:ascii="宋体" w:hAnsi="宋体" w:eastAsia="宋体" w:cs="宋体"/>
                <w:b/>
                <w:strike/>
                <w:dstrike w:val="0"/>
                <w:color w:val="auto"/>
                <w:kern w:val="0"/>
                <w:sz w:val="21"/>
                <w:szCs w:val="21"/>
                <w:highlight w:val="none"/>
                <w:lang w:bidi="ar"/>
              </w:rPr>
              <w:br w:type="textWrapping"/>
            </w:r>
            <w:r>
              <w:rPr>
                <w:rFonts w:hint="default" w:ascii="宋体" w:hAnsi="宋体" w:cs="宋体"/>
                <w:color w:val="auto"/>
                <w:kern w:val="0"/>
                <w:sz w:val="21"/>
                <w:szCs w:val="21"/>
                <w:highlight w:val="none"/>
                <w:lang w:bidi="ar"/>
              </w:rPr>
              <w:t>4. 冰点还原及穿透：支持远程向已冰冻的设备发送指令、安装软件，在设备正常关机时触发穿透动作，穿透完成后，设备即可使用已安装软件、执行已接收指令，且穿透过程中无需人为解冻。</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 弹窗拦截：支持一键开启拦截能力；支持查看已上报的所有疑似风险窗口和上报次数，并支持拦截某个应用所有窗口、某个具体窗口；支持将某个应用、某个具体窗口加入白名单，不对软件进行拦截。</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 流量监管：支持查看校内当日班班通设备流量使用的具体情况、带宽利用率；支持对设备进行限速设置。</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 网址过滤：支持设置网址访问黑名单、白名单，限制所有设备的网址访问。</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 AI画面监测：支持AI自动监测设备画面色情、恐怖、暴力、游戏等风险内容或元素；支持设置警告内容，当监测到不良画面后自动提醒；支持将每天监测到的风险结果自动推送至公众号提醒管理；支持按设备、按画面维度回溯历史监测到的不良画面信息。</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 多场景锁屏：支持一键下课锁屏、开机自动锁屏、无网络时验证身份解锁、联网时禁用密码解锁；支持下课锁屏，在班班通设备上点击“下课”按钮即可锁屏；支持开机自动锁屏，可设置生效时间和生效设备；支持无网络情况下，通过手机微信扫码，验证身份后获取密码进行解锁使用。支持设置屏幕锁壁纸；支持设置普通锁屏、极速锁屏模式。</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10. 智慧管控：支持用户自定义无人使用时间段，设备处于无人使用状态时，自动进入屏保、锁屏、息屏、关机状态。</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11. 软件静默安装：支持用户自主上传官方正版软件，支持批量将软件发送至班班通设备安装，软件自动静默安装，无需人工操作。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12. 基建优化建议：支持解读设备运行数据，提供基建优化建议；支持根据网络带宽利用率分析网络稳定性并提供优化方案；支持根据硬件参数及流畅度达标情况分析设备运行稳定性并提供优化方案；支持根据安全服务开启情况分析设备运行风险并提供优化方案。</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▲13. 素养提升建议：支持分析解读教师使用数据，提供信息化素养提升建议；支持根据各学科/设备/老师使用数据分析经验丰富的老师，并提供信息化素养提升建议；支持根据不同类型软件的使用明细分析本校常用软件，并提供软件普及、替换或拦截建议。</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14. 个性化配置：支持管理者配置学校设备总览页需展示的组件内容、顺序；支持学校设置符合本校管理需要的设备使用率、网络/硬件/流畅度/安全达标率。</w:t>
            </w:r>
            <w:r>
              <w:rPr>
                <w:rFonts w:hint="default" w:ascii="宋体" w:hAnsi="宋体" w:cs="宋体"/>
                <w:color w:val="auto"/>
                <w:kern w:val="0"/>
                <w:sz w:val="21"/>
                <w:szCs w:val="21"/>
                <w:highlight w:val="none"/>
                <w:lang w:bidi="ar"/>
              </w:rPr>
              <w:br w:type="textWrapping"/>
            </w:r>
            <w:r>
              <w:rPr>
                <w:rFonts w:hint="default" w:ascii="宋体" w:hAnsi="宋体" w:cs="宋体"/>
                <w:b/>
                <w:color w:val="auto"/>
                <w:kern w:val="0"/>
                <w:sz w:val="21"/>
                <w:szCs w:val="21"/>
                <w:highlight w:val="none"/>
                <w:lang w:bidi="ar"/>
              </w:rPr>
              <w:t>十、其他要求</w:t>
            </w:r>
            <w:r>
              <w:rPr>
                <w:rFonts w:hint="default" w:ascii="宋体" w:hAnsi="宋体" w:cs="宋体"/>
                <w:b/>
                <w:color w:val="auto"/>
                <w:kern w:val="0"/>
                <w:sz w:val="21"/>
                <w:szCs w:val="21"/>
                <w:highlight w:val="none"/>
                <w:lang w:bidi="ar"/>
              </w:rPr>
              <w:br w:type="textWrapping"/>
            </w:r>
            <w:r>
              <w:rPr>
                <w:rFonts w:hint="default" w:ascii="宋体" w:hAnsi="宋体" w:cs="宋体"/>
                <w:b/>
                <w:color w:val="auto"/>
                <w:kern w:val="0"/>
                <w:sz w:val="21"/>
                <w:szCs w:val="21"/>
                <w:highlight w:val="none"/>
                <w:lang w:bidi="ar"/>
              </w:rPr>
              <w:t>为确保货物质量及品质，中标供应商在正式供货时必须提供售后服务保证原件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eastAsia" w:hAnsi="宋体"/>
                <w:color w:val="auto"/>
                <w:sz w:val="21"/>
                <w:szCs w:val="21"/>
                <w:highlight w:val="none"/>
              </w:rPr>
            </w:pPr>
            <w:r>
              <w:rPr>
                <w:rFonts w:hint="eastAsia" w:hAnsi="宋体"/>
                <w:color w:val="auto"/>
                <w:sz w:val="21"/>
                <w:szCs w:val="21"/>
                <w:highlight w:val="none"/>
              </w:rPr>
              <w:t>2</w:t>
            </w:r>
          </w:p>
        </w:tc>
        <w:tc>
          <w:tcPr>
            <w:tcW w:w="888" w:type="dxa"/>
          </w:tcPr>
          <w:p>
            <w:pPr>
              <w:pStyle w:val="20"/>
              <w:ind w:firstLine="0" w:firstLineChars="0"/>
              <w:rPr>
                <w:rFonts w:hint="default" w:hAnsi="宋体" w:eastAsia="宋体"/>
                <w:color w:val="auto"/>
                <w:sz w:val="21"/>
                <w:szCs w:val="21"/>
                <w:highlight w:val="none"/>
                <w:lang w:val="en-US" w:eastAsia="zh-CN"/>
              </w:rPr>
            </w:pPr>
            <w:r>
              <w:rPr>
                <w:rFonts w:hint="eastAsia" w:hAnsi="宋体"/>
                <w:sz w:val="21"/>
                <w:szCs w:val="21"/>
                <w:highlight w:val="none"/>
                <w:lang w:val="en-US" w:eastAsia="zh-CN"/>
              </w:rPr>
              <w:t>AI备课软件</w:t>
            </w:r>
          </w:p>
        </w:tc>
        <w:tc>
          <w:tcPr>
            <w:tcW w:w="630" w:type="dxa"/>
            <w:gridSpan w:val="2"/>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年</w:t>
            </w:r>
          </w:p>
        </w:tc>
        <w:tc>
          <w:tcPr>
            <w:tcW w:w="645" w:type="dxa"/>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2</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1、支持选择教学场景和课型，明确其创作需求和主题，同时允许上传云课件、云教案及本地文件作为主题识别的信息输入。并提供相应的案例体验，同时支持换一换功能，替换不同主题。</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2、运用教学大模型自建的教学知识库，能够检索与创作主题相关的专业知识，并生成对应的课件目标。</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 xml:space="preserve">3、可根据实际教学个性化需求，对系统生成的课件目标进行添加、删除或修改。 </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4、根据已明确的课件目标，生成以思维导图形式呈现的至少三个层级主题的教学大纲，教学大纲内容可根据教学设计自动匹配课堂活动、思维导图和学科工具等互动工具。大纲页面支持整体按比例缩放、漫游的功能。</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可个性化对教学大纲进行编辑，包括添加二级、三级主题以及对课件内容进行编辑；支持AI拓展和优化，提供智能拓展、跨学科、新课标等三种拓展方式，以及互动、吸引等优化方式。当新增主题后，可输入内容，输入后点击智能拓展、跨学科、新课标等选项，会根据输入的内容主题进一步生成大纲。修改后，支持撤回修改的功能。</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6、基于已明确的教学大纲，生成完整的教学课件；支持智能扩展单页课件，允许手动输入描述和根据上下文智能推荐内容；支持对大纲节点进行编辑并同步生成更新课件；支持对生成文字进行润色、扩写、精简三中操作模式；支持修改、删除课件文字；支持更换课件生成的图片；支持通过拖动方式调整文字的布局；支持一键更换课件主题风格，演示预览课件，分享课件，一键复制教学设计；分享课件时，支持调整分享范围。</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7、生成的教学设计，涵盖教学目标、教学重难点、教学过程，在教学过程中，会提供教学设计示意图。教学设计会与课件授课内容对应。</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8、支持课件页自动排版，可一键更换布局或挑选更多的智能布局模板</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9、支持一键配图，可输入图片提示词生成对应图片</w:t>
            </w:r>
          </w:p>
          <w:p>
            <w:pPr>
              <w:widowControl/>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10、粘贴视频网页链接可一键解析视频，插入课件页后支持在线播放；支持本地上传视频插入课件页播放</w:t>
            </w:r>
          </w:p>
          <w:p>
            <w:pPr>
              <w:widowControl/>
              <w:spacing w:beforeLines="0" w:afterLines="0"/>
              <w:ind w:left="0" w:lef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bidi="ar"/>
              </w:rPr>
              <w:t>11、支持图库搜索，搜索列表会自动识别图片标签推荐内容。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eastAsia" w:hAnsi="宋体"/>
                <w:color w:val="auto"/>
                <w:sz w:val="21"/>
                <w:szCs w:val="21"/>
                <w:highlight w:val="none"/>
              </w:rPr>
            </w:pPr>
            <w:r>
              <w:rPr>
                <w:rFonts w:hint="eastAsia" w:hAnsi="宋体"/>
                <w:color w:val="auto"/>
                <w:sz w:val="21"/>
                <w:szCs w:val="21"/>
                <w:highlight w:val="none"/>
              </w:rPr>
              <w:t>3</w:t>
            </w:r>
          </w:p>
        </w:tc>
        <w:tc>
          <w:tcPr>
            <w:tcW w:w="888" w:type="dxa"/>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视频展台</w:t>
            </w:r>
          </w:p>
        </w:tc>
        <w:tc>
          <w:tcPr>
            <w:tcW w:w="630" w:type="dxa"/>
            <w:gridSpan w:val="2"/>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台</w:t>
            </w:r>
          </w:p>
        </w:tc>
        <w:tc>
          <w:tcPr>
            <w:tcW w:w="645" w:type="dxa"/>
          </w:tcPr>
          <w:p>
            <w:pPr>
              <w:pStyle w:val="20"/>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13</w:t>
            </w:r>
          </w:p>
        </w:tc>
        <w:tc>
          <w:tcPr>
            <w:tcW w:w="7265" w:type="dxa"/>
            <w:shd w:val="clear" w:color="auto" w:fill="FFFFFF"/>
            <w:vAlign w:val="center"/>
          </w:tcPr>
          <w:p>
            <w:pPr>
              <w:widowControl/>
              <w:spacing w:beforeLines="0" w:afterLines="0" w:line="360" w:lineRule="auto"/>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1、采用≥800万像素摄像头；采用 USB五伏电源直接供电，无需额外配置电源适配器，环保无辐射；箱内USB连线采用隐藏式设计，箱内无可见连线且USB口下出，有效防止积尘，且方便布线和返修。</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2、A4大小拍摄幅面，1080P动态视频预览达到30帧/秒；托板及挂墙部分采用金属加强，托板可承重3kg，整机壁挂式安装。</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3、支持展台成像画面实时批注，预设多种笔划粗细及颜色供选择，且支持对展台成像画面联同批注内容进行同步缩放、移动。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4、展示托板正上方具备LED补光灯，保证展示区域的亮度及展示效果，补光灯开关采用触摸按键设计，同时可通过交互智能平板中的软件直接控制开关；带自动对焦摄像头。</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5、具有故障自动检测功能：在调用展台却无法出现镜头采集画面信号时，可自动出现检测链接，并给出导致性原因（如硬件连接、摄像头占用、配套软件版本等问题）。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4</w:t>
            </w:r>
          </w:p>
        </w:tc>
        <w:tc>
          <w:tcPr>
            <w:tcW w:w="888" w:type="dxa"/>
          </w:tcPr>
          <w:p>
            <w:pPr>
              <w:pStyle w:val="20"/>
              <w:ind w:firstLine="0" w:firstLineChars="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智能交互平板</w:t>
            </w:r>
          </w:p>
        </w:tc>
        <w:tc>
          <w:tcPr>
            <w:tcW w:w="630" w:type="dxa"/>
            <w:gridSpan w:val="2"/>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台</w:t>
            </w:r>
          </w:p>
        </w:tc>
        <w:tc>
          <w:tcPr>
            <w:tcW w:w="645" w:type="dxa"/>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2</w:t>
            </w:r>
          </w:p>
        </w:tc>
        <w:tc>
          <w:tcPr>
            <w:tcW w:w="7265" w:type="dxa"/>
            <w:shd w:val="clear" w:color="auto" w:fill="FFFFFF"/>
            <w:vAlign w:val="center"/>
          </w:tcPr>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一、硬件</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1.智能交互平板显示尺寸≧86英寸，分辨率：3840*2160 ，采用红外触控技术，在Andrord、Windows、国产化系统下均支持40点同时触控</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 xml:space="preserve">2.智能交互平板表面玻璃应采用高强度钢化玻璃，玻璃厚度≤3.2mm，硬度可达莫氏7级，大于石墨1-9H等级 </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3.智能交互平板采用全贴合设计。</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4.智能交互平板前面板至少具备1路HDMI接口（非转接），2路USB3.0接口，1路USB Type-c接口</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5.整机后置接口RJ45≥1路，音频输出≥1路，RS232≥1路。</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▲6.智能交互平板具有通屏笔槽结构，可放置书写笔、粉笔、水性笔等，笔槽具有漏灰孔设计。</w:t>
            </w:r>
          </w:p>
          <w:p>
            <w:pPr>
              <w:widowControl/>
              <w:spacing w:beforeLines="0" w:afterLines="0" w:line="360" w:lineRule="auto"/>
              <w:ind w:left="0" w:leftChars="0" w:firstLine="0" w:firstLineChars="0"/>
              <w:jc w:val="left"/>
              <w:textAlignment w:val="center"/>
              <w:rPr>
                <w:rFonts w:hint="eastAsia" w:ascii="宋体" w:hAnsi="宋体" w:eastAsia="宋体" w:cs="宋体"/>
                <w:color w:val="auto"/>
                <w:kern w:val="0"/>
                <w:sz w:val="21"/>
                <w:szCs w:val="21"/>
                <w:highlight w:val="none"/>
                <w:lang w:eastAsia="zh-CN" w:bidi="ar"/>
              </w:rPr>
            </w:pPr>
            <w:r>
              <w:rPr>
                <w:rFonts w:hint="default" w:ascii="宋体" w:hAnsi="宋体" w:cs="宋体"/>
                <w:color w:val="auto"/>
                <w:kern w:val="0"/>
                <w:sz w:val="21"/>
                <w:szCs w:val="21"/>
                <w:highlight w:val="none"/>
                <w:lang w:bidi="ar"/>
              </w:rPr>
              <w:t>▲7.智能交互平板可实现音量加减、窗口关闭、触控开关等功能</w:t>
            </w:r>
            <w:r>
              <w:rPr>
                <w:rFonts w:hint="eastAsia" w:ascii="宋体" w:hAnsi="宋体" w:cs="宋体"/>
                <w:color w:val="auto"/>
                <w:kern w:val="0"/>
                <w:sz w:val="21"/>
                <w:szCs w:val="21"/>
                <w:highlight w:val="none"/>
                <w:lang w:eastAsia="zh-CN" w:bidi="ar"/>
              </w:rPr>
              <w:t>。</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8.智能交互平板内置Wi-Fi6无线网卡，可实现Wi-Fi无线上网连接、AP无线热点发射，支持无线设备同时连接数量≥20个。</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9.整机内置蓝牙Bluetooth 5.4模块，支持连接外部蓝牙音箱播放音频。</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10.在任意信号源下，从屏幕下方任意位置向上滑动，可调用快捷设置菜单；无需切换系统，可快速调节Windows 和Android 的设置，并支持拖拽到屏幕任意位置。</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11.前置U盘接口需采用隐藏式设计，具有翻转式防护盖板。为方便不同厚度U盘接入，开合角度≥100°。</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12.智能交互平板具备前置电脑还原按键，为避免误碰按键采用针孔式设计，并配有中文标识。</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13.扬声器总功率≥40W, 谐振频率不高于260Hz。</w:t>
            </w:r>
          </w:p>
          <w:p>
            <w:pPr>
              <w:widowControl/>
              <w:spacing w:beforeLines="0" w:afterLines="0" w:line="360" w:lineRule="auto"/>
              <w:ind w:left="0" w:leftChars="0" w:firstLine="0" w:firstLineChars="0"/>
              <w:jc w:val="left"/>
              <w:textAlignment w:val="center"/>
              <w:rPr>
                <w:rFonts w:hint="eastAsia" w:ascii="宋体" w:hAnsi="宋体" w:eastAsia="宋体" w:cs="宋体"/>
                <w:color w:val="auto"/>
                <w:kern w:val="0"/>
                <w:sz w:val="21"/>
                <w:szCs w:val="21"/>
                <w:highlight w:val="none"/>
                <w:lang w:eastAsia="zh-CN" w:bidi="ar"/>
              </w:rPr>
            </w:pPr>
            <w:r>
              <w:rPr>
                <w:rFonts w:hint="default" w:ascii="宋体" w:hAnsi="宋体" w:cs="宋体"/>
                <w:color w:val="auto"/>
                <w:kern w:val="0"/>
                <w:sz w:val="21"/>
                <w:szCs w:val="21"/>
                <w:highlight w:val="none"/>
                <w:lang w:bidi="ar"/>
              </w:rPr>
              <w:t>14.扬声器在100%音量下，1米处声压级≥90dB，10米处声压级≥80dB</w:t>
            </w:r>
            <w:r>
              <w:rPr>
                <w:rFonts w:hint="eastAsia" w:ascii="宋体" w:hAnsi="宋体" w:cs="宋体"/>
                <w:color w:val="auto"/>
                <w:kern w:val="0"/>
                <w:sz w:val="21"/>
                <w:szCs w:val="21"/>
                <w:highlight w:val="none"/>
                <w:lang w:eastAsia="zh-CN" w:bidi="ar"/>
              </w:rPr>
              <w:t>。</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15.智能交互平板具备≥12核芯片驱动， Android 系统版本≥14.0，内存≥2G，存储≥8G。</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▲16.内置一体化超高清</w:t>
            </w:r>
            <w:r>
              <w:rPr>
                <w:rFonts w:hint="eastAsia" w:ascii="宋体" w:hAnsi="宋体" w:cs="宋体"/>
                <w:color w:val="auto"/>
                <w:kern w:val="0"/>
                <w:sz w:val="21"/>
                <w:szCs w:val="21"/>
                <w:highlight w:val="none"/>
                <w:lang w:val="en-US" w:eastAsia="zh-CN" w:bidi="ar"/>
              </w:rPr>
              <w:t>4</w:t>
            </w:r>
            <w:r>
              <w:rPr>
                <w:rFonts w:hint="default" w:ascii="宋体" w:hAnsi="宋体" w:cs="宋体"/>
                <w:color w:val="auto"/>
                <w:kern w:val="0"/>
                <w:sz w:val="21"/>
                <w:szCs w:val="21"/>
                <w:highlight w:val="none"/>
                <w:lang w:bidi="ar"/>
              </w:rPr>
              <w:t>K摄像头，单颗摄像头有效像素≥1</w:t>
            </w:r>
            <w:r>
              <w:rPr>
                <w:rFonts w:hint="eastAsia" w:ascii="宋体" w:hAnsi="宋体" w:cs="宋体"/>
                <w:color w:val="auto"/>
                <w:kern w:val="0"/>
                <w:sz w:val="21"/>
                <w:szCs w:val="21"/>
                <w:highlight w:val="none"/>
                <w:lang w:val="en-US" w:eastAsia="zh-CN" w:bidi="ar"/>
              </w:rPr>
              <w:t>8</w:t>
            </w:r>
            <w:r>
              <w:rPr>
                <w:rFonts w:hint="default" w:ascii="宋体" w:hAnsi="宋体" w:cs="宋体"/>
                <w:color w:val="auto"/>
                <w:kern w:val="0"/>
                <w:sz w:val="21"/>
                <w:szCs w:val="21"/>
                <w:highlight w:val="none"/>
                <w:lang w:bidi="ar"/>
              </w:rPr>
              <w:t>00W</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▲17.智能交互平板可提供与教学应用密切相关的快捷键</w:t>
            </w:r>
            <w:r>
              <w:rPr>
                <w:rFonts w:hint="eastAsia" w:ascii="宋体" w:hAnsi="宋体" w:cs="宋体"/>
                <w:color w:val="auto"/>
                <w:kern w:val="0"/>
                <w:sz w:val="21"/>
                <w:szCs w:val="21"/>
                <w:highlight w:val="none"/>
                <w:lang w:eastAsia="zh-CN" w:bidi="ar"/>
              </w:rPr>
              <w:t>，</w:t>
            </w:r>
            <w:r>
              <w:rPr>
                <w:rFonts w:hint="default" w:ascii="宋体" w:hAnsi="宋体" w:cs="宋体"/>
                <w:color w:val="auto"/>
                <w:kern w:val="0"/>
                <w:sz w:val="21"/>
                <w:szCs w:val="21"/>
                <w:highlight w:val="none"/>
                <w:lang w:bidi="ar"/>
              </w:rPr>
              <w:t xml:space="preserve">并支持单侧显示、双侧同时显示，该快捷键至少具有关闭窗口、展台、桌面、多屏互动等教学常用按键。 </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18.智能交互平板具有悬浮菜单，两指可快速移动悬浮菜单至按压位置，悬浮菜单可进行自定义分组，可添加AI互动软件等不少于20个应用。</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19.智能交互平板触摸支持动态压力模拟，支持无任何电子功能的普通书写笔，在交互平板上书写或点压时，整机能感应压力变化，书写或点压过程笔迹呈现不同粗细。</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20.安卓白板软件具备面积识别功能，通过接触交互设备的面积大小实现智能擦除、粗细笔迹书写。</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21. 智能交互平板采用硬件低蓝光背光技术，在源头减少有害蓝光波段能量，蓝光占比（有害蓝光415～455nm能量综合）/（整体蓝光400～500能量综合）＜50%。</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22.智能交互平板全通道支持纸质护眼模式，可实现画面纹理的实时调整；支持纸质纹理：素描纸、宣纸、水彩纸；支持透明度调节与色温调节；显示画面各像素点灰度不规则，减少背景干扰。</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23.通过五指抓取屏幕任意位置可调出多任务处理窗口，并对正在运行的应用进行浏览、快速切换或结束进程。</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24.具备ECO光感模块，在关闭推拉黑板，可自动进入黑屏节能模式，并可自主选择时间间隔。</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25. 智能交互平板背光系统支持DC调光方式，多级亮度调节。</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二、内置电脑</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1.80pin Intel通用标准接口,即插即用，易于维护；</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2.CPU采用Intel</w:t>
            </w:r>
            <w:r>
              <w:rPr>
                <w:rFonts w:hint="eastAsia" w:ascii="宋体" w:hAnsi="宋体" w:cs="宋体"/>
                <w:color w:val="auto"/>
                <w:kern w:val="0"/>
                <w:sz w:val="21"/>
                <w:szCs w:val="21"/>
                <w:highlight w:val="none"/>
                <w:lang w:val="en-US" w:eastAsia="zh-CN" w:bidi="ar"/>
              </w:rPr>
              <w:t xml:space="preserve"> core</w:t>
            </w:r>
            <w:r>
              <w:rPr>
                <w:rFonts w:hint="default" w:ascii="宋体" w:hAnsi="宋体" w:cs="宋体"/>
                <w:color w:val="auto"/>
                <w:kern w:val="0"/>
                <w:sz w:val="21"/>
                <w:szCs w:val="21"/>
                <w:highlight w:val="none"/>
                <w:lang w:bidi="ar"/>
              </w:rPr>
              <w:t>12代I5处理器或以上配置；</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3.内存：≥8G DDR4；</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 xml:space="preserve">4.硬盘：≥256G SSD固态硬盘； </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5.接口：整机非外扩展具备5个USB接口；具有独立非外扩展的视频输出接口：≥1路HDMI等；</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三、系统管家</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1.部署简单，设备连通互联网，输入对应学校编码，自动识别终端设备类型，完成部署；</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2.系统依据学校名称自动生成学校编码，支持扫描二维码查询学校编码；</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3.窗口支持最小化隐藏到系统托盘，不影响教师日常使用；</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4.一键查看设备连接信息，包含Windows/office版本，硬盘、CPU、蓝牙状态（关闭状态下可进行开启）、内存、网络状态、OPS S/N号、固件版本号；</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5.系统还原、备份：一键备份数据并可系统还原至最新备份系统，解决系统异常等问题，如无最新备份系统，备份还原状态需要与硬件一键备份还原保持一致；</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6.弹窗拦截：提供广告拦截 ，对广告弹窗实现一键拦截，默认直接开启拦截；</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7.查看各软件弹窗拦截次数，拦截数量，所有拦截记录等，可提供软件拦截名单；</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8.看直播：展示该终端可看到的所有直播，在直播时间内，可进入直播进行观看；</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9.驱动程序：自动识别设备，获取当前设备驱动，可下载、升级至最新驱动；</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10.支持终端自动升级；</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四、资源平台</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（一）备课模式</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 老师个人账号无需完成特定任务，即可获取不少于200GB云端存储空间，可扩展至3TB云存储空间。</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 提供预置的课件素材，允许老师在网页端、移动端、电脑端进行内容的选择与组合，快速生成课件并浏览，所有制作的课件均实时保存至云端，老师只需登录即可查看。</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 支持老师根据教材章节目录、知识点选择对应的教学内容。老师仅需要按每个教学环节选择所需的教学模块即可快速生成一份课件。每个课时均提供过量的教学内容模块，满足老师的个性化需求。</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4. 教学模块提供教学设计和课件内容，部分课件提供课件批注，帮助老师更好地选择、运用课件内容。</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 支持教师对课件知识点进行评价。</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6. 软件支持单独PPT 导入功能，并支持导入进度条提示功能，可查看当前导入进度，上传完成后具有中文提供功能。</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7. 提供模块化的课件素材和教案，学科涵盖小学语文、初中语文、小学数学、初中数学、高中数学、小学英语、初中英语、小学科学、初中物理、初中化学等学科 (教材版本覆盖部编版、人教版、教科版、外研新标准版、北师大版、冀教版、中图版等教材版本)，课件支持组选：课堂导入，知识讲解，例题与变式，拓展延伸，课外活动等，课件总课时量不低于 3600 个课时。</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8. 提供语文生字卡片、英语生词卡片、化学工具编辑器、数学工具编辑器、物理仿真实验、英文手写识别等学课工具。</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9. 提供知识配对、分类、填空、连词成句、翻翻卡、消消乐等8种类型的课堂活动，老师备课时通过活动模板即可快速制作活动，支持编辑好的课堂活动添加到我的课堂活动，实现任意课件的随时引用，提供3种活动组件，包括骰子、大转盘、随机数，活动组件可选择不同的外观，可设置转盘个数和随机数上限，帮助老师活跃课堂气氛。</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10. 可插入音频，支持对音频的剪辑，可拖动或输入音频的开始和结束位置。</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11. 可插入表格，表格支持设置行列数，在表格上可以进行行列的添加、删除、合并和拆分，可编辑文字格式和表格格式。</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12. 可插入思维导图，包括逻辑图和组织结构图，思维导图可添加同级节点、下级节点上级节点，可编辑文字格式和思维导图格式。</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13. 支持管理员与教研员对校本资源进行结构化管理，针对不同的学段学科、最多可创建三级目录结构；支持学校以课程为单位整合教案、课件等教学内容；支持导入 PPT/PPTX、DOC/DOCX格式的教学资源，生成结构化的校本资源库；支持超级管理员对学校教师身份进行管理、权限分配；支持管理员通过链接邀请本校教师加入校园版；管理员通过数据看板统计该学校沉淀的校本资源数量和该校老师使用校本资源上课的情况。</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14. 帮助学校组建自有教研体系，实现线上校本协同教研的工具，学校管理员和教研员可以发布教研任务，选择主备教师和参与教师，主备教师组织参与老师在线协同教研并上传教研任务资料，同一个教研任务下的资料可以互相查看、下载、分享，最终的教研成果可以保存到校本资源云平台，沉淀为本校教研资源，便于全校使用。</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（二）、授课模式</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 绿板状态支持显示文件、工具和应用的便捷入口，当开始批注且绿板上有笔迹时，自动隐藏便捷入口，清除笔迹时，自动恢复显示便捷入口；</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3.支持单指长按屏幕任意空白区域呼出便捷入口（文件、工具、应用、一键收起）</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 支持自定义添加/移除本机应用；包括展台教学、投屏、课堂评价、录制课程、看电视、AI课堂、开启直播、专递课堂、白板、网页、音视频媒体播放器，实现授课场景教学应用的便捷调用；并支持点击展示已打开的全部应用，实现一键应用切换；</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4. 文件入口支持拉起其他网盘，包含4种常用的三方网盘入口</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 工具条支持上下移动，支持收起/展开，工具条支持批注、清页、文件、工具、应用切换、更多；工具子菜单支持屏幕拖动6. 支持使用教辅工具，包含截图、时钟、放大镜、聚光灯、黑屏、随机数、骰子和大转盘8种；无论绿板状态、多文件全屏播放状态以及三方应用拉起状态均支持使用</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7. 支持打开本机文件、U盘文件等本地文件；不需导入，可直接打开本地视频、音频、图片、离线教学课件、PPT&amp;PPTX、PDF文件、DOC&amp;DOCX文件及swf文件；支持不少于20个文件窗口同屏播放显示，满足多素材授课需求。支持批注的文件类型包含PPT&amp;PPTX、图片、PDF、DOC&amp;DOCX</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8. 支持展示当前已打开的文件，点击实现文件窗口的便捷切换，支持文件一键全部最小化，支持双击标题栏实现文件全屏播放</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9. 文件窗口之间可进行独立批注；当起笔落点在绿板上时，识别为绿板批注，当起笔落点在小窗口时，识别为小窗口文件批注；文件大小窗口批注同步，可实现翻页跟随；绿板批注可以跟随绿板漫游；不少于9种笔型，6种颜色可选</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10. 支持展示当前打开的文件列表，按照打开的时间倒叙排序，点击可进行便捷进行文件切换</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11. 支持免登录打开离线课件，直接进入课件全屏播放状态；登录后，可返回备课编辑状态。可通过点击或触摸屏幕实现动画的显示和翻页，同时支持通过翻页笔翻页，还支持点击工具条进行课件的前翻页和后翻页，支持2-4指滑动上下翻页</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12. 提供不少于25个蒙层模板，老师备课时选择合适的蒙层图片遮住元素，授课时用橡皮擦除蒙层，展现被蒙住的元素</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13. 课堂评价支持对全班、单个或多个学生进行评价评价结果可撤回，老师可通过移动端、 PC 端及网页端对学生进行行为评价打分，可显示班级得分前列 的学生信息，界面、评价项、学生头像均采用卡通化方式，软件 支持随机抽选学生进行评价，支持计时器功能，包括秒表和倒计时，支持家长通过移动端查看学生的近期表现。</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（三）、移动家校互动</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1.老师可通过移动端进行课件的组合，并浏览已经组好的课件及其教学设计。</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2.支持老师在移动端对学生进行点评，点评可撤回、删除或重置。</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3.支持老师在移动端添加学生、自定义评价项，评价项提供表扬和待改进各不少于11种模板，自定义评价项提供默认图标，可进行分值的设置。</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4.支持查看全班所有老师和自己的当日、本周、上周、本月、近一年的评价报表、明细及班级排名。</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5.支持向家长发送教学拓展或学习任务，可向一个或多个班级中的全部或个别成员发送，家长单独收到，支持撰写1000字以内的文字，支持图片、拍照、语音、文件、课件、作业等附件，支持 老师对已收到的任务进行快速批改，并将批改结果反馈至家长端，预置不少于4种评语，支持以免费短信的形式提醒未查看或未反馈的家长。</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6.支持老师发起周期性的打卡任务，可设置任务的频次及周期，预置不少于 9 个打卡活动的模板，包括每日朗读等，同时可设置每天固定时间段进行提醒，且老师可以对学生的打卡结果进行点评，家长之间可以互评。</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7.班级内成员可通过移动端进行面容录入，用于课堂 AI 互动与智能云考勤使用。</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8.专门的通知发送工具，成员选择支持一个或多个班级中的全部或部分成员，支持老师编辑带回执的通知，回执内容支持自定义，通知查看或回执结果自动统计形成直观报表，支持老师创建带主题的讨论组，可设置讨论组默认结束时间，结束后自动全员禁言，讨论组创建者可撤回任意成员的消息，支持老师发送成绩单，自动统计班级最高分、平均分等且家长只能看到自己孩子的成绩，支持家长撰写请假条发给老师，老师批复后可与手机终端查看，支持老师创建相册并上传照片、视频从而丰富班级文化建设。</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9.支持多个家长账号绑定同一个学生，支持家长创建多个学生，支持退出班级、更换班级、修改学生信息。</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10.支持填写邀请码、使用QQ及微信分享班级专属的邀请页面等多种方式加入班级。</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11.支持查看学生所在班级信息及班级内所有老师，支持发起与任一老师的一对一沟通。</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12.支持接收老师的通知、打卡、课件、教学拓展任务、一对一消息及讨论组内消息，通知支持进行回执选择，打卡、教学拓展任务支持以文字、语音、图片、视频的形式提交。</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13.支持接收和查看学生当日、本周、月度及年度的课堂表现评价统计报表，并可具体查看到每一条评价的原因、评价者和分值。</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14.支持撰写请假条发给老师，老师批复后可查看到。</w:t>
            </w:r>
          </w:p>
          <w:p>
            <w:pPr>
              <w:widowControl/>
              <w:spacing w:beforeLines="0" w:afterLines="0" w:line="360" w:lineRule="auto"/>
              <w:ind w:left="0" w:leftChars="0" w:firstLine="0" w:firstLineChars="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bidi="ar"/>
              </w:rPr>
              <w:t>15.班级内成员可通过移动端进行面容录入，用于课堂AI互动与智能云考勤使用。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5</w:t>
            </w:r>
          </w:p>
        </w:tc>
        <w:tc>
          <w:tcPr>
            <w:tcW w:w="888" w:type="dxa"/>
          </w:tcPr>
          <w:p>
            <w:pPr>
              <w:pStyle w:val="20"/>
              <w:ind w:firstLine="0" w:firstLineChars="0"/>
              <w:rPr>
                <w:rFonts w:hint="eastAsia" w:hAnsi="宋体"/>
                <w:color w:val="auto"/>
                <w:sz w:val="21"/>
                <w:szCs w:val="21"/>
                <w:highlight w:val="none"/>
                <w:lang w:val="en-US" w:eastAsia="zh-CN"/>
              </w:rPr>
            </w:pPr>
            <w:r>
              <w:rPr>
                <w:rFonts w:hint="eastAsia" w:hAnsi="宋体"/>
                <w:color w:val="auto"/>
                <w:sz w:val="21"/>
                <w:szCs w:val="21"/>
                <w:highlight w:val="none"/>
                <w:lang w:val="en-US" w:eastAsia="zh-CN"/>
              </w:rPr>
              <w:t>壁挂展台</w:t>
            </w:r>
          </w:p>
        </w:tc>
        <w:tc>
          <w:tcPr>
            <w:tcW w:w="630" w:type="dxa"/>
            <w:gridSpan w:val="2"/>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台</w:t>
            </w:r>
          </w:p>
        </w:tc>
        <w:tc>
          <w:tcPr>
            <w:tcW w:w="645" w:type="dxa"/>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2</w:t>
            </w:r>
          </w:p>
        </w:tc>
        <w:tc>
          <w:tcPr>
            <w:tcW w:w="7265" w:type="dxa"/>
            <w:shd w:val="clear" w:color="auto" w:fill="FFFFFF"/>
            <w:vAlign w:val="center"/>
          </w:tcPr>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一、硬件部分</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1.支持壁挂和台式两种安装方式，为保证产品稳定性，台式安装需与桌面贴合，托板边角采用圆弧倒角设计。</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2.为保证托板表面平整性，托板采用单板结构，不接受托板表面折叠设计。</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3.拍摄幅面不小于A4。</w:t>
            </w:r>
          </w:p>
          <w:p>
            <w:pPr>
              <w:widowControl/>
              <w:spacing w:beforeLines="0" w:afterLines="0" w:line="360" w:lineRule="auto"/>
              <w:ind w:left="0" w:leftChars="0" w:firstLine="0" w:firstLineChars="0"/>
              <w:jc w:val="left"/>
              <w:textAlignment w:val="center"/>
              <w:rPr>
                <w:rFonts w:hint="eastAsia" w:ascii="宋体" w:hAnsi="宋体" w:eastAsia="宋体" w:cs="宋体"/>
                <w:color w:val="auto"/>
                <w:kern w:val="0"/>
                <w:sz w:val="21"/>
                <w:szCs w:val="21"/>
                <w:highlight w:val="none"/>
                <w:lang w:eastAsia="zh-CN" w:bidi="ar"/>
              </w:rPr>
            </w:pPr>
            <w:r>
              <w:rPr>
                <w:rFonts w:hint="default" w:ascii="宋体" w:hAnsi="宋体" w:cs="宋体"/>
                <w:color w:val="auto"/>
                <w:kern w:val="0"/>
                <w:sz w:val="21"/>
                <w:szCs w:val="21"/>
                <w:highlight w:val="none"/>
                <w:lang w:bidi="ar"/>
              </w:rPr>
              <w:t>▲4.整机采用高清摄像头设计， 镜头≥1600W像素，中心线≥1800 线，四周线≥1400 线，分辨率（解析度）≥4624×3468</w:t>
            </w:r>
            <w:r>
              <w:rPr>
                <w:rFonts w:hint="eastAsia" w:ascii="宋体" w:hAnsi="宋体" w:cs="宋体"/>
                <w:color w:val="auto"/>
                <w:kern w:val="0"/>
                <w:sz w:val="21"/>
                <w:szCs w:val="21"/>
                <w:highlight w:val="none"/>
                <w:lang w:eastAsia="zh-CN" w:bidi="ar"/>
              </w:rPr>
              <w:t>。</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5.工作电压：5 V，工作电流：小于500mA。</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6.图像色彩：24位。</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 xml:space="preserve">7.输出格式：图片JPG，文档PDF，视频MP4。 </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8.光源：LED灯补光。</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9.动态视频帧率：30帧/秒（1080P）。</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▲10.整机内置高灵敏麦克风，满足教学录制需求</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11.供电方式：USB供电。</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二、展台软件：</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（1）具有拍照截图、智能连拍功能，支持通用、文档、色彩三种图像模式，方便用户根据实际教学场景切换模式。</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（2）不借助物理按键和触摸菜单，通过手势实现图像360°旋转、放大、缩小、移动、全屏等操作；</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（3）具有点击方式进行实时画面及图片的同屏对比功能，且支持本地图片导入功能。</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（4）支持展台画面实时批注，预设多种笔划粗细及颜色供选择，且支持对展台画面联同批注内容进行同步缩放、移动。</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（5）支持不少于三种裁切模式：无裁切、单图裁切、多图裁切，根据所选模式自动裁切图像，生成正式文档。</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（6）同屏对比支持多图联动缩放和单图缩放两种模式，并支持不少于五张图片同屏对比。</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（7）支持拍照图片去背景功能。</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（8）图像修正：具有缺角补边功能。</w:t>
            </w:r>
          </w:p>
          <w:p>
            <w:pPr>
              <w:widowControl/>
              <w:spacing w:beforeLines="0" w:afterLines="0" w:line="360" w:lineRule="auto"/>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（9）展台软件具有自检功能：硬件检测、解码器、机器序列号等，方便维护升级。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6</w:t>
            </w:r>
          </w:p>
        </w:tc>
        <w:tc>
          <w:tcPr>
            <w:tcW w:w="888" w:type="dxa"/>
          </w:tcPr>
          <w:p>
            <w:pPr>
              <w:pStyle w:val="20"/>
              <w:ind w:firstLine="0" w:firstLineChars="0"/>
              <w:rPr>
                <w:rFonts w:hint="eastAsia" w:hAnsi="宋体" w:eastAsia="宋体"/>
                <w:color w:val="auto"/>
                <w:sz w:val="21"/>
                <w:szCs w:val="21"/>
                <w:highlight w:val="none"/>
                <w:lang w:val="en-US" w:eastAsia="zh-CN"/>
              </w:rPr>
            </w:pPr>
            <w:r>
              <w:rPr>
                <w:rFonts w:hint="eastAsia" w:hAnsi="宋体" w:eastAsia="宋体"/>
                <w:color w:val="auto"/>
                <w:sz w:val="21"/>
                <w:szCs w:val="21"/>
                <w:highlight w:val="none"/>
                <w:lang w:val="en-US" w:eastAsia="zh-CN"/>
              </w:rPr>
              <w:t>万向黑板</w:t>
            </w:r>
          </w:p>
        </w:tc>
        <w:tc>
          <w:tcPr>
            <w:tcW w:w="630" w:type="dxa"/>
            <w:gridSpan w:val="2"/>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套</w:t>
            </w:r>
          </w:p>
        </w:tc>
        <w:tc>
          <w:tcPr>
            <w:tcW w:w="645" w:type="dxa"/>
          </w:tcPr>
          <w:p>
            <w:pPr>
              <w:pStyle w:val="20"/>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15</w:t>
            </w:r>
          </w:p>
        </w:tc>
        <w:tc>
          <w:tcPr>
            <w:tcW w:w="7265" w:type="dxa"/>
            <w:shd w:val="clear" w:color="auto" w:fill="FFFFFF"/>
            <w:vAlign w:val="center"/>
          </w:tcPr>
          <w:p>
            <w:pPr>
              <w:widowControl/>
              <w:spacing w:beforeLines="0" w:afterLines="0" w:line="360" w:lineRule="auto"/>
              <w:ind w:left="241" w:hanging="211" w:hangingChars="100"/>
              <w:jc w:val="left"/>
              <w:rPr>
                <w:rFonts w:hint="default" w:ascii="宋体" w:hAnsi="宋体" w:cs="宋体"/>
                <w:color w:val="auto"/>
                <w:sz w:val="21"/>
                <w:szCs w:val="21"/>
                <w:highlight w:val="none"/>
              </w:rPr>
            </w:pPr>
            <w:r>
              <w:rPr>
                <w:rFonts w:hint="default" w:ascii="宋体" w:hAnsi="宋体" w:cs="宋体"/>
                <w:b/>
                <w:color w:val="auto"/>
                <w:kern w:val="0"/>
                <w:sz w:val="21"/>
                <w:szCs w:val="21"/>
                <w:highlight w:val="none"/>
              </w:rPr>
              <w:t>1.尺寸：≥</w:t>
            </w:r>
            <w:r>
              <w:rPr>
                <w:rFonts w:hint="default" w:ascii="宋体" w:hAnsi="宋体" w:cs="宋体"/>
                <w:color w:val="auto"/>
                <w:kern w:val="0"/>
                <w:sz w:val="21"/>
                <w:szCs w:val="21"/>
                <w:highlight w:val="none"/>
              </w:rPr>
              <w:t>4200mm*12</w:t>
            </w:r>
            <w:r>
              <w:rPr>
                <w:rFonts w:hint="eastAsia" w:ascii="宋体" w:hAnsi="宋体" w:cs="宋体"/>
                <w:color w:val="auto"/>
                <w:kern w:val="0"/>
                <w:sz w:val="21"/>
                <w:szCs w:val="21"/>
                <w:highlight w:val="none"/>
                <w:lang w:val="en-US" w:eastAsia="zh-CN"/>
              </w:rPr>
              <w:t>0</w:t>
            </w:r>
            <w:r>
              <w:rPr>
                <w:rFonts w:hint="default" w:ascii="宋体" w:hAnsi="宋体" w:cs="宋体"/>
                <w:color w:val="auto"/>
                <w:kern w:val="0"/>
                <w:sz w:val="21"/>
                <w:szCs w:val="21"/>
                <w:highlight w:val="none"/>
              </w:rPr>
              <w:t>0mm</w:t>
            </w:r>
            <w:r>
              <w:rPr>
                <w:rFonts w:hint="default" w:ascii="宋体" w:hAnsi="宋体" w:cs="宋体"/>
                <w:color w:val="auto"/>
                <w:sz w:val="21"/>
                <w:szCs w:val="21"/>
                <w:highlight w:val="none"/>
              </w:rPr>
              <w:t>。</w:t>
            </w:r>
          </w:p>
          <w:p>
            <w:pPr>
              <w:pStyle w:val="44"/>
              <w:widowControl/>
              <w:spacing w:before="0" w:beforeLines="0" w:beforeAutospacing="0" w:after="0" w:afterLines="0" w:afterAutospacing="0" w:line="360" w:lineRule="auto"/>
              <w:ind w:left="241" w:hanging="211" w:hangingChars="100"/>
              <w:rPr>
                <w:rFonts w:hint="default" w:ascii="宋体" w:hAnsi="宋体" w:cs="宋体"/>
                <w:color w:val="auto"/>
                <w:sz w:val="21"/>
                <w:szCs w:val="21"/>
                <w:highlight w:val="none"/>
              </w:rPr>
            </w:pPr>
            <w:r>
              <w:rPr>
                <w:rFonts w:hint="default" w:ascii="宋体" w:hAnsi="宋体" w:cs="宋体"/>
                <w:b/>
                <w:color w:val="auto"/>
                <w:sz w:val="21"/>
                <w:szCs w:val="21"/>
                <w:highlight w:val="none"/>
              </w:rPr>
              <w:t>2.结构</w:t>
            </w:r>
            <w:r>
              <w:rPr>
                <w:rFonts w:hint="default" w:ascii="宋体" w:hAnsi="宋体" w:cs="宋体"/>
                <w:color w:val="auto"/>
                <w:sz w:val="21"/>
                <w:szCs w:val="21"/>
                <w:highlight w:val="none"/>
              </w:rPr>
              <w:t>：由两块同等大小的书写板组成，两块书写板在一定范围内可实现上下、左右任意移动及停留，根据调整书写板的高低以便满足不同身高的老师教学书写；一体化设计，可配套触摸一体机、电子白板结合使用。</w:t>
            </w:r>
          </w:p>
          <w:p>
            <w:pPr>
              <w:spacing w:beforeLines="0" w:afterLines="0" w:line="360" w:lineRule="auto"/>
              <w:ind w:left="241" w:hanging="211" w:hangingChars="100"/>
              <w:rPr>
                <w:rFonts w:hint="default" w:ascii="宋体" w:hAnsi="宋体" w:cs="宋体"/>
                <w:color w:val="auto"/>
                <w:sz w:val="21"/>
                <w:szCs w:val="21"/>
                <w:highlight w:val="none"/>
              </w:rPr>
            </w:pPr>
            <w:r>
              <w:rPr>
                <w:rFonts w:hint="default" w:ascii="宋体" w:hAnsi="宋体" w:cs="宋体"/>
                <w:b/>
                <w:color w:val="auto"/>
                <w:kern w:val="0"/>
                <w:sz w:val="21"/>
                <w:szCs w:val="21"/>
                <w:highlight w:val="none"/>
              </w:rPr>
              <w:t>3.板面：</w:t>
            </w:r>
            <w:r>
              <w:rPr>
                <w:rFonts w:hint="default" w:ascii="宋体" w:hAnsi="宋体" w:cs="宋体"/>
                <w:color w:val="auto"/>
                <w:sz w:val="21"/>
                <w:szCs w:val="21"/>
                <w:highlight w:val="none"/>
              </w:rPr>
              <w:t>采用金属烤漆书写板面，亚光、墨绿色，光泽度≤12光泽单位，无因教学书写板本身原因产生的眩光，书写流畅字迹清晰、色彩协调可视效果佳，有效的缓解学生视觉疲劳；可吸附磁钉、磁片，便于教学。</w:t>
            </w:r>
          </w:p>
          <w:p>
            <w:pPr>
              <w:widowControl/>
              <w:spacing w:beforeLines="0" w:afterLines="0" w:line="360" w:lineRule="auto"/>
              <w:ind w:left="241" w:hanging="211" w:hangingChars="100"/>
              <w:jc w:val="left"/>
              <w:rPr>
                <w:rFonts w:hint="default" w:ascii="宋体" w:hAnsi="宋体" w:cs="宋体"/>
                <w:color w:val="auto"/>
                <w:kern w:val="0"/>
                <w:sz w:val="21"/>
                <w:szCs w:val="21"/>
                <w:highlight w:val="none"/>
              </w:rPr>
            </w:pPr>
            <w:r>
              <w:rPr>
                <w:rFonts w:hint="default" w:ascii="宋体" w:hAnsi="宋体" w:cs="宋体"/>
                <w:b/>
                <w:color w:val="auto"/>
                <w:kern w:val="0"/>
                <w:sz w:val="21"/>
                <w:szCs w:val="21"/>
                <w:highlight w:val="none"/>
              </w:rPr>
              <w:t>4.背板：</w:t>
            </w:r>
            <w:r>
              <w:rPr>
                <w:rFonts w:hint="default" w:ascii="宋体" w:hAnsi="宋体" w:cs="宋体"/>
                <w:color w:val="auto"/>
                <w:sz w:val="21"/>
                <w:szCs w:val="21"/>
                <w:highlight w:val="none"/>
              </w:rPr>
              <w:t>采用优质镀锌钢板，机械化流水线一次成型</w:t>
            </w:r>
            <w:r>
              <w:rPr>
                <w:rFonts w:hint="default" w:ascii="宋体" w:hAnsi="宋体" w:cs="宋体"/>
                <w:color w:val="auto"/>
                <w:kern w:val="0"/>
                <w:sz w:val="21"/>
                <w:szCs w:val="21"/>
                <w:highlight w:val="none"/>
              </w:rPr>
              <w:t>；</w:t>
            </w:r>
          </w:p>
          <w:p>
            <w:pPr>
              <w:widowControl/>
              <w:spacing w:beforeLines="0" w:afterLines="0" w:line="360" w:lineRule="auto"/>
              <w:ind w:left="241" w:hanging="211" w:hangingChars="100"/>
              <w:jc w:val="left"/>
              <w:rPr>
                <w:rFonts w:hint="default" w:ascii="宋体" w:hAnsi="宋体" w:cs="宋体"/>
                <w:color w:val="auto"/>
                <w:kern w:val="0"/>
                <w:sz w:val="21"/>
                <w:szCs w:val="21"/>
                <w:highlight w:val="none"/>
              </w:rPr>
            </w:pPr>
            <w:r>
              <w:rPr>
                <w:rFonts w:hint="default" w:ascii="宋体" w:hAnsi="宋体" w:cs="宋体"/>
                <w:b/>
                <w:color w:val="auto"/>
                <w:sz w:val="21"/>
                <w:szCs w:val="21"/>
                <w:highlight w:val="none"/>
              </w:rPr>
              <w:t>5.衬板：</w:t>
            </w:r>
            <w:r>
              <w:rPr>
                <w:rFonts w:hint="default" w:ascii="宋体" w:hAnsi="宋体" w:cs="宋体"/>
                <w:color w:val="auto"/>
                <w:sz w:val="21"/>
                <w:szCs w:val="21"/>
                <w:highlight w:val="none"/>
              </w:rPr>
              <w:t>选用吸音、防潮、阻燃聚苯乙烯板,厚度≥14mm</w:t>
            </w:r>
          </w:p>
          <w:p>
            <w:pPr>
              <w:widowControl/>
              <w:spacing w:beforeLines="0" w:afterLines="0" w:line="360" w:lineRule="auto"/>
              <w:ind w:left="241" w:hanging="211" w:hangingChars="100"/>
              <w:jc w:val="left"/>
              <w:rPr>
                <w:rFonts w:hint="default" w:ascii="宋体" w:hAnsi="宋体" w:cs="宋体"/>
                <w:color w:val="auto"/>
                <w:kern w:val="0"/>
                <w:sz w:val="21"/>
                <w:szCs w:val="21"/>
                <w:highlight w:val="none"/>
              </w:rPr>
            </w:pPr>
            <w:r>
              <w:rPr>
                <w:rFonts w:hint="default" w:ascii="宋体" w:hAnsi="宋体" w:cs="宋体"/>
                <w:b/>
                <w:color w:val="auto"/>
                <w:kern w:val="0"/>
                <w:sz w:val="21"/>
                <w:szCs w:val="21"/>
                <w:highlight w:val="none"/>
              </w:rPr>
              <w:t>6.覆板：</w:t>
            </w:r>
            <w:r>
              <w:rPr>
                <w:rFonts w:hint="default" w:ascii="宋体" w:hAnsi="宋体" w:cs="宋体"/>
                <w:b/>
                <w:color w:val="auto"/>
                <w:sz w:val="21"/>
                <w:szCs w:val="21"/>
                <w:highlight w:val="none"/>
              </w:rPr>
              <w:t>采用自动化流水线覆板作业，避免人工作业刷胶不均导致粘贴不牢、起鼓等现象</w:t>
            </w:r>
            <w:r>
              <w:rPr>
                <w:rFonts w:hint="default" w:ascii="宋体" w:hAnsi="宋体" w:cs="宋体"/>
                <w:color w:val="auto"/>
                <w:sz w:val="21"/>
                <w:szCs w:val="21"/>
                <w:highlight w:val="none"/>
              </w:rPr>
              <w:t>。甲醛释放量≤0.2mg/L，符合GB 28231-2011《书写板安全卫生要求》。</w:t>
            </w:r>
          </w:p>
          <w:p>
            <w:pPr>
              <w:widowControl/>
              <w:spacing w:beforeLines="0" w:afterLines="0" w:line="360" w:lineRule="auto"/>
              <w:ind w:left="241" w:hanging="211" w:hangingChars="100"/>
              <w:jc w:val="left"/>
              <w:rPr>
                <w:rFonts w:hint="eastAsia" w:ascii="宋体" w:hAnsi="宋体" w:eastAsia="宋体" w:cs="宋体"/>
                <w:b/>
                <w:color w:val="auto"/>
                <w:sz w:val="21"/>
                <w:szCs w:val="21"/>
                <w:highlight w:val="none"/>
                <w:lang w:eastAsia="zh-CN"/>
              </w:rPr>
            </w:pPr>
            <w:r>
              <w:rPr>
                <w:rFonts w:hint="default" w:ascii="宋体" w:hAnsi="宋体" w:cs="宋体"/>
                <w:b/>
                <w:color w:val="auto"/>
                <w:kern w:val="0"/>
                <w:sz w:val="21"/>
                <w:szCs w:val="21"/>
                <w:highlight w:val="none"/>
              </w:rPr>
              <w:t>7.边框：</w:t>
            </w:r>
            <w:r>
              <w:rPr>
                <w:rFonts w:hint="default" w:ascii="宋体" w:hAnsi="宋体" w:cs="宋体"/>
                <w:color w:val="auto"/>
                <w:sz w:val="21"/>
                <w:szCs w:val="21"/>
                <w:highlight w:val="none"/>
              </w:rPr>
              <w:t>边框采用铝合金型材，</w:t>
            </w:r>
            <w:r>
              <w:rPr>
                <w:rFonts w:hint="default" w:ascii="宋体" w:hAnsi="宋体" w:cs="宋体"/>
                <w:b/>
                <w:color w:val="auto"/>
                <w:sz w:val="21"/>
                <w:szCs w:val="21"/>
                <w:highlight w:val="none"/>
              </w:rPr>
              <w:t>设计型腔结构同时上框为框体、滑道一体化，下框为框体、滑道、板托一体化，提高产品结构强度同时也提升了产品外观美观度</w:t>
            </w:r>
            <w:r>
              <w:rPr>
                <w:rFonts w:hint="default" w:ascii="宋体" w:hAnsi="宋体" w:cs="宋体"/>
                <w:color w:val="auto"/>
                <w:sz w:val="21"/>
                <w:szCs w:val="21"/>
                <w:highlight w:val="none"/>
              </w:rPr>
              <w:t>，增加板体挺度，教学板面采用槽内镶嵌、全包式结构。</w:t>
            </w:r>
            <w:r>
              <w:rPr>
                <w:rFonts w:hint="default" w:ascii="宋体" w:hAnsi="宋体" w:cs="宋体"/>
                <w:b/>
                <w:color w:val="auto"/>
                <w:sz w:val="21"/>
                <w:szCs w:val="21"/>
                <w:highlight w:val="none"/>
              </w:rPr>
              <w:t>边框应具有良好的耐磨性及耐腐蚀性，耐腐蚀性CASS 72H不得低于10级，耐磨性（落沙试验）应不低于3900g</w:t>
            </w:r>
            <w:r>
              <w:rPr>
                <w:rFonts w:hint="eastAsia" w:ascii="宋体" w:hAnsi="宋体" w:cs="宋体"/>
                <w:b/>
                <w:color w:val="auto"/>
                <w:sz w:val="21"/>
                <w:szCs w:val="21"/>
                <w:highlight w:val="none"/>
                <w:lang w:eastAsia="zh-CN"/>
              </w:rPr>
              <w:t>。</w:t>
            </w:r>
          </w:p>
          <w:p>
            <w:pPr>
              <w:widowControl/>
              <w:spacing w:beforeLines="0" w:afterLines="0" w:line="360" w:lineRule="auto"/>
              <w:ind w:left="241" w:hanging="211" w:hangingChars="100"/>
              <w:jc w:val="left"/>
              <w:rPr>
                <w:rFonts w:hint="default" w:ascii="宋体" w:hAnsi="宋体" w:cs="宋体"/>
                <w:color w:val="auto"/>
                <w:kern w:val="0"/>
                <w:sz w:val="21"/>
                <w:szCs w:val="21"/>
                <w:highlight w:val="none"/>
              </w:rPr>
            </w:pPr>
            <w:r>
              <w:rPr>
                <w:rFonts w:hint="default" w:ascii="宋体" w:hAnsi="宋体" w:cs="宋体"/>
                <w:b/>
                <w:color w:val="auto"/>
                <w:kern w:val="0"/>
                <w:sz w:val="21"/>
                <w:szCs w:val="21"/>
                <w:highlight w:val="none"/>
              </w:rPr>
              <w:t>8.包角：</w:t>
            </w:r>
            <w:r>
              <w:rPr>
                <w:rFonts w:hint="default" w:ascii="宋体" w:hAnsi="宋体" w:cs="宋体"/>
                <w:color w:val="auto"/>
                <w:sz w:val="21"/>
                <w:szCs w:val="21"/>
                <w:highlight w:val="none"/>
              </w:rPr>
              <w:t>采用ABS塑料注塑成型，包角采用双壁成腔流线型设计，</w:t>
            </w:r>
            <w:r>
              <w:rPr>
                <w:rFonts w:hint="default" w:ascii="宋体" w:hAnsi="宋体" w:cs="宋体"/>
                <w:b/>
                <w:color w:val="auto"/>
                <w:sz w:val="21"/>
                <w:szCs w:val="21"/>
                <w:highlight w:val="none"/>
              </w:rPr>
              <w:t>下框塑料角为框角、板擦托角一体化设计，提高外观也提升安全性</w:t>
            </w:r>
            <w:r>
              <w:rPr>
                <w:rFonts w:hint="default" w:ascii="宋体" w:hAnsi="宋体" w:cs="宋体"/>
                <w:color w:val="auto"/>
                <w:sz w:val="21"/>
                <w:szCs w:val="21"/>
                <w:highlight w:val="none"/>
              </w:rPr>
              <w:t>，一体化模具成型，无尖角毛刺，符合GB 21027-20</w:t>
            </w:r>
            <w:r>
              <w:rPr>
                <w:rFonts w:hint="default" w:ascii="宋体" w:hAnsi="宋体" w:cs="宋体"/>
                <w:color w:val="auto"/>
                <w:kern w:val="0"/>
                <w:sz w:val="21"/>
                <w:szCs w:val="21"/>
                <w:highlight w:val="none"/>
                <w:lang w:bidi="ar"/>
              </w:rPr>
              <w:t>20</w:t>
            </w:r>
            <w:r>
              <w:rPr>
                <w:rFonts w:hint="default" w:ascii="宋体" w:hAnsi="宋体" w:cs="宋体"/>
                <w:color w:val="auto"/>
                <w:sz w:val="21"/>
                <w:szCs w:val="21"/>
                <w:highlight w:val="none"/>
              </w:rPr>
              <w:t>《学生用品的安全通用要求》</w:t>
            </w:r>
          </w:p>
          <w:p>
            <w:pPr>
              <w:widowControl/>
              <w:spacing w:beforeLines="0" w:afterLines="0" w:line="360" w:lineRule="auto"/>
              <w:ind w:left="241" w:hanging="211" w:hangingChars="100"/>
              <w:jc w:val="left"/>
              <w:rPr>
                <w:rFonts w:hint="default" w:ascii="宋体" w:hAnsi="宋体" w:cs="宋体"/>
                <w:color w:val="auto"/>
                <w:sz w:val="21"/>
                <w:szCs w:val="21"/>
                <w:highlight w:val="none"/>
              </w:rPr>
            </w:pPr>
            <w:r>
              <w:rPr>
                <w:rFonts w:hint="default" w:ascii="宋体" w:hAnsi="宋体" w:cs="宋体"/>
                <w:b/>
                <w:color w:val="auto"/>
                <w:kern w:val="0"/>
                <w:sz w:val="21"/>
                <w:szCs w:val="21"/>
                <w:highlight w:val="none"/>
              </w:rPr>
              <w:t>9.推拉系统：</w:t>
            </w:r>
            <w:r>
              <w:rPr>
                <w:rFonts w:hint="default" w:ascii="宋体" w:hAnsi="宋体" w:cs="宋体"/>
                <w:color w:val="auto"/>
                <w:sz w:val="21"/>
                <w:szCs w:val="21"/>
                <w:highlight w:val="none"/>
              </w:rPr>
              <w:t>整体装备为隐形装置，黑板无论停留在任何位置均不见装置任何部件；左右两块黑板均能独立实现360度圆周运动，左右推开滑动时，黑板全展开，中间预留电子</w:t>
            </w:r>
            <w:r>
              <w:rPr>
                <w:rFonts w:hint="default" w:ascii="宋体" w:hAnsi="宋体" w:cs="宋体"/>
                <w:color w:val="auto"/>
                <w:sz w:val="21"/>
                <w:szCs w:val="21"/>
                <w:highlight w:val="none"/>
                <w:lang w:eastAsia="zh-Hans"/>
              </w:rPr>
              <w:t>产品</w:t>
            </w:r>
            <w:r>
              <w:rPr>
                <w:rFonts w:hint="default" w:ascii="宋体" w:hAnsi="宋体" w:cs="宋体"/>
                <w:color w:val="auto"/>
                <w:sz w:val="21"/>
                <w:szCs w:val="21"/>
                <w:highlight w:val="none"/>
              </w:rPr>
              <w:t>位置。</w:t>
            </w:r>
          </w:p>
          <w:p>
            <w:pPr>
              <w:widowControl/>
              <w:spacing w:beforeLines="0" w:afterLines="0" w:line="360" w:lineRule="auto"/>
              <w:ind w:left="241" w:hanging="211" w:hangingChars="100"/>
              <w:jc w:val="left"/>
              <w:rPr>
                <w:rFonts w:hint="default" w:ascii="宋体" w:hAnsi="宋体" w:cs="宋体"/>
                <w:color w:val="auto"/>
                <w:sz w:val="21"/>
                <w:szCs w:val="21"/>
                <w:highlight w:val="none"/>
              </w:rPr>
            </w:pPr>
            <w:r>
              <w:rPr>
                <w:rFonts w:hint="default" w:ascii="宋体" w:hAnsi="宋体" w:cs="宋体"/>
                <w:b/>
                <w:color w:val="auto"/>
                <w:sz w:val="21"/>
                <w:szCs w:val="21"/>
                <w:highlight w:val="none"/>
              </w:rPr>
              <w:t>10</w:t>
            </w:r>
            <w:r>
              <w:rPr>
                <w:rFonts w:hint="default" w:ascii="宋体" w:hAnsi="宋体" w:cs="宋体"/>
                <w:b/>
                <w:color w:val="auto"/>
                <w:sz w:val="21"/>
                <w:szCs w:val="21"/>
                <w:highlight w:val="none"/>
                <w:lang w:eastAsia="zh-Hans"/>
              </w:rPr>
              <w:t>.</w:t>
            </w:r>
            <w:r>
              <w:rPr>
                <w:rFonts w:hint="default" w:ascii="宋体" w:hAnsi="宋体" w:cs="宋体"/>
                <w:b/>
                <w:color w:val="auto"/>
                <w:sz w:val="21"/>
                <w:szCs w:val="21"/>
                <w:highlight w:val="none"/>
              </w:rPr>
              <w:t>滑轮：</w:t>
            </w:r>
            <w:r>
              <w:rPr>
                <w:rFonts w:hint="default" w:ascii="宋体" w:hAnsi="宋体" w:cs="宋体"/>
                <w:color w:val="auto"/>
                <w:sz w:val="21"/>
                <w:szCs w:val="21"/>
                <w:highlight w:val="none"/>
              </w:rPr>
              <w:t>滑轮应采用包胶轮以减少噪音。</w:t>
            </w:r>
          </w:p>
          <w:p>
            <w:pPr>
              <w:widowControl/>
              <w:spacing w:beforeLines="0" w:afterLines="0" w:line="360" w:lineRule="auto"/>
              <w:ind w:left="211" w:leftChars="0" w:hanging="211" w:hangingChars="100"/>
              <w:jc w:val="left"/>
              <w:rPr>
                <w:rFonts w:hint="default" w:ascii="宋体" w:hAnsi="宋体" w:eastAsia="宋体" w:cs="宋体"/>
                <w:color w:val="auto"/>
                <w:kern w:val="2"/>
                <w:sz w:val="21"/>
                <w:szCs w:val="21"/>
                <w:highlight w:val="none"/>
                <w:lang w:val="en-US" w:eastAsia="zh-CN" w:bidi="ar-SA"/>
              </w:rPr>
            </w:pPr>
            <w:r>
              <w:rPr>
                <w:rFonts w:hint="default" w:ascii="宋体" w:hAnsi="宋体" w:cs="宋体"/>
                <w:b/>
                <w:color w:val="auto"/>
                <w:kern w:val="0"/>
                <w:sz w:val="21"/>
                <w:szCs w:val="21"/>
                <w:highlight w:val="none"/>
              </w:rPr>
              <w:t>11.安装：</w:t>
            </w:r>
            <w:r>
              <w:rPr>
                <w:rFonts w:hint="default" w:ascii="宋体" w:hAnsi="宋体" w:cs="宋体"/>
                <w:color w:val="auto"/>
                <w:kern w:val="0"/>
                <w:sz w:val="21"/>
                <w:szCs w:val="21"/>
                <w:highlight w:val="none"/>
              </w:rPr>
              <w:t>采用隐形安装，正面无可见安装件及传动机构件，整体结构牢固；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7</w:t>
            </w:r>
          </w:p>
        </w:tc>
        <w:tc>
          <w:tcPr>
            <w:tcW w:w="888" w:type="dxa"/>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 xml:space="preserve"> 升降课桌椅</w:t>
            </w:r>
          </w:p>
        </w:tc>
        <w:tc>
          <w:tcPr>
            <w:tcW w:w="630" w:type="dxa"/>
            <w:gridSpan w:val="2"/>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套</w:t>
            </w:r>
          </w:p>
        </w:tc>
        <w:tc>
          <w:tcPr>
            <w:tcW w:w="645" w:type="dxa"/>
          </w:tcPr>
          <w:p>
            <w:pPr>
              <w:pStyle w:val="20"/>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1800</w:t>
            </w:r>
          </w:p>
        </w:tc>
        <w:tc>
          <w:tcPr>
            <w:tcW w:w="7265" w:type="dxa"/>
            <w:shd w:val="clear" w:color="auto" w:fill="FFFFFF"/>
            <w:vAlign w:val="center"/>
          </w:tcPr>
          <w:p>
            <w:pPr>
              <w:widowControl/>
              <w:numPr>
                <w:ilvl w:val="0"/>
                <w:numId w:val="5"/>
              </w:numPr>
              <w:spacing w:beforeLines="0" w:afterLine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课桌：双立柱升降结构</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1、学生课桌规格尺寸：600mm*400mm*790mm（高度±5mm）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2、课桌面板规格及尺寸：长600mm*宽400mm*厚16mm，采用环保防火皮饰面实木多层板，桌面板与书斗采用自攻螺丝组合固定。</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升降片：主体上宽340mm下宽240mm总高度340mm厚度≥0.8mm的优质冷轧板一次冲压而成，书斗开口处高度为190mm，内空高度为208mm（带有倾斜度，防止书包滑出），升降片必须具有两列调节升降圆形孔，两列孔间距100mm，孔与孔中心距为30mm共8个孔竖向排列4档调节，升降片周围及边缘有三根加强筋增加韧性及侧板设有三个倒U型孔底座，增加书斗承重力，书斗开口处做卷边处理（起到保护不被刮伤作用），升降片每块侧板带有两个一次冲压成型书包挂钩，不得敲打焊接。（除厚度外允许±5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金属钢制桌架：桌底腿采用≥25*49*1.2mm厚的优质扁圆管，立柱和横拉管采用≥20*49*1.2mm厚的优质扁圆管焊接而成。桌斗下方另配书框，书框尺寸：深190mm*长450mm*高160mm。书框采用厚度0.8mm的冷轧钢板冲压而成，可以拆除，可调节书框位置的高度，方便使用。书框裸露的边缘折边处理达到防刮作用。（除厚度外允许±5mm）。</w:t>
            </w:r>
          </w:p>
          <w:p>
            <w:pPr>
              <w:widowControl/>
              <w:numPr>
                <w:ilvl w:val="0"/>
                <w:numId w:val="0"/>
              </w:numPr>
              <w:spacing w:beforeLines="0" w:afterLine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二、课椅：双立柱升降结构</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1、椅面板规格尺寸：≥380*370*厚10mm，采用环保防火皮饰面实木多层板。</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2、靠背板规格尺寸≥380*150*厚10mm，采用环保防火皮饰面实木多层板。</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3、升降片≥高180mm，上宽180mm，下宽170mm，厚度≥0.8mm，具有两列调节孔，每列必须有7个孔调节孔，升降片四周边缘带有一次性冲压成型的加强筋。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4、金属钢制椅架：底腿采用≥25*49*1.2mm厚的优质扁圆管，立柱和横拉管采用≥20*49*1.2mm厚的优质扁圆管焊接而成，靠背弯管采用≥20*20*1.0mm厚方管。（除厚度外允许±2mm）</w:t>
            </w:r>
            <w:r>
              <w:rPr>
                <w:rFonts w:hint="default" w:ascii="宋体" w:hAnsi="宋体" w:cs="宋体"/>
                <w:b/>
                <w:strike/>
                <w:dstrike w:val="0"/>
                <w:color w:val="auto"/>
                <w:kern w:val="0"/>
                <w:sz w:val="21"/>
                <w:szCs w:val="21"/>
                <w:highlight w:val="none"/>
                <w:lang w:bidi="ar"/>
              </w:rPr>
              <w:br w:type="textWrapping"/>
            </w:r>
            <w:r>
              <w:rPr>
                <w:rFonts w:hint="default" w:ascii="宋体" w:hAnsi="宋体" w:cs="宋体"/>
                <w:color w:val="auto"/>
                <w:kern w:val="0"/>
                <w:sz w:val="21"/>
                <w:szCs w:val="21"/>
                <w:highlight w:val="none"/>
                <w:lang w:bidi="ar"/>
              </w:rPr>
              <w:t>5、脚套：一次性注塑成型、并具有倒钩技术功能不易脱落，耐磨、耐老化，脚套底部加厚加宽，增加着地面积。</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6、钢制部分采用二氧化碳保护焊接，表面环氧树脂静电粉末静电喷塑，表面平整，色泽鲜明，面板具有耐磨、耐划痕、耐酸碱、耐烫、耐污染优点，全部采用止退螺丝帽加固。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要求：材料、工艺、漆膜理化功能、力学功能、环保要求都必须符合相关国家标准。升降功能：采用防退螺杆螺帽调节。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eastAsia" w:hAnsi="宋体"/>
                <w:color w:val="auto"/>
                <w:sz w:val="21"/>
                <w:szCs w:val="21"/>
                <w:highlight w:val="none"/>
              </w:rPr>
            </w:pPr>
            <w:r>
              <w:rPr>
                <w:rFonts w:hint="eastAsia" w:hAnsi="宋体"/>
                <w:color w:val="auto"/>
                <w:sz w:val="21"/>
                <w:szCs w:val="21"/>
                <w:highlight w:val="none"/>
              </w:rPr>
              <w:t>6</w:t>
            </w:r>
          </w:p>
        </w:tc>
        <w:tc>
          <w:tcPr>
            <w:tcW w:w="888" w:type="dxa"/>
          </w:tcPr>
          <w:p>
            <w:pPr>
              <w:pStyle w:val="20"/>
              <w:ind w:firstLine="0" w:firstLineChars="0"/>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 xml:space="preserve"> 学生上下架用床</w:t>
            </w:r>
          </w:p>
        </w:tc>
        <w:tc>
          <w:tcPr>
            <w:tcW w:w="630" w:type="dxa"/>
            <w:gridSpan w:val="2"/>
          </w:tcPr>
          <w:p>
            <w:pPr>
              <w:pStyle w:val="20"/>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套</w:t>
            </w:r>
          </w:p>
        </w:tc>
        <w:tc>
          <w:tcPr>
            <w:tcW w:w="645" w:type="dxa"/>
          </w:tcPr>
          <w:p>
            <w:pPr>
              <w:pStyle w:val="20"/>
              <w:ind w:firstLine="0" w:firstLineChars="0"/>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1000</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床架部分：</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床架材质要求：符合GB/T 3325-2024《金属家具通用技术条件》标准，经除油、酸洗、磷化、除锈处理，表面静电喷塑处理，钢管材质符合国家标准。</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(1)规格：长2000mm×宽900mm×高1800mm；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(2)床立柱：采用40mm×40mm×1.5mm优质冷轧钢管；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(3)床母：采用25mm×50mm×1.5mm优质冷轧钢管；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 立柱床头上横管：采用20mm×30mm×1.2mm优质冷轧钢管；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立柱床头下横管：采用30mm×40mm×1.0mm优质冷轧钢管；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(5)床母横担：采用20mm×30mm×1.2mm优质冷轧钢管，横担不少于4根；</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床横梁与床立柱卡式连接件：①整张床架除床梯为插销插入式连接外，其余采用卡扣式连接，不得采用螺丝连接，②连接扣件经冲床冲压而成，连接卡口不少于三个，成型后卡梢部位钢材厚度为1.8mm，卡梢总宽度不小于20mm；卡梢进深不少于15mm，床梃（床母）扣件规格不小于200mm×50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(7)床护栏：采用Φ19mm×1.0mm优质圆管，高度不小于300mm，长度1200mm。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(8)爬梯：采用25mm×25mm×1.2mm方管；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(9)蚊帐杆：采用Φ15mm×1.0mm壁厚的圆管为支撑；</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(10)床板：采用15mm厚杉木实木铺板，单面抛光，干燥处理，拼装板数不超过7块，背部固定横条不少于3条，规格为30mm×20mm的实木方料；床板材质性能符合GB/T 3324-2024《木家具通用技术条件》标准要求，木质件外观要求（贯通裂缝、虫蛀、腐朽材、树脂囊、节子、死节、孔洞、夹皮和树脂道、树胶道、其他轻微缺陷）、木材含水率符合要求。</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(11)钢件表面处理：床体焊接采用二氧化碳气体保护焊，焊痕打磨光滑平整；表面经过严格的除油-水洗-除锈-水洗-表调-陶化-环氧处理，铁架床四脚配防滑胶套，铁床结构组合牢固，长期使用不会出现松动；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(12)安装：①整床全部采用卡式连接紧固，②整床床体组装好后结实、牢固、安全和耐用；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(13)床表面处理工艺：表面采用亚光静电喷塑工艺，经预脱脂-脱脂-水洗-酸洗-水洗-中和-表调-磷化-水洗-钝化十工位表面前处理工序；塑粉为表面喷涂飞亚环氧聚脂粉，颜色为皱纹灰白；塑粉检测依据： HG/T 2006-2022《热固性和热塑性粉末涂料》；检测内容包括但不限于：外观、筛余物、胶化时间、密度、涂（漆）膜外观、附着力、铅笔硬度、耐冲击性、弯曲试验、杯突试验，光泽、耐磨性、耐沸水性，耐碱性168h无异常，耐酸性240h无异常，耐盐雾 500h，耐湿性500h无异常，达到相应标准；重金属含量（可溶性铅≤90mg/kg；可溶性镉≤75mg/kg；可溶性铬≤60mg/kg；可溶性汞≤60mg/kg）。</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(14)产品质量符合QB/T2741《学生公寓多功能家具》适用条款的要求；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pStyle w:val="20"/>
              <w:ind w:firstLine="0" w:firstLineChars="0"/>
              <w:rPr>
                <w:rFonts w:hint="default" w:ascii="宋体" w:hAnsi="宋体" w:cs="宋体"/>
                <w:kern w:val="0"/>
                <w:sz w:val="21"/>
                <w:szCs w:val="21"/>
                <w:highlight w:val="none"/>
                <w:lang w:val="en-US"/>
              </w:rPr>
            </w:pPr>
            <w:r>
              <w:rPr>
                <w:rFonts w:hint="default" w:ascii="宋体" w:hAnsi="宋体" w:cs="宋体"/>
                <w:kern w:val="0"/>
                <w:sz w:val="21"/>
                <w:szCs w:val="21"/>
                <w:highlight w:val="none"/>
                <w:lang w:val="en-US"/>
              </w:rPr>
              <w:t>（二）物理电学实验室/56座(新型)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pStyle w:val="20"/>
              <w:ind w:firstLine="0" w:firstLineChars="0"/>
              <w:rPr>
                <w:rFonts w:hint="default" w:ascii="宋体" w:hAnsi="宋体" w:cs="宋体"/>
                <w:kern w:val="0"/>
                <w:sz w:val="21"/>
                <w:szCs w:val="21"/>
                <w:highlight w:val="none"/>
                <w:lang w:val="en-US"/>
              </w:rPr>
            </w:pPr>
            <w:r>
              <w:rPr>
                <w:rFonts w:hint="default" w:ascii="宋体" w:hAnsi="宋体" w:cs="宋体"/>
                <w:kern w:val="0"/>
                <w:sz w:val="21"/>
                <w:szCs w:val="21"/>
                <w:highlight w:val="none"/>
                <w:lang w:val="en-US"/>
              </w:rPr>
              <w:t>（1）教师演示区域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1</w:t>
            </w:r>
          </w:p>
        </w:tc>
        <w:tc>
          <w:tcPr>
            <w:tcW w:w="888" w:type="dxa"/>
            <w:shd w:val="clear" w:color="auto" w:fill="FFFFFF"/>
            <w:vAlign w:val="center"/>
          </w:tcPr>
          <w:p>
            <w:pPr>
              <w:widowControl/>
              <w:spacing w:beforeLines="0" w:afterLines="0"/>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教师演示台</w:t>
            </w:r>
          </w:p>
        </w:tc>
        <w:tc>
          <w:tcPr>
            <w:tcW w:w="630" w:type="dxa"/>
            <w:gridSpan w:val="2"/>
            <w:vAlign w:val="center"/>
          </w:tcPr>
          <w:p>
            <w:pPr>
              <w:pStyle w:val="20"/>
              <w:ind w:firstLine="0" w:firstLineChars="0"/>
              <w:jc w:val="center"/>
              <w:rPr>
                <w:rFonts w:hint="default" w:hAnsi="宋体"/>
                <w:color w:val="auto"/>
                <w:sz w:val="21"/>
                <w:szCs w:val="21"/>
                <w:highlight w:val="none"/>
                <w:lang w:val="en-US"/>
              </w:rPr>
            </w:pPr>
            <w:r>
              <w:rPr>
                <w:rFonts w:hint="default" w:hAnsi="宋体"/>
                <w:color w:val="auto"/>
                <w:sz w:val="21"/>
                <w:szCs w:val="21"/>
                <w:highlight w:val="none"/>
                <w:lang w:val="en-US"/>
              </w:rPr>
              <w:t>张</w:t>
            </w:r>
          </w:p>
        </w:tc>
        <w:tc>
          <w:tcPr>
            <w:tcW w:w="645" w:type="dxa"/>
            <w:vAlign w:val="center"/>
          </w:tcPr>
          <w:p>
            <w:pPr>
              <w:pStyle w:val="20"/>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1</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1、规格：2400*700*850mm； 2、台面：湛蓝色一体化陶瓷台面 3、桌身：整体采用1.0mm厚优质冷轧钢板，全部钢制件纳米陶瓷镀膜防锈处理； 4、结构：演示台设有储物柜，中间为演示台,设置电源主控系统、多媒体设备（主机、显示器、中控、功放、交换机）的位置预留； 5、滑道：抽屉全部采用优质三节承重式滚珠滑道开合十万次不变形； 6、铰链：采用优质铰链，开合十万次不变形。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eastAsia" w:hAnsi="宋体" w:eastAsia="宋体"/>
                <w:color w:val="auto"/>
                <w:sz w:val="21"/>
                <w:szCs w:val="21"/>
                <w:highlight w:val="none"/>
                <w:lang w:eastAsia="zh-CN"/>
              </w:rPr>
            </w:pPr>
            <w:r>
              <w:rPr>
                <w:rFonts w:hint="eastAsia" w:hAnsi="宋体"/>
                <w:color w:val="auto"/>
                <w:sz w:val="21"/>
                <w:szCs w:val="21"/>
                <w:highlight w:val="none"/>
                <w:lang w:val="en-US" w:eastAsia="zh-CN"/>
              </w:rPr>
              <w:t>2</w:t>
            </w:r>
          </w:p>
        </w:tc>
        <w:tc>
          <w:tcPr>
            <w:tcW w:w="888" w:type="dxa"/>
            <w:shd w:val="clear" w:color="auto" w:fill="FFFFFF"/>
            <w:vAlign w:val="center"/>
          </w:tcPr>
          <w:p>
            <w:pPr>
              <w:widowControl/>
              <w:spacing w:beforeLines="0" w:afterLines="0"/>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教师总控电源</w:t>
            </w:r>
          </w:p>
        </w:tc>
        <w:tc>
          <w:tcPr>
            <w:tcW w:w="630" w:type="dxa"/>
            <w:gridSpan w:val="2"/>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台</w:t>
            </w:r>
          </w:p>
        </w:tc>
        <w:tc>
          <w:tcPr>
            <w:tcW w:w="645" w:type="dxa"/>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1</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l、漏电保护开关、工作指示灯选用国产优质产品，220V交流输出插座(六孔插座)取用国产优质产品；</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2、低压交流电源：2-24V可调(每档2V)，额定电流3A(短路、过载自动保护、自动复位)；</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3、直流稳压电源：1.5-18V连续可调，额定电流6A，18v—24v额定电流3A，(短路、过载自动保护、自动复位)；85系指针表显示；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4、直流大电流输出：9V／40A；8秒自动断开；</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5、教师插座电源：220V交流，负载电流10A。五孔(或三孔两用)交流电源插座1个，设置在演示台的中间抽屉内；</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A:由教师控制学生实验台交流220V电源，每组由空气开关控制，共分四组，并配有漏电保护开关；</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B:由教师统一控制学生实验台低压电源，交流每档2V,共12档。直流可以在控制范围内微调。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3</w:t>
            </w:r>
          </w:p>
        </w:tc>
        <w:tc>
          <w:tcPr>
            <w:tcW w:w="888" w:type="dxa"/>
            <w:shd w:val="clear" w:color="auto" w:fill="FFFFFF"/>
            <w:vAlign w:val="center"/>
          </w:tcPr>
          <w:p>
            <w:pPr>
              <w:widowControl/>
              <w:spacing w:beforeLines="0" w:afterLines="0"/>
              <w:ind w:left="0" w:leftChars="0" w:firstLine="0" w:firstLineChars="0"/>
              <w:jc w:val="center"/>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教师转椅</w:t>
            </w:r>
          </w:p>
        </w:tc>
        <w:tc>
          <w:tcPr>
            <w:tcW w:w="630" w:type="dxa"/>
            <w:gridSpan w:val="2"/>
            <w:vAlign w:val="center"/>
          </w:tcPr>
          <w:p>
            <w:pPr>
              <w:pStyle w:val="20"/>
              <w:spacing w:line="360" w:lineRule="auto"/>
              <w:ind w:firstLine="0" w:firstLineChars="0"/>
              <w:jc w:val="center"/>
              <w:rPr>
                <w:rFonts w:hint="default" w:hAnsi="宋体"/>
                <w:color w:val="auto"/>
                <w:sz w:val="21"/>
                <w:szCs w:val="21"/>
                <w:highlight w:val="none"/>
                <w:lang w:val="en-US"/>
              </w:rPr>
            </w:pPr>
            <w:r>
              <w:rPr>
                <w:rFonts w:hint="default" w:hAnsi="宋体"/>
                <w:color w:val="auto"/>
                <w:sz w:val="21"/>
                <w:szCs w:val="21"/>
                <w:highlight w:val="none"/>
                <w:lang w:val="en-US"/>
              </w:rPr>
              <w:t>张</w:t>
            </w:r>
          </w:p>
        </w:tc>
        <w:tc>
          <w:tcPr>
            <w:tcW w:w="645" w:type="dxa"/>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1</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1、五轮气动升降转椅，椅面及靠背为高回弹高密度海绵，黑色优质网面；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2、铝合金五星脚，带扶手。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Cs w:val="21"/>
                <w:highlight w:val="none"/>
                <w:lang w:val="en-US"/>
              </w:rPr>
            </w:pPr>
            <w:r>
              <w:rPr>
                <w:rFonts w:hint="default" w:ascii="宋体" w:hAnsi="宋体" w:cs="宋体"/>
                <w:kern w:val="0"/>
                <w:szCs w:val="21"/>
                <w:highlight w:val="none"/>
                <w:lang w:val="en-US"/>
              </w:rPr>
              <w:t>（2）学生实验区域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1</w:t>
            </w:r>
          </w:p>
        </w:tc>
        <w:tc>
          <w:tcPr>
            <w:tcW w:w="888" w:type="dxa"/>
            <w:vAlign w:val="center"/>
          </w:tcPr>
          <w:p>
            <w:pPr>
              <w:widowControl/>
              <w:spacing w:line="360" w:lineRule="auto"/>
              <w:ind w:firstLine="0" w:firstLineChars="0"/>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学生实验桌</w:t>
            </w:r>
          </w:p>
        </w:tc>
        <w:tc>
          <w:tcPr>
            <w:tcW w:w="630" w:type="dxa"/>
            <w:gridSpan w:val="2"/>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张</w:t>
            </w:r>
          </w:p>
        </w:tc>
        <w:tc>
          <w:tcPr>
            <w:tcW w:w="645" w:type="dxa"/>
            <w:vAlign w:val="center"/>
          </w:tcPr>
          <w:p>
            <w:pPr>
              <w:pStyle w:val="20"/>
              <w:spacing w:line="360" w:lineRule="auto"/>
              <w:ind w:firstLine="0" w:firstLineChars="0"/>
              <w:jc w:val="center"/>
              <w:rPr>
                <w:rFonts w:hint="default" w:hAnsi="宋体"/>
                <w:color w:val="auto"/>
                <w:sz w:val="21"/>
                <w:szCs w:val="21"/>
                <w:highlight w:val="none"/>
                <w:lang w:val="en-US"/>
              </w:rPr>
            </w:pPr>
            <w:r>
              <w:rPr>
                <w:rFonts w:hint="default" w:hAnsi="宋体"/>
                <w:color w:val="auto"/>
                <w:sz w:val="21"/>
                <w:szCs w:val="21"/>
                <w:highlight w:val="none"/>
                <w:lang w:val="en-US"/>
              </w:rPr>
              <w:t>28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1、</w:t>
            </w:r>
            <w:r>
              <w:rPr>
                <w:rFonts w:hint="default" w:ascii="宋体" w:hAnsi="宋体" w:cs="宋体"/>
                <w:color w:val="auto"/>
                <w:kern w:val="0"/>
                <w:sz w:val="21"/>
                <w:szCs w:val="21"/>
                <w:highlight w:val="none"/>
                <w:lang w:bidi="ar"/>
              </w:rPr>
              <w:t>规格：1200*600*780mm；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2、台面：采用无甲醛新型环保陶瓷台面20mm厚；</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3、采用优质五金配件连接；</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4、台身结构：新型塑铝结构，整体1180x570x760mm；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5、桌腿：采用工字型压铸铝一次成型，三段链接；</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6、上腿规格：565x58x110mm，壁厚不小于2mm内部设有加强筋；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7、下腿规格：545x72x125mm，壁厚不小于2mm，配有M8x60mm的升降调节脚垫；</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立柱：采用110×55mm，壁厚1.3mm，立柱两端内部有2个铸铝成型的螺丝链接位；内侧设有12*5mm的凹槽，使用锁拉扣链接桌体下横梁，调节方便，外侧设有装饰条。下横梁采用80x14.5mm目型铝型材制作壁厚1.2mm。前横梁采用30*30mm优质金属型材制作壁厚1mm。中横梁采用30*30mm优质金属型材制作壁厚1mm。后横梁：采用100x27mm，L型铝型材制作壁厚1mm。后横梁上侧设有挡水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9、学生位设书包斗；书包斗:采用环保型ABS工程塑料一次性注塑成型。两个书包斗中间设有电源盒，方便使用。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2</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功能柱</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个</w:t>
            </w:r>
          </w:p>
        </w:tc>
        <w:tc>
          <w:tcPr>
            <w:tcW w:w="645" w:type="dxa"/>
            <w:vAlign w:val="center"/>
          </w:tcPr>
          <w:p>
            <w:pPr>
              <w:pStyle w:val="20"/>
              <w:spacing w:line="360" w:lineRule="auto"/>
              <w:ind w:firstLine="0" w:firstLineChars="0"/>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28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1、功能柱:由底座、立柱、两端装饰条组成，湛蓝色；</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2、规格：长390mm宽220mm高720mm，采用环保型ABS工程塑料注塑成型；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3、底座尺寸：390*220*30mm，壁厚3mm，内部设有加强筋；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底座上设有6个螺丝口用于连接立柱和固定地面。立柱主体尺寸：340*195*690mm，上下口尺寸：300*145mm，立柱两端各设有两个螺丝固定口，装饰条用于掩盖螺丝口使其更加美观。主要功能是保护学生通风管道及电线电缆作用，配套于学生桌，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3</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学生电源（电学）</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个</w:t>
            </w:r>
          </w:p>
        </w:tc>
        <w:tc>
          <w:tcPr>
            <w:tcW w:w="645" w:type="dxa"/>
            <w:vAlign w:val="center"/>
          </w:tcPr>
          <w:p>
            <w:pPr>
              <w:pStyle w:val="20"/>
              <w:spacing w:line="360" w:lineRule="auto"/>
              <w:ind w:firstLine="0" w:firstLineChars="0"/>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28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1、每张学生桌装配1组实验用电源，铝合金机箱，固定于台面上，电源面板与台面成110度。配交流电压表，直流电压，电流表，做输出指示；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2、每组电源配有漏电保护器，工作指示灯，保险丝二组三孔220V交流电源输出用国产优质插座；</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3、低压交流电源：2V—18V，每2V一档，额定电流3A，18V—24，额定电流2A，(短路、过载自动保护、自动复位)；</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4、低压直流稳压电源：1.5V-16V，额定电流2A，16V—24V，额定电流1A，连续可调电源(短路、过载自动保护、手动复位)85表显示；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5、配灵敏电流计、双量程低压直流电压表、低压直流电流表各一只（测量表）；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6、接线柱输出，选用回型接线柱，不易被学生拧下；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7、低压交.直流电源有开关控制。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4</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实验凳</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张</w:t>
            </w:r>
          </w:p>
        </w:tc>
        <w:tc>
          <w:tcPr>
            <w:tcW w:w="645" w:type="dxa"/>
            <w:vAlign w:val="center"/>
          </w:tcPr>
          <w:p>
            <w:pPr>
              <w:pStyle w:val="20"/>
              <w:spacing w:line="360" w:lineRule="auto"/>
              <w:ind w:firstLine="0" w:firstLineChars="0"/>
              <w:jc w:val="center"/>
              <w:rPr>
                <w:rFonts w:hint="default" w:hAnsi="宋体" w:eastAsia="宋体"/>
                <w:color w:val="auto"/>
                <w:sz w:val="21"/>
                <w:szCs w:val="21"/>
                <w:highlight w:val="none"/>
                <w:lang w:val="en-US" w:eastAsia="zh-CN"/>
              </w:rPr>
            </w:pPr>
            <w:r>
              <w:rPr>
                <w:rFonts w:hint="eastAsia" w:hAnsi="宋体"/>
                <w:color w:val="auto"/>
                <w:sz w:val="21"/>
                <w:szCs w:val="21"/>
                <w:highlight w:val="none"/>
                <w:lang w:val="en-US" w:eastAsia="zh-CN"/>
              </w:rPr>
              <w:t>56</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一、凳面：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1、材质：采用湛蓝色环保型ABS改性塑料一次性注塑成型；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2、尺寸：直径300mm；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3、表面防滑不发光。</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二、脚钢架：</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1、材质及形状：椭圆形无缝钢管；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2、尺寸:20×40×1.2mm；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3、全圆满焊接完成，结构牢固，经高温粉体烤漆处理，长时间使用也不会产生表面烤漆剥落现象；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4、脚垫材质：采用PP加耐磨纤维质塑料，实心倒勾式一体射出成型；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5、凳面可通过旋转螺杆来升降凳子高度,可调高度5cm。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 w:val="21"/>
                <w:szCs w:val="21"/>
                <w:highlight w:val="none"/>
                <w:lang w:val="en-US"/>
              </w:rPr>
            </w:pPr>
            <w:r>
              <w:rPr>
                <w:rFonts w:hint="eastAsia" w:ascii="宋体" w:hAnsi="宋体" w:cs="宋体"/>
                <w:kern w:val="0"/>
                <w:sz w:val="21"/>
                <w:szCs w:val="21"/>
                <w:highlight w:val="none"/>
                <w:lang w:val="en-US" w:eastAsia="zh-CN"/>
              </w:rPr>
              <w:t>（3）水电部分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eastAsia" w:hAnsi="宋体"/>
                <w:color w:val="auto"/>
                <w:sz w:val="21"/>
                <w:szCs w:val="21"/>
                <w:highlight w:val="none"/>
                <w:lang w:eastAsia="zh-CN"/>
              </w:rPr>
            </w:pPr>
            <w:r>
              <w:rPr>
                <w:rFonts w:hint="eastAsia" w:hAnsi="宋体"/>
                <w:color w:val="auto"/>
                <w:sz w:val="21"/>
                <w:szCs w:val="21"/>
                <w:highlight w:val="none"/>
                <w:lang w:eastAsia="zh-CN"/>
              </w:rPr>
              <w:t>1</w:t>
            </w:r>
          </w:p>
        </w:tc>
        <w:tc>
          <w:tcPr>
            <w:tcW w:w="888" w:type="dxa"/>
            <w:vAlign w:val="center"/>
          </w:tcPr>
          <w:p>
            <w:pPr>
              <w:widowControl/>
              <w:spacing w:line="360" w:lineRule="auto"/>
              <w:ind w:firstLine="0" w:firstLineChars="0"/>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电气布线（地面以上部分）</w:t>
            </w:r>
          </w:p>
        </w:tc>
        <w:tc>
          <w:tcPr>
            <w:tcW w:w="630" w:type="dxa"/>
            <w:gridSpan w:val="2"/>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套</w:t>
            </w:r>
          </w:p>
        </w:tc>
        <w:tc>
          <w:tcPr>
            <w:tcW w:w="645" w:type="dxa"/>
            <w:vAlign w:val="center"/>
          </w:tcPr>
          <w:p>
            <w:pPr>
              <w:pStyle w:val="20"/>
              <w:spacing w:line="360" w:lineRule="auto"/>
              <w:ind w:firstLine="0" w:firstLineChars="0"/>
              <w:jc w:val="center"/>
              <w:rPr>
                <w:rFonts w:hint="default" w:hAnsi="宋体"/>
                <w:color w:val="auto"/>
                <w:sz w:val="21"/>
                <w:szCs w:val="21"/>
                <w:highlight w:val="none"/>
                <w:lang w:val="en-US"/>
              </w:rPr>
            </w:pPr>
            <w:r>
              <w:rPr>
                <w:rFonts w:hint="default" w:hAnsi="宋体"/>
                <w:color w:val="auto"/>
                <w:sz w:val="21"/>
                <w:szCs w:val="21"/>
                <w:highlight w:val="none"/>
                <w:lang w:val="en-US"/>
              </w:rPr>
              <w:t>1</w:t>
            </w:r>
          </w:p>
        </w:tc>
        <w:tc>
          <w:tcPr>
            <w:tcW w:w="7265" w:type="dxa"/>
            <w:vAlign w:val="center"/>
          </w:tcPr>
          <w:p>
            <w:pPr>
              <w:widowControl/>
              <w:spacing w:line="360" w:lineRule="auto"/>
              <w:ind w:firstLine="0" w:firstLineChars="0"/>
              <w:jc w:val="left"/>
              <w:rPr>
                <w:rFonts w:hint="default" w:ascii="宋体" w:hAnsi="宋体" w:cs="宋体"/>
                <w:kern w:val="0"/>
                <w:szCs w:val="21"/>
                <w:highlight w:val="none"/>
                <w:lang w:val="en-US"/>
              </w:rPr>
            </w:pPr>
            <w:r>
              <w:rPr>
                <w:rFonts w:hint="default" w:ascii="宋体" w:hAnsi="宋体" w:cs="宋体"/>
                <w:kern w:val="0"/>
                <w:szCs w:val="21"/>
                <w:highlight w:val="none"/>
                <w:lang w:val="en-US"/>
              </w:rPr>
              <w:t>1、DN25mm阻燃线管；</w:t>
            </w:r>
          </w:p>
          <w:p>
            <w:pPr>
              <w:widowControl/>
              <w:spacing w:line="360" w:lineRule="auto"/>
              <w:ind w:firstLine="0" w:firstLineChars="0"/>
              <w:jc w:val="left"/>
              <w:rPr>
                <w:rFonts w:hint="default" w:ascii="宋体" w:hAnsi="宋体" w:cs="宋体"/>
                <w:kern w:val="0"/>
                <w:szCs w:val="21"/>
                <w:highlight w:val="none"/>
                <w:lang w:val="en-US"/>
              </w:rPr>
            </w:pPr>
            <w:r>
              <w:rPr>
                <w:rFonts w:hint="default" w:ascii="宋体" w:hAnsi="宋体" w:cs="宋体"/>
                <w:kern w:val="0"/>
                <w:szCs w:val="21"/>
                <w:highlight w:val="none"/>
                <w:lang w:val="en-US"/>
              </w:rPr>
              <w:t>2、2.5mm²、4mm²国标线材，符合国家标准。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Cs w:val="21"/>
                <w:highlight w:val="none"/>
                <w:lang w:val="en-US"/>
              </w:rPr>
            </w:pPr>
            <w:r>
              <w:rPr>
                <w:rFonts w:hint="default" w:ascii="宋体" w:hAnsi="宋体" w:cs="宋体"/>
                <w:kern w:val="0"/>
                <w:szCs w:val="21"/>
                <w:highlight w:val="none"/>
                <w:lang w:val="en-US"/>
              </w:rPr>
              <w:t>（三）化学实验室/56座(新型)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Cs w:val="21"/>
                <w:highlight w:val="none"/>
                <w:lang w:val="en-US"/>
              </w:rPr>
            </w:pPr>
            <w:r>
              <w:rPr>
                <w:rFonts w:hint="default" w:ascii="宋体" w:hAnsi="宋体" w:cs="宋体"/>
                <w:kern w:val="0"/>
                <w:szCs w:val="21"/>
                <w:highlight w:val="none"/>
                <w:lang w:val="en-US"/>
              </w:rPr>
              <w:t>（1）教师演示区域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eastAsia" w:hAnsi="宋体"/>
                <w:color w:val="auto"/>
                <w:sz w:val="21"/>
                <w:szCs w:val="21"/>
                <w:highlight w:val="none"/>
                <w:lang w:eastAsia="zh-CN"/>
              </w:rPr>
            </w:pPr>
            <w:r>
              <w:rPr>
                <w:rFonts w:hint="eastAsia" w:hAnsi="宋体"/>
                <w:color w:val="auto"/>
                <w:sz w:val="21"/>
                <w:szCs w:val="21"/>
                <w:highlight w:val="none"/>
                <w:lang w:eastAsia="zh-CN"/>
              </w:rPr>
              <w:t>1</w:t>
            </w:r>
          </w:p>
        </w:tc>
        <w:tc>
          <w:tcPr>
            <w:tcW w:w="888" w:type="dxa"/>
            <w:vAlign w:val="center"/>
          </w:tcPr>
          <w:p>
            <w:pPr>
              <w:widowControl/>
              <w:spacing w:line="360" w:lineRule="auto"/>
              <w:ind w:firstLine="0" w:firstLineChars="0"/>
              <w:jc w:val="center"/>
              <w:rPr>
                <w:rFonts w:hint="eastAsia"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教师演示台</w:t>
            </w:r>
          </w:p>
        </w:tc>
        <w:tc>
          <w:tcPr>
            <w:tcW w:w="630" w:type="dxa"/>
            <w:gridSpan w:val="2"/>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张</w:t>
            </w:r>
          </w:p>
        </w:tc>
        <w:tc>
          <w:tcPr>
            <w:tcW w:w="645" w:type="dxa"/>
            <w:vAlign w:val="center"/>
          </w:tcPr>
          <w:p>
            <w:pPr>
              <w:pStyle w:val="20"/>
              <w:spacing w:line="360" w:lineRule="auto"/>
              <w:ind w:firstLine="0" w:firstLineChars="0"/>
              <w:jc w:val="center"/>
              <w:rPr>
                <w:rFonts w:hint="default" w:hAnsi="宋体"/>
                <w:color w:val="auto"/>
                <w:sz w:val="21"/>
                <w:szCs w:val="21"/>
                <w:highlight w:val="none"/>
                <w:lang w:val="en-US"/>
              </w:rPr>
            </w:pPr>
            <w:r>
              <w:rPr>
                <w:rFonts w:hint="default" w:hAnsi="宋体"/>
                <w:color w:val="auto"/>
                <w:sz w:val="21"/>
                <w:szCs w:val="21"/>
                <w:highlight w:val="none"/>
                <w:lang w:val="en-US"/>
              </w:rPr>
              <w:t>1</w:t>
            </w:r>
          </w:p>
        </w:tc>
        <w:tc>
          <w:tcPr>
            <w:tcW w:w="7265" w:type="dxa"/>
            <w:vAlign w:val="center"/>
          </w:tcPr>
          <w:p>
            <w:pPr>
              <w:widowControl/>
              <w:numPr>
                <w:ilvl w:val="0"/>
                <w:numId w:val="6"/>
              </w:numPr>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 xml:space="preserve">规格：2400*700*850mm；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2、台面：湛蓝色一体化陶瓷台面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3、桌身：整体采用1.0mm厚优质冷轧钢板，全部钢制件纳米陶瓷镀膜防锈处理；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4、结构：演示台设有储物柜，中间为演示台,设置电源主控系统、多媒体设备（主机、显示器、中控、功放、交换机）的位置预留；</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5、滑道：抽屉全部采用优质三节承重式滚珠滑道开合十万次不变形；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6、铰链：采用优质铰链，开合十万次不变形。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w:t>
            </w:r>
            <w:r>
              <w:rPr>
                <w:rFonts w:hint="eastAsia" w:ascii="宋体" w:hAnsi="宋体" w:cs="宋体"/>
                <w:color w:val="auto"/>
                <w:kern w:val="0"/>
                <w:sz w:val="21"/>
                <w:szCs w:val="21"/>
                <w:highlight w:val="none"/>
                <w:lang w:val="en-US" w:eastAsia="zh-CN" w:bidi="ar"/>
              </w:rPr>
              <w:t>科教</w:t>
            </w:r>
            <w:r>
              <w:rPr>
                <w:rFonts w:hint="default" w:ascii="宋体" w:hAnsi="宋体" w:cs="宋体"/>
                <w:color w:val="auto"/>
                <w:kern w:val="0"/>
                <w:sz w:val="21"/>
                <w:szCs w:val="21"/>
                <w:highlight w:val="none"/>
                <w:lang w:bidi="ar"/>
              </w:rPr>
              <w:t>水嘴：</w:t>
            </w:r>
          </w:p>
          <w:p>
            <w:pPr>
              <w:widowControl/>
              <w:numPr>
                <w:ilvl w:val="0"/>
                <w:numId w:val="7"/>
              </w:numPr>
              <w:spacing w:beforeLines="0" w:afterLines="0"/>
              <w:ind w:left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p>
            <w:pPr>
              <w:widowControl/>
              <w:numPr>
                <w:ilvl w:val="0"/>
                <w:numId w:val="0"/>
              </w:numPr>
              <w:spacing w:beforeLines="0" w:afterLines="0"/>
              <w:jc w:val="left"/>
              <w:textAlignment w:val="center"/>
              <w:rPr>
                <w:rFonts w:hint="default" w:ascii="宋体" w:hAnsi="宋体" w:cs="宋体"/>
                <w:kern w:val="0"/>
                <w:sz w:val="18"/>
                <w:szCs w:val="18"/>
                <w:highlight w:val="none"/>
                <w:lang w:val="en-US"/>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(2)</w:t>
            </w:r>
            <w:r>
              <w:rPr>
                <w:rFonts w:hint="eastAsia"/>
                <w:highlight w:val="none"/>
                <w:lang w:val="en-US" w:eastAsia="zh-CN"/>
              </w:rPr>
              <w:t>.</w:t>
            </w:r>
            <w:r>
              <w:rPr>
                <w:rFonts w:hint="eastAsia" w:ascii="宋体" w:hAnsi="宋体" w:eastAsia="宋体" w:cs="宋体"/>
                <w:sz w:val="21"/>
                <w:szCs w:val="21"/>
                <w:highlight w:val="none"/>
              </w:rPr>
              <w:t>投标文件中必须提供该产品由国家确定的认证机构出具的处于有效期之内的节能产品认证证书并加盖投标人公章。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line="360" w:lineRule="auto"/>
              <w:ind w:firstLine="0" w:firstLineChars="0"/>
              <w:rPr>
                <w:rFonts w:hint="eastAsia"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2</w:t>
            </w:r>
          </w:p>
        </w:tc>
        <w:tc>
          <w:tcPr>
            <w:tcW w:w="888" w:type="dxa"/>
            <w:shd w:val="clear" w:color="auto" w:fill="FFFFFF"/>
            <w:vAlign w:val="center"/>
          </w:tcPr>
          <w:p>
            <w:pPr>
              <w:widowControl/>
              <w:spacing w:line="360" w:lineRule="auto"/>
              <w:ind w:firstLine="0" w:firstLineChars="0"/>
              <w:rPr>
                <w:rFonts w:hint="eastAsia"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教师总控电源</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台</w:t>
            </w:r>
          </w:p>
        </w:tc>
        <w:tc>
          <w:tcPr>
            <w:tcW w:w="645" w:type="dxa"/>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1</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教师主控电源采用微电脑控制，轻触摸操作、PVC贴膜，数字化控制、数码显示，密码或刷卡开机功能，2、分4组向学生实验桌输出安全的220V交流电源，具备漏电及过载保护功能。3、教师自用低压交流电压为0V-18V/3A.19V-30V/3A。具备自动过载保护功能。功能模块有语音提示。4、教师自用低压直流电压。具备自动过载保护功能。功能模块有语音提示。5、教师的直流电源过载方式：关于直流电流设置，在直流模式下有分恒流和恒压两种模式。8、大电流输出值为9秒40A，9秒自动断开，当输出电流大于等45A时即便时间没到输出也会过载保护断开 (过载断开参数可定制)。9、有150V240V300V、100mA，高压直流电源，有过载保护，教师可用选择按键任意选择所需高压直流电源。10、教师电源可控制和锁定学生的低压交流电压和直流电压。功能模块及按键都有语音提示。11、在教师电源锁定学生电源的状态下，教师电源可控制学生电源的过载电流值，分别是(1A，1.8A，2.5A)三个档位。12、教室通风量可由教室自由调节，主控台上设有变频调速或电子调速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line="360" w:lineRule="auto"/>
              <w:ind w:firstLine="0" w:firstLineChars="0"/>
              <w:rPr>
                <w:rFonts w:hint="eastAsia"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3</w:t>
            </w:r>
          </w:p>
        </w:tc>
        <w:tc>
          <w:tcPr>
            <w:tcW w:w="888" w:type="dxa"/>
            <w:shd w:val="clear" w:color="auto" w:fill="FFFFFF"/>
            <w:vAlign w:val="center"/>
          </w:tcPr>
          <w:p>
            <w:pPr>
              <w:widowControl/>
              <w:spacing w:line="360" w:lineRule="auto"/>
              <w:ind w:firstLine="0" w:firstLineChars="0"/>
              <w:rPr>
                <w:rFonts w:hint="eastAsia"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教师转椅</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张</w:t>
            </w:r>
          </w:p>
        </w:tc>
        <w:tc>
          <w:tcPr>
            <w:tcW w:w="645" w:type="dxa"/>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1</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1、五轮气动升降转椅，椅面及靠背为高回弹高密度海绵，黑色优质网面；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2、铝合金五星脚，带扶手。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line="360" w:lineRule="auto"/>
              <w:ind w:firstLine="0" w:firstLineChars="0"/>
              <w:rPr>
                <w:rFonts w:hint="eastAsia" w:ascii="宋体" w:hAnsi="宋体" w:eastAsia="宋体" w:cs="宋体"/>
                <w:kern w:val="0"/>
                <w:szCs w:val="21"/>
                <w:highlight w:val="none"/>
                <w:lang w:val="en-US" w:eastAsia="zh-CN"/>
              </w:rPr>
            </w:pPr>
            <w:r>
              <w:rPr>
                <w:rFonts w:hint="default" w:ascii="宋体" w:hAnsi="宋体" w:eastAsia="宋体" w:cs="宋体"/>
                <w:kern w:val="0"/>
                <w:szCs w:val="21"/>
                <w:highlight w:val="none"/>
                <w:lang w:val="en-US" w:eastAsia="zh-CN"/>
              </w:rPr>
              <w:t>4</w:t>
            </w:r>
          </w:p>
        </w:tc>
        <w:tc>
          <w:tcPr>
            <w:tcW w:w="888" w:type="dxa"/>
            <w:shd w:val="clear" w:color="auto" w:fill="FFFFFF"/>
            <w:vAlign w:val="center"/>
          </w:tcPr>
          <w:p>
            <w:pPr>
              <w:widowControl/>
              <w:spacing w:line="360" w:lineRule="auto"/>
              <w:ind w:firstLine="0" w:firstLineChars="0"/>
              <w:rPr>
                <w:rFonts w:hint="eastAsia"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洗眼器</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套</w:t>
            </w:r>
          </w:p>
        </w:tc>
        <w:tc>
          <w:tcPr>
            <w:tcW w:w="645" w:type="dxa"/>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1</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1、洗眼喷头要求：采用不助燃PC材质模铸一体成形制作；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2、具有过滤泡棉及防尘功能，上面防尘盖平常可防尘，使用时可随时被水冲开，并降低突然打开时短暂的高水压，避免冲伤眼睛。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Cs w:val="21"/>
                <w:highlight w:val="none"/>
                <w:lang w:val="en-US"/>
              </w:rPr>
            </w:pPr>
            <w:r>
              <w:rPr>
                <w:rFonts w:hint="default" w:ascii="宋体" w:hAnsi="宋体" w:cs="宋体"/>
                <w:kern w:val="0"/>
                <w:szCs w:val="21"/>
                <w:highlight w:val="none"/>
                <w:lang w:val="en-US"/>
              </w:rPr>
              <w:t>（2）学生实验区域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bidi="ar"/>
              </w:rPr>
              <w:t>1</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学生实验桌</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张</w:t>
            </w:r>
          </w:p>
        </w:tc>
        <w:tc>
          <w:tcPr>
            <w:tcW w:w="645" w:type="dxa"/>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28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1、</w:t>
            </w:r>
            <w:r>
              <w:rPr>
                <w:rFonts w:hint="default" w:ascii="宋体" w:hAnsi="宋体" w:cs="宋体"/>
                <w:color w:val="auto"/>
                <w:kern w:val="0"/>
                <w:sz w:val="21"/>
                <w:szCs w:val="21"/>
                <w:highlight w:val="none"/>
                <w:lang w:bidi="ar"/>
              </w:rPr>
              <w:t>规格：1200*600*780mm；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2、台面：采用无甲醛新型环保陶瓷台面20mm厚；</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3、采用优质五金配件连接；</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4、台身结构：新型塑铝结构，整体1180x570x760mm；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5、桌腿：采用工字型压铸铝一次成型，三段链接；</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6、上腿规格：565x58x110mm，壁厚不小于2mm内部设有加强筋；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7、下腿规格：545x72x125mm，壁厚不小于2mm，配有M8x60mm的升降调节脚垫；</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立柱：采用110×55mm，壁厚1.3mm，立柱两端内部有2个铸铝成型的螺丝链接位；内侧设有12*5mm的凹槽，使用锁拉扣链接桌体下横梁，调节方便，外侧设有装饰条。下横梁采用80x14.5mm目型铝型材制作壁厚1.2mm。前横梁采用30*30mm优质金属型材制作壁厚1mm。中横梁采用30*30mm优质金属型材制作壁厚1mm。后横梁：采用100x27mm，L型铝型材制作壁厚1mm。后横梁上侧设有挡水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9、学生位设书包斗；书包斗:采用环保型ABS工程塑料一次性注塑成型。两个书包斗中间设有电源盒，方便使用。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bidi="ar"/>
              </w:rPr>
              <w:t>2</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功能柱</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个</w:t>
            </w:r>
          </w:p>
        </w:tc>
        <w:tc>
          <w:tcPr>
            <w:tcW w:w="645" w:type="dxa"/>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28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1、功能柱:由底座、立柱、两端装饰条组成，米黄色；</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2、规格：长390mm宽220mm高720mm，采用环保型ABS工程塑料注塑成型；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3、底座尺寸：390*220*30mm，壁厚3mm，内部设有加强筋；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底座上设有6个螺丝口用于连接立柱和固定地面。立柱主体尺寸：340*195*690mm，上下口尺寸：300*145mm，立柱两端各设有两个螺丝固定口，装饰条用于掩盖螺丝口使其更加美观。主要功能是保护学生通风管道及电线电缆作用，配套于学生桌，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bidi="ar"/>
              </w:rPr>
              <w:t>3</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水槽柜</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个</w:t>
            </w:r>
          </w:p>
        </w:tc>
        <w:tc>
          <w:tcPr>
            <w:tcW w:w="645" w:type="dxa"/>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14</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1、柜体规格:595×400×790mm；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2、榫卯连接结构并合理布局加强筋，安装时不用胶水粘结，使用产品自身力量相互连接，产品不变形，不扭曲，用M6螺丝固定；</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3、前门规格：510*365mm，主体壁厚不小于2mm背面设有厚2mm、高度不低于4.5mm的加强筋横6根竖6根；</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4、前门带内凹式塑料扣手，门与整体水柜不用铰链连接，直接采用内嵌式组装。柜子整体采用环保型ABS工程塑料注塑成型；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5、水槽规格：595*380*300mm，水槽采用环保型PP材料一次性注塑成型，耐强酸碱&lt;80度有机溶剂并耐150度以下高温，壁厚3.5mm（含上水软管）；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6、侧板规格495*550*30mm，左右侧板一致，主体壁厚不小于2.5mm，背面设有厚2mm、高度不低于5.5mm的加强筋横4根竖4根；</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7、水槽上设有滴水架，滴水架矩形结构上窄下宽，规格400*180*300mm，斜面上设有10个滴水管，滴水管呈35度角倾斜，直径不小于8.5mm，长不小于65mm；                                                                                                            8、（1）滴水架两侧设有电源面板，面板采用阻燃ABS制作，选用优质PC贴膜，美观耐用。面板上设有新国标五孔插座，输出受教师主控的控制；</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（2）通过上下键步进调节直流输出，保证输出的连续性。配有1.8寸LCD液晶显示输出设定值；</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（3）学生电源的低压交流0-24V/2A,分辨率2V,有老师集中控制。具备自动过载保护功能；</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（4）学生电源的低压直流0-30v/2A,可在教师控制范围内微调，也可被锁定后有老师统一控制，精确给定电压，分辨率0.1V。具备自动过载保护功能，过载后并有数字闪烁提示；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（5）低压及220V高压分开控制均分4组。学生桌的220V市电断开时，低压可正常使用；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（6）学生电源被教师控制及锁定后，不能自主操作。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bidi="ar"/>
              </w:rPr>
              <w:t>4</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科教</w:t>
            </w:r>
            <w:r>
              <w:rPr>
                <w:rFonts w:hint="default" w:ascii="宋体" w:hAnsi="宋体" w:eastAsia="宋体" w:cs="宋体"/>
                <w:color w:val="auto"/>
                <w:kern w:val="0"/>
                <w:sz w:val="21"/>
                <w:szCs w:val="21"/>
                <w:highlight w:val="none"/>
                <w:lang w:bidi="ar"/>
              </w:rPr>
              <w:t>水嘴</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套</w:t>
            </w:r>
          </w:p>
        </w:tc>
        <w:tc>
          <w:tcPr>
            <w:tcW w:w="645" w:type="dxa"/>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14</w:t>
            </w:r>
          </w:p>
        </w:tc>
        <w:tc>
          <w:tcPr>
            <w:tcW w:w="7265" w:type="dxa"/>
            <w:shd w:val="clear" w:color="auto" w:fill="FFFFFF"/>
            <w:vAlign w:val="center"/>
          </w:tcPr>
          <w:p>
            <w:pPr>
              <w:widowControl/>
              <w:numPr>
                <w:ilvl w:val="0"/>
                <w:numId w:val="8"/>
              </w:numPr>
              <w:spacing w:beforeLines="0" w:afterLines="0"/>
              <w:ind w:left="0" w:leftChars="0" w:firstLine="0" w:firstLineChars="0"/>
              <w:jc w:val="left"/>
              <w:textAlignment w:val="center"/>
              <w:rPr>
                <w:rFonts w:hint="default"/>
                <w:highlight w:val="none"/>
              </w:rPr>
            </w:pPr>
            <w:r>
              <w:rPr>
                <w:rFonts w:hint="default"/>
                <w:highlight w:val="none"/>
              </w:rPr>
              <w:t>鹅颈式实验室专用优质化验水嘴：要求防酸碱、防锈、防虹吸、防阻塞，表面环氧树脂喷涂；</w:t>
            </w:r>
            <w:r>
              <w:rPr>
                <w:rFonts w:hint="default"/>
                <w:highlight w:val="none"/>
              </w:rPr>
              <w:br w:type="textWrapping"/>
            </w:r>
            <w:r>
              <w:rPr>
                <w:rFonts w:hint="default"/>
                <w:highlight w:val="none"/>
              </w:rPr>
              <w:t>2、出水嘴为铜质瓷芯，高头，便于多用途使用，可拆卸清洗阻塞。出水嘴可拆卸，内有成型螺纹，可方便连接循环等特殊用水水管。</w:t>
            </w:r>
          </w:p>
          <w:p>
            <w:pPr>
              <w:pStyle w:val="19"/>
              <w:numPr>
                <w:ilvl w:val="0"/>
                <w:numId w:val="0"/>
              </w:numPr>
              <w:rPr>
                <w:rFonts w:hint="default"/>
                <w:highlight w:val="none"/>
                <w:lang w:val="en-US" w:eastAsia="zh-CN"/>
              </w:rPr>
            </w:pPr>
            <w:r>
              <w:rPr>
                <w:rFonts w:hint="eastAsia" w:ascii="宋体" w:hAnsi="宋体" w:eastAsia="宋体" w:cs="宋体"/>
                <w:sz w:val="21"/>
                <w:szCs w:val="21"/>
                <w:highlight w:val="none"/>
              </w:rPr>
              <w:t>★</w:t>
            </w:r>
            <w:r>
              <w:rPr>
                <w:rFonts w:hint="eastAsia"/>
                <w:highlight w:val="none"/>
                <w:lang w:val="en-US" w:eastAsia="zh-CN"/>
              </w:rPr>
              <w:t>3.</w:t>
            </w:r>
            <w:r>
              <w:rPr>
                <w:rFonts w:hint="eastAsia" w:ascii="宋体" w:hAnsi="宋体" w:eastAsia="宋体" w:cs="宋体"/>
                <w:sz w:val="21"/>
                <w:szCs w:val="21"/>
                <w:highlight w:val="none"/>
              </w:rPr>
              <w:t>投标文件中必须提供该产品由国家确定的认证机构出具的处于有效期之内的节能产品认证证书并加盖投标人公章。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bidi="ar"/>
              </w:rPr>
              <w:t>5</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实验凳</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张</w:t>
            </w:r>
          </w:p>
        </w:tc>
        <w:tc>
          <w:tcPr>
            <w:tcW w:w="645" w:type="dxa"/>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56</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一、凳面：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1、材质：采用米黄色环保型ABS改性塑料一次性注塑成型；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2、尺寸：直径300mm；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3、表面防滑不发光。</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二、脚钢架：</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1、材质及形状：椭圆形无缝钢管；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2、尺寸:20×40×1.2mm；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3、全圆满焊接完成，结构牢固，经高温粉体烤漆处理，长时间使用也不会产生表面烤漆剥落现象；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4、脚垫材质：采用PP加耐磨纤维质塑料，实心倒勾式一体射出成型；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5、凳面可通过旋转螺杆来升降凳子高度,可调高度5cm。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4"/>
                <w:szCs w:val="24"/>
                <w:highlight w:val="none"/>
                <w:lang w:val="en-US" w:eastAsia="zh-CN" w:bidi="ar"/>
              </w:rPr>
            </w:pPr>
            <w:r>
              <w:rPr>
                <w:rFonts w:hint="default" w:ascii="宋体" w:hAnsi="宋体" w:eastAsia="宋体" w:cs="宋体"/>
                <w:color w:val="auto"/>
                <w:kern w:val="0"/>
                <w:sz w:val="24"/>
                <w:szCs w:val="24"/>
                <w:highlight w:val="none"/>
                <w:lang w:bidi="ar"/>
              </w:rPr>
              <w:t>6</w:t>
            </w:r>
          </w:p>
        </w:tc>
        <w:tc>
          <w:tcPr>
            <w:tcW w:w="888" w:type="dxa"/>
            <w:shd w:val="clear" w:color="auto" w:fill="FFFFFF"/>
            <w:vAlign w:val="center"/>
          </w:tcPr>
          <w:p>
            <w:pPr>
              <w:widowControl/>
              <w:spacing w:beforeLines="0" w:afterLines="0"/>
              <w:ind w:left="0" w:leftChars="0" w:firstLine="0" w:firstLineChars="0"/>
              <w:jc w:val="both"/>
              <w:textAlignment w:val="center"/>
              <w:rPr>
                <w:rFonts w:hint="eastAsia"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排风扇</w:t>
            </w:r>
          </w:p>
        </w:tc>
        <w:tc>
          <w:tcPr>
            <w:tcW w:w="630" w:type="dxa"/>
            <w:gridSpan w:val="2"/>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个</w:t>
            </w:r>
          </w:p>
        </w:tc>
        <w:tc>
          <w:tcPr>
            <w:tcW w:w="645" w:type="dxa"/>
            <w:shd w:val="clear" w:color="auto" w:fill="FFFFFF"/>
            <w:vAlign w:val="center"/>
          </w:tcPr>
          <w:p>
            <w:pPr>
              <w:widowControl/>
              <w:spacing w:beforeLines="0" w:afterLines="0"/>
              <w:ind w:left="0" w:leftChars="0" w:firstLine="0" w:firstLineChars="0"/>
              <w:jc w:val="both"/>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eastAsia="宋体" w:cs="宋体"/>
                <w:color w:val="auto"/>
                <w:kern w:val="0"/>
                <w:sz w:val="21"/>
                <w:szCs w:val="21"/>
                <w:highlight w:val="none"/>
                <w:lang w:bidi="ar"/>
              </w:rPr>
              <w:t>2</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背侧墙的下部安装直径40cm.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 w:val="21"/>
                <w:szCs w:val="21"/>
                <w:highlight w:val="none"/>
                <w:lang w:val="en-US"/>
              </w:rPr>
            </w:pPr>
            <w:r>
              <w:rPr>
                <w:rFonts w:hint="default" w:ascii="宋体" w:hAnsi="宋体" w:cs="宋体"/>
                <w:kern w:val="0"/>
                <w:sz w:val="21"/>
                <w:szCs w:val="21"/>
                <w:highlight w:val="none"/>
                <w:lang w:val="en-US"/>
              </w:rPr>
              <w:t>（3）水电部分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1</w:t>
            </w:r>
          </w:p>
        </w:tc>
        <w:tc>
          <w:tcPr>
            <w:tcW w:w="888" w:type="dxa"/>
            <w:vAlign w:val="center"/>
          </w:tcPr>
          <w:p>
            <w:pPr>
              <w:widowControl/>
              <w:spacing w:line="360" w:lineRule="auto"/>
              <w:ind w:firstLine="0" w:firstLineChars="0"/>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电气布线（地面以上部分）</w:t>
            </w:r>
          </w:p>
        </w:tc>
        <w:tc>
          <w:tcPr>
            <w:tcW w:w="630" w:type="dxa"/>
            <w:gridSpan w:val="2"/>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套</w:t>
            </w:r>
          </w:p>
        </w:tc>
        <w:tc>
          <w:tcPr>
            <w:tcW w:w="645" w:type="dxa"/>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1</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1、DN25mm阻燃线管；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2、2.5mm²、4mm²国标线材，符合国家标准。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default" w:hAnsi="宋体"/>
                <w:color w:val="auto"/>
                <w:sz w:val="21"/>
                <w:szCs w:val="21"/>
                <w:highlight w:val="none"/>
                <w:lang w:val="en-US" w:eastAsia="zh-CN"/>
              </w:rPr>
            </w:pPr>
            <w:r>
              <w:rPr>
                <w:rFonts w:hint="eastAsia" w:hAnsi="宋体"/>
                <w:color w:val="auto"/>
                <w:sz w:val="21"/>
                <w:szCs w:val="21"/>
                <w:highlight w:val="none"/>
                <w:lang w:val="en-US" w:eastAsia="zh-CN"/>
              </w:rPr>
              <w:t>2</w:t>
            </w:r>
          </w:p>
        </w:tc>
        <w:tc>
          <w:tcPr>
            <w:tcW w:w="888" w:type="dxa"/>
            <w:vAlign w:val="center"/>
          </w:tcPr>
          <w:p>
            <w:pPr>
              <w:widowControl/>
              <w:spacing w:line="360" w:lineRule="auto"/>
              <w:ind w:firstLine="0" w:firstLineChars="0"/>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给.排水系统（地面以上部分）</w:t>
            </w:r>
          </w:p>
        </w:tc>
        <w:tc>
          <w:tcPr>
            <w:tcW w:w="630" w:type="dxa"/>
            <w:gridSpan w:val="2"/>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套</w:t>
            </w:r>
          </w:p>
        </w:tc>
        <w:tc>
          <w:tcPr>
            <w:tcW w:w="645" w:type="dxa"/>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1</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1、给水管采用优质PPR管，直径20mm；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2、排水管采用优质PVC耐蚀管，直径50mm。水槽下水管采用直径50mm优质PVC管。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 w:val="21"/>
                <w:szCs w:val="21"/>
                <w:highlight w:val="none"/>
                <w:lang w:val="en-US"/>
              </w:rPr>
            </w:pPr>
            <w:r>
              <w:rPr>
                <w:rFonts w:hint="default" w:ascii="宋体" w:hAnsi="宋体" w:cs="宋体"/>
                <w:kern w:val="0"/>
                <w:sz w:val="21"/>
                <w:szCs w:val="21"/>
                <w:highlight w:val="none"/>
                <w:lang w:val="en-US"/>
              </w:rPr>
              <w:t>（四）生物实验室/56座(新型)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 w:val="21"/>
                <w:szCs w:val="21"/>
                <w:highlight w:val="none"/>
                <w:lang w:val="en-US"/>
              </w:rPr>
            </w:pPr>
            <w:r>
              <w:rPr>
                <w:rFonts w:hint="default" w:ascii="宋体" w:hAnsi="宋体" w:cs="宋体"/>
                <w:kern w:val="0"/>
                <w:sz w:val="21"/>
                <w:szCs w:val="21"/>
                <w:highlight w:val="none"/>
                <w:lang w:val="en-US"/>
              </w:rPr>
              <w:t>（1）教师演示区域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教师演示台</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张</w:t>
            </w:r>
          </w:p>
        </w:tc>
        <w:tc>
          <w:tcPr>
            <w:tcW w:w="645" w:type="dxa"/>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65" w:type="dxa"/>
            <w:shd w:val="clear" w:color="auto" w:fill="FFFFFF"/>
            <w:vAlign w:val="center"/>
          </w:tcPr>
          <w:p>
            <w:pPr>
              <w:widowControl/>
              <w:numPr>
                <w:ilvl w:val="0"/>
                <w:numId w:val="9"/>
              </w:numPr>
              <w:spacing w:beforeLines="0" w:afterLines="0"/>
              <w:ind w:left="0" w:leftChars="0" w:firstLine="0" w:firstLineChar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 xml:space="preserve">规格：2400*700*850mm；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2、台面：湛蓝色一体化陶瓷台面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3、桌身：整体采用1.0mm厚优质冷轧钢板，全部钢制件纳米陶瓷镀膜防锈处理；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4、结构：演示台设有储物柜，中间为演示台,设置电源主控系统、多媒体设备（主机、显示器、中控、功放、交换机）的位置预留；</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5、滑道：抽屉全部采用优质三节承重式滚珠滑道开合十万次不变形；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6、铰链：采用优质铰链，开合十万次不变形。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w:t>
            </w:r>
            <w:r>
              <w:rPr>
                <w:rFonts w:hint="eastAsia" w:ascii="宋体" w:hAnsi="宋体" w:cs="宋体"/>
                <w:color w:val="auto"/>
                <w:kern w:val="0"/>
                <w:sz w:val="21"/>
                <w:szCs w:val="21"/>
                <w:highlight w:val="none"/>
                <w:lang w:val="en-US" w:eastAsia="zh-CN" w:bidi="ar"/>
              </w:rPr>
              <w:t>科教</w:t>
            </w:r>
            <w:r>
              <w:rPr>
                <w:rFonts w:hint="default" w:ascii="宋体" w:hAnsi="宋体" w:cs="宋体"/>
                <w:color w:val="auto"/>
                <w:kern w:val="0"/>
                <w:sz w:val="21"/>
                <w:szCs w:val="21"/>
                <w:highlight w:val="none"/>
                <w:lang w:bidi="ar"/>
              </w:rPr>
              <w:t>水嘴：</w:t>
            </w:r>
          </w:p>
          <w:p>
            <w:pPr>
              <w:widowControl/>
              <w:numPr>
                <w:ilvl w:val="0"/>
                <w:numId w:val="0"/>
              </w:numPr>
              <w:spacing w:beforeLines="0" w:afterLines="0"/>
              <w:ind w:leftChars="0"/>
              <w:jc w:val="left"/>
              <w:textAlignment w:val="center"/>
              <w:rPr>
                <w:rFonts w:hint="default" w:ascii="宋体" w:hAnsi="宋体" w:cs="宋体"/>
                <w:color w:val="auto"/>
                <w:kern w:val="0"/>
                <w:sz w:val="21"/>
                <w:szCs w:val="21"/>
                <w:highlight w:val="none"/>
                <w:lang w:bidi="ar"/>
              </w:rPr>
            </w:pPr>
            <w:r>
              <w:rPr>
                <w:rFonts w:hint="eastAsia" w:ascii="宋体" w:hAnsi="宋体" w:cs="宋体"/>
                <w:color w:val="auto"/>
                <w:kern w:val="0"/>
                <w:sz w:val="21"/>
                <w:szCs w:val="21"/>
                <w:highlight w:val="none"/>
                <w:lang w:eastAsia="zh-CN" w:bidi="ar"/>
              </w:rPr>
              <w:t>（</w:t>
            </w:r>
            <w:r>
              <w:rPr>
                <w:rFonts w:hint="eastAsia" w:ascii="宋体" w:hAnsi="宋体" w:cs="宋体"/>
                <w:color w:val="auto"/>
                <w:kern w:val="0"/>
                <w:sz w:val="21"/>
                <w:szCs w:val="21"/>
                <w:highlight w:val="none"/>
                <w:lang w:val="en-US" w:eastAsia="zh-CN" w:bidi="ar"/>
              </w:rPr>
              <w:t>1</w:t>
            </w:r>
            <w:r>
              <w:rPr>
                <w:rFonts w:hint="eastAsia" w:ascii="宋体" w:hAnsi="宋体" w:cs="宋体"/>
                <w:color w:val="auto"/>
                <w:kern w:val="0"/>
                <w:sz w:val="21"/>
                <w:szCs w:val="21"/>
                <w:highlight w:val="none"/>
                <w:lang w:eastAsia="zh-CN" w:bidi="ar"/>
              </w:rPr>
              <w:t>）</w:t>
            </w:r>
            <w:r>
              <w:rPr>
                <w:rFonts w:hint="default" w:ascii="宋体" w:hAnsi="宋体" w:cs="宋体"/>
                <w:color w:val="auto"/>
                <w:kern w:val="0"/>
                <w:sz w:val="21"/>
                <w:szCs w:val="21"/>
                <w:highlight w:val="none"/>
                <w:lang w:bidi="ar"/>
              </w:rPr>
              <w:t>鹅颈式实验室专用优质化验水嘴：要求防酸碱、防锈、防虹吸、防阻塞，表面环氧树脂喷涂。出水嘴为铜质瓷芯，高头，便于多用途使用，可拆卸清洗阻塞。出水嘴可拆卸，内有成型螺纹，可方便连接循环等特殊用水水管。</w:t>
            </w:r>
          </w:p>
          <w:p>
            <w:pPr>
              <w:widowControl/>
              <w:numPr>
                <w:ilvl w:val="0"/>
                <w:numId w:val="0"/>
              </w:numPr>
              <w:spacing w:beforeLines="0" w:afterLines="0"/>
              <w:ind w:left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rPr>
              <w:t>★</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w:t>
            </w:r>
            <w:r>
              <w:rPr>
                <w:rFonts w:hint="eastAsia" w:ascii="宋体" w:hAnsi="宋体" w:eastAsia="宋体" w:cs="宋体"/>
                <w:sz w:val="21"/>
                <w:szCs w:val="21"/>
                <w:highlight w:val="none"/>
              </w:rPr>
              <w:t>投标文件中必须提供该产品由国家确定的认证机构出具的处于有效期之内的节能产品认证证书并加盖投标人公章。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教师总控电源</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台</w:t>
            </w:r>
          </w:p>
        </w:tc>
        <w:tc>
          <w:tcPr>
            <w:tcW w:w="645" w:type="dxa"/>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教师主控电源采用微电脑控制，轻触摸操作、PVC贴膜，数字化控制、数码显示,密码或刷卡开机功能，主要功能为：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1、采用数码管显示教师和学生交直流电压、电流。</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2、分4组向学生实验桌输出安全的220V交流电源，具备漏电及过载保护功能。</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3、教师自用低压交流电压为0V-18V/5A.19V-30V/3A，分辨率为1V。具备自动过载保护功能，功能模块有语音提示。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4、教师自用低压直流电压为0V-18V/5A.19V-30V/3A，分辨率为0.1V。具备自动过载保护功能，功能模块有语音提示。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5、教师的直流电源过载方式：</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关于直流电流设置，在直流模式下有分恒流和恒压两种模式。直流输出模式下，按“CV/CC”按键可以在恒压和恒流模式之间进行切换。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CV指示灯亮是恒压模式。</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CC指示灯亮是恒流模式，在恒流模式下按“电流调节”按键恒流电流可以在1A.2A.3A之间循环切换，相应的数码管会有相应的输出指示。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A: 恒压模式：CV指示灯亮是恒压模式，在恒压模式下电流过载保护说明</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恒压模式，由教师设置电流保护值，（当电压小于18V时，过载保护电流可以设置1A,2A,3A,4A,5A输出保护，当电压大于等于18V时，过载保护电流可以设置1A,2A,3A输出保护）设定1A保护，超过1A就截止输出，数码管有输出提示过载；设定3A保护，超过3A就截止输出，数码管有输出提示过载。当电压从新设置过后，过载电流默认在中间值过载，比如小于18时是3A,大于等于18V时是2A，如要改变过载电流时需要按电流设定键调节。</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B:恒流模式: CC指示灯亮是恒流模式，在恒流模式下输出可以短接</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恒流模式，由教师设置输出电流值，（1A,2A,3A）设定1，零欧负载（短路输出测试），可接电流表查看输出电流值。</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6、大电流输出值为9秒40A，9秒自动断开，当输出电流大于等45A时即便时间没到输出也会过载保护断开。</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7、有150V  240V  300V、100mA，高压直流电源，有过载保护，教师可用选择按键任意选择所需高压直流电源。</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8、教师电源可控制和锁定学生的低压交流电压和直流电压。控制交流电压为0V-30V,分辨率为1V；控制直流电压位0V-30V，分辨率为0.1V。功能模块及按键都有语音提示。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9、在教师电源锁定学生电源的状态下，教师电源可控制学生电源的过载电流值，分别是（1A、1.8A、2.5A）三个档位。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教师转椅</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张</w:t>
            </w:r>
          </w:p>
        </w:tc>
        <w:tc>
          <w:tcPr>
            <w:tcW w:w="645" w:type="dxa"/>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1、五轮气动升降转椅，椅面及靠背为高回弹高密度海绵，黑色优质网面；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2、铝合金五星脚，带扶手。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洗眼器</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1、洗眼喷头要求：采用不助燃PC材质模铸一体成形制作；</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2、具有过滤泡棉及防尘功能，上面防尘盖平常可防尘，使用时可随时被水冲开，并降低突然打开时短暂的高水压，避免冲伤眼睛。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 w:val="21"/>
                <w:szCs w:val="21"/>
                <w:highlight w:val="none"/>
                <w:lang w:val="en-US"/>
              </w:rPr>
            </w:pPr>
            <w:r>
              <w:rPr>
                <w:rFonts w:hint="default" w:ascii="宋体" w:hAnsi="宋体" w:cs="宋体"/>
                <w:kern w:val="0"/>
                <w:sz w:val="21"/>
                <w:szCs w:val="21"/>
                <w:highlight w:val="none"/>
                <w:lang w:val="en-US"/>
              </w:rPr>
              <w:t>（2）学生实验区域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vAlign w:val="center"/>
          </w:tcPr>
          <w:p>
            <w:pPr>
              <w:pStyle w:val="20"/>
              <w:ind w:firstLine="0" w:firstLineChars="0"/>
              <w:jc w:val="center"/>
              <w:rPr>
                <w:rFonts w:hint="eastAsia" w:hAnsi="宋体"/>
                <w:color w:val="auto"/>
                <w:sz w:val="21"/>
                <w:szCs w:val="21"/>
                <w:highlight w:val="none"/>
                <w:lang w:eastAsia="zh-CN"/>
              </w:rPr>
            </w:pPr>
            <w:r>
              <w:rPr>
                <w:rFonts w:hint="eastAsia" w:hAnsi="宋体"/>
                <w:color w:val="auto"/>
                <w:sz w:val="21"/>
                <w:szCs w:val="21"/>
                <w:highlight w:val="none"/>
                <w:lang w:eastAsia="zh-CN"/>
              </w:rPr>
              <w:t>1</w:t>
            </w:r>
          </w:p>
        </w:tc>
        <w:tc>
          <w:tcPr>
            <w:tcW w:w="888" w:type="dxa"/>
            <w:vAlign w:val="center"/>
          </w:tcPr>
          <w:p>
            <w:pPr>
              <w:widowControl/>
              <w:spacing w:line="360" w:lineRule="auto"/>
              <w:ind w:firstLine="0" w:firstLineChars="0"/>
              <w:jc w:val="center"/>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学生实验桌</w:t>
            </w:r>
          </w:p>
        </w:tc>
        <w:tc>
          <w:tcPr>
            <w:tcW w:w="630" w:type="dxa"/>
            <w:gridSpan w:val="2"/>
            <w:vAlign w:val="center"/>
          </w:tcPr>
          <w:p>
            <w:pPr>
              <w:pStyle w:val="20"/>
              <w:spacing w:line="360" w:lineRule="auto"/>
              <w:ind w:firstLine="0" w:firstLineChars="0"/>
              <w:jc w:val="center"/>
              <w:rPr>
                <w:rFonts w:hint="eastAsia" w:hAnsi="宋体" w:eastAsia="宋体"/>
                <w:color w:val="auto"/>
                <w:sz w:val="21"/>
                <w:szCs w:val="21"/>
                <w:highlight w:val="none"/>
                <w:lang w:val="en-US" w:eastAsia="zh-CN"/>
              </w:rPr>
            </w:pPr>
            <w:r>
              <w:rPr>
                <w:rFonts w:hint="eastAsia" w:hAnsi="宋体"/>
                <w:color w:val="auto"/>
                <w:sz w:val="21"/>
                <w:szCs w:val="21"/>
                <w:highlight w:val="none"/>
                <w:lang w:val="en-US" w:eastAsia="zh-CN"/>
              </w:rPr>
              <w:t>张</w:t>
            </w:r>
          </w:p>
        </w:tc>
        <w:tc>
          <w:tcPr>
            <w:tcW w:w="645" w:type="dxa"/>
            <w:vAlign w:val="center"/>
          </w:tcPr>
          <w:p>
            <w:pPr>
              <w:pStyle w:val="20"/>
              <w:spacing w:line="360" w:lineRule="auto"/>
              <w:ind w:firstLine="0" w:firstLineChars="0"/>
              <w:jc w:val="center"/>
              <w:rPr>
                <w:rFonts w:hint="default" w:hAnsi="宋体"/>
                <w:color w:val="auto"/>
                <w:sz w:val="21"/>
                <w:szCs w:val="21"/>
                <w:highlight w:val="none"/>
                <w:lang w:val="en-US"/>
              </w:rPr>
            </w:pPr>
            <w:r>
              <w:rPr>
                <w:rFonts w:hint="default" w:hAnsi="宋体"/>
                <w:color w:val="auto"/>
                <w:sz w:val="21"/>
                <w:szCs w:val="21"/>
                <w:highlight w:val="none"/>
                <w:lang w:val="en-US"/>
              </w:rPr>
              <w:t>28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0"/>
                <w:sz w:val="21"/>
                <w:szCs w:val="21"/>
                <w:highlight w:val="none"/>
                <w:lang w:val="en-US" w:eastAsia="zh-CN" w:bidi="ar"/>
              </w:rPr>
              <w:t>1、</w:t>
            </w:r>
            <w:r>
              <w:rPr>
                <w:rFonts w:hint="default" w:ascii="宋体" w:hAnsi="宋体" w:cs="宋体"/>
                <w:color w:val="auto"/>
                <w:kern w:val="0"/>
                <w:sz w:val="21"/>
                <w:szCs w:val="21"/>
                <w:highlight w:val="none"/>
                <w:lang w:bidi="ar"/>
              </w:rPr>
              <w:t>规格：1200*600*780mm；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2、台面：采用无甲醛新型环保陶瓷台面20mm厚；</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3、采用优质五金配件连接；</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4、台身结构：新型塑铝结构，整体1180x570x760mm；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5、桌腿：采用工字型压铸铝一次成型，三段链接；</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6、上腿规格：565x58x110mm，壁厚不小于2mm内部设有加强筋；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7、下腿规格：545x72x125mm，壁厚不小于2mm，配有M8x60mm的升降调节脚垫；</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8、立柱：采用110×55mm，壁厚1.3mm，立柱两端内部有2个铸铝成型的螺丝链接位；内侧设有12*5mm的凹槽，使用锁拉扣链接桌体下横梁，调节方便，外侧设有装饰条。下横梁采用80x14.5mm目型铝型材制作壁厚1.2mm。前横梁采用30*30mm优质金属型材制作壁厚1mm。中横梁采用30*30mm优质金属型材制作壁厚1mm。后横梁：采用100x27mm，L型铝型材制作壁厚1mm。后横梁上侧设有挡水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9、学生位设书包斗；书包斗:采用环保型ABS工程塑料一次性注塑成型。两个书包斗中间设有电源盒，方便使用。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2</w:t>
            </w:r>
          </w:p>
        </w:tc>
        <w:tc>
          <w:tcPr>
            <w:tcW w:w="888" w:type="dxa"/>
            <w:shd w:val="clear" w:color="auto" w:fill="FFFFFF"/>
            <w:vAlign w:val="center"/>
          </w:tcPr>
          <w:p>
            <w:pPr>
              <w:pStyle w:val="20"/>
              <w:ind w:firstLine="0" w:firstLineChars="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功能柱</w:t>
            </w:r>
          </w:p>
        </w:tc>
        <w:tc>
          <w:tcPr>
            <w:tcW w:w="630" w:type="dxa"/>
            <w:gridSpan w:val="2"/>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个</w:t>
            </w:r>
          </w:p>
        </w:tc>
        <w:tc>
          <w:tcPr>
            <w:tcW w:w="645" w:type="dxa"/>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1、功能柱:由底座、立柱、两端装饰条组成，浅豆绿色；</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2、规格：长390mm宽220mm高720mm，采用环保型ABS工程塑料注塑成型；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3、底座尺寸：390*220*30mm，壁厚3mm，内部设有加强筋；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底座上设有6个螺丝口用于连接立柱和固定地面。立柱主体尺寸：340*195*690mm，上下口尺寸：300*145mm，立柱两端各设有两个螺丝固定口，装饰条用于掩盖螺丝口使其更加美观。主要功能是保护学生通风管道及电线电缆作用，配套于学生桌，美观大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3</w:t>
            </w:r>
          </w:p>
        </w:tc>
        <w:tc>
          <w:tcPr>
            <w:tcW w:w="888" w:type="dxa"/>
            <w:shd w:val="clear" w:color="auto" w:fill="FFFFFF"/>
            <w:vAlign w:val="center"/>
          </w:tcPr>
          <w:p>
            <w:pPr>
              <w:pStyle w:val="20"/>
              <w:ind w:firstLine="0" w:firstLineChars="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水槽柜</w:t>
            </w:r>
          </w:p>
        </w:tc>
        <w:tc>
          <w:tcPr>
            <w:tcW w:w="630" w:type="dxa"/>
            <w:gridSpan w:val="2"/>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个</w:t>
            </w:r>
          </w:p>
        </w:tc>
        <w:tc>
          <w:tcPr>
            <w:tcW w:w="645" w:type="dxa"/>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14</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1、柜体规格:595×400×790mm；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2、榫卯连接结构并合理布局加强筋，安装时不用胶水粘结，使用产品自身力量相互连接，产品不变形，不扭曲，用M6螺丝固定；</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3、前门规格：510*365mm，主体壁厚不小于2mm背面设有厚2mm、高度不低于4.5mm的加强筋横6根竖6根；</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4、前门带内凹式塑料扣手，门与整体水柜不用铰链连接，直接采用内嵌式组装。柜子整体采用环保型ABS工程塑料注塑成型；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5、水槽规格：595*380*300mm，水槽采用环保型PP材料一次性注塑成型，耐强酸碱&lt;80度有机溶剂并耐150度以下高温，壁厚3.5mm（含上水软管）；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6、侧板规格495*550*30mm，左右侧板一致，主体壁厚不小于2.5mm，背面设有厚2mm、高度不低于5.5mm的加强筋横4根竖4根；</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7、水槽上设有滴水架，滴水架矩形结构上窄下宽，规格400*180*300mm，斜面上设有10个滴水管，滴水管呈35度角倾斜，直径不小于8.5mm，长不小于65mm；                                                                                                            8、（1）滴水架两侧设有电源面板，面板采用阻燃ABS制作，选用优质PC贴膜，美观耐用。面板上设有新国标五孔插座，输出受教师主控的控制；</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（2）通过上下键步进调节直流输出，保证输出的连续性。配有1.8寸LCD液晶显示输出设定值；</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（3）学生电源的低压交流0-24V/2A,分辨率2V,有老师集中控制。具备自动过载保护功能；</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（4）学生电源的低压直流0-30v/2A,可在教师控制范围内微调，也可被锁定后有老师统一控制，精确给定电压，分辨率0.1V。具备自动过载保护功能，过载后并有数字闪烁提示；</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（5）低压及220V高压分开控制均分4组。学生桌的220V市电断开时，低压可正常使用；</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 xml:space="preserve">   （6）学生电源被教师控制及锁定后，不能自主操作。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4</w:t>
            </w:r>
          </w:p>
        </w:tc>
        <w:tc>
          <w:tcPr>
            <w:tcW w:w="888" w:type="dxa"/>
            <w:shd w:val="clear" w:color="auto" w:fill="FFFFFF"/>
            <w:vAlign w:val="center"/>
          </w:tcPr>
          <w:p>
            <w:pPr>
              <w:pStyle w:val="20"/>
              <w:ind w:firstLine="0" w:firstLineChars="0"/>
              <w:rPr>
                <w:rFonts w:hint="eastAsia" w:ascii="宋体" w:hAnsi="宋体" w:eastAsia="宋体" w:cs="宋体"/>
                <w:color w:val="auto"/>
                <w:sz w:val="21"/>
                <w:szCs w:val="21"/>
                <w:highlight w:val="none"/>
                <w:lang w:val="en-US" w:eastAsia="zh-CN"/>
              </w:rPr>
            </w:pPr>
            <w:r>
              <w:rPr>
                <w:rFonts w:hint="eastAsia" w:ascii="宋体" w:hAnsi="宋体" w:cs="宋体"/>
                <w:color w:val="auto"/>
                <w:kern w:val="0"/>
                <w:sz w:val="21"/>
                <w:szCs w:val="21"/>
                <w:highlight w:val="none"/>
                <w:lang w:val="en-US" w:eastAsia="zh-CN" w:bidi="ar"/>
              </w:rPr>
              <w:t>科教</w:t>
            </w:r>
            <w:r>
              <w:rPr>
                <w:rFonts w:hint="default" w:ascii="宋体" w:hAnsi="宋体" w:eastAsia="宋体" w:cs="宋体"/>
                <w:color w:val="auto"/>
                <w:sz w:val="21"/>
                <w:szCs w:val="21"/>
                <w:highlight w:val="none"/>
                <w:lang w:val="en-US" w:eastAsia="zh-CN"/>
              </w:rPr>
              <w:t>水嘴</w:t>
            </w:r>
          </w:p>
        </w:tc>
        <w:tc>
          <w:tcPr>
            <w:tcW w:w="630" w:type="dxa"/>
            <w:gridSpan w:val="2"/>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14</w:t>
            </w:r>
          </w:p>
        </w:tc>
        <w:tc>
          <w:tcPr>
            <w:tcW w:w="7265" w:type="dxa"/>
            <w:shd w:val="clear" w:color="auto" w:fill="FFFFFF"/>
            <w:vAlign w:val="center"/>
          </w:tcPr>
          <w:p>
            <w:pPr>
              <w:widowControl/>
              <w:numPr>
                <w:ilvl w:val="0"/>
                <w:numId w:val="10"/>
              </w:numPr>
              <w:spacing w:beforeLines="0" w:afterLines="0"/>
              <w:ind w:left="0" w:leftChars="0" w:firstLine="0" w:firstLineChars="0"/>
              <w:jc w:val="left"/>
              <w:textAlignment w:val="center"/>
              <w:rPr>
                <w:rFonts w:hint="default"/>
                <w:highlight w:val="none"/>
              </w:rPr>
            </w:pPr>
            <w:r>
              <w:rPr>
                <w:rFonts w:hint="default"/>
                <w:highlight w:val="none"/>
              </w:rPr>
              <w:t>鹅颈式实验室专用优质化验水嘴：要求防酸碱、防锈、防虹吸、防阻塞，表面环氧树脂喷涂；</w:t>
            </w:r>
            <w:r>
              <w:rPr>
                <w:rFonts w:hint="default"/>
                <w:highlight w:val="none"/>
              </w:rPr>
              <w:br w:type="textWrapping"/>
            </w:r>
            <w:r>
              <w:rPr>
                <w:rFonts w:hint="default"/>
                <w:highlight w:val="none"/>
              </w:rPr>
              <w:t>2、出水嘴为铜质瓷芯，高头，便于多用途使用，可拆卸清洗阻塞。出水嘴可拆卸，内有成型螺纹，可方便连接循环等特殊用水水管。</w:t>
            </w:r>
          </w:p>
          <w:p>
            <w:pPr>
              <w:pStyle w:val="19"/>
              <w:numPr>
                <w:ilvl w:val="0"/>
                <w:numId w:val="0"/>
              </w:numPr>
              <w:rPr>
                <w:rFonts w:hint="default"/>
                <w:highlight w:val="none"/>
                <w:lang w:val="en-US" w:eastAsia="zh-CN"/>
              </w:rPr>
            </w:pPr>
            <w:r>
              <w:rPr>
                <w:rFonts w:hint="eastAsia" w:ascii="宋体" w:hAnsi="宋体" w:eastAsia="宋体" w:cs="宋体"/>
                <w:sz w:val="21"/>
                <w:szCs w:val="21"/>
                <w:highlight w:val="none"/>
              </w:rPr>
              <w:t>★</w:t>
            </w:r>
            <w:r>
              <w:rPr>
                <w:rFonts w:hint="eastAsia"/>
                <w:highlight w:val="none"/>
                <w:lang w:val="en-US" w:eastAsia="zh-CN"/>
              </w:rPr>
              <w:t>3.</w:t>
            </w:r>
            <w:r>
              <w:rPr>
                <w:rFonts w:hint="eastAsia" w:ascii="宋体" w:hAnsi="宋体" w:eastAsia="宋体" w:cs="宋体"/>
                <w:sz w:val="21"/>
                <w:szCs w:val="21"/>
                <w:highlight w:val="none"/>
              </w:rPr>
              <w:t>投标文件中必须提供该产品由国家确定的认证机构出具的处于有效期之内的节能产品认证证书并加盖投标人公章。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5</w:t>
            </w:r>
          </w:p>
        </w:tc>
        <w:tc>
          <w:tcPr>
            <w:tcW w:w="888" w:type="dxa"/>
            <w:shd w:val="clear" w:color="auto" w:fill="FFFFFF"/>
            <w:vAlign w:val="center"/>
          </w:tcPr>
          <w:p>
            <w:pPr>
              <w:pStyle w:val="20"/>
              <w:ind w:firstLine="0" w:firstLineChars="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实验凳</w:t>
            </w:r>
          </w:p>
        </w:tc>
        <w:tc>
          <w:tcPr>
            <w:tcW w:w="630" w:type="dxa"/>
            <w:gridSpan w:val="2"/>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张</w:t>
            </w:r>
          </w:p>
        </w:tc>
        <w:tc>
          <w:tcPr>
            <w:tcW w:w="645" w:type="dxa"/>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56</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一、凳面：</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1、材质：采用浅豆绿色环保型ABS改性塑料一次性注塑成型；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2、尺寸：直径300mm；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3、表面防滑不发光。</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二、脚钢架：</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1、材质及形状：椭圆形无缝钢管；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2、尺寸:20×40×1.2mm；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3、全圆满焊接完成，结构牢固，经高温粉体烤漆处理，长时间使用也不会产生表面烤漆剥落现象；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4、脚垫材质：采用PP加耐磨纤维质塑料，实心倒勾式一体射出成型；</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5、凳面可通过旋转螺杆来升降凳子高度,可调高度5cm。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tcPr>
          <w:p>
            <w:pPr>
              <w:pStyle w:val="20"/>
              <w:ind w:firstLine="0" w:firstLineChars="0"/>
              <w:rPr>
                <w:rFonts w:hint="default" w:hAnsi="宋体"/>
                <w:color w:val="auto"/>
                <w:sz w:val="21"/>
                <w:szCs w:val="21"/>
                <w:highlight w:val="none"/>
                <w:lang w:val="en-US" w:eastAsia="zh-CN"/>
              </w:rPr>
            </w:pPr>
            <w:r>
              <w:rPr>
                <w:rFonts w:hint="eastAsia" w:hAnsi="宋体"/>
                <w:color w:val="auto"/>
                <w:sz w:val="21"/>
                <w:szCs w:val="21"/>
                <w:highlight w:val="none"/>
                <w:lang w:val="en-US" w:eastAsia="zh-CN"/>
              </w:rPr>
              <w:t>6</w:t>
            </w:r>
          </w:p>
        </w:tc>
        <w:tc>
          <w:tcPr>
            <w:tcW w:w="888" w:type="dxa"/>
            <w:shd w:val="clear" w:color="auto" w:fill="FFFFFF"/>
            <w:vAlign w:val="center"/>
          </w:tcPr>
          <w:p>
            <w:pPr>
              <w:pStyle w:val="20"/>
              <w:ind w:firstLine="0" w:firstLineChars="0"/>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实验光源</w:t>
            </w:r>
          </w:p>
        </w:tc>
        <w:tc>
          <w:tcPr>
            <w:tcW w:w="630" w:type="dxa"/>
            <w:gridSpan w:val="2"/>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ind w:firstLine="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29</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1、采用塑料材质的灯座支架；</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2、7w的LED光源，亮度高，光照角度可调。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 w:val="21"/>
                <w:szCs w:val="21"/>
                <w:highlight w:val="none"/>
                <w:lang w:val="en-US"/>
              </w:rPr>
            </w:pPr>
            <w:r>
              <w:rPr>
                <w:rFonts w:hint="default" w:ascii="宋体" w:hAnsi="宋体" w:cs="宋体"/>
                <w:kern w:val="0"/>
                <w:sz w:val="21"/>
                <w:szCs w:val="21"/>
                <w:highlight w:val="none"/>
                <w:lang w:val="en-US"/>
              </w:rPr>
              <w:t>（3）水电部分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eastAsia"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电气布线（地面以上部分）</w:t>
            </w:r>
          </w:p>
        </w:tc>
        <w:tc>
          <w:tcPr>
            <w:tcW w:w="630" w:type="dxa"/>
            <w:gridSpan w:val="2"/>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 w:type="dxa"/>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1、DN25mm阻燃线管；</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2、2.5mm²、4mm²国标线材，符合国家标准。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给.排水系统（地面以上部分）</w:t>
            </w:r>
          </w:p>
        </w:tc>
        <w:tc>
          <w:tcPr>
            <w:tcW w:w="630" w:type="dxa"/>
            <w:gridSpan w:val="2"/>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套</w:t>
            </w:r>
          </w:p>
        </w:tc>
        <w:tc>
          <w:tcPr>
            <w:tcW w:w="645" w:type="dxa"/>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1、给水管采用优质PPR管，直径20mm；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2、排水管采用优质PVC耐蚀管，直径50mm。水槽下水管采用直径50mm优质PVC管。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9860" w:type="dxa"/>
            <w:gridSpan w:val="6"/>
          </w:tcPr>
          <w:p>
            <w:pPr>
              <w:widowControl/>
              <w:spacing w:line="360" w:lineRule="auto"/>
              <w:ind w:firstLine="0" w:firstLineChars="0"/>
              <w:jc w:val="left"/>
              <w:rPr>
                <w:rFonts w:hint="default" w:ascii="宋体" w:hAnsi="宋体" w:cs="宋体"/>
                <w:kern w:val="0"/>
                <w:sz w:val="21"/>
                <w:szCs w:val="21"/>
                <w:highlight w:val="none"/>
                <w:lang w:val="en-US"/>
              </w:rPr>
            </w:pPr>
            <w:r>
              <w:rPr>
                <w:rFonts w:hint="default" w:ascii="宋体" w:hAnsi="宋体" w:cs="宋体"/>
                <w:kern w:val="0"/>
                <w:sz w:val="21"/>
                <w:szCs w:val="21"/>
                <w:highlight w:val="none"/>
                <w:lang w:val="en-US"/>
              </w:rPr>
              <w:t>（五）初中美术教学装备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序号</w:t>
            </w:r>
          </w:p>
        </w:tc>
        <w:tc>
          <w:tcPr>
            <w:tcW w:w="888"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货物名称</w:t>
            </w:r>
          </w:p>
        </w:tc>
        <w:tc>
          <w:tcPr>
            <w:tcW w:w="630" w:type="dxa"/>
            <w:gridSpan w:val="2"/>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单位</w:t>
            </w:r>
          </w:p>
        </w:tc>
        <w:tc>
          <w:tcPr>
            <w:tcW w:w="645" w:type="dxa"/>
            <w:shd w:val="clear" w:color="auto" w:fill="auto"/>
            <w:vAlign w:val="top"/>
          </w:tcPr>
          <w:p>
            <w:pPr>
              <w:pStyle w:val="20"/>
              <w:spacing w:beforeLines="0" w:afterLines="0"/>
              <w:ind w:firstLine="0" w:firstLineChars="0"/>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数量</w:t>
            </w:r>
          </w:p>
        </w:tc>
        <w:tc>
          <w:tcPr>
            <w:tcW w:w="7265" w:type="dxa"/>
            <w:shd w:val="clear" w:color="auto" w:fill="auto"/>
            <w:vAlign w:val="top"/>
          </w:tcPr>
          <w:p>
            <w:pPr>
              <w:pStyle w:val="20"/>
              <w:spacing w:beforeLines="0" w:afterLines="0"/>
              <w:ind w:firstLine="308" w:firstLineChars="147"/>
              <w:rPr>
                <w:rFonts w:hint="default" w:ascii="宋体" w:hAnsi="宋体" w:eastAsia="宋体" w:cs="宋体"/>
                <w:color w:val="000000"/>
                <w:sz w:val="21"/>
                <w:szCs w:val="21"/>
                <w:highlight w:val="none"/>
                <w:lang w:val="en-US" w:eastAsia="zh-CN" w:bidi="ar-SA"/>
              </w:rPr>
            </w:pPr>
            <w:r>
              <w:rPr>
                <w:rFonts w:hint="default" w:hAnsi="宋体"/>
                <w:color w:val="auto"/>
                <w:sz w:val="21"/>
                <w:szCs w:val="21"/>
                <w:highlight w:val="none"/>
                <w:lang w:bidi="ar"/>
              </w:rPr>
              <w:t>技术参数、规格及要求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美术教学用品柜</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个</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 xml:space="preserve">尺寸不小于800*390*1800MM  </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材质：板材采用0.5—0.6优质冷轧钢板及优质五金配件</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表层：柜体表面为静电喷塑，经高温烘烤吸附力强，不易脱落。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磁性白黑板</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1、不小于 100cm×80cm，2、材质：锌背白板，表面PET覆膜，优质厚铝合金加厚边框，ABS塑料包角；3、要求：两面用，带磁扣、板刷专用笔，易写易擦，不留痕迹。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国画和书法工具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毛笔 8 支、画毡 1 块、调色盘 1 块、砚台 1 个、笔洗 1 个、笔架 1 个、镇尺1 付、笔帘 1、墨 1 块、墨汁 1 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美术学具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50</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毛笔、小剪刀、调色盘、笔洗、美工刀、水 溶性油墨、黑色胶滚、毛毡、刻纸刀、水粉画笔、调色盒、直尺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民间美术欣赏及写生 样本</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中国结、京剧脸谱、扎染、蜡染、皮影、年 画、木板年画、剪纸、面具、泥塑、玩具、风车、纹样、风筝、唐三彩、彩陶器、瓷器等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绘画工具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水粉笔 1#~12#各 1 支，水彩笔 1#~12#各 1 支、大白云毛笔 1 支、小狼毫 1 支、勾线笔 1 支、斗笔 1 支、扁笔 1 支、调色盒 1 个、 调色盘 1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国画和书法工具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毛笔 8 支、画毡 1 块、调色盘 1 块、砚台 1 个、笔洗 1 个、笔架 1 个、镇尺 1 付、笔帘 1、墨 1 块、墨汁 1 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篆刻工具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50</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篆刻刀、印床、章料、印泥等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中国画书画桌</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规格不小于120cm×100cm×74cm，榆木材质，卯榫结构，光滑无毛刺，仿古色。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国画工具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50</w:t>
            </w:r>
          </w:p>
        </w:tc>
        <w:tc>
          <w:tcPr>
            <w:tcW w:w="7265" w:type="dxa"/>
            <w:shd w:val="clear" w:color="auto" w:fill="FFFFFF"/>
            <w:vAlign w:val="center"/>
          </w:tcPr>
          <w:p>
            <w:pPr>
              <w:widowControl/>
              <w:spacing w:beforeLines="0" w:afterLines="0"/>
              <w:ind w:left="0" w:leftChars="0" w:firstLine="0" w:firstLineChar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毛笔(斗笔、大白云、中白云、小白云、小狼 毫、勾线笔) 、毛毡、笔洗、墨汁、中国画 颜料、四尺宣纸、调色盘、镇尺、笔架等。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电子绘画板</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尺寸不小于259mm×160mm×9mm；不少于6个可自定义按键； 电磁压感工作方式，无线无源压感笔技术，不小于8192级压感，支持±60°倾角，读取速度不低于260点/秒 ；读取分辨率不低于5080LPI；感应高度不小于10mm；精度±0.25mm ；配备笔座，内含取笔器一个，备用笔芯10只；支持有左、右手互换功能设置，支持一键橡皮擦功能；绘画软件支持自定义画稿功能；拥有铅笔、钢笔、毛笔、油画笔等不低于12种基本笔工具、100多种笔触纹理表现形式，支持导入图片文件及PSD等多图层文件，素材资源需可自由扩充，支持在原素材库基础上支持自由扩充,具有记录、重播绘画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12</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云台</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台</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60</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直径不小于18cm，高3cm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13</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泥工工具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50</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泥塑刀6 把、环形刀 3 把、刮刀 2 把、切割 线 1 套、刮板 1 件、拍板 1 件、型板 1 块、 喷壶 1 个、海绵 1 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14</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拷贝台</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台</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透图面不小于 30cm×41cm、钢化玻璃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15</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版画工具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①胶辊1件：纯天然硅胶材质，不小于100mm、手柄不小于100mm、支架金属镀铬；②磨托1件：磨托头直径不小于50mm、磨托手柄不小于100mm；③笔刀1件：合金手柄不小于100mm；④笔刀刀头3件：猛钢刀头35mm；⑤木刻刀5件：木手柄不小于100mm、刀头碳钢材质，平口、斜口、大圆、小圆、V型口各1件；⑥石刻刀1件：精钢材质，刀长不小于120mm；⑦油石1件：双面不小于60mm×40mm×20mm；⑧马莲1件：塑胶材质，直径不小于95mm；中空吹塑定位包装，便于携带、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16</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制作工具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美工刀1把、剪刀2把、木刻刀12把、尖钻1把、篆刻刀1把、油石1块、改锥2把、多用锯1把、锯条5根、推刨1把、木锉1把、尖嘴钳1把、铁锤1把、电烙铁1把、凿子2把、什锦锉1套、切割垫板1块、三用圆规1件、订书器1个、壁纸刀1把、U型锯1把、线锯条10根、手摇钻1个、刨子1把、盒尺1个、角尺1把、砂纸5张、小台钳1台、钢丝钳1把、钢锉1把、钢板尺1把、金属剪1把、铁砧子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17</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工作台</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个</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不小于 160cm×80cm×70cm，可折叠、三聚氰胺板台面，厚1.8cm。底部为40mm×40mm壁厚1mm方管焊接成型的对折式支撑架；表面酸洗磷化后静电喷塑处理，光滑无毛刺；圆柱形升降可调式4个防滑地脚垫。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18</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作品展示架</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个</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规格：800*300*1800mm，多层板结构，材质为10mm颗粒板，底部对400*400mm对开门，上部为敞开式隔断分别展示不同造型物品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19</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展示画框</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个</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50</w:t>
            </w:r>
          </w:p>
        </w:tc>
        <w:tc>
          <w:tcPr>
            <w:tcW w:w="7265" w:type="dxa"/>
            <w:shd w:val="clear" w:color="auto" w:fill="FFFFFF"/>
            <w:vAlign w:val="center"/>
          </w:tcPr>
          <w:p>
            <w:pPr>
              <w:widowControl/>
              <w:spacing w:beforeLines="0" w:afterLines="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1.规格：60cm×45cm；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2.由框架、透明塑料面板、底板、锁扣等组成；</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3.透明塑料面板≥2㎜.；</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4.悬挂件牢固、可靠，能承受自身重力的2～3倍。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20</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展示画框</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个</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50</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1.规格：60cm×90cm；</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2.由框架、透明塑料面板、底板、锁扣等组成；</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3.透明塑料面板≥2㎜.；</w:t>
            </w:r>
            <w:r>
              <w:rPr>
                <w:rFonts w:hint="default" w:ascii="宋体" w:hAnsi="宋体" w:cs="宋体"/>
                <w:color w:val="auto"/>
                <w:kern w:val="0"/>
                <w:sz w:val="21"/>
                <w:szCs w:val="21"/>
                <w:highlight w:val="none"/>
                <w:lang w:bidi="ar"/>
              </w:rPr>
              <w:br w:type="textWrapping"/>
            </w:r>
            <w:r>
              <w:rPr>
                <w:rFonts w:hint="default" w:ascii="宋体" w:hAnsi="宋体" w:cs="宋体"/>
                <w:color w:val="auto"/>
                <w:kern w:val="0"/>
                <w:sz w:val="21"/>
                <w:szCs w:val="21"/>
                <w:highlight w:val="none"/>
                <w:lang w:bidi="ar"/>
              </w:rPr>
              <w:t>4.悬挂件牢固、可靠，能承受自身重力的2～3倍。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21</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工具</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60</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小剪刀、刻纸刀、木垫板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22</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耗材</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20</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专用剪纸、各色彩纸、白板纸、卡纸、各色布料等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23</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耗材</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套</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20</w:t>
            </w:r>
          </w:p>
        </w:tc>
        <w:tc>
          <w:tcPr>
            <w:tcW w:w="7265" w:type="dxa"/>
            <w:shd w:val="clear" w:color="auto" w:fill="FFFFFF"/>
            <w:vAlign w:val="center"/>
          </w:tcPr>
          <w:p>
            <w:pPr>
              <w:widowControl/>
              <w:spacing w:beforeLines="0" w:afterLines="0"/>
              <w:ind w:firstLine="420" w:firstLineChars="200"/>
              <w:jc w:val="left"/>
              <w:textAlignment w:val="center"/>
              <w:rPr>
                <w:rFonts w:hint="default" w:ascii="宋体" w:hAnsi="宋体" w:eastAsia="宋体" w:cs="宋体"/>
                <w:color w:val="auto"/>
                <w:kern w:val="2"/>
                <w:sz w:val="21"/>
                <w:szCs w:val="21"/>
                <w:highlight w:val="none"/>
                <w:lang w:val="en-US" w:eastAsia="zh-CN" w:bidi="ar-SA"/>
              </w:rPr>
            </w:pPr>
            <w:r>
              <w:rPr>
                <w:rFonts w:hint="default" w:ascii="宋体" w:hAnsi="宋体" w:cs="宋体"/>
                <w:color w:val="auto"/>
                <w:kern w:val="0"/>
                <w:sz w:val="21"/>
                <w:szCs w:val="21"/>
                <w:highlight w:val="none"/>
                <w:lang w:bidi="ar"/>
              </w:rPr>
              <w:t>雪弗板、吹塑纸、300克白板纸、KT版、硫酸纸、橡皮图章、海绵纸、水性油墨(黑、大红、湖蓝、柠檬黄、白色)、油画棒、调墨板、部分印纸、色纸、生宣纸等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Pr>
        <w:tc>
          <w:tcPr>
            <w:tcW w:w="432"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24</w:t>
            </w:r>
          </w:p>
        </w:tc>
        <w:tc>
          <w:tcPr>
            <w:tcW w:w="888" w:type="dxa"/>
            <w:shd w:val="clear" w:color="auto" w:fill="FFFFFF"/>
            <w:vAlign w:val="center"/>
          </w:tcPr>
          <w:p>
            <w:pPr>
              <w:pStyle w:val="20"/>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数码相机</w:t>
            </w:r>
          </w:p>
        </w:tc>
        <w:tc>
          <w:tcPr>
            <w:tcW w:w="630" w:type="dxa"/>
            <w:gridSpan w:val="2"/>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台</w:t>
            </w:r>
          </w:p>
        </w:tc>
        <w:tc>
          <w:tcPr>
            <w:tcW w:w="645" w:type="dxa"/>
            <w:shd w:val="clear" w:color="auto" w:fill="FFFFFF"/>
            <w:vAlign w:val="center"/>
          </w:tcPr>
          <w:p>
            <w:pPr>
              <w:pStyle w:val="20"/>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w:t>
            </w:r>
          </w:p>
        </w:tc>
        <w:tc>
          <w:tcPr>
            <w:tcW w:w="7265" w:type="dxa"/>
            <w:shd w:val="clear" w:color="auto" w:fill="FFFFFF"/>
            <w:vAlign w:val="center"/>
          </w:tcPr>
          <w:p>
            <w:pPr>
              <w:widowControl/>
              <w:spacing w:beforeLines="0" w:afterLine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感光元件：CMOS</w:t>
            </w:r>
          </w:p>
          <w:p>
            <w:pPr>
              <w:widowControl/>
              <w:spacing w:beforeLines="0" w:afterLine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视频分辨率：8K</w:t>
            </w:r>
          </w:p>
          <w:p>
            <w:pPr>
              <w:widowControl/>
              <w:spacing w:beforeLines="0" w:afterLine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屏幕尺寸：2.5英寸</w:t>
            </w:r>
          </w:p>
          <w:p>
            <w:pPr>
              <w:widowControl/>
              <w:spacing w:beforeLines="0" w:afterLine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数码像素：800万以上</w:t>
            </w:r>
          </w:p>
          <w:p>
            <w:pPr>
              <w:widowControl/>
              <w:spacing w:beforeLines="0" w:afterLines="0"/>
              <w:jc w:val="left"/>
              <w:textAlignment w:val="center"/>
              <w:rPr>
                <w:rFonts w:hint="default" w:ascii="宋体" w:hAnsi="宋体" w:cs="宋体"/>
                <w:color w:val="auto"/>
                <w:kern w:val="0"/>
                <w:sz w:val="21"/>
                <w:szCs w:val="21"/>
                <w:highlight w:val="none"/>
                <w:lang w:bidi="ar"/>
              </w:rPr>
            </w:pPr>
            <w:r>
              <w:rPr>
                <w:rFonts w:hint="default" w:ascii="宋体" w:hAnsi="宋体" w:cs="宋体"/>
                <w:color w:val="auto"/>
                <w:kern w:val="0"/>
                <w:sz w:val="21"/>
                <w:szCs w:val="21"/>
                <w:highlight w:val="none"/>
                <w:lang w:bidi="ar"/>
              </w:rPr>
              <w:t>是否支持夜摄功能：是</w:t>
            </w:r>
          </w:p>
          <w:p>
            <w:pPr>
              <w:widowControl/>
              <w:spacing w:beforeLines="0" w:afterLines="0"/>
              <w:ind w:firstLine="420" w:firstLineChars="200"/>
              <w:jc w:val="left"/>
              <w:textAlignment w:val="center"/>
              <w:rPr>
                <w:rFonts w:hint="default" w:ascii="宋体" w:hAnsi="宋体" w:eastAsia="宋体" w:cs="宋体"/>
                <w:color w:val="auto"/>
                <w:kern w:val="0"/>
                <w:sz w:val="21"/>
                <w:szCs w:val="21"/>
                <w:highlight w:val="none"/>
                <w:lang w:val="en-US" w:eastAsia="zh-CN" w:bidi="ar"/>
              </w:rPr>
            </w:pPr>
            <w:r>
              <w:rPr>
                <w:rFonts w:hint="default" w:ascii="宋体" w:hAnsi="宋体" w:cs="宋体"/>
                <w:color w:val="auto"/>
                <w:kern w:val="0"/>
                <w:sz w:val="21"/>
                <w:szCs w:val="21"/>
                <w:highlight w:val="none"/>
                <w:lang w:bidi="ar"/>
              </w:rPr>
              <w:t>附加功能：防抖性能、电子防抖、传感器尺寸、1/1.3英寸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6" w:type="dxa"/>
          <w:trHeight w:val="457" w:hRule="atLeast"/>
        </w:trPr>
        <w:tc>
          <w:tcPr>
            <w:tcW w:w="9860" w:type="dxa"/>
            <w:gridSpan w:val="6"/>
          </w:tcPr>
          <w:p>
            <w:pPr>
              <w:widowControl/>
              <w:spacing w:line="240" w:lineRule="auto"/>
              <w:ind w:firstLine="0" w:firstLineChars="0"/>
              <w:jc w:val="left"/>
              <w:rPr>
                <w:rFonts w:hint="eastAsia" w:ascii="宋体" w:hAnsi="宋体" w:cs="宋体"/>
                <w:kern w:val="0"/>
                <w:szCs w:val="21"/>
                <w:highlight w:val="none"/>
              </w:rPr>
            </w:pPr>
            <w:r>
              <w:rPr>
                <w:rFonts w:hint="eastAsia" w:ascii="宋体" w:hAnsi="宋体" w:cs="宋体"/>
                <w:b/>
                <w:bCs/>
                <w:sz w:val="24"/>
                <w:highlight w:val="none"/>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eastAsia="宋体" w:cs="宋体"/>
                <w:color w:val="FF0000"/>
                <w:kern w:val="2"/>
                <w:sz w:val="21"/>
                <w:szCs w:val="21"/>
                <w:highlight w:val="none"/>
                <w:lang w:val="en-US" w:eastAsia="zh-CN" w:bidi="ar-SA"/>
              </w:rPr>
            </w:pPr>
            <w:r>
              <w:rPr>
                <w:rFonts w:hint="eastAsia" w:ascii="宋体" w:hAnsi="宋体" w:cs="宋体"/>
                <w:sz w:val="21"/>
                <w:szCs w:val="21"/>
                <w:highlight w:val="none"/>
              </w:rPr>
              <w:t>投标要求</w:t>
            </w:r>
          </w:p>
        </w:tc>
        <w:tc>
          <w:tcPr>
            <w:tcW w:w="8144" w:type="dxa"/>
            <w:gridSpan w:val="3"/>
            <w:shd w:val="clear" w:color="auto" w:fill="FFFFFF"/>
            <w:vAlign w:val="center"/>
          </w:tcPr>
          <w:p>
            <w:pPr>
              <w:spacing w:beforeLines="0" w:afterLines="0" w:line="360" w:lineRule="auto"/>
              <w:ind w:firstLine="420" w:firstLineChars="200"/>
              <w:jc w:val="left"/>
              <w:rPr>
                <w:rFonts w:hint="eastAsia" w:ascii="宋体" w:hAnsi="宋体" w:eastAsia="宋体" w:cs="宋体"/>
                <w:color w:val="FF0000"/>
                <w:kern w:val="2"/>
                <w:sz w:val="21"/>
                <w:szCs w:val="21"/>
                <w:highlight w:val="none"/>
                <w:lang w:val="en-US" w:eastAsia="zh-CN" w:bidi="ar-SA"/>
              </w:rPr>
            </w:pPr>
            <w:r>
              <w:rPr>
                <w:rFonts w:hint="eastAsia" w:ascii="宋体" w:hAnsi="宋体" w:cs="宋体"/>
                <w:sz w:val="21"/>
                <w:szCs w:val="21"/>
                <w:highlight w:val="none"/>
              </w:rPr>
              <w:t>1.投标人提供的产品必须是全新、完整、未使用过的、符合国家有关质量安全标准的合格产品。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合同签订期</w:t>
            </w:r>
          </w:p>
        </w:tc>
        <w:tc>
          <w:tcPr>
            <w:tcW w:w="8144"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自中标通知书发出之日起10日内。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交货时间及地点</w:t>
            </w:r>
          </w:p>
        </w:tc>
        <w:tc>
          <w:tcPr>
            <w:tcW w:w="8144" w:type="dxa"/>
            <w:gridSpan w:val="3"/>
            <w:shd w:val="clear" w:color="auto" w:fill="FFFFFF"/>
            <w:vAlign w:val="center"/>
          </w:tcPr>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1.交货期：</w:t>
            </w:r>
            <w:r>
              <w:rPr>
                <w:rFonts w:hint="eastAsia" w:ascii="宋体" w:hAnsi="宋体" w:cs="宋体"/>
                <w:sz w:val="21"/>
                <w:szCs w:val="21"/>
                <w:highlight w:val="none"/>
              </w:rPr>
              <w:t>签订合同后</w:t>
            </w:r>
            <w:r>
              <w:rPr>
                <w:rFonts w:hint="eastAsia" w:ascii="宋体" w:hAnsi="宋体" w:cs="宋体"/>
                <w:sz w:val="21"/>
                <w:szCs w:val="21"/>
                <w:highlight w:val="none"/>
                <w:lang w:val="en-US" w:eastAsia="zh-CN"/>
              </w:rPr>
              <w:t>30</w:t>
            </w:r>
            <w:r>
              <w:rPr>
                <w:rFonts w:hint="eastAsia" w:ascii="宋体" w:hAnsi="宋体" w:cs="宋体"/>
                <w:sz w:val="21"/>
                <w:szCs w:val="21"/>
                <w:highlight w:val="none"/>
              </w:rPr>
              <w:t>个工作日内安装调试竣工验收交付使用。</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2.交货地点：广西钦州浦北县</w:t>
            </w:r>
            <w:r>
              <w:rPr>
                <w:rFonts w:hint="eastAsia" w:ascii="宋体" w:hAnsi="宋体" w:cs="宋体"/>
                <w:kern w:val="0"/>
                <w:sz w:val="21"/>
                <w:szCs w:val="21"/>
                <w:highlight w:val="none"/>
                <w:lang w:val="en-US" w:eastAsia="zh-CN" w:bidi="ar"/>
              </w:rPr>
              <w:t>金浦中学</w:t>
            </w:r>
            <w:r>
              <w:rPr>
                <w:rFonts w:hint="eastAsia" w:ascii="宋体" w:hAnsi="宋体" w:cs="宋体"/>
                <w:kern w:val="0"/>
                <w:sz w:val="21"/>
                <w:szCs w:val="21"/>
                <w:highlight w:val="none"/>
                <w:lang w:bidi="ar"/>
              </w:rPr>
              <w:t>；</w:t>
            </w:r>
          </w:p>
          <w:p>
            <w:pPr>
              <w:widowControl/>
              <w:spacing w:beforeLines="0" w:afterLines="0" w:line="360" w:lineRule="auto"/>
              <w:ind w:firstLine="420" w:firstLineChars="200"/>
              <w:jc w:val="left"/>
              <w:rPr>
                <w:rFonts w:hint="default"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3.交货方式：现场交货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质保期限</w:t>
            </w:r>
          </w:p>
        </w:tc>
        <w:tc>
          <w:tcPr>
            <w:tcW w:w="8144"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按国家有关产品“三包”规定执行“三包”，自货物验收合格之日起计算，产品质保期最短不少于 1 年（“技术参数要求”有要求的则按其要求）。若厂家质保期超过此年限的，合同履行过程中按厂家规定执行。质保期满后，终身维护。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售后服务要求</w:t>
            </w:r>
          </w:p>
        </w:tc>
        <w:tc>
          <w:tcPr>
            <w:tcW w:w="8144" w:type="dxa"/>
            <w:gridSpan w:val="3"/>
            <w:shd w:val="clear" w:color="auto" w:fill="FFFFFF"/>
            <w:vAlign w:val="center"/>
          </w:tcPr>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1.中标人按采购人指定的地点负责送货上门、安装、调试，负责培训使用人员和维护人员。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2.中标人必须提供安装、配线以及软硬件的测试和调整服务。系统安装之前，应先对用户人员进行现场培训。开始安装时，应让用户的硬软件和系统集成人员参与安装、检测和排除故障。中标人在施工、安装、调试等全过程中接受采购人的监督。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3.在中标人承诺的质保期内，设备保修包换所需要的配件均是原厂原装，不得使用兼容货物。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4.售后服务按厂家承诺执行。中标人超过厂家承诺标准的，按中标人提交的售后服务承诺书执行。中标人定期回访以及对设备进行维护；质保期后中标人需提供维修维护服务。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5.中标人在质量保证期内应当为采购人提供以下技术支持和服务：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（1）电话咨询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中标人应当为采购人提供技术援助电话，解答采购人在使用中遇到的问题，及时为采购人提出解决问题的建议。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（2）服务响应时间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质保期内，采购人遇到使用或技术问题，电话咨询不能解决的，中标人应在 8小时内到达现场进行处理，到达现场后 5 小时内排除故障，恢复正常使用。保证采购人正常使用，产生的一切费用由中标人承担。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（3）技术升级 </w:t>
            </w:r>
          </w:p>
          <w:p>
            <w:pPr>
              <w:widowControl/>
              <w:spacing w:beforeLines="0" w:afterLines="0" w:line="360" w:lineRule="auto"/>
              <w:jc w:val="left"/>
              <w:rPr>
                <w:rFonts w:hint="eastAsia" w:ascii="宋体" w:hAnsi="宋体" w:cs="宋体"/>
                <w:kern w:val="0"/>
                <w:sz w:val="21"/>
                <w:szCs w:val="21"/>
                <w:highlight w:val="none"/>
                <w:lang w:bidi="ar"/>
              </w:rPr>
            </w:pPr>
            <w:r>
              <w:rPr>
                <w:rFonts w:hint="eastAsia" w:ascii="宋体" w:hAnsi="宋体" w:cs="宋体"/>
                <w:kern w:val="0"/>
                <w:sz w:val="21"/>
                <w:szCs w:val="21"/>
                <w:highlight w:val="none"/>
                <w:lang w:bidi="ar"/>
              </w:rPr>
              <w:t>在质保期内，如果中标人的产品或服务升级，中标人应及时通知采购人，如采购人有相应要求，中标人应对采购人购买的产品或服务进行升级。</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6.质保期外服务要求质量保证期过后，采购人需要继续由原中标人提供售后服务的，中标人应提供电话咨询服务，并应承诺提供产品或服务上门维护，中标人和制造商应以优惠价格提供售后服务。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7.备品备件及易损件 </w:t>
            </w:r>
          </w:p>
          <w:p>
            <w:pPr>
              <w:widowControl/>
              <w:spacing w:beforeLines="0" w:afterLines="0" w:line="360" w:lineRule="auto"/>
              <w:jc w:val="left"/>
              <w:rPr>
                <w:rFonts w:hint="eastAsia" w:ascii="宋体" w:hAnsi="宋体" w:cs="宋体"/>
                <w:sz w:val="21"/>
                <w:szCs w:val="21"/>
                <w:highlight w:val="none"/>
              </w:rPr>
            </w:pPr>
            <w:r>
              <w:rPr>
                <w:rFonts w:hint="eastAsia" w:ascii="宋体" w:hAnsi="宋体" w:cs="宋体"/>
                <w:kern w:val="0"/>
                <w:sz w:val="21"/>
                <w:szCs w:val="21"/>
                <w:highlight w:val="none"/>
                <w:lang w:bidi="ar"/>
              </w:rPr>
              <w:t xml:space="preserve">中标人售后服务中，维修使用的备品备件及易损件应为原厂配件，未经采购人同意不得使用非原厂配件。 </w:t>
            </w:r>
          </w:p>
          <w:p>
            <w:pPr>
              <w:widowControl/>
              <w:spacing w:beforeLines="0" w:afterLines="0" w:line="360" w:lineRule="auto"/>
              <w:ind w:firstLine="420" w:firstLineChars="200"/>
              <w:jc w:val="left"/>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8.培训要求：中标人对其提供产品或服务的使用和操作应尽培训义务。中标人应提供对本项目的使用单位进行培训服务，涉及的相关费用应计算在项目报价内，并使使用人员能独立、熟练操作系统。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付款方式</w:t>
            </w:r>
          </w:p>
        </w:tc>
        <w:tc>
          <w:tcPr>
            <w:tcW w:w="8144" w:type="dxa"/>
            <w:gridSpan w:val="3"/>
            <w:shd w:val="clear" w:color="auto" w:fill="FFFFFF"/>
            <w:vAlign w:val="center"/>
          </w:tcPr>
          <w:p>
            <w:pPr>
              <w:spacing w:beforeLines="0" w:afterLines="0" w:line="360" w:lineRule="auto"/>
              <w:ind w:firstLine="420" w:firstLineChars="200"/>
              <w:jc w:val="left"/>
              <w:rPr>
                <w:rFonts w:hint="eastAsia" w:ascii="宋体" w:hAnsi="宋体" w:eastAsia="宋体" w:cs="宋体"/>
                <w:color w:val="FF0000"/>
                <w:kern w:val="2"/>
                <w:sz w:val="21"/>
                <w:szCs w:val="21"/>
                <w:highlight w:val="none"/>
                <w:lang w:val="en-US" w:eastAsia="zh-CN" w:bidi="ar-SA"/>
              </w:rPr>
            </w:pPr>
            <w:r>
              <w:rPr>
                <w:rFonts w:hint="eastAsia"/>
                <w:highlight w:val="none"/>
              </w:rPr>
              <w:t>合同签订后10个工作日内，采购人以转账方式向</w:t>
            </w:r>
            <w:r>
              <w:rPr>
                <w:rFonts w:hint="eastAsia"/>
                <w:highlight w:val="none"/>
                <w:lang w:val="en-US" w:eastAsia="zh-CN"/>
              </w:rPr>
              <w:t>中标</w:t>
            </w:r>
            <w:r>
              <w:rPr>
                <w:rFonts w:hint="eastAsia"/>
                <w:highlight w:val="none"/>
              </w:rPr>
              <w:t>人支付合同金额的30%作为预付款，项目最终验收合格后</w:t>
            </w:r>
            <w:r>
              <w:rPr>
                <w:rFonts w:hint="eastAsia"/>
                <w:highlight w:val="none"/>
                <w:lang w:val="en-US" w:eastAsia="zh-CN"/>
              </w:rPr>
              <w:t>30</w:t>
            </w:r>
            <w:r>
              <w:rPr>
                <w:rFonts w:hint="eastAsia"/>
                <w:highlight w:val="none"/>
              </w:rPr>
              <w:t>个工作日内，采购人支付成交人剩余款项，</w:t>
            </w:r>
            <w:r>
              <w:rPr>
                <w:rFonts w:hint="eastAsia"/>
                <w:highlight w:val="none"/>
                <w:lang w:val="en-US" w:eastAsia="zh-CN"/>
              </w:rPr>
              <w:t>中标</w:t>
            </w:r>
            <w:r>
              <w:rPr>
                <w:rFonts w:hint="eastAsia"/>
                <w:highlight w:val="none"/>
              </w:rPr>
              <w:t>人须在付尾款前一次性开具与最终结算金额相对应的发票给采购人。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cs="宋体"/>
                <w:sz w:val="21"/>
                <w:szCs w:val="21"/>
                <w:highlight w:val="none"/>
              </w:rPr>
            </w:pPr>
            <w:bookmarkStart w:id="77" w:name="OLE_LINK13" w:colFirst="0" w:colLast="0"/>
            <w:r>
              <w:rPr>
                <w:rFonts w:hint="eastAsia" w:ascii="宋体" w:hAnsi="宋体" w:cs="宋体"/>
                <w:kern w:val="0"/>
                <w:sz w:val="21"/>
                <w:szCs w:val="21"/>
                <w:highlight w:val="none"/>
                <w:lang w:bidi="ar"/>
              </w:rPr>
              <w:t>报价要求</w:t>
            </w:r>
          </w:p>
          <w:p>
            <w:pPr>
              <w:widowControl/>
              <w:spacing w:beforeLines="0" w:afterLines="0"/>
              <w:ind w:firstLine="420" w:firstLineChars="200"/>
              <w:jc w:val="center"/>
              <w:rPr>
                <w:rFonts w:hint="eastAsia" w:ascii="宋体" w:hAnsi="宋体" w:eastAsia="宋体" w:cs="宋体"/>
                <w:color w:val="FF0000"/>
                <w:kern w:val="2"/>
                <w:sz w:val="21"/>
                <w:szCs w:val="21"/>
                <w:highlight w:val="none"/>
                <w:lang w:val="en-US" w:eastAsia="zh-CN" w:bidi="ar-SA"/>
              </w:rPr>
            </w:pPr>
          </w:p>
        </w:tc>
        <w:tc>
          <w:tcPr>
            <w:tcW w:w="8144"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投标报价为采购人指定地点的现场交货价，包括但不限于：投标报价包含货物采购、备品备件、工具、运抵指定交货地点、装卸费、现场安装、环境布置、设备调试及验收的各种费用和售后服务、保险、税金、培训及其他所有成本费用的总和。项目实施过程中产生的所有费用均由中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备品备件及耗材等要求</w:t>
            </w:r>
          </w:p>
        </w:tc>
        <w:tc>
          <w:tcPr>
            <w:tcW w:w="8144"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有稳定的备件供应渠道，并从设备厂商的中国公司及其分销商购置整机和备件补充，可以满足客户的设备在升级、扩充和保修服务配件及消耗品等多方面的需求，中标人就相关备品备件及耗材价格与采购人友好协商，应以优惠价格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shd w:val="clear" w:color="auto" w:fill="FFFFFF"/>
            <w:vAlign w:val="center"/>
          </w:tcPr>
          <w:p>
            <w:pPr>
              <w:widowControl/>
              <w:spacing w:beforeLines="0" w:afterLines="0"/>
              <w:ind w:left="0" w:leftChars="0" w:firstLine="0" w:firstLineChars="0"/>
              <w:jc w:val="both"/>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规范标准</w:t>
            </w:r>
          </w:p>
        </w:tc>
        <w:tc>
          <w:tcPr>
            <w:tcW w:w="8144" w:type="dxa"/>
            <w:gridSpan w:val="3"/>
            <w:shd w:val="clear" w:color="auto" w:fill="FFFFFF"/>
            <w:vAlign w:val="center"/>
          </w:tcPr>
          <w:p>
            <w:pPr>
              <w:widowControl/>
              <w:spacing w:beforeLines="0" w:afterLines="0" w:line="360" w:lineRule="auto"/>
              <w:ind w:firstLine="420" w:firstLineChars="200"/>
              <w:jc w:val="left"/>
              <w:rPr>
                <w:rFonts w:hint="eastAsia" w:ascii="宋体" w:hAnsi="宋体" w:eastAsia="宋体" w:cs="宋体"/>
                <w:color w:val="FF0000"/>
                <w:kern w:val="2"/>
                <w:sz w:val="21"/>
                <w:szCs w:val="21"/>
                <w:highlight w:val="none"/>
                <w:lang w:val="en-US" w:eastAsia="zh-CN" w:bidi="ar-SA"/>
              </w:rPr>
            </w:pPr>
            <w:r>
              <w:rPr>
                <w:rFonts w:hint="eastAsia" w:ascii="宋体" w:hAnsi="宋体" w:cs="宋体"/>
                <w:kern w:val="0"/>
                <w:sz w:val="21"/>
                <w:szCs w:val="21"/>
                <w:highlight w:val="none"/>
                <w:lang w:bidi="ar"/>
              </w:rPr>
              <w:t>采购标的需执行的国家标准、行业标准、地方标准或者其他标准、规范。多项标准的，按最新标准或较高标准执行。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vAlign w:val="top"/>
          </w:tcPr>
          <w:p>
            <w:pPr>
              <w:tabs>
                <w:tab w:val="left" w:pos="370"/>
              </w:tabs>
              <w:spacing w:line="400" w:lineRule="exact"/>
              <w:ind w:left="0" w:leftChars="0" w:firstLine="0" w:firstLineChars="0"/>
              <w:jc w:val="left"/>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验收标准及要求</w:t>
            </w:r>
          </w:p>
        </w:tc>
        <w:tc>
          <w:tcPr>
            <w:tcW w:w="8144" w:type="dxa"/>
            <w:gridSpan w:val="3"/>
            <w:vAlign w:val="top"/>
          </w:tcPr>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1.验收依据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按合同要求及国家标准进行验收。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2.验收标准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（1）所供产品的规格、数量、功能、材质、颜色等符合招标文件采购需求及采购合同约定的要求。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（2）所供产品的外观完好，无严重碰撞、表皮脱落、五金件生锈等明显瑕疵。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（3）所供产品结构牢固，无安全隐患。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（4）如有抽检要求的，检测结果符合招标文件采购需求及采购合同约定的要求。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（5）所有产品均已运输至指定地点，并安装调试完毕。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（6）招标文件采购需求及采购合同约定的附件、工具、技术资料等齐全；提供产品使用说明书、合格证。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（7）环境布置达到项目采购需求标准。</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3.验收要求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（1）采购人可以根据采购项目具体情况自行组织验收，或者委托第三方机构或部门开展采购项目履约验收工作，验收过程中所产生的一切费用均由中标人承担，报价时应考虑相关费用。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（2）本项目验收如委托第三方机构组织实施的，由验收小组对照招标文件的技术参数要求核对检验，如不符合招标文件的技术参数要求的，按合同约定执行， 中标人承担所有责任和费用。采购人保留进一步追究责任的权利。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①验收活动开始前，中标人应对货物作出全面检查和对验收文件进行整理，并列出清单，作为采购人收货验收和使用的技术条件依据。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②因验收不合格的，需要再次组织验收的，由此产生相关成本费用由中标人承担。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（3）验收时中标人提供验收文档，具体如下：技术方案、实施方案、售后服务方案、培训方案、系统部署文档、测试文档、使用说明书、电子文档等。 </w:t>
            </w:r>
          </w:p>
          <w:p>
            <w:pPr>
              <w:spacing w:line="360" w:lineRule="auto"/>
              <w:ind w:firstLine="44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eastAsia="宋体" w:cs="宋体"/>
                <w:color w:val="auto"/>
                <w:spacing w:val="0"/>
                <w:kern w:val="2"/>
                <w:sz w:val="22"/>
                <w:szCs w:val="24"/>
                <w:highlight w:val="none"/>
                <w:lang w:val="en-US" w:eastAsia="zh-CN" w:bidi="ar-SA"/>
              </w:rPr>
              <w:t xml:space="preserve">（4）对所有要求出具的证明文件的原件进行核查，如不符合招标文件的技术需求及要求，以及提供虚假承诺的，按相关规定做退货处理及违约处理，中标人承担所有责任和费用，采购人保留进一步追究责任的权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2" w:type="dxa"/>
            <w:gridSpan w:val="4"/>
            <w:vAlign w:val="top"/>
          </w:tcPr>
          <w:p>
            <w:pPr>
              <w:tabs>
                <w:tab w:val="left" w:pos="370"/>
              </w:tabs>
              <w:spacing w:line="400" w:lineRule="exact"/>
              <w:ind w:left="0" w:leftChars="0" w:firstLine="0" w:firstLineChars="0"/>
              <w:jc w:val="left"/>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核心产品</w:t>
            </w:r>
          </w:p>
        </w:tc>
        <w:tc>
          <w:tcPr>
            <w:tcW w:w="8144" w:type="dxa"/>
            <w:gridSpan w:val="3"/>
            <w:vAlign w:val="top"/>
          </w:tcPr>
          <w:p>
            <w:pPr>
              <w:widowControl/>
              <w:spacing w:beforeLines="0" w:afterLines="0" w:line="360" w:lineRule="auto"/>
              <w:jc w:val="left"/>
              <w:rPr>
                <w:rFonts w:hint="eastAsia" w:ascii="宋体" w:hAnsi="宋体" w:cs="宋体"/>
                <w:color w:val="FF0000"/>
                <w:sz w:val="21"/>
                <w:szCs w:val="21"/>
                <w:highlight w:val="none"/>
              </w:rPr>
            </w:pPr>
            <w:r>
              <w:rPr>
                <w:rFonts w:hint="eastAsia" w:ascii="宋体" w:hAnsi="宋体" w:cs="宋体"/>
                <w:color w:val="FF0000"/>
                <w:kern w:val="0"/>
                <w:sz w:val="21"/>
                <w:szCs w:val="21"/>
                <w:highlight w:val="none"/>
                <w:lang w:bidi="ar"/>
              </w:rPr>
              <w:t>本项目需求表中</w:t>
            </w:r>
            <w:r>
              <w:rPr>
                <w:rFonts w:hint="eastAsia" w:ascii="宋体" w:hAnsi="宋体" w:cs="宋体"/>
                <w:b/>
                <w:color w:val="000000"/>
                <w:sz w:val="21"/>
                <w:szCs w:val="21"/>
                <w:highlight w:val="none"/>
                <w:u w:val="single"/>
              </w:rPr>
              <w:t>（一）教学设备的序号1.交互智能平板</w:t>
            </w:r>
            <w:r>
              <w:rPr>
                <w:rFonts w:hint="eastAsia" w:ascii="宋体" w:hAnsi="宋体" w:cs="宋体"/>
                <w:color w:val="FF0000"/>
                <w:kern w:val="0"/>
                <w:sz w:val="21"/>
                <w:szCs w:val="21"/>
                <w:highlight w:val="none"/>
                <w:lang w:bidi="ar"/>
              </w:rPr>
              <w:t xml:space="preserve">为核心产品。 </w:t>
            </w:r>
          </w:p>
          <w:p>
            <w:pPr>
              <w:spacing w:line="360" w:lineRule="auto"/>
              <w:ind w:firstLine="420" w:firstLineChars="200"/>
              <w:jc w:val="left"/>
              <w:rPr>
                <w:rFonts w:hint="eastAsia" w:ascii="宋体" w:hAnsi="宋体" w:eastAsia="宋体" w:cs="宋体"/>
                <w:color w:val="auto"/>
                <w:spacing w:val="0"/>
                <w:kern w:val="2"/>
                <w:sz w:val="22"/>
                <w:szCs w:val="24"/>
                <w:highlight w:val="none"/>
                <w:lang w:val="en-US" w:eastAsia="zh-CN" w:bidi="ar-SA"/>
              </w:rPr>
            </w:pPr>
            <w:r>
              <w:rPr>
                <w:rFonts w:hint="eastAsia" w:ascii="宋体" w:hAnsi="宋体" w:cs="宋体"/>
                <w:kern w:val="0"/>
                <w:sz w:val="21"/>
                <w:szCs w:val="21"/>
                <w:highlight w:val="none"/>
                <w:lang w:bidi="ar"/>
              </w:rPr>
              <w:t xml:space="preserve">多家投标人提供的核心产品品牌相同的，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 </w:t>
            </w:r>
          </w:p>
        </w:tc>
      </w:tr>
      <w:bookmarkEnd w:id="77"/>
    </w:tbl>
    <w:p>
      <w:pPr>
        <w:ind w:firstLine="420"/>
        <w:rPr>
          <w:highlight w:val="none"/>
        </w:rPr>
      </w:pPr>
      <w:r>
        <w:rPr>
          <w:rFonts w:hint="eastAsia"/>
          <w:highlight w:val="none"/>
        </w:rPr>
        <w:br w:type="page"/>
      </w:r>
    </w:p>
    <w:p>
      <w:pPr>
        <w:pStyle w:val="61"/>
        <w:ind w:firstLine="420"/>
        <w:rPr>
          <w:highlight w:val="none"/>
        </w:rPr>
      </w:pPr>
    </w:p>
    <w:p>
      <w:pPr>
        <w:pStyle w:val="19"/>
        <w:ind w:firstLine="48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pStyle w:val="46"/>
        <w:ind w:left="0" w:leftChars="0" w:right="0" w:rightChars="0" w:firstLine="0" w:firstLineChars="0"/>
        <w:jc w:val="center"/>
        <w:rPr>
          <w:highlight w:val="none"/>
        </w:rPr>
      </w:pPr>
      <w:bookmarkStart w:id="78" w:name="_Toc91512285"/>
      <w:r>
        <w:rPr>
          <w:rFonts w:hint="eastAsia"/>
          <w:highlight w:val="none"/>
        </w:rPr>
        <w:t>第三章  投标人须知及前附表</w:t>
      </w:r>
      <w:bookmarkEnd w:id="68"/>
      <w:bookmarkEnd w:id="78"/>
    </w:p>
    <w:p>
      <w:pPr>
        <w:pStyle w:val="4"/>
        <w:keepNext/>
        <w:keepLines/>
        <w:pageBreakBefore w:val="0"/>
        <w:widowControl w:val="0"/>
        <w:kinsoku/>
        <w:wordWrap/>
        <w:overflowPunct/>
        <w:topLinePunct w:val="0"/>
        <w:autoSpaceDE/>
        <w:autoSpaceDN/>
        <w:bidi w:val="0"/>
        <w:adjustRightInd/>
        <w:snapToGrid/>
        <w:spacing w:after="140" w:line="416" w:lineRule="auto"/>
        <w:ind w:firstLine="0" w:firstLineChars="0"/>
        <w:jc w:val="center"/>
        <w:textAlignment w:val="auto"/>
        <w:rPr>
          <w:rFonts w:hint="eastAsia" w:ascii="宋体" w:hAnsi="宋体" w:eastAsia="宋体"/>
          <w:kern w:val="44"/>
          <w:sz w:val="44"/>
          <w:szCs w:val="44"/>
          <w:highlight w:val="none"/>
        </w:rPr>
      </w:pPr>
      <w:r>
        <w:rPr>
          <w:rFonts w:ascii="方正小标宋_GBK" w:hAnsi="方正小标宋_GBK" w:eastAsia="方正小标宋_GBK"/>
          <w:highlight w:val="none"/>
        </w:rPr>
        <w:br w:type="page"/>
      </w:r>
      <w:r>
        <w:rPr>
          <w:rFonts w:hint="eastAsia" w:ascii="宋体" w:hAnsi="宋体" w:eastAsia="宋体"/>
          <w:kern w:val="44"/>
          <w:sz w:val="44"/>
          <w:szCs w:val="44"/>
          <w:highlight w:val="none"/>
        </w:rPr>
        <w:t>投标人须知前附表</w:t>
      </w:r>
    </w:p>
    <w:tbl>
      <w:tblPr>
        <w:tblStyle w:val="49"/>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0" w:firstLineChars="0"/>
              <w:jc w:val="center"/>
              <w:rPr>
                <w:rFonts w:hint="eastAsia" w:ascii="宋体" w:hAnsi="宋体"/>
                <w:b/>
                <w:szCs w:val="21"/>
                <w:highlight w:val="none"/>
              </w:rPr>
            </w:pPr>
            <w:r>
              <w:rPr>
                <w:rFonts w:hint="eastAsia" w:ascii="宋体" w:hAnsi="宋体"/>
                <w:b/>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0" w:firstLineChars="0"/>
              <w:jc w:val="center"/>
              <w:rPr>
                <w:rFonts w:hint="eastAsia" w:ascii="宋体" w:hAnsi="宋体"/>
                <w:b/>
                <w:szCs w:val="21"/>
                <w:highlight w:val="none"/>
              </w:rPr>
            </w:pPr>
            <w:r>
              <w:rPr>
                <w:rFonts w:hint="eastAsia" w:ascii="宋体" w:hAnsi="宋体"/>
                <w:b/>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highlight w:val="none"/>
              </w:rPr>
            </w:pPr>
            <w:r>
              <w:rPr>
                <w:highlight w:val="none"/>
              </w:rPr>
              <w:t>1</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Style w:val="58"/>
                <w:rFonts w:hint="eastAsia" w:ascii="宋体" w:hAnsi="宋体" w:eastAsia="宋体" w:cs="Arial"/>
                <w:bCs/>
                <w:color w:val="auto"/>
                <w:szCs w:val="21"/>
                <w:highlight w:val="none"/>
                <w:u w:val="none"/>
                <w:lang w:eastAsia="zh-CN"/>
              </w:rPr>
            </w:pPr>
            <w:r>
              <w:rPr>
                <w:rFonts w:hAnsi="宋体"/>
                <w:highlight w:val="none"/>
              </w:rPr>
              <w:fldChar w:fldCharType="begin"/>
            </w:r>
            <w:r>
              <w:rPr>
                <w:rFonts w:hAnsi="宋体"/>
                <w:highlight w:val="none"/>
              </w:rPr>
              <w:instrText xml:space="preserve"> </w:instrText>
            </w:r>
            <w:r>
              <w:rPr>
                <w:rFonts w:hint="eastAsia" w:hAnsi="宋体"/>
                <w:highlight w:val="none"/>
              </w:rPr>
              <w:instrText xml:space="preserve">HYPERLINK </w:instrText>
            </w:r>
            <w:r>
              <w:rPr>
                <w:rFonts w:hAnsi="宋体"/>
                <w:highlight w:val="none"/>
              </w:rPr>
              <w:instrText xml:space="preserve"> \l "_一、总__则" </w:instrText>
            </w:r>
            <w:r>
              <w:rPr>
                <w:rFonts w:hAnsi="宋体"/>
                <w:highlight w:val="none"/>
              </w:rPr>
              <w:fldChar w:fldCharType="separate"/>
            </w:r>
            <w:r>
              <w:rPr>
                <w:rStyle w:val="58"/>
                <w:rFonts w:hint="eastAsia" w:hAnsi="宋体"/>
                <w:color w:val="auto"/>
                <w:highlight w:val="none"/>
                <w:u w:val="none"/>
              </w:rPr>
              <w:t>项目名称：</w:t>
            </w:r>
            <w:r>
              <w:rPr>
                <w:rStyle w:val="58"/>
                <w:rFonts w:hint="eastAsia" w:hAnsi="宋体"/>
                <w:color w:val="auto"/>
                <w:highlight w:val="none"/>
                <w:u w:val="none"/>
                <w:lang w:eastAsia="zh-CN"/>
              </w:rPr>
              <w:t>2025年浦北县义务教育中小学教学设备</w:t>
            </w:r>
          </w:p>
          <w:p>
            <w:pPr>
              <w:snapToGrid w:val="0"/>
              <w:spacing w:line="340" w:lineRule="exact"/>
              <w:ind w:firstLine="8" w:firstLineChars="4"/>
              <w:rPr>
                <w:rFonts w:hint="eastAsia" w:hAnsi="宋体" w:eastAsia="宋体"/>
                <w:highlight w:val="none"/>
                <w:lang w:eastAsia="zh-CN"/>
              </w:rPr>
            </w:pPr>
            <w:r>
              <w:rPr>
                <w:rStyle w:val="58"/>
                <w:rFonts w:hint="eastAsia" w:ascii="宋体" w:hAnsi="宋体"/>
                <w:color w:val="auto"/>
                <w:highlight w:val="none"/>
                <w:u w:val="none"/>
              </w:rPr>
              <w:t>项目编号：</w:t>
            </w:r>
            <w:r>
              <w:rPr>
                <w:rFonts w:hAnsi="宋体"/>
                <w:highlight w:val="none"/>
              </w:rPr>
              <w:fldChar w:fldCharType="end"/>
            </w:r>
            <w:r>
              <w:rPr>
                <w:rFonts w:hint="eastAsia" w:hAnsi="宋体"/>
                <w:highlight w:val="none"/>
                <w:lang w:eastAsia="zh-CN"/>
              </w:rPr>
              <w:t>QZZC2025-G1-220230-QZSZ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highlight w:val="none"/>
              </w:rPr>
            </w:pPr>
            <w:r>
              <w:rPr>
                <w:highlight w:val="none"/>
              </w:rPr>
              <w:t>2</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Style w:val="58"/>
                <w:rFonts w:hint="eastAsia" w:ascii="宋体" w:hAnsi="宋体"/>
                <w:color w:val="auto"/>
                <w:highlight w:val="none"/>
                <w:u w:val="none"/>
              </w:rPr>
            </w:pPr>
            <w:r>
              <w:rPr>
                <w:rStyle w:val="58"/>
                <w:rFonts w:ascii="宋体" w:hAnsi="宋体"/>
                <w:color w:val="auto"/>
                <w:highlight w:val="none"/>
                <w:u w:val="none"/>
              </w:rPr>
              <w:fldChar w:fldCharType="begin"/>
            </w:r>
            <w:r>
              <w:rPr>
                <w:rStyle w:val="58"/>
                <w:rFonts w:ascii="宋体" w:hAnsi="宋体"/>
                <w:color w:val="auto"/>
                <w:highlight w:val="none"/>
                <w:u w:val="none"/>
              </w:rPr>
              <w:instrText xml:space="preserve"> </w:instrText>
            </w:r>
            <w:r>
              <w:rPr>
                <w:rStyle w:val="58"/>
                <w:rFonts w:hint="eastAsia" w:ascii="宋体" w:hAnsi="宋体"/>
                <w:color w:val="auto"/>
                <w:highlight w:val="none"/>
                <w:u w:val="none"/>
              </w:rPr>
              <w:instrText xml:space="preserve">HYPERLINK </w:instrText>
            </w:r>
            <w:r>
              <w:rPr>
                <w:rStyle w:val="58"/>
                <w:rFonts w:ascii="宋体" w:hAnsi="宋体"/>
                <w:color w:val="auto"/>
                <w:highlight w:val="none"/>
                <w:u w:val="none"/>
              </w:rPr>
              <w:instrText xml:space="preserve"> \l "_一、总__则" </w:instrText>
            </w:r>
            <w:r>
              <w:rPr>
                <w:rStyle w:val="58"/>
                <w:rFonts w:ascii="宋体" w:hAnsi="宋体"/>
                <w:color w:val="auto"/>
                <w:highlight w:val="none"/>
                <w:u w:val="none"/>
              </w:rPr>
              <w:fldChar w:fldCharType="separate"/>
            </w:r>
            <w:r>
              <w:rPr>
                <w:rStyle w:val="58"/>
                <w:rFonts w:hint="eastAsia" w:ascii="宋体" w:hAnsi="宋体"/>
                <w:color w:val="auto"/>
                <w:highlight w:val="none"/>
                <w:u w:val="none"/>
              </w:rPr>
              <w:t>投标人资格：</w:t>
            </w:r>
          </w:p>
          <w:p>
            <w:pPr>
              <w:spacing w:line="340" w:lineRule="exact"/>
              <w:ind w:firstLine="0" w:firstLineChars="0"/>
              <w:rPr>
                <w:rStyle w:val="58"/>
                <w:rFonts w:hint="eastAsia" w:ascii="宋体" w:hAnsi="宋体"/>
                <w:color w:val="auto"/>
                <w:highlight w:val="none"/>
                <w:u w:val="none"/>
              </w:rPr>
            </w:pPr>
            <w:r>
              <w:rPr>
                <w:rStyle w:val="58"/>
                <w:rFonts w:hint="eastAsia" w:ascii="宋体" w:hAnsi="宋体"/>
                <w:color w:val="auto"/>
                <w:highlight w:val="none"/>
                <w:u w:val="none"/>
              </w:rPr>
              <w:t>1.满足《中华人民共和国政府采购法》第二十二条规定</w:t>
            </w:r>
          </w:p>
          <w:p>
            <w:pPr>
              <w:spacing w:line="340" w:lineRule="exact"/>
              <w:ind w:firstLine="0" w:firstLineChars="0"/>
              <w:rPr>
                <w:rStyle w:val="58"/>
                <w:rFonts w:hint="eastAsia" w:ascii="宋体" w:hAnsi="宋体"/>
                <w:color w:val="auto"/>
                <w:highlight w:val="none"/>
                <w:u w:val="none"/>
              </w:rPr>
            </w:pPr>
            <w:r>
              <w:rPr>
                <w:rStyle w:val="58"/>
                <w:rFonts w:hint="eastAsia" w:ascii="宋体" w:hAnsi="宋体"/>
                <w:color w:val="auto"/>
                <w:highlight w:val="none"/>
                <w:u w:val="none"/>
              </w:rPr>
              <w:t>2.落实政府采购政策需满足的资格要求：无</w:t>
            </w:r>
          </w:p>
          <w:p>
            <w:pPr>
              <w:spacing w:line="340" w:lineRule="exact"/>
              <w:ind w:firstLine="0" w:firstLineChars="0"/>
              <w:rPr>
                <w:rFonts w:hint="eastAsia" w:ascii="宋体" w:hAnsi="宋体"/>
                <w:highlight w:val="none"/>
              </w:rPr>
            </w:pPr>
            <w:r>
              <w:rPr>
                <w:rStyle w:val="58"/>
                <w:rFonts w:hint="eastAsia" w:ascii="宋体" w:hAnsi="宋体"/>
                <w:color w:val="auto"/>
                <w:highlight w:val="none"/>
                <w:u w:val="none"/>
              </w:rPr>
              <w:t>3.本项目的特定资格要求：无</w:t>
            </w:r>
            <w:r>
              <w:rPr>
                <w:rStyle w:val="58"/>
                <w:rFonts w:ascii="宋体" w:hAnsi="宋体"/>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highlight w:val="none"/>
                <w:lang w:val="en-US" w:eastAsia="zh-CN"/>
              </w:rPr>
            </w:pPr>
            <w:r>
              <w:rPr>
                <w:rFonts w:hint="eastAsia"/>
                <w:highlight w:val="none"/>
                <w:lang w:val="en-US" w:eastAsia="zh-CN"/>
              </w:rPr>
              <w:t>3</w:t>
            </w:r>
          </w:p>
        </w:tc>
        <w:tc>
          <w:tcPr>
            <w:tcW w:w="9214" w:type="dxa"/>
            <w:tcBorders>
              <w:top w:val="single" w:color="auto" w:sz="4" w:space="0"/>
              <w:left w:val="single" w:color="auto" w:sz="4" w:space="0"/>
              <w:bottom w:val="single" w:color="auto" w:sz="4" w:space="0"/>
              <w:right w:val="single" w:color="auto" w:sz="4" w:space="0"/>
            </w:tcBorders>
            <w:vAlign w:val="center"/>
          </w:tcPr>
          <w:p>
            <w:pPr>
              <w:spacing w:line="410" w:lineRule="exact"/>
              <w:ind w:firstLine="420"/>
              <w:rPr>
                <w:rStyle w:val="58"/>
                <w:rFonts w:hint="eastAsia" w:ascii="宋体" w:hAnsi="宋体"/>
                <w:color w:val="auto"/>
                <w:highlight w:val="none"/>
                <w:u w:val="none"/>
              </w:rPr>
            </w:pPr>
            <w:r>
              <w:rPr>
                <w:rFonts w:hint="eastAsia" w:hAnsi="宋体"/>
                <w:highlight w:val="none"/>
              </w:rPr>
              <w:t>投标人认为招标文件、招标过程或中标结果使自己的合法权益受到损害的，可以在知道或者应知其杈益受到损害之日起7个工作日内，以书面形式向采购人</w:t>
            </w:r>
            <w:r>
              <w:rPr>
                <w:rFonts w:hint="eastAsia" w:hAnsi="宋体"/>
                <w:b/>
                <w:bCs/>
                <w:highlight w:val="none"/>
                <w:lang w:eastAsia="zh-CN"/>
              </w:rPr>
              <w:t>（</w:t>
            </w:r>
            <w:r>
              <w:rPr>
                <w:rFonts w:hint="eastAsia" w:ascii="宋体" w:hAnsi="宋体" w:cs="宋体"/>
                <w:b/>
                <w:bCs/>
                <w:highlight w:val="none"/>
                <w:lang w:eastAsia="zh-CN"/>
              </w:rPr>
              <w:t>浦北县教育局</w:t>
            </w:r>
            <w:r>
              <w:rPr>
                <w:rFonts w:hint="eastAsia" w:ascii="宋体" w:hAnsi="宋体" w:eastAsia="宋体" w:cs="宋体"/>
                <w:b/>
                <w:bCs/>
                <w:highlight w:val="none"/>
              </w:rPr>
              <w:t xml:space="preserve">          0777-</w:t>
            </w:r>
            <w:r>
              <w:rPr>
                <w:rFonts w:hint="eastAsia" w:ascii="宋体" w:hAnsi="宋体" w:eastAsia="宋体" w:cs="宋体"/>
                <w:b/>
                <w:bCs/>
                <w:highlight w:val="none"/>
                <w:lang w:val="en-US" w:eastAsia="zh-CN"/>
              </w:rPr>
              <w:t>8319585</w:t>
            </w:r>
            <w:r>
              <w:rPr>
                <w:rFonts w:hint="eastAsia" w:hAnsi="宋体"/>
                <w:b/>
                <w:bCs/>
                <w:highlight w:val="none"/>
                <w:lang w:eastAsia="zh-CN"/>
              </w:rPr>
              <w:t>）</w:t>
            </w:r>
            <w:r>
              <w:rPr>
                <w:rFonts w:hint="eastAsia" w:hAnsi="宋体"/>
                <w:highlight w:val="none"/>
              </w:rPr>
              <w:t>提出质疑。投标人必须在法定质疑期内一次性提出针对同一采购程序环节的质疑。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highlight w:val="none"/>
                <w:lang w:eastAsia="zh-CN"/>
              </w:rPr>
            </w:pPr>
            <w:r>
              <w:rPr>
                <w:rFonts w:hint="eastAsia"/>
                <w:highlight w:val="none"/>
                <w:lang w:val="en-US" w:eastAsia="zh-CN"/>
              </w:rPr>
              <w:t>4</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szCs w:val="21"/>
                <w:highlight w:val="none"/>
              </w:rPr>
            </w:pPr>
            <w:r>
              <w:rPr>
                <w:highlight w:val="none"/>
              </w:rPr>
              <w:fldChar w:fldCharType="begin"/>
            </w:r>
            <w:r>
              <w:rPr>
                <w:highlight w:val="none"/>
              </w:rPr>
              <w:instrText xml:space="preserve"> HYPERLINK \l "_三、投标文件" </w:instrText>
            </w:r>
            <w:r>
              <w:rPr>
                <w:highlight w:val="none"/>
              </w:rPr>
              <w:fldChar w:fldCharType="separate"/>
            </w:r>
            <w:r>
              <w:rPr>
                <w:rStyle w:val="58"/>
                <w:rFonts w:hint="eastAsia" w:ascii="宋体" w:hAnsi="宋体"/>
                <w:color w:val="auto"/>
                <w:szCs w:val="21"/>
                <w:highlight w:val="none"/>
                <w:u w:val="none"/>
              </w:rPr>
              <w:t>投标文件组成</w:t>
            </w:r>
            <w:bookmarkStart w:id="79" w:name="_Hlt92979199"/>
            <w:r>
              <w:rPr>
                <w:rStyle w:val="58"/>
                <w:rFonts w:hint="eastAsia" w:ascii="宋体" w:hAnsi="宋体"/>
                <w:color w:val="auto"/>
                <w:szCs w:val="21"/>
                <w:highlight w:val="none"/>
                <w:u w:val="none"/>
              </w:rPr>
              <w:t>：</w:t>
            </w:r>
            <w:bookmarkEnd w:id="79"/>
            <w:r>
              <w:rPr>
                <w:rStyle w:val="58"/>
                <w:rFonts w:hint="eastAsia" w:ascii="宋体" w:hAnsi="宋体" w:cs="Arial"/>
                <w:color w:val="auto"/>
                <w:szCs w:val="21"/>
                <w:highlight w:val="none"/>
                <w:u w:val="none"/>
              </w:rPr>
              <w:t>资格</w:t>
            </w:r>
            <w:bookmarkStart w:id="80" w:name="_Hlt92979142"/>
            <w:r>
              <w:rPr>
                <w:rStyle w:val="58"/>
                <w:rFonts w:hint="eastAsia" w:ascii="宋体" w:hAnsi="宋体" w:cs="Arial"/>
                <w:color w:val="auto"/>
                <w:szCs w:val="21"/>
                <w:highlight w:val="none"/>
                <w:u w:val="none"/>
              </w:rPr>
              <w:t>文</w:t>
            </w:r>
            <w:bookmarkEnd w:id="80"/>
            <w:r>
              <w:rPr>
                <w:rStyle w:val="58"/>
                <w:rFonts w:hint="eastAsia" w:ascii="宋体" w:hAnsi="宋体" w:cs="Arial"/>
                <w:color w:val="auto"/>
                <w:szCs w:val="21"/>
                <w:highlight w:val="none"/>
                <w:u w:val="none"/>
              </w:rPr>
              <w:t>件、商务技术文件、</w:t>
            </w:r>
            <w:r>
              <w:rPr>
                <w:rStyle w:val="58"/>
                <w:rFonts w:hint="eastAsia" w:ascii="宋体" w:hAnsi="宋体"/>
                <w:color w:val="auto"/>
                <w:szCs w:val="21"/>
                <w:highlight w:val="none"/>
                <w:u w:val="none"/>
              </w:rPr>
              <w:t>报价文件。</w:t>
            </w:r>
            <w:r>
              <w:rPr>
                <w:rStyle w:val="58"/>
                <w:rFonts w:hint="eastAsia" w:ascii="宋体" w:hAnsi="宋体"/>
                <w:color w:val="auto"/>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highlight w:val="none"/>
                <w:lang w:eastAsia="zh-CN"/>
              </w:rPr>
            </w:pPr>
            <w:r>
              <w:rPr>
                <w:rFonts w:hint="eastAsia"/>
                <w:highlight w:val="none"/>
                <w:lang w:val="en-US" w:eastAsia="zh-CN"/>
              </w:rPr>
              <w:t>5</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hAnsi="宋体"/>
                <w:highlight w:val="none"/>
              </w:rPr>
            </w:pPr>
            <w:r>
              <w:rPr>
                <w:highlight w:val="none"/>
              </w:rPr>
              <w:fldChar w:fldCharType="begin"/>
            </w:r>
            <w:r>
              <w:rPr>
                <w:highlight w:val="none"/>
              </w:rPr>
              <w:instrText xml:space="preserve"> HYPERLINK \l "_（五）投标报价" </w:instrText>
            </w:r>
            <w:r>
              <w:rPr>
                <w:highlight w:val="none"/>
              </w:rPr>
              <w:fldChar w:fldCharType="separate"/>
            </w:r>
            <w:r>
              <w:rPr>
                <w:rStyle w:val="58"/>
                <w:rFonts w:hint="eastAsia" w:hAnsi="宋体"/>
                <w:color w:val="auto"/>
                <w:highlight w:val="none"/>
                <w:u w:val="none"/>
              </w:rPr>
              <w:t>投标报价：投标人</w:t>
            </w:r>
            <w:r>
              <w:rPr>
                <w:rStyle w:val="58"/>
                <w:rFonts w:hint="eastAsia"/>
                <w:color w:val="auto"/>
                <w:highlight w:val="none"/>
                <w:u w:val="none"/>
              </w:rPr>
              <w:t>必须就本项目/标项货物及服务内容作完整唯一报价，否则投标无效。</w:t>
            </w:r>
            <w:r>
              <w:rPr>
                <w:rStyle w:val="58"/>
                <w:rFonts w:hint="eastAsia"/>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highlight w:val="none"/>
                <w:lang w:eastAsia="zh-CN"/>
              </w:rPr>
            </w:pPr>
            <w:r>
              <w:rPr>
                <w:rFonts w:hint="eastAsia"/>
                <w:highlight w:val="none"/>
                <w:lang w:val="en-US" w:eastAsia="zh-CN"/>
              </w:rPr>
              <w:t>6</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hAnsi="宋体"/>
                <w:highlight w:val="none"/>
              </w:rPr>
            </w:pPr>
            <w:r>
              <w:rPr>
                <w:highlight w:val="none"/>
              </w:rPr>
              <w:fldChar w:fldCharType="begin"/>
            </w:r>
            <w:r>
              <w:rPr>
                <w:highlight w:val="none"/>
              </w:rPr>
              <w:instrText xml:space="preserve"> HYPERLINK \l "_（六）投标文件有效期" </w:instrText>
            </w:r>
            <w:r>
              <w:rPr>
                <w:highlight w:val="none"/>
              </w:rPr>
              <w:fldChar w:fldCharType="separate"/>
            </w:r>
            <w:r>
              <w:rPr>
                <w:rStyle w:val="58"/>
                <w:rFonts w:hint="eastAsia" w:hAnsi="宋体"/>
                <w:color w:val="auto"/>
                <w:highlight w:val="none"/>
                <w:u w:val="none"/>
              </w:rPr>
              <w:t>投标有效</w:t>
            </w:r>
            <w:bookmarkStart w:id="81" w:name="_Hlt113541150"/>
            <w:bookmarkStart w:id="82" w:name="_Hlt113541149"/>
            <w:r>
              <w:rPr>
                <w:rStyle w:val="58"/>
                <w:rFonts w:hint="eastAsia" w:hAnsi="宋体"/>
                <w:color w:val="auto"/>
                <w:highlight w:val="none"/>
                <w:u w:val="none"/>
              </w:rPr>
              <w:t>期</w:t>
            </w:r>
            <w:bookmarkEnd w:id="81"/>
            <w:bookmarkEnd w:id="82"/>
            <w:r>
              <w:rPr>
                <w:rStyle w:val="58"/>
                <w:rFonts w:hint="eastAsia" w:hAnsi="宋体"/>
                <w:color w:val="auto"/>
                <w:highlight w:val="none"/>
                <w:u w:val="none"/>
              </w:rPr>
              <w:t>：9</w:t>
            </w:r>
            <w:r>
              <w:rPr>
                <w:rStyle w:val="58"/>
                <w:rFonts w:hAnsi="宋体"/>
                <w:color w:val="auto"/>
                <w:highlight w:val="none"/>
                <w:u w:val="none"/>
              </w:rPr>
              <w:t>0</w:t>
            </w:r>
            <w:bookmarkStart w:id="83" w:name="_Hlt113541412"/>
            <w:r>
              <w:rPr>
                <w:rStyle w:val="58"/>
                <w:rFonts w:hint="eastAsia" w:hAnsi="宋体"/>
                <w:color w:val="auto"/>
                <w:highlight w:val="none"/>
                <w:u w:val="none"/>
              </w:rPr>
              <w:t>天</w:t>
            </w:r>
            <w:bookmarkEnd w:id="83"/>
            <w:r>
              <w:rPr>
                <w:rStyle w:val="58"/>
                <w:rFonts w:hint="eastAsia" w:hAnsi="宋体"/>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highlight w:val="none"/>
                <w:lang w:eastAsia="zh-CN"/>
              </w:rPr>
            </w:pPr>
            <w:r>
              <w:rPr>
                <w:rFonts w:hint="eastAsia"/>
                <w:highlight w:val="none"/>
                <w:lang w:val="en-US" w:eastAsia="zh-CN"/>
              </w:rPr>
              <w:t>7</w:t>
            </w:r>
          </w:p>
        </w:tc>
        <w:tc>
          <w:tcPr>
            <w:tcW w:w="9214"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rPr>
                <w:rStyle w:val="58"/>
                <w:rFonts w:hint="eastAsia" w:ascii="宋体" w:hAnsi="宋体" w:cs="宋体"/>
                <w:color w:val="auto"/>
                <w:kern w:val="0"/>
                <w:szCs w:val="21"/>
                <w:highlight w:val="none"/>
                <w:u w:val="none"/>
              </w:rPr>
            </w:pPr>
            <w:r>
              <w:rPr>
                <w:rFonts w:ascii="宋体" w:hAnsi="宋体" w:cs="宋体"/>
                <w:kern w:val="0"/>
                <w:szCs w:val="21"/>
                <w:highlight w:val="none"/>
              </w:rPr>
              <w:fldChar w:fldCharType="begin"/>
            </w:r>
            <w:r>
              <w:rPr>
                <w:rFonts w:ascii="宋体" w:hAnsi="宋体" w:cs="宋体"/>
                <w:kern w:val="0"/>
                <w:szCs w:val="21"/>
                <w:highlight w:val="none"/>
              </w:rPr>
              <w:instrText xml:space="preserve"> </w:instrText>
            </w:r>
            <w:r>
              <w:rPr>
                <w:rFonts w:hint="eastAsia" w:ascii="宋体" w:hAnsi="宋体" w:cs="宋体"/>
                <w:kern w:val="0"/>
                <w:szCs w:val="21"/>
                <w:highlight w:val="none"/>
              </w:rPr>
              <w:instrText xml:space="preserve">HYPERLINK </w:instrText>
            </w:r>
            <w:r>
              <w:rPr>
                <w:rFonts w:ascii="宋体" w:hAnsi="宋体" w:cs="宋体"/>
                <w:kern w:val="0"/>
                <w:szCs w:val="21"/>
                <w:highlight w:val="none"/>
              </w:rPr>
              <w:instrText xml:space="preserve"> \l "_（七）投标保证金" </w:instrText>
            </w:r>
            <w:r>
              <w:rPr>
                <w:rFonts w:ascii="宋体" w:hAnsi="宋体" w:cs="宋体"/>
                <w:kern w:val="0"/>
                <w:szCs w:val="21"/>
                <w:highlight w:val="none"/>
              </w:rPr>
              <w:fldChar w:fldCharType="separate"/>
            </w:r>
            <w:r>
              <w:rPr>
                <w:rStyle w:val="58"/>
                <w:rFonts w:hint="eastAsia" w:ascii="宋体" w:hAnsi="宋体" w:cs="宋体"/>
                <w:color w:val="auto"/>
                <w:kern w:val="0"/>
                <w:szCs w:val="21"/>
                <w:highlight w:val="none"/>
                <w:u w:val="none"/>
              </w:rPr>
              <w:t>投标保证金：标项一：壹万玖仟捌佰元整(￥</w:t>
            </w:r>
            <w:r>
              <w:rPr>
                <w:rStyle w:val="58"/>
                <w:rFonts w:hint="eastAsia" w:ascii="宋体" w:hAnsi="宋体" w:cs="宋体"/>
                <w:color w:val="auto"/>
                <w:kern w:val="0"/>
                <w:szCs w:val="21"/>
                <w:highlight w:val="none"/>
                <w:u w:val="none"/>
                <w:lang w:val="en-US" w:eastAsia="zh-CN"/>
              </w:rPr>
              <w:t>19,800</w:t>
            </w:r>
            <w:r>
              <w:rPr>
                <w:rStyle w:val="58"/>
                <w:rFonts w:hint="eastAsia" w:ascii="宋体" w:hAnsi="宋体" w:cs="宋体"/>
                <w:color w:val="auto"/>
                <w:kern w:val="0"/>
                <w:szCs w:val="21"/>
                <w:highlight w:val="none"/>
                <w:u w:val="none"/>
              </w:rPr>
              <w:t>.00)、标项二：贰万零肆佰伍拾元整(￥</w:t>
            </w:r>
            <w:r>
              <w:rPr>
                <w:rStyle w:val="58"/>
                <w:rFonts w:hint="eastAsia" w:ascii="宋体" w:hAnsi="宋体" w:cs="宋体"/>
                <w:color w:val="auto"/>
                <w:kern w:val="0"/>
                <w:szCs w:val="21"/>
                <w:highlight w:val="none"/>
                <w:u w:val="none"/>
                <w:lang w:val="en-US" w:eastAsia="zh-CN"/>
              </w:rPr>
              <w:t>20,450</w:t>
            </w:r>
            <w:r>
              <w:rPr>
                <w:rStyle w:val="58"/>
                <w:rFonts w:hint="eastAsia" w:ascii="宋体" w:hAnsi="宋体" w:cs="宋体"/>
                <w:color w:val="auto"/>
                <w:kern w:val="0"/>
                <w:szCs w:val="21"/>
                <w:highlight w:val="none"/>
                <w:u w:val="none"/>
              </w:rPr>
              <w:t>.00)</w:t>
            </w:r>
          </w:p>
          <w:p>
            <w:pPr>
              <w:widowControl/>
              <w:ind w:firstLine="0" w:firstLineChars="0"/>
              <w:rPr>
                <w:rStyle w:val="58"/>
                <w:rFonts w:ascii="宋体"/>
                <w:color w:val="auto"/>
                <w:szCs w:val="21"/>
                <w:highlight w:val="none"/>
                <w:u w:val="none"/>
              </w:rPr>
            </w:pPr>
            <w:r>
              <w:rPr>
                <w:rStyle w:val="58"/>
                <w:rFonts w:hint="eastAsia" w:ascii="宋体"/>
                <w:color w:val="auto"/>
                <w:szCs w:val="21"/>
                <w:highlight w:val="none"/>
                <w:u w:val="none"/>
              </w:rPr>
              <w:t>注：</w:t>
            </w:r>
            <w:r>
              <w:rPr>
                <w:rStyle w:val="58"/>
                <w:rFonts w:hint="eastAsia"/>
                <w:color w:val="auto"/>
                <w:szCs w:val="21"/>
                <w:highlight w:val="none"/>
                <w:u w:val="none"/>
              </w:rPr>
              <w:t>1.</w:t>
            </w:r>
            <w:r>
              <w:rPr>
                <w:rStyle w:val="58"/>
                <w:rFonts w:hint="eastAsia"/>
                <w:color w:val="auto"/>
                <w:highlight w:val="none"/>
                <w:u w:val="none"/>
              </w:rPr>
              <w:t>以支票、汇票、本票或者金融机构、担保机构出具的保函等形式提交保证金的，</w:t>
            </w:r>
            <w:r>
              <w:rPr>
                <w:rStyle w:val="58"/>
                <w:rFonts w:hint="eastAsia"/>
                <w:b/>
                <w:bCs/>
                <w:color w:val="auto"/>
                <w:highlight w:val="none"/>
                <w:u w:val="none"/>
              </w:rPr>
              <w:t>投标人必须将</w:t>
            </w:r>
            <w:bookmarkStart w:id="84" w:name="_Hlk94188895"/>
            <w:r>
              <w:rPr>
                <w:rStyle w:val="58"/>
                <w:rFonts w:hint="eastAsia"/>
                <w:b/>
                <w:bCs/>
                <w:color w:val="auto"/>
                <w:highlight w:val="none"/>
                <w:u w:val="none"/>
              </w:rPr>
              <w:t>票据、保函</w:t>
            </w:r>
            <w:bookmarkEnd w:id="84"/>
            <w:r>
              <w:rPr>
                <w:rStyle w:val="58"/>
                <w:rFonts w:hint="eastAsia"/>
                <w:b/>
                <w:bCs/>
                <w:color w:val="auto"/>
                <w:highlight w:val="none"/>
                <w:u w:val="none"/>
              </w:rPr>
              <w:t>等原件于投标文件提交截止时间前递交至本中心财务室</w:t>
            </w:r>
            <w:r>
              <w:rPr>
                <w:rStyle w:val="58"/>
                <w:rFonts w:hint="eastAsia"/>
                <w:color w:val="auto"/>
                <w:highlight w:val="none"/>
                <w:u w:val="none"/>
              </w:rPr>
              <w:t>。</w:t>
            </w:r>
          </w:p>
          <w:p>
            <w:pPr>
              <w:autoSpaceDE w:val="0"/>
              <w:autoSpaceDN w:val="0"/>
              <w:snapToGrid w:val="0"/>
              <w:ind w:firstLine="8" w:firstLineChars="4"/>
              <w:textAlignment w:val="bottom"/>
              <w:rPr>
                <w:rFonts w:hint="eastAsia" w:ascii="宋体" w:hAnsi="宋体"/>
                <w:szCs w:val="21"/>
                <w:highlight w:val="none"/>
              </w:rPr>
            </w:pPr>
            <w:r>
              <w:rPr>
                <w:rStyle w:val="58"/>
                <w:rFonts w:hint="eastAsia"/>
                <w:color w:val="auto"/>
                <w:highlight w:val="none"/>
                <w:u w:val="none"/>
              </w:rPr>
              <w:t>2.</w:t>
            </w:r>
            <w:r>
              <w:rPr>
                <w:rStyle w:val="58"/>
                <w:rFonts w:hint="eastAsia"/>
                <w:color w:val="auto"/>
                <w:szCs w:val="21"/>
                <w:highlight w:val="none"/>
                <w:u w:val="none"/>
              </w:rPr>
              <w:t>以网上银行</w:t>
            </w:r>
            <w:r>
              <w:rPr>
                <w:rStyle w:val="58"/>
                <w:rFonts w:hint="eastAsia" w:ascii="宋体" w:hAnsi="宋体"/>
                <w:color w:val="auto"/>
                <w:szCs w:val="21"/>
                <w:highlight w:val="none"/>
                <w:u w:val="none"/>
              </w:rPr>
              <w:t>形</w:t>
            </w:r>
            <w:r>
              <w:rPr>
                <w:rStyle w:val="58"/>
                <w:rFonts w:hint="eastAsia"/>
                <w:color w:val="auto"/>
                <w:szCs w:val="21"/>
                <w:highlight w:val="none"/>
                <w:u w:val="none"/>
              </w:rPr>
              <w:t>式提交保证金的，投标人必须于投标文件提交截止时间前从投标人账户缴存至本中心银行账户（以到</w:t>
            </w:r>
            <w:bookmarkStart w:id="85" w:name="_Hlt169688195"/>
            <w:r>
              <w:rPr>
                <w:rStyle w:val="58"/>
                <w:rFonts w:hint="eastAsia"/>
                <w:color w:val="auto"/>
                <w:szCs w:val="21"/>
                <w:highlight w:val="none"/>
                <w:u w:val="none"/>
              </w:rPr>
              <w:t>账</w:t>
            </w:r>
            <w:bookmarkEnd w:id="85"/>
            <w:r>
              <w:rPr>
                <w:rStyle w:val="58"/>
                <w:rFonts w:hint="eastAsia"/>
                <w:color w:val="auto"/>
                <w:szCs w:val="21"/>
                <w:highlight w:val="none"/>
                <w:u w:val="none"/>
              </w:rPr>
              <w:t>时间为准）。</w:t>
            </w:r>
            <w:r>
              <w:rPr>
                <w:rFonts w:ascii="宋体" w:hAnsi="宋体" w:cs="宋体"/>
                <w:kern w:val="0"/>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highlight w:val="none"/>
                <w:lang w:eastAsia="zh-CN"/>
              </w:rPr>
            </w:pPr>
            <w:r>
              <w:rPr>
                <w:rFonts w:hint="eastAsia"/>
                <w:highlight w:val="none"/>
                <w:lang w:val="en-US" w:eastAsia="zh-CN"/>
              </w:rPr>
              <w:t>8</w:t>
            </w:r>
          </w:p>
        </w:tc>
        <w:tc>
          <w:tcPr>
            <w:tcW w:w="9214" w:type="dxa"/>
            <w:tcBorders>
              <w:top w:val="single" w:color="auto" w:sz="4" w:space="0"/>
              <w:left w:val="single" w:color="auto" w:sz="4" w:space="0"/>
              <w:bottom w:val="single" w:color="auto" w:sz="4" w:space="0"/>
              <w:right w:val="single" w:color="auto" w:sz="4" w:space="0"/>
            </w:tcBorders>
            <w:vAlign w:val="center"/>
          </w:tcPr>
          <w:p>
            <w:pPr>
              <w:pStyle w:val="27"/>
              <w:ind w:firstLine="8" w:firstLineChars="4"/>
              <w:rPr>
                <w:highlight w:val="none"/>
              </w:rPr>
            </w:pPr>
            <w:r>
              <w:rPr>
                <w:rFonts w:hint="eastAsia"/>
                <w:b/>
                <w:highlight w:val="none"/>
              </w:rPr>
              <w:t>投标文件提交截止时间及开标时间：</w:t>
            </w:r>
            <w:r>
              <w:rPr>
                <w:rFonts w:hint="eastAsia" w:hAnsi="宋体" w:cs="Arial"/>
                <w:highlight w:val="none"/>
              </w:rPr>
              <w:t>2025年</w:t>
            </w:r>
            <w:r>
              <w:rPr>
                <w:rFonts w:hint="eastAsia" w:hAnsi="宋体" w:cs="Arial"/>
                <w:highlight w:val="none"/>
                <w:lang w:val="en-US" w:eastAsia="zh-CN"/>
              </w:rPr>
              <w:t>12</w:t>
            </w:r>
            <w:r>
              <w:rPr>
                <w:rFonts w:hint="eastAsia" w:hAnsi="宋体" w:cs="Arial"/>
                <w:highlight w:val="none"/>
              </w:rPr>
              <w:t>月</w:t>
            </w:r>
            <w:r>
              <w:rPr>
                <w:rFonts w:hint="eastAsia" w:hAnsi="宋体" w:cs="Arial"/>
                <w:highlight w:val="none"/>
                <w:lang w:val="en-US" w:eastAsia="zh-CN"/>
              </w:rPr>
              <w:t>25</w:t>
            </w:r>
            <w:r>
              <w:rPr>
                <w:rFonts w:hint="eastAsia" w:hAnsi="宋体" w:cs="Arial"/>
                <w:highlight w:val="none"/>
              </w:rPr>
              <w:t>日09</w:t>
            </w:r>
            <w:r>
              <w:rPr>
                <w:rFonts w:hAnsi="宋体" w:cs="Arial"/>
                <w:highlight w:val="none"/>
              </w:rPr>
              <w:t>:</w:t>
            </w:r>
            <w:r>
              <w:rPr>
                <w:rFonts w:hint="eastAsia" w:hAnsi="宋体" w:cs="Arial"/>
                <w:highlight w:val="none"/>
              </w:rPr>
              <w:t>3</w:t>
            </w:r>
            <w:r>
              <w:rPr>
                <w:rFonts w:hAnsi="宋体" w:cs="Arial"/>
                <w:highlight w:val="none"/>
              </w:rPr>
              <w:t>0</w:t>
            </w:r>
            <w:r>
              <w:rPr>
                <w:rFonts w:hint="eastAsia"/>
                <w:highlight w:val="none"/>
              </w:rPr>
              <w:t>（北京时间）</w:t>
            </w:r>
          </w:p>
          <w:p>
            <w:pPr>
              <w:ind w:firstLine="8" w:firstLineChars="4"/>
              <w:rPr>
                <w:szCs w:val="21"/>
                <w:highlight w:val="none"/>
              </w:rPr>
            </w:pPr>
            <w:r>
              <w:rPr>
                <w:rFonts w:hint="eastAsia"/>
                <w:szCs w:val="21"/>
                <w:highlight w:val="none"/>
              </w:rPr>
              <w:t>投标地点(网址）：</w:t>
            </w:r>
            <w:r>
              <w:rPr>
                <w:rFonts w:hint="eastAsia" w:ascii="宋体" w:hAnsi="宋体" w:cs="Courier New"/>
                <w:szCs w:val="21"/>
                <w:highlight w:val="none"/>
              </w:rPr>
              <w:t>请登录广西政府采购云平台投标客户端投标</w:t>
            </w:r>
          </w:p>
          <w:p>
            <w:pPr>
              <w:ind w:firstLine="8" w:firstLineChars="4"/>
              <w:rPr>
                <w:szCs w:val="21"/>
                <w:highlight w:val="none"/>
              </w:rPr>
            </w:pPr>
            <w:r>
              <w:rPr>
                <w:rFonts w:hint="eastAsia"/>
                <w:szCs w:val="21"/>
                <w:highlight w:val="none"/>
              </w:rPr>
              <w:t>开标地点：</w:t>
            </w:r>
            <w:r>
              <w:rPr>
                <w:rFonts w:hint="eastAsia"/>
                <w:highlight w:val="none"/>
              </w:rPr>
              <w:t>广西钦州市金海湾东大</w:t>
            </w:r>
            <w:bookmarkStart w:id="86" w:name="_Hlt169688185"/>
            <w:r>
              <w:rPr>
                <w:rFonts w:hint="eastAsia"/>
                <w:highlight w:val="none"/>
              </w:rPr>
              <w:t>街</w:t>
            </w:r>
            <w:bookmarkEnd w:id="86"/>
            <w:r>
              <w:rPr>
                <w:rFonts w:hint="eastAsia"/>
                <w:highlight w:val="none"/>
              </w:rPr>
              <w:t>8号市</w:t>
            </w:r>
            <w:bookmarkStart w:id="87" w:name="_Hlt169688172"/>
            <w:bookmarkStart w:id="88" w:name="_Hlt169688171"/>
            <w:r>
              <w:rPr>
                <w:rFonts w:hint="eastAsia"/>
                <w:highlight w:val="none"/>
              </w:rPr>
              <w:t>政</w:t>
            </w:r>
            <w:bookmarkEnd w:id="87"/>
            <w:bookmarkEnd w:id="88"/>
            <w:r>
              <w:rPr>
                <w:rFonts w:hint="eastAsia"/>
                <w:highlight w:val="none"/>
              </w:rPr>
              <w:t>务服务中心三楼开标室</w:t>
            </w:r>
          </w:p>
          <w:p>
            <w:pPr>
              <w:ind w:firstLine="8" w:firstLineChars="4"/>
              <w:rPr>
                <w:b/>
                <w:bCs/>
                <w:highlight w:val="none"/>
              </w:rPr>
            </w:pPr>
            <w:r>
              <w:rPr>
                <w:highlight w:val="none"/>
              </w:rPr>
              <w:fldChar w:fldCharType="begin"/>
            </w:r>
            <w:r>
              <w:rPr>
                <w:highlight w:val="none"/>
              </w:rPr>
              <w:instrText xml:space="preserve"> HYPERLINK \l "_四、开标" </w:instrText>
            </w:r>
            <w:r>
              <w:rPr>
                <w:highlight w:val="none"/>
              </w:rPr>
              <w:fldChar w:fldCharType="separate"/>
            </w:r>
            <w:r>
              <w:rPr>
                <w:rStyle w:val="58"/>
                <w:rFonts w:hint="eastAsia"/>
                <w:b/>
                <w:bCs/>
                <w:color w:val="auto"/>
                <w:highlight w:val="none"/>
                <w:u w:val="none"/>
              </w:rPr>
              <w:t>注：</w:t>
            </w:r>
            <w:bookmarkStart w:id="89" w:name="_Hlk90299755"/>
            <w:r>
              <w:rPr>
                <w:rStyle w:val="58"/>
                <w:rFonts w:hint="eastAsia"/>
                <w:b/>
                <w:bCs/>
                <w:color w:val="auto"/>
                <w:highlight w:val="none"/>
                <w:u w:val="none"/>
              </w:rPr>
              <w:t>投标人法定代表人或委</w:t>
            </w:r>
            <w:bookmarkStart w:id="90" w:name="_Hlt169688258"/>
            <w:r>
              <w:rPr>
                <w:rStyle w:val="58"/>
                <w:rFonts w:hint="eastAsia"/>
                <w:b/>
                <w:bCs/>
                <w:color w:val="auto"/>
                <w:highlight w:val="none"/>
                <w:u w:val="none"/>
              </w:rPr>
              <w:t>托</w:t>
            </w:r>
            <w:bookmarkEnd w:id="90"/>
            <w:r>
              <w:rPr>
                <w:rStyle w:val="58"/>
                <w:rFonts w:hint="eastAsia"/>
                <w:b/>
                <w:bCs/>
                <w:color w:val="auto"/>
                <w:highlight w:val="none"/>
                <w:u w:val="none"/>
              </w:rPr>
              <w:t>代理人须按时登录</w:t>
            </w:r>
            <w:r>
              <w:rPr>
                <w:rStyle w:val="58"/>
                <w:rFonts w:hint="eastAsia" w:hAnsi="宋体"/>
                <w:b/>
                <w:bCs/>
                <w:color w:val="auto"/>
                <w:highlight w:val="none"/>
                <w:u w:val="none"/>
              </w:rPr>
              <w:t>政采云远程开标大厅</w:t>
            </w:r>
            <w:r>
              <w:rPr>
                <w:rStyle w:val="58"/>
                <w:rFonts w:hint="eastAsia"/>
                <w:b/>
                <w:bCs/>
                <w:color w:val="auto"/>
                <w:highlight w:val="none"/>
                <w:u w:val="none"/>
              </w:rPr>
              <w:t>，保持全程在线并关注开标评标进度，评标期间评标委员会提出澄清等要求时，投标人须在规定时间内进行在线应答，否则按招标文件或政采云平台的相关规定执行。</w:t>
            </w:r>
            <w:bookmarkEnd w:id="89"/>
            <w:r>
              <w:rPr>
                <w:rStyle w:val="58"/>
                <w:rFonts w:hint="eastAsia"/>
                <w:b/>
                <w:bCs/>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75" w:type="dxa"/>
            <w:tcBorders>
              <w:top w:val="single" w:color="auto" w:sz="4" w:space="0"/>
              <w:left w:val="single" w:color="auto" w:sz="4" w:space="0"/>
              <w:bottom w:val="single" w:color="auto" w:sz="4" w:space="0"/>
              <w:right w:val="single" w:color="auto" w:sz="4" w:space="0"/>
            </w:tcBorders>
            <w:vAlign w:val="center"/>
          </w:tcPr>
          <w:p>
            <w:pPr>
              <w:ind w:left="-424" w:leftChars="-202" w:firstLine="420"/>
              <w:jc w:val="center"/>
              <w:rPr>
                <w:rFonts w:hint="eastAsia" w:eastAsia="宋体"/>
                <w:highlight w:val="none"/>
                <w:lang w:eastAsia="zh-CN"/>
              </w:rPr>
            </w:pPr>
            <w:r>
              <w:rPr>
                <w:rFonts w:hint="eastAsia"/>
                <w:highlight w:val="none"/>
                <w:lang w:val="en-US" w:eastAsia="zh-CN"/>
              </w:rPr>
              <w:t>9</w:t>
            </w:r>
          </w:p>
        </w:tc>
        <w:tc>
          <w:tcPr>
            <w:tcW w:w="9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ind w:firstLine="0" w:firstLineChars="0"/>
              <w:textAlignment w:val="bottom"/>
              <w:rPr>
                <w:rFonts w:hint="eastAsia" w:ascii="宋体" w:hAnsi="宋体"/>
                <w:szCs w:val="21"/>
                <w:highlight w:val="none"/>
              </w:rPr>
            </w:pPr>
            <w:r>
              <w:rPr>
                <w:highlight w:val="none"/>
              </w:rPr>
              <w:fldChar w:fldCharType="begin"/>
            </w:r>
            <w:r>
              <w:rPr>
                <w:highlight w:val="none"/>
              </w:rPr>
              <w:instrText xml:space="preserve"> HYPERLINK \l "_五、评标" </w:instrText>
            </w:r>
            <w:r>
              <w:rPr>
                <w:highlight w:val="none"/>
              </w:rPr>
              <w:fldChar w:fldCharType="separate"/>
            </w:r>
            <w:r>
              <w:rPr>
                <w:rStyle w:val="58"/>
                <w:rFonts w:hint="eastAsia" w:ascii="宋体" w:hAnsi="宋体"/>
                <w:color w:val="auto"/>
                <w:szCs w:val="21"/>
                <w:highlight w:val="none"/>
                <w:u w:val="none"/>
              </w:rPr>
              <w:t>评标</w:t>
            </w:r>
            <w:bookmarkStart w:id="91" w:name="_Hlt111715137"/>
            <w:bookmarkStart w:id="92" w:name="_Hlt111715136"/>
            <w:r>
              <w:rPr>
                <w:rStyle w:val="58"/>
                <w:rFonts w:hint="eastAsia" w:ascii="宋体" w:hAnsi="宋体"/>
                <w:color w:val="auto"/>
                <w:szCs w:val="21"/>
                <w:highlight w:val="none"/>
                <w:u w:val="none"/>
              </w:rPr>
              <w:t>方</w:t>
            </w:r>
            <w:bookmarkEnd w:id="91"/>
            <w:bookmarkEnd w:id="92"/>
            <w:r>
              <w:rPr>
                <w:rStyle w:val="58"/>
                <w:rFonts w:hint="eastAsia" w:ascii="宋体" w:hAnsi="宋体"/>
                <w:color w:val="auto"/>
                <w:szCs w:val="21"/>
                <w:highlight w:val="none"/>
                <w:u w:val="none"/>
              </w:rPr>
              <w:t>法：</w:t>
            </w:r>
            <w:r>
              <w:rPr>
                <w:rStyle w:val="58"/>
                <w:rFonts w:hint="eastAsia"/>
                <w:color w:val="auto"/>
                <w:highlight w:val="none"/>
                <w:u w:val="none"/>
              </w:rPr>
              <w:t>综合评分法</w:t>
            </w:r>
            <w:r>
              <w:rPr>
                <w:rStyle w:val="58"/>
                <w:rFonts w:hint="eastAsia"/>
                <w:color w:val="auto"/>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75" w:type="dxa"/>
            <w:vAlign w:val="center"/>
          </w:tcPr>
          <w:p>
            <w:pPr>
              <w:ind w:left="-424" w:leftChars="-202" w:firstLine="420"/>
              <w:jc w:val="center"/>
              <w:rPr>
                <w:rFonts w:hint="default" w:eastAsia="宋体"/>
                <w:highlight w:val="none"/>
                <w:lang w:val="en-US" w:eastAsia="zh-CN"/>
              </w:rPr>
            </w:pPr>
            <w:r>
              <w:rPr>
                <w:rFonts w:hint="eastAsia"/>
                <w:highlight w:val="none"/>
                <w:lang w:val="en-US" w:eastAsia="zh-CN"/>
              </w:rPr>
              <w:t>10</w:t>
            </w:r>
          </w:p>
        </w:tc>
        <w:tc>
          <w:tcPr>
            <w:tcW w:w="9214" w:type="dxa"/>
            <w:vAlign w:val="center"/>
          </w:tcPr>
          <w:p>
            <w:pPr>
              <w:pStyle w:val="27"/>
              <w:spacing w:line="340" w:lineRule="exact"/>
              <w:ind w:firstLine="8" w:firstLineChars="4"/>
              <w:rPr>
                <w:highlight w:val="none"/>
              </w:rPr>
            </w:pPr>
            <w:bookmarkStart w:id="93" w:name="OLE_LINK5"/>
            <w:r>
              <w:rPr>
                <w:rFonts w:hAnsi="宋体"/>
                <w:highlight w:val="none"/>
              </w:rPr>
              <w:fldChar w:fldCharType="begin"/>
            </w:r>
            <w:r>
              <w:rPr>
                <w:rFonts w:hAnsi="宋体"/>
                <w:highlight w:val="none"/>
              </w:rPr>
              <w:instrText xml:space="preserve"> </w:instrText>
            </w:r>
            <w:r>
              <w:rPr>
                <w:rFonts w:hint="eastAsia" w:hAnsi="宋体"/>
                <w:highlight w:val="none"/>
              </w:rPr>
              <w:instrText xml:space="preserve">HYPERLINK </w:instrText>
            </w:r>
            <w:r>
              <w:rPr>
                <w:rFonts w:hAnsi="宋体"/>
                <w:highlight w:val="none"/>
              </w:rPr>
              <w:instrText xml:space="preserve"> \l "_九、其他事项" </w:instrText>
            </w:r>
            <w:r>
              <w:rPr>
                <w:rFonts w:hAnsi="宋体"/>
                <w:highlight w:val="none"/>
              </w:rPr>
              <w:fldChar w:fldCharType="separate"/>
            </w:r>
            <w:r>
              <w:rPr>
                <w:rStyle w:val="58"/>
                <w:rFonts w:hint="eastAsia" w:hAnsi="宋体"/>
                <w:color w:val="auto"/>
                <w:highlight w:val="none"/>
                <w:u w:val="none"/>
              </w:rPr>
              <w:t>代理服务费：</w:t>
            </w:r>
            <w:bookmarkStart w:id="94" w:name="OLE_LINK16"/>
            <w:r>
              <w:rPr>
                <w:rStyle w:val="58"/>
                <w:rFonts w:hint="eastAsia" w:hAnsi="宋体"/>
                <w:color w:val="auto"/>
                <w:highlight w:val="none"/>
                <w:u w:val="none"/>
              </w:rPr>
              <w:t>本中心按钦州市物价局“钦市价费﹝2013﹞4号”文件规定向中标人收取代理服务费。中标人应向本中心一次性付清代理服务费。</w:t>
            </w:r>
            <w:bookmarkEnd w:id="94"/>
            <w:r>
              <w:rPr>
                <w:rFonts w:hAnsi="宋体"/>
                <w:highlight w:val="none"/>
              </w:rPr>
              <w:fldChar w:fldCharType="end"/>
            </w:r>
            <w:bookmarkEnd w:id="93"/>
          </w:p>
        </w:tc>
      </w:tr>
    </w:tbl>
    <w:p>
      <w:pPr>
        <w:ind w:firstLine="0" w:firstLineChars="0"/>
        <w:jc w:val="left"/>
        <w:rPr>
          <w:highlight w:val="none"/>
        </w:rPr>
      </w:pPr>
      <w:r>
        <w:rPr>
          <w:highlight w:val="none"/>
        </w:rPr>
        <w:br w:type="page"/>
      </w:r>
      <w:bookmarkStart w:id="95" w:name="_Toc352578843"/>
      <w:bookmarkStart w:id="96" w:name="_Toc352578891"/>
      <w:bookmarkStart w:id="97" w:name="_Toc352700405"/>
      <w:bookmarkStart w:id="98" w:name="_Toc352578861"/>
      <w:bookmarkStart w:id="99" w:name="_Toc353785275"/>
    </w:p>
    <w:p>
      <w:pPr>
        <w:spacing w:line="520" w:lineRule="exact"/>
        <w:ind w:firstLine="0" w:firstLineChars="0"/>
        <w:jc w:val="center"/>
        <w:rPr>
          <w:rFonts w:hint="eastAsia" w:ascii="仿宋_GB2312" w:hAnsi="宋体" w:eastAsia="仿宋_GB2312"/>
          <w:b/>
          <w:sz w:val="44"/>
          <w:szCs w:val="44"/>
          <w:highlight w:val="none"/>
        </w:rPr>
      </w:pPr>
      <w:bookmarkStart w:id="100" w:name="_Hlk92374740"/>
      <w:r>
        <w:rPr>
          <w:rFonts w:hint="eastAsia"/>
          <w:b/>
          <w:sz w:val="44"/>
          <w:szCs w:val="44"/>
          <w:highlight w:val="none"/>
        </w:rPr>
        <w:t>投标人须知</w:t>
      </w:r>
      <w:bookmarkEnd w:id="95"/>
      <w:bookmarkEnd w:id="96"/>
      <w:bookmarkEnd w:id="97"/>
      <w:bookmarkEnd w:id="98"/>
      <w:bookmarkEnd w:id="99"/>
    </w:p>
    <w:p>
      <w:pPr>
        <w:pStyle w:val="4"/>
        <w:spacing w:before="0" w:after="0" w:line="410" w:lineRule="exact"/>
        <w:ind w:firstLine="0" w:firstLineChars="0"/>
        <w:rPr>
          <w:rFonts w:ascii="方正小标宋_GBK" w:eastAsia="方正小标宋_GBK"/>
          <w:sz w:val="24"/>
          <w:szCs w:val="24"/>
          <w:highlight w:val="none"/>
        </w:rPr>
      </w:pPr>
      <w:bookmarkStart w:id="101" w:name="_一、总__则"/>
      <w:bookmarkEnd w:id="101"/>
      <w:bookmarkStart w:id="102" w:name="_Toc353785276"/>
      <w:bookmarkStart w:id="103" w:name="_Toc352700406"/>
      <w:r>
        <w:rPr>
          <w:rFonts w:hint="eastAsia" w:ascii="方正小标宋_GBK" w:eastAsia="方正小标宋_GBK"/>
          <w:sz w:val="24"/>
          <w:szCs w:val="24"/>
          <w:highlight w:val="none"/>
        </w:rPr>
        <w:t>一、总  则</w:t>
      </w:r>
      <w:bookmarkEnd w:id="102"/>
      <w:bookmarkEnd w:id="103"/>
    </w:p>
    <w:p>
      <w:pPr>
        <w:spacing w:line="410" w:lineRule="exact"/>
        <w:ind w:firstLine="211" w:firstLineChars="100"/>
        <w:rPr>
          <w:b/>
          <w:bCs/>
          <w:highlight w:val="none"/>
        </w:rPr>
      </w:pPr>
      <w:r>
        <w:rPr>
          <w:rFonts w:hint="eastAsia"/>
          <w:b/>
          <w:bCs/>
          <w:highlight w:val="none"/>
        </w:rPr>
        <w:t>（一）适用范围</w:t>
      </w:r>
    </w:p>
    <w:p>
      <w:pPr>
        <w:spacing w:line="410" w:lineRule="exact"/>
        <w:ind w:firstLine="420"/>
        <w:rPr>
          <w:rFonts w:hint="eastAsia" w:eastAsia="宋体"/>
          <w:highlight w:val="none"/>
          <w:lang w:eastAsia="zh-CN"/>
        </w:rPr>
      </w:pPr>
      <w:bookmarkStart w:id="104" w:name="_Toc352700408"/>
      <w:bookmarkStart w:id="105" w:name="_Toc353785278"/>
      <w:bookmarkStart w:id="106" w:name="_Toc254970669"/>
      <w:bookmarkStart w:id="107" w:name="_Toc254970528"/>
      <w:r>
        <w:rPr>
          <w:rFonts w:hint="eastAsia"/>
          <w:highlight w:val="none"/>
        </w:rPr>
        <w:t>1</w:t>
      </w:r>
      <w:r>
        <w:rPr>
          <w:highlight w:val="none"/>
        </w:rPr>
        <w:t>.</w:t>
      </w:r>
      <w:r>
        <w:rPr>
          <w:rFonts w:hint="eastAsia"/>
          <w:highlight w:val="none"/>
        </w:rPr>
        <w:t>项目名称：</w:t>
      </w:r>
      <w:r>
        <w:rPr>
          <w:rFonts w:hint="eastAsia"/>
          <w:highlight w:val="none"/>
          <w:lang w:eastAsia="zh-CN"/>
        </w:rPr>
        <w:t>2025年浦北县义务教育中小学教学设备</w:t>
      </w:r>
    </w:p>
    <w:p>
      <w:pPr>
        <w:spacing w:line="410" w:lineRule="exact"/>
        <w:ind w:firstLine="420"/>
        <w:rPr>
          <w:rFonts w:hint="eastAsia" w:eastAsia="宋体"/>
          <w:highlight w:val="none"/>
          <w:lang w:eastAsia="zh-CN"/>
        </w:rPr>
      </w:pPr>
      <w:r>
        <w:rPr>
          <w:highlight w:val="none"/>
        </w:rPr>
        <w:t>2.</w:t>
      </w:r>
      <w:r>
        <w:rPr>
          <w:rFonts w:hint="eastAsia"/>
          <w:highlight w:val="none"/>
        </w:rPr>
        <w:t>项目编号：</w:t>
      </w:r>
      <w:r>
        <w:rPr>
          <w:rFonts w:hint="eastAsia"/>
          <w:highlight w:val="none"/>
          <w:lang w:eastAsia="zh-CN"/>
        </w:rPr>
        <w:t>QZZC2025-G1-220230-QZSZ</w:t>
      </w:r>
    </w:p>
    <w:p>
      <w:pPr>
        <w:spacing w:line="410" w:lineRule="exact"/>
        <w:ind w:firstLine="420"/>
        <w:rPr>
          <w:highlight w:val="none"/>
        </w:rPr>
      </w:pPr>
      <w:r>
        <w:rPr>
          <w:rFonts w:hint="eastAsia"/>
          <w:highlight w:val="none"/>
        </w:rPr>
        <w:t>本招标文件仅适用于上述项目的招标、投标、评标、定标、验收、合同履约、付款等行为（法律、法规另有规定的，从其规定）。</w:t>
      </w:r>
    </w:p>
    <w:p>
      <w:pPr>
        <w:spacing w:line="410" w:lineRule="exact"/>
        <w:ind w:firstLine="211" w:firstLineChars="100"/>
        <w:rPr>
          <w:b/>
          <w:bCs/>
          <w:highlight w:val="none"/>
        </w:rPr>
      </w:pPr>
      <w:r>
        <w:rPr>
          <w:rFonts w:hint="eastAsia"/>
          <w:b/>
          <w:bCs/>
          <w:highlight w:val="none"/>
        </w:rPr>
        <w:t>（二）定义</w:t>
      </w:r>
      <w:bookmarkEnd w:id="104"/>
      <w:bookmarkEnd w:id="105"/>
      <w:bookmarkEnd w:id="106"/>
      <w:bookmarkEnd w:id="107"/>
    </w:p>
    <w:p>
      <w:pPr>
        <w:pStyle w:val="27"/>
        <w:snapToGrid w:val="0"/>
        <w:spacing w:line="410" w:lineRule="exact"/>
        <w:ind w:firstLine="420"/>
        <w:rPr>
          <w:rFonts w:hint="eastAsia" w:hAnsi="宋体"/>
          <w:highlight w:val="none"/>
        </w:rPr>
      </w:pPr>
      <w:bookmarkStart w:id="108" w:name="_Hlk92374304"/>
      <w:r>
        <w:rPr>
          <w:rFonts w:hAnsi="宋体"/>
          <w:bCs/>
          <w:highlight w:val="none"/>
        </w:rPr>
        <w:t>1.</w:t>
      </w:r>
      <w:r>
        <w:rPr>
          <w:rFonts w:hint="eastAsia" w:hAnsi="宋体"/>
          <w:bCs/>
          <w:highlight w:val="none"/>
        </w:rPr>
        <w:t>“采购人”系指</w:t>
      </w:r>
      <w:r>
        <w:rPr>
          <w:rFonts w:hAnsi="宋体"/>
          <w:highlight w:val="none"/>
        </w:rPr>
        <w:t>依法进行政府采购的国家机关、事业单位、团体组织</w:t>
      </w:r>
    </w:p>
    <w:p>
      <w:pPr>
        <w:pStyle w:val="27"/>
        <w:snapToGrid w:val="0"/>
        <w:spacing w:line="410" w:lineRule="exact"/>
        <w:ind w:firstLine="420"/>
        <w:rPr>
          <w:rFonts w:hint="eastAsia" w:hAnsi="宋体"/>
          <w:bCs/>
          <w:highlight w:val="none"/>
        </w:rPr>
      </w:pPr>
      <w:r>
        <w:rPr>
          <w:rFonts w:hAnsi="宋体"/>
          <w:bCs/>
          <w:highlight w:val="none"/>
        </w:rPr>
        <w:t>2.</w:t>
      </w:r>
      <w:r>
        <w:rPr>
          <w:rFonts w:hint="eastAsia" w:hAnsi="宋体"/>
          <w:bCs/>
          <w:highlight w:val="none"/>
        </w:rPr>
        <w:t>“投标人”系指向招标方提交投标文件的单位或自然人。</w:t>
      </w:r>
    </w:p>
    <w:p>
      <w:pPr>
        <w:pStyle w:val="27"/>
        <w:snapToGrid w:val="0"/>
        <w:spacing w:line="410" w:lineRule="exact"/>
        <w:ind w:firstLine="420"/>
        <w:rPr>
          <w:rFonts w:hint="eastAsia" w:hAnsi="宋体"/>
          <w:bCs/>
          <w:highlight w:val="none"/>
        </w:rPr>
      </w:pPr>
      <w:r>
        <w:rPr>
          <w:rFonts w:hAnsi="宋体"/>
          <w:bCs/>
          <w:highlight w:val="none"/>
        </w:rPr>
        <w:t>3.</w:t>
      </w:r>
      <w:r>
        <w:rPr>
          <w:rFonts w:hint="eastAsia" w:hAnsi="宋体"/>
          <w:bCs/>
          <w:highlight w:val="none"/>
        </w:rPr>
        <w:t>“采购代理机构”系指组织本次招标的钦州市政府采购中心（以下简称“本中心）。</w:t>
      </w:r>
    </w:p>
    <w:p>
      <w:pPr>
        <w:pStyle w:val="27"/>
        <w:snapToGrid w:val="0"/>
        <w:spacing w:line="410" w:lineRule="exact"/>
        <w:ind w:firstLine="420"/>
        <w:rPr>
          <w:rFonts w:hint="eastAsia" w:hAnsi="宋体"/>
          <w:bCs/>
          <w:highlight w:val="none"/>
        </w:rPr>
      </w:pPr>
      <w:r>
        <w:rPr>
          <w:rFonts w:hAnsi="宋体"/>
          <w:bCs/>
          <w:highlight w:val="none"/>
        </w:rPr>
        <w:t>4.</w:t>
      </w:r>
      <w:r>
        <w:rPr>
          <w:rFonts w:hint="eastAsia" w:hAnsi="宋体"/>
          <w:bCs/>
          <w:highlight w:val="none"/>
        </w:rPr>
        <w:t>“货物”系指各种形态和种类的物品，包括原材料、燃料、设备、产品等。</w:t>
      </w:r>
    </w:p>
    <w:p>
      <w:pPr>
        <w:pStyle w:val="27"/>
        <w:snapToGrid w:val="0"/>
        <w:spacing w:line="410" w:lineRule="exact"/>
        <w:ind w:firstLine="420"/>
        <w:rPr>
          <w:rFonts w:hint="eastAsia" w:hAnsi="宋体"/>
          <w:bCs/>
          <w:highlight w:val="none"/>
        </w:rPr>
      </w:pPr>
      <w:r>
        <w:rPr>
          <w:rFonts w:hAnsi="宋体"/>
          <w:bCs/>
          <w:highlight w:val="none"/>
        </w:rPr>
        <w:t>5.</w:t>
      </w:r>
      <w:r>
        <w:rPr>
          <w:rFonts w:hint="eastAsia" w:hAnsi="宋体"/>
          <w:bCs/>
          <w:highlight w:val="none"/>
        </w:rPr>
        <w:t>“服务”系指除货物和工程以外的其他政府采购对象。</w:t>
      </w:r>
    </w:p>
    <w:p>
      <w:pPr>
        <w:pStyle w:val="27"/>
        <w:snapToGrid w:val="0"/>
        <w:spacing w:line="410" w:lineRule="exact"/>
        <w:ind w:firstLine="420"/>
        <w:rPr>
          <w:rFonts w:hint="eastAsia" w:hAnsi="宋体"/>
          <w:bCs/>
          <w:highlight w:val="none"/>
        </w:rPr>
      </w:pPr>
      <w:r>
        <w:rPr>
          <w:rFonts w:hAnsi="宋体"/>
          <w:bCs/>
          <w:highlight w:val="none"/>
        </w:rPr>
        <w:t>6.</w:t>
      </w:r>
      <w:r>
        <w:rPr>
          <w:rFonts w:hint="eastAsia" w:hAnsi="宋体"/>
          <w:bCs/>
          <w:highlight w:val="none"/>
        </w:rPr>
        <w:t>“项目”系指投标人按招标文件规定向采购人提供的产品和服务。</w:t>
      </w:r>
    </w:p>
    <w:p>
      <w:pPr>
        <w:pStyle w:val="27"/>
        <w:snapToGrid w:val="0"/>
        <w:spacing w:line="410" w:lineRule="exact"/>
        <w:ind w:firstLine="420"/>
        <w:rPr>
          <w:rFonts w:hint="eastAsia" w:hAnsi="宋体"/>
          <w:bCs/>
          <w:highlight w:val="none"/>
        </w:rPr>
      </w:pPr>
      <w:r>
        <w:rPr>
          <w:rFonts w:hAnsi="宋体"/>
          <w:bCs/>
          <w:highlight w:val="none"/>
        </w:rPr>
        <w:t>7.</w:t>
      </w:r>
      <w:r>
        <w:rPr>
          <w:rFonts w:hint="eastAsia" w:hAnsi="宋体"/>
          <w:bCs/>
          <w:highlight w:val="none"/>
        </w:rPr>
        <w:t>“书面形式”</w:t>
      </w:r>
      <w:bookmarkEnd w:id="108"/>
      <w:r>
        <w:rPr>
          <w:rFonts w:hint="eastAsia" w:hAnsi="宋体"/>
          <w:bCs/>
          <w:highlight w:val="none"/>
        </w:rPr>
        <w:t>是合同书、信件、电报、电传、传真等可以有形地表现所载内容的形式。</w:t>
      </w:r>
    </w:p>
    <w:p>
      <w:pPr>
        <w:spacing w:line="410" w:lineRule="exact"/>
        <w:ind w:firstLine="211" w:firstLineChars="100"/>
        <w:rPr>
          <w:b/>
          <w:bCs/>
          <w:highlight w:val="none"/>
        </w:rPr>
      </w:pPr>
      <w:bookmarkStart w:id="109" w:name="_Toc353785279"/>
      <w:r>
        <w:rPr>
          <w:rFonts w:hint="eastAsia"/>
          <w:b/>
          <w:bCs/>
          <w:highlight w:val="none"/>
        </w:rPr>
        <w:t>（三）投标人资格</w:t>
      </w:r>
      <w:bookmarkEnd w:id="109"/>
    </w:p>
    <w:p>
      <w:pPr>
        <w:spacing w:line="412" w:lineRule="exact"/>
        <w:ind w:firstLine="420"/>
        <w:rPr>
          <w:b/>
          <w:highlight w:val="none"/>
        </w:rPr>
      </w:pPr>
      <w:bookmarkStart w:id="110" w:name="_Toc254970670"/>
      <w:bookmarkStart w:id="111" w:name="_Toc353785280"/>
      <w:bookmarkStart w:id="112" w:name="_Toc254970529"/>
      <w:bookmarkStart w:id="113" w:name="_Toc352700409"/>
      <w:bookmarkStart w:id="114" w:name="_Hlk92444465"/>
      <w:r>
        <w:rPr>
          <w:rFonts w:hint="eastAsia"/>
          <w:highlight w:val="none"/>
        </w:rPr>
        <w:t>1.满足《中华人民共和国政府采购法》第二十二条规定</w:t>
      </w:r>
    </w:p>
    <w:p>
      <w:pPr>
        <w:spacing w:line="412" w:lineRule="exact"/>
        <w:ind w:firstLine="420"/>
        <w:rPr>
          <w:highlight w:val="none"/>
        </w:rPr>
      </w:pPr>
      <w:r>
        <w:rPr>
          <w:rFonts w:hint="eastAsia"/>
          <w:highlight w:val="none"/>
        </w:rPr>
        <w:t>2.落实政府采购政策需满足的资格要求：无</w:t>
      </w:r>
    </w:p>
    <w:p>
      <w:pPr>
        <w:spacing w:line="410" w:lineRule="exact"/>
        <w:ind w:firstLine="420"/>
        <w:rPr>
          <w:rFonts w:hint="eastAsia" w:ascii="宋体" w:hAnsi="宋体"/>
          <w:highlight w:val="none"/>
        </w:rPr>
      </w:pPr>
      <w:r>
        <w:rPr>
          <w:rFonts w:hint="eastAsia"/>
          <w:highlight w:val="none"/>
        </w:rPr>
        <w:t>3.本项目的特定资格要求：无</w:t>
      </w:r>
    </w:p>
    <w:p>
      <w:pPr>
        <w:spacing w:line="410" w:lineRule="exact"/>
        <w:ind w:firstLine="211" w:firstLineChars="100"/>
        <w:rPr>
          <w:b/>
          <w:bCs/>
          <w:highlight w:val="none"/>
        </w:rPr>
      </w:pPr>
      <w:r>
        <w:rPr>
          <w:rFonts w:hint="eastAsia"/>
          <w:b/>
          <w:bCs/>
          <w:highlight w:val="none"/>
        </w:rPr>
        <w:t>（四）采购方式</w:t>
      </w:r>
      <w:bookmarkEnd w:id="110"/>
      <w:bookmarkEnd w:id="111"/>
      <w:bookmarkEnd w:id="112"/>
      <w:bookmarkEnd w:id="113"/>
    </w:p>
    <w:p>
      <w:pPr>
        <w:snapToGrid w:val="0"/>
        <w:spacing w:line="410" w:lineRule="exact"/>
        <w:ind w:firstLine="420"/>
        <w:rPr>
          <w:rFonts w:hint="eastAsia" w:ascii="宋体" w:hAnsi="宋体"/>
          <w:szCs w:val="21"/>
          <w:highlight w:val="none"/>
        </w:rPr>
      </w:pPr>
      <w:r>
        <w:rPr>
          <w:rFonts w:hint="eastAsia" w:ascii="宋体" w:hAnsi="宋体"/>
          <w:szCs w:val="21"/>
          <w:highlight w:val="none"/>
        </w:rPr>
        <w:t>公开招标方式。</w:t>
      </w:r>
    </w:p>
    <w:p>
      <w:pPr>
        <w:spacing w:line="410" w:lineRule="exact"/>
        <w:ind w:firstLine="211" w:firstLineChars="100"/>
        <w:rPr>
          <w:b/>
          <w:bCs/>
          <w:highlight w:val="none"/>
        </w:rPr>
      </w:pPr>
      <w:bookmarkStart w:id="115" w:name="_Toc254970671"/>
      <w:bookmarkStart w:id="116" w:name="_Toc353785281"/>
      <w:bookmarkStart w:id="117" w:name="_Toc254970530"/>
      <w:bookmarkStart w:id="118" w:name="_Toc352700410"/>
      <w:r>
        <w:rPr>
          <w:rFonts w:hint="eastAsia"/>
          <w:b/>
          <w:bCs/>
          <w:highlight w:val="none"/>
        </w:rPr>
        <w:t>（五）投标委托</w:t>
      </w:r>
      <w:bookmarkEnd w:id="115"/>
      <w:bookmarkEnd w:id="116"/>
      <w:bookmarkEnd w:id="117"/>
      <w:bookmarkEnd w:id="118"/>
    </w:p>
    <w:p>
      <w:pPr>
        <w:pStyle w:val="27"/>
        <w:snapToGrid w:val="0"/>
        <w:spacing w:line="410" w:lineRule="exact"/>
        <w:ind w:firstLine="420"/>
        <w:rPr>
          <w:rFonts w:hint="eastAsia" w:hAnsi="宋体"/>
          <w:bCs/>
          <w:highlight w:val="none"/>
        </w:rPr>
      </w:pPr>
      <w:r>
        <w:rPr>
          <w:rFonts w:hint="eastAsia" w:hAnsi="宋体"/>
          <w:bCs/>
          <w:highlight w:val="none"/>
        </w:rPr>
        <w:t>委托投标的投标人须提供授权委托书（格式见第六章）。</w:t>
      </w:r>
    </w:p>
    <w:p>
      <w:pPr>
        <w:spacing w:line="410" w:lineRule="exact"/>
        <w:ind w:firstLine="211" w:firstLineChars="100"/>
        <w:rPr>
          <w:b/>
          <w:bCs/>
          <w:highlight w:val="none"/>
        </w:rPr>
      </w:pPr>
      <w:bookmarkStart w:id="119" w:name="_Toc254970672"/>
      <w:bookmarkStart w:id="120" w:name="_Toc353785282"/>
      <w:bookmarkStart w:id="121" w:name="_Toc352700411"/>
      <w:bookmarkStart w:id="122" w:name="_Toc254970531"/>
      <w:r>
        <w:rPr>
          <w:rFonts w:hint="eastAsia"/>
          <w:b/>
          <w:bCs/>
          <w:highlight w:val="none"/>
        </w:rPr>
        <w:t>（六）投标费用</w:t>
      </w:r>
      <w:bookmarkEnd w:id="119"/>
      <w:bookmarkEnd w:id="120"/>
      <w:bookmarkEnd w:id="121"/>
      <w:bookmarkEnd w:id="122"/>
    </w:p>
    <w:p>
      <w:pPr>
        <w:snapToGrid w:val="0"/>
        <w:spacing w:line="410" w:lineRule="exact"/>
        <w:ind w:firstLine="420"/>
        <w:rPr>
          <w:rFonts w:hint="eastAsia" w:ascii="宋体" w:hAnsi="宋体"/>
          <w:szCs w:val="21"/>
          <w:highlight w:val="none"/>
        </w:rPr>
      </w:pPr>
      <w:r>
        <w:rPr>
          <w:rFonts w:hint="eastAsia" w:ascii="宋体" w:hAnsi="宋体"/>
          <w:szCs w:val="21"/>
          <w:highlight w:val="none"/>
        </w:rPr>
        <w:t>投标人自行承担所有与投标有关的全部费用。</w:t>
      </w:r>
    </w:p>
    <w:p>
      <w:pPr>
        <w:spacing w:line="410" w:lineRule="exact"/>
        <w:ind w:firstLine="211" w:firstLineChars="100"/>
        <w:rPr>
          <w:b/>
          <w:bCs/>
          <w:highlight w:val="none"/>
        </w:rPr>
      </w:pPr>
      <w:bookmarkStart w:id="123" w:name="_Toc353785283"/>
      <w:bookmarkStart w:id="124" w:name="_Toc352700413"/>
      <w:r>
        <w:rPr>
          <w:rFonts w:hint="eastAsia"/>
          <w:b/>
          <w:bCs/>
          <w:highlight w:val="none"/>
        </w:rPr>
        <w:t>（七）转包与分包</w:t>
      </w:r>
      <w:bookmarkEnd w:id="123"/>
      <w:bookmarkEnd w:id="124"/>
    </w:p>
    <w:p>
      <w:pPr>
        <w:snapToGrid w:val="0"/>
        <w:spacing w:line="410" w:lineRule="exact"/>
        <w:ind w:firstLine="420"/>
        <w:rPr>
          <w:rFonts w:hint="eastAsia" w:ascii="宋体" w:hAnsi="宋体" w:cs="宋体"/>
          <w:kern w:val="0"/>
          <w:szCs w:val="21"/>
          <w:highlight w:val="none"/>
        </w:rPr>
      </w:pPr>
      <w:r>
        <w:rPr>
          <w:rFonts w:ascii="宋体" w:hAnsi="宋体" w:cs="宋体"/>
          <w:kern w:val="0"/>
          <w:szCs w:val="21"/>
          <w:highlight w:val="none"/>
        </w:rPr>
        <w:t>1.</w:t>
      </w:r>
      <w:r>
        <w:rPr>
          <w:rFonts w:hint="eastAsia" w:ascii="宋体" w:hAnsi="宋体" w:cs="宋体"/>
          <w:kern w:val="0"/>
          <w:szCs w:val="21"/>
          <w:highlight w:val="none"/>
        </w:rPr>
        <w:t>本项目不允许转包。</w:t>
      </w:r>
    </w:p>
    <w:p>
      <w:pPr>
        <w:snapToGrid w:val="0"/>
        <w:spacing w:line="410" w:lineRule="exact"/>
        <w:ind w:firstLine="420"/>
        <w:rPr>
          <w:rFonts w:hint="eastAsia" w:ascii="宋体" w:hAnsi="宋体" w:cs="宋体"/>
          <w:kern w:val="0"/>
          <w:szCs w:val="21"/>
          <w:highlight w:val="none"/>
        </w:rPr>
      </w:pPr>
      <w:r>
        <w:rPr>
          <w:rFonts w:ascii="宋体" w:hAnsi="宋体" w:cs="宋体"/>
          <w:kern w:val="0"/>
          <w:szCs w:val="21"/>
          <w:highlight w:val="none"/>
        </w:rPr>
        <w:t>2.</w:t>
      </w:r>
      <w:r>
        <w:rPr>
          <w:rFonts w:hint="eastAsia" w:ascii="宋体" w:hAnsi="宋体" w:cs="宋体"/>
          <w:kern w:val="0"/>
          <w:szCs w:val="21"/>
          <w:highlight w:val="none"/>
        </w:rPr>
        <w:t>采购人允许采用分包方式履行合同的，应当在采购文件中明确可以分包履行的具体内容、金额或者比例。采购合同分包履行的</w:t>
      </w:r>
      <w:r>
        <w:rPr>
          <w:rFonts w:hint="eastAsia" w:ascii="宋体" w:hAnsi="宋体"/>
          <w:kern w:val="0"/>
          <w:szCs w:val="21"/>
          <w:highlight w:val="none"/>
        </w:rPr>
        <w:t>，中标人就采购项目和分包项目向采购人负责，分包供应商就分包项目承担责任。</w:t>
      </w:r>
    </w:p>
    <w:p>
      <w:pPr>
        <w:snapToGrid w:val="0"/>
        <w:spacing w:line="410" w:lineRule="exact"/>
        <w:ind w:firstLine="420"/>
        <w:rPr>
          <w:rFonts w:hint="eastAsia" w:ascii="宋体" w:hAnsi="宋体" w:cs="宋体"/>
          <w:kern w:val="0"/>
          <w:szCs w:val="21"/>
          <w:highlight w:val="none"/>
        </w:rPr>
      </w:pPr>
      <w:r>
        <w:rPr>
          <w:rFonts w:ascii="宋体" w:hAnsi="宋体" w:cs="宋体"/>
          <w:kern w:val="0"/>
          <w:szCs w:val="21"/>
          <w:highlight w:val="none"/>
        </w:rPr>
        <w:t>3.</w:t>
      </w:r>
      <w:r>
        <w:rPr>
          <w:rFonts w:hint="eastAsia" w:ascii="宋体" w:hAnsi="宋体" w:cs="宋体"/>
          <w:kern w:val="0"/>
          <w:szCs w:val="21"/>
          <w:highlight w:val="none"/>
        </w:rPr>
        <w:t>依据《政府采购促进中小企业发展管理办法》规定享受扶持政策获得政府采购合同的，小微企业不得将合同分包给大中型企业，中型企业不得将合同分包给大型企业。</w:t>
      </w:r>
    </w:p>
    <w:bookmarkEnd w:id="114"/>
    <w:p>
      <w:pPr>
        <w:spacing w:line="410" w:lineRule="exact"/>
        <w:ind w:firstLine="211" w:firstLineChars="100"/>
        <w:rPr>
          <w:b/>
          <w:bCs/>
          <w:highlight w:val="none"/>
        </w:rPr>
      </w:pPr>
      <w:bookmarkStart w:id="125" w:name="_Toc254970673"/>
      <w:bookmarkStart w:id="126" w:name="_Toc353785284"/>
      <w:bookmarkStart w:id="127" w:name="_Toc352700414"/>
      <w:bookmarkStart w:id="128" w:name="_Toc254970532"/>
      <w:bookmarkStart w:id="129" w:name="_Hlk92444771"/>
      <w:r>
        <w:rPr>
          <w:rFonts w:hint="eastAsia"/>
          <w:b/>
          <w:bCs/>
          <w:highlight w:val="none"/>
        </w:rPr>
        <w:t>（八）特别说明：</w:t>
      </w:r>
      <w:bookmarkEnd w:id="125"/>
      <w:bookmarkEnd w:id="126"/>
      <w:bookmarkEnd w:id="127"/>
      <w:bookmarkEnd w:id="128"/>
    </w:p>
    <w:p>
      <w:pPr>
        <w:pStyle w:val="19"/>
        <w:ind w:firstLine="420"/>
        <w:rPr>
          <w:rFonts w:hint="eastAsia" w:ascii="宋体" w:hAnsi="宋体" w:cs="宋体"/>
          <w:kern w:val="0"/>
          <w:sz w:val="21"/>
          <w:szCs w:val="21"/>
          <w:highlight w:val="none"/>
        </w:rPr>
      </w:pPr>
      <w:r>
        <w:rPr>
          <w:rFonts w:hint="eastAsia" w:ascii="宋体" w:hAnsi="宋体" w:cs="宋体"/>
          <w:kern w:val="0"/>
          <w:sz w:val="21"/>
          <w:szCs w:val="21"/>
          <w:highlight w:val="none"/>
        </w:rPr>
        <w:t>关联供应商不得参加同一合同项下政府采购活动，否则投标文件将被视为无效：</w:t>
      </w:r>
    </w:p>
    <w:p>
      <w:pPr>
        <w:pStyle w:val="19"/>
        <w:ind w:firstLine="480"/>
        <w:rPr>
          <w:highlight w:val="none"/>
        </w:rPr>
      </w:pPr>
    </w:p>
    <w:p>
      <w:pPr>
        <w:spacing w:line="410" w:lineRule="exact"/>
        <w:ind w:firstLine="210" w:firstLineChars="100"/>
        <w:rPr>
          <w:rFonts w:hint="eastAsia" w:ascii="宋体" w:hAnsi="宋体"/>
          <w:highlight w:val="none"/>
        </w:rPr>
      </w:pPr>
      <w:bookmarkStart w:id="130" w:name="_Toc352700415"/>
      <w:bookmarkStart w:id="131" w:name="_Toc254970533"/>
      <w:bookmarkStart w:id="132" w:name="_Toc353785285"/>
      <w:bookmarkStart w:id="133" w:name="_Toc254970674"/>
      <w:r>
        <w:rPr>
          <w:rFonts w:hint="eastAsia" w:ascii="宋体" w:hAnsi="宋体"/>
          <w:highlight w:val="none"/>
        </w:rPr>
        <w:t>1.单位负责人为同一人或者存在直接控股、管理关系的不同的投标人，不得参加同一合同项下的政府采购活动。</w:t>
      </w:r>
    </w:p>
    <w:p>
      <w:pPr>
        <w:spacing w:line="410" w:lineRule="exact"/>
        <w:ind w:firstLine="210" w:firstLineChars="100"/>
        <w:rPr>
          <w:rFonts w:hint="eastAsia" w:ascii="宋体" w:hAnsi="宋体"/>
          <w:highlight w:val="none"/>
        </w:rPr>
      </w:pPr>
      <w:r>
        <w:rPr>
          <w:rFonts w:hint="eastAsia" w:ascii="宋体" w:hAnsi="宋体"/>
          <w:highlight w:val="none"/>
        </w:rPr>
        <w:t>2.为采购项目提供整体设计、规范编制或者项目管理、监理、检测等服务的投标人，不得再参加该采购项目的其他采购活动。</w:t>
      </w:r>
    </w:p>
    <w:p>
      <w:pPr>
        <w:spacing w:line="410" w:lineRule="exact"/>
        <w:ind w:firstLine="211" w:firstLineChars="100"/>
        <w:rPr>
          <w:b/>
          <w:bCs/>
          <w:highlight w:val="none"/>
        </w:rPr>
      </w:pPr>
      <w:r>
        <w:rPr>
          <w:rFonts w:hint="eastAsia"/>
          <w:b/>
          <w:bCs/>
          <w:highlight w:val="none"/>
        </w:rPr>
        <w:t>（九）询问、质疑和投诉</w:t>
      </w:r>
      <w:bookmarkEnd w:id="130"/>
      <w:bookmarkEnd w:id="131"/>
      <w:bookmarkEnd w:id="132"/>
      <w:bookmarkEnd w:id="133"/>
    </w:p>
    <w:p>
      <w:pPr>
        <w:pStyle w:val="27"/>
        <w:snapToGrid w:val="0"/>
        <w:spacing w:line="410" w:lineRule="exact"/>
        <w:ind w:firstLine="420"/>
        <w:rPr>
          <w:rFonts w:hint="eastAsia" w:ascii="宋体" w:hAnsi="宋体" w:eastAsia="宋体" w:cs="宋体"/>
          <w:bCs/>
          <w:highlight w:val="none"/>
        </w:rPr>
      </w:pPr>
      <w:r>
        <w:rPr>
          <w:rFonts w:hint="eastAsia" w:ascii="宋体" w:hAnsi="宋体" w:eastAsia="宋体" w:cs="宋体"/>
          <w:bCs/>
          <w:highlight w:val="none"/>
        </w:rPr>
        <w:t>1.</w:t>
      </w:r>
      <w:r>
        <w:rPr>
          <w:rFonts w:hint="eastAsia" w:ascii="宋体" w:hAnsi="宋体" w:eastAsia="宋体" w:cs="宋体"/>
          <w:kern w:val="0"/>
          <w:highlight w:val="none"/>
        </w:rPr>
        <w:t>投标人对政府采购活动事项有疑问的，可以向采购人提出询问，采购人</w:t>
      </w:r>
      <w:r>
        <w:rPr>
          <w:rFonts w:hint="eastAsia" w:ascii="宋体" w:hAnsi="宋体" w:eastAsia="宋体" w:cs="宋体"/>
          <w:kern w:val="0"/>
          <w:highlight w:val="none"/>
          <w:lang w:val="en-US" w:eastAsia="zh-CN"/>
        </w:rPr>
        <w:t>应</w:t>
      </w:r>
      <w:r>
        <w:rPr>
          <w:rFonts w:hint="eastAsia" w:ascii="宋体" w:hAnsi="宋体" w:eastAsia="宋体" w:cs="宋体"/>
          <w:kern w:val="0"/>
          <w:highlight w:val="none"/>
        </w:rPr>
        <w:t>当在3个工作日内对投标人依法提出的询问作出答复，但答复的内容不得涉及商业秘密。</w:t>
      </w:r>
    </w:p>
    <w:p>
      <w:pPr>
        <w:pStyle w:val="27"/>
        <w:snapToGrid w:val="0"/>
        <w:spacing w:line="410" w:lineRule="exact"/>
        <w:ind w:firstLine="420"/>
        <w:rPr>
          <w:rFonts w:hint="eastAsia" w:ascii="宋体" w:hAnsi="宋体" w:eastAsia="宋体" w:cs="宋体"/>
          <w:bCs/>
          <w:highlight w:val="none"/>
        </w:rPr>
      </w:pPr>
      <w:r>
        <w:rPr>
          <w:rFonts w:hint="eastAsia" w:ascii="宋体" w:hAnsi="宋体" w:eastAsia="宋体" w:cs="宋体"/>
          <w:bCs/>
          <w:highlight w:val="none"/>
        </w:rPr>
        <w:t>2.投标人认为招标文件、招标过程或中标结果使自己的合法权益受到损害的，可以在知道或者应知其权益受到损害之日起7个工作日内，</w:t>
      </w:r>
      <w:r>
        <w:rPr>
          <w:rFonts w:hint="eastAsia" w:ascii="宋体" w:hAnsi="宋体" w:eastAsia="宋体" w:cs="宋体"/>
          <w:highlight w:val="none"/>
        </w:rPr>
        <w:t>以书面形式（政采云平台）向采购人提出质疑。</w:t>
      </w:r>
      <w:r>
        <w:rPr>
          <w:rFonts w:hint="eastAsia" w:ascii="宋体" w:hAnsi="宋体" w:eastAsia="宋体" w:cs="宋体"/>
          <w:bCs/>
          <w:highlight w:val="none"/>
        </w:rPr>
        <w:t>投标人必须在法定质疑期内一次性提出针对同一采购程序环节的质疑。</w:t>
      </w:r>
      <w:r>
        <w:rPr>
          <w:rFonts w:hint="eastAsia" w:ascii="宋体" w:hAnsi="宋体" w:eastAsia="宋体" w:cs="宋体"/>
          <w:highlight w:val="none"/>
        </w:rPr>
        <w:t>投标人应知其权益受到损害之日，是指：</w:t>
      </w:r>
    </w:p>
    <w:p>
      <w:pPr>
        <w:pStyle w:val="27"/>
        <w:adjustRightInd w:val="0"/>
        <w:snapToGrid w:val="0"/>
        <w:spacing w:line="410" w:lineRule="exact"/>
        <w:ind w:firstLine="308" w:firstLineChars="147"/>
        <w:rPr>
          <w:rFonts w:hint="eastAsia" w:ascii="宋体" w:hAnsi="宋体" w:eastAsia="宋体" w:cs="宋体"/>
          <w:bCs/>
          <w:highlight w:val="none"/>
        </w:rPr>
      </w:pPr>
      <w:r>
        <w:rPr>
          <w:rFonts w:hint="eastAsia" w:ascii="宋体" w:hAnsi="宋体" w:eastAsia="宋体" w:cs="宋体"/>
          <w:bCs/>
          <w:highlight w:val="none"/>
        </w:rPr>
        <w:t>(1)对招标文件提出质疑的，为获取招标文件之日；</w:t>
      </w:r>
    </w:p>
    <w:p>
      <w:pPr>
        <w:pStyle w:val="27"/>
        <w:adjustRightInd w:val="0"/>
        <w:snapToGrid w:val="0"/>
        <w:spacing w:line="410" w:lineRule="exact"/>
        <w:ind w:firstLine="308" w:firstLineChars="147"/>
        <w:rPr>
          <w:rFonts w:hint="eastAsia" w:ascii="宋体" w:hAnsi="宋体" w:eastAsia="宋体" w:cs="宋体"/>
          <w:bCs/>
          <w:highlight w:val="none"/>
        </w:rPr>
      </w:pPr>
      <w:r>
        <w:rPr>
          <w:rFonts w:hint="eastAsia" w:ascii="宋体" w:hAnsi="宋体" w:eastAsia="宋体" w:cs="宋体"/>
          <w:bCs/>
          <w:highlight w:val="none"/>
        </w:rPr>
        <w:t>(2)对招标过程提出质疑的，为各采购程序环节结束之日；</w:t>
      </w:r>
    </w:p>
    <w:p>
      <w:pPr>
        <w:widowControl/>
        <w:adjustRightInd w:val="0"/>
        <w:snapToGrid w:val="0"/>
        <w:spacing w:line="410" w:lineRule="exact"/>
        <w:ind w:firstLine="102" w:firstLineChars="49"/>
        <w:jc w:val="left"/>
        <w:rPr>
          <w:rFonts w:hint="eastAsia" w:ascii="宋体" w:hAnsi="宋体" w:eastAsia="宋体" w:cs="宋体"/>
          <w:bCs/>
          <w:szCs w:val="21"/>
          <w:highlight w:val="none"/>
        </w:rPr>
      </w:pPr>
      <w:r>
        <w:rPr>
          <w:rFonts w:hint="eastAsia" w:ascii="宋体" w:hAnsi="宋体" w:eastAsia="宋体" w:cs="宋体"/>
          <w:bCs/>
          <w:szCs w:val="21"/>
          <w:highlight w:val="none"/>
        </w:rPr>
        <w:t xml:space="preserve">  (3)对中标结果提出质疑的，为中标结果公告期限届满之日。</w:t>
      </w:r>
    </w:p>
    <w:p>
      <w:pPr>
        <w:widowControl/>
        <w:adjustRightInd w:val="0"/>
        <w:snapToGrid w:val="0"/>
        <w:spacing w:line="410" w:lineRule="exact"/>
        <w:ind w:firstLine="420"/>
        <w:jc w:val="left"/>
        <w:rPr>
          <w:rFonts w:hint="eastAsia" w:ascii="宋体" w:hAnsi="宋体" w:eastAsia="宋体" w:cs="宋体"/>
          <w:bCs/>
          <w:szCs w:val="21"/>
          <w:highlight w:val="none"/>
        </w:rPr>
      </w:pPr>
      <w:r>
        <w:rPr>
          <w:rFonts w:hint="eastAsia" w:ascii="宋体" w:hAnsi="宋体" w:eastAsia="宋体" w:cs="宋体"/>
          <w:bCs/>
          <w:szCs w:val="21"/>
          <w:highlight w:val="none"/>
        </w:rPr>
        <w:t>3.</w:t>
      </w:r>
      <w:r>
        <w:rPr>
          <w:rFonts w:hint="eastAsia" w:ascii="宋体" w:hAnsi="宋体" w:eastAsia="宋体" w:cs="宋体"/>
          <w:highlight w:val="none"/>
        </w:rPr>
        <w:t>投标人对采购人质疑答复不满意或者采购人未在规定时间内作出答复的，可以在答复期满后十五个工作日内向同级采购监管部门投诉。</w:t>
      </w:r>
    </w:p>
    <w:p>
      <w:pPr>
        <w:pStyle w:val="27"/>
        <w:snapToGrid w:val="0"/>
        <w:spacing w:line="410" w:lineRule="exact"/>
        <w:ind w:firstLine="420"/>
        <w:rPr>
          <w:rFonts w:hint="eastAsia" w:ascii="黑体" w:hAnsi="黑体" w:eastAsia="黑体" w:cs="黑体"/>
          <w:bCs/>
          <w:highlight w:val="none"/>
        </w:rPr>
      </w:pPr>
      <w:r>
        <w:rPr>
          <w:rFonts w:hint="eastAsia" w:ascii="黑体" w:hAnsi="黑体" w:eastAsia="黑体" w:cs="黑体"/>
          <w:bCs/>
          <w:highlight w:val="none"/>
        </w:rPr>
        <w:t>4.质疑、投诉应当采用书面形式，质疑书、投诉书均应明确阐述招标文件、招标过程或中标结果中使自己合法权益受到损害的实质性内容，提供相关事实、依据和证据及其来源或线索，便于有关单位调查、答复和处理。</w:t>
      </w:r>
    </w:p>
    <w:p>
      <w:pPr>
        <w:spacing w:line="41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质疑部门联系方式</w:t>
      </w:r>
      <w:r>
        <w:rPr>
          <w:rFonts w:hint="eastAsia" w:ascii="宋体" w:hAnsi="宋体" w:eastAsia="宋体" w:cs="宋体"/>
          <w:highlight w:val="none"/>
          <w:lang w:eastAsia="zh-CN"/>
        </w:rPr>
        <w:t>：</w:t>
      </w:r>
      <w:r>
        <w:rPr>
          <w:rFonts w:hint="eastAsia" w:ascii="宋体" w:hAnsi="宋体" w:cs="宋体"/>
          <w:highlight w:val="none"/>
          <w:lang w:eastAsia="zh-CN"/>
        </w:rPr>
        <w:t>浦北县教育局</w:t>
      </w:r>
      <w:r>
        <w:rPr>
          <w:rFonts w:hint="eastAsia" w:ascii="宋体" w:hAnsi="宋体" w:eastAsia="宋体" w:cs="宋体"/>
          <w:highlight w:val="none"/>
        </w:rPr>
        <w:t xml:space="preserve">          0777-</w:t>
      </w:r>
      <w:r>
        <w:rPr>
          <w:rFonts w:hint="eastAsia" w:ascii="宋体" w:hAnsi="宋体" w:eastAsia="宋体" w:cs="宋体"/>
          <w:highlight w:val="none"/>
          <w:lang w:val="en-US" w:eastAsia="zh-CN"/>
        </w:rPr>
        <w:t>8319585</w:t>
      </w:r>
    </w:p>
    <w:p>
      <w:pPr>
        <w:spacing w:line="410" w:lineRule="exact"/>
        <w:ind w:firstLine="420"/>
        <w:jc w:val="left"/>
        <w:rPr>
          <w:rFonts w:hint="eastAsia" w:ascii="宋体" w:hAnsi="宋体" w:eastAsia="宋体" w:cs="宋体"/>
          <w:highlight w:val="none"/>
        </w:rPr>
      </w:pPr>
      <w:r>
        <w:rPr>
          <w:rFonts w:hint="eastAsia" w:ascii="宋体" w:hAnsi="宋体" w:eastAsia="宋体" w:cs="宋体"/>
          <w:highlight w:val="none"/>
        </w:rPr>
        <w:t xml:space="preserve">采购监管部门联系方式：浦北县财政局      </w:t>
      </w:r>
      <w:bookmarkStart w:id="134" w:name="OLE_LINK1"/>
      <w:r>
        <w:rPr>
          <w:rFonts w:hint="eastAsia" w:ascii="宋体" w:hAnsi="宋体" w:eastAsia="宋体" w:cs="宋体"/>
          <w:highlight w:val="none"/>
        </w:rPr>
        <w:t>0777-8314622</w:t>
      </w:r>
      <w:bookmarkEnd w:id="134"/>
    </w:p>
    <w:p>
      <w:pPr>
        <w:spacing w:line="410" w:lineRule="exact"/>
        <w:ind w:firstLine="211" w:firstLineChars="100"/>
        <w:rPr>
          <w:rFonts w:hint="eastAsia" w:hAnsi="宋体"/>
          <w:highlight w:val="none"/>
        </w:rPr>
      </w:pPr>
      <w:bookmarkStart w:id="135" w:name="_Hlk92793564"/>
      <w:r>
        <w:rPr>
          <w:rFonts w:hint="eastAsia"/>
          <w:b/>
          <w:bCs/>
          <w:highlight w:val="none"/>
        </w:rPr>
        <w:t>（十）查询媒体</w:t>
      </w:r>
      <w:bookmarkEnd w:id="129"/>
      <w:bookmarkEnd w:id="135"/>
      <w:r>
        <w:rPr>
          <w:rFonts w:hint="eastAsia"/>
          <w:b/>
          <w:bCs/>
          <w:highlight w:val="none"/>
        </w:rPr>
        <w:t>:</w:t>
      </w:r>
      <w:r>
        <w:rPr>
          <w:highlight w:val="none"/>
        </w:rPr>
        <w:fldChar w:fldCharType="begin"/>
      </w:r>
      <w:r>
        <w:rPr>
          <w:highlight w:val="none"/>
        </w:rPr>
        <w:instrText xml:space="preserve"> HYPERLINK "http://www.ccgp.gov.cn/" </w:instrText>
      </w:r>
      <w:r>
        <w:rPr>
          <w:highlight w:val="none"/>
        </w:rPr>
        <w:fldChar w:fldCharType="separate"/>
      </w:r>
      <w:r>
        <w:rPr>
          <w:rStyle w:val="58"/>
          <w:rFonts w:hint="eastAsia" w:hAnsi="宋体"/>
          <w:color w:val="auto"/>
          <w:highlight w:val="none"/>
          <w:u w:val="none"/>
        </w:rPr>
        <w:t>中国政府采购网</w:t>
      </w:r>
      <w:r>
        <w:rPr>
          <w:rStyle w:val="58"/>
          <w:rFonts w:hint="eastAsia" w:hAnsi="宋体"/>
          <w:color w:val="auto"/>
          <w:highlight w:val="none"/>
          <w:u w:val="none"/>
        </w:rPr>
        <w:fldChar w:fldCharType="end"/>
      </w:r>
      <w:r>
        <w:rPr>
          <w:rFonts w:hint="eastAsia" w:hAnsi="宋体"/>
          <w:highlight w:val="none"/>
        </w:rPr>
        <w:t>、</w:t>
      </w:r>
      <w:r>
        <w:rPr>
          <w:highlight w:val="none"/>
        </w:rPr>
        <w:fldChar w:fldCharType="begin"/>
      </w:r>
      <w:r>
        <w:rPr>
          <w:highlight w:val="none"/>
        </w:rPr>
        <w:instrText xml:space="preserve"> HYPERLINK "http://zfcg.gxzf.gov.cn/" </w:instrText>
      </w:r>
      <w:r>
        <w:rPr>
          <w:highlight w:val="none"/>
        </w:rPr>
        <w:fldChar w:fldCharType="separate"/>
      </w:r>
      <w:r>
        <w:rPr>
          <w:rFonts w:hint="eastAsia" w:hAnsi="宋体"/>
          <w:highlight w:val="none"/>
        </w:rPr>
        <w:t>广西政府采购网</w:t>
      </w:r>
      <w:r>
        <w:rPr>
          <w:rFonts w:hint="eastAsia" w:hAnsi="宋体"/>
          <w:highlight w:val="none"/>
        </w:rPr>
        <w:fldChar w:fldCharType="end"/>
      </w:r>
      <w:r>
        <w:rPr>
          <w:rFonts w:hint="eastAsia" w:hAnsi="宋体"/>
          <w:highlight w:val="none"/>
        </w:rPr>
        <w:t>。</w:t>
      </w:r>
    </w:p>
    <w:p>
      <w:pPr>
        <w:spacing w:line="410" w:lineRule="exact"/>
        <w:ind w:firstLine="211" w:firstLineChars="100"/>
        <w:rPr>
          <w:b/>
          <w:bCs/>
          <w:highlight w:val="none"/>
        </w:rPr>
      </w:pPr>
    </w:p>
    <w:p>
      <w:pPr>
        <w:pStyle w:val="4"/>
        <w:spacing w:before="0" w:after="0" w:line="410" w:lineRule="exact"/>
        <w:ind w:firstLine="0" w:firstLineChars="0"/>
        <w:rPr>
          <w:rFonts w:ascii="方正小标宋_GBK" w:eastAsia="方正小标宋_GBK"/>
          <w:sz w:val="24"/>
          <w:szCs w:val="24"/>
          <w:highlight w:val="none"/>
        </w:rPr>
      </w:pPr>
      <w:bookmarkStart w:id="136" w:name="_Toc353785286"/>
      <w:bookmarkStart w:id="137" w:name="_Toc352700416"/>
      <w:r>
        <w:rPr>
          <w:rFonts w:hint="eastAsia" w:ascii="方正小标宋_GBK" w:eastAsia="方正小标宋_GBK"/>
          <w:sz w:val="24"/>
          <w:szCs w:val="24"/>
          <w:highlight w:val="none"/>
        </w:rPr>
        <w:t>二、招标文件</w:t>
      </w:r>
      <w:bookmarkEnd w:id="136"/>
      <w:bookmarkEnd w:id="137"/>
    </w:p>
    <w:p>
      <w:pPr>
        <w:spacing w:line="410" w:lineRule="exact"/>
        <w:ind w:firstLine="211" w:firstLineChars="100"/>
        <w:rPr>
          <w:b/>
          <w:bCs/>
          <w:highlight w:val="none"/>
        </w:rPr>
      </w:pPr>
      <w:bookmarkStart w:id="138" w:name="_Toc353785287"/>
      <w:bookmarkStart w:id="139" w:name="_Toc352700417"/>
      <w:r>
        <w:rPr>
          <w:rFonts w:hint="eastAsia"/>
          <w:b/>
          <w:bCs/>
          <w:highlight w:val="none"/>
        </w:rPr>
        <w:t>（一）招标文件的组成</w:t>
      </w:r>
      <w:bookmarkEnd w:id="138"/>
      <w:bookmarkEnd w:id="139"/>
    </w:p>
    <w:p>
      <w:pPr>
        <w:pStyle w:val="27"/>
        <w:snapToGrid w:val="0"/>
        <w:spacing w:line="410" w:lineRule="exact"/>
        <w:ind w:firstLine="420"/>
        <w:rPr>
          <w:rFonts w:hint="eastAsia" w:hAnsi="宋体"/>
          <w:highlight w:val="none"/>
        </w:rPr>
      </w:pPr>
      <w:r>
        <w:rPr>
          <w:rFonts w:hint="eastAsia" w:hAnsi="宋体"/>
          <w:highlight w:val="none"/>
        </w:rPr>
        <w:t>第一章 招标公告</w:t>
      </w:r>
    </w:p>
    <w:p>
      <w:pPr>
        <w:pStyle w:val="27"/>
        <w:snapToGrid w:val="0"/>
        <w:spacing w:line="410" w:lineRule="exact"/>
        <w:ind w:firstLine="420"/>
        <w:rPr>
          <w:rFonts w:hint="eastAsia" w:hAnsi="宋体"/>
          <w:highlight w:val="none"/>
        </w:rPr>
      </w:pPr>
      <w:r>
        <w:rPr>
          <w:rFonts w:hint="eastAsia" w:hAnsi="宋体"/>
          <w:highlight w:val="none"/>
        </w:rPr>
        <w:t>第二章 项目需求</w:t>
      </w:r>
    </w:p>
    <w:p>
      <w:pPr>
        <w:pStyle w:val="27"/>
        <w:snapToGrid w:val="0"/>
        <w:spacing w:line="410" w:lineRule="exact"/>
        <w:ind w:firstLine="420"/>
        <w:rPr>
          <w:rFonts w:hint="eastAsia" w:hAnsi="宋体"/>
          <w:highlight w:val="none"/>
        </w:rPr>
      </w:pPr>
      <w:r>
        <w:rPr>
          <w:rFonts w:hint="eastAsia" w:hAnsi="宋体"/>
          <w:highlight w:val="none"/>
        </w:rPr>
        <w:t>第三章 投标人须知及前附表</w:t>
      </w:r>
    </w:p>
    <w:p>
      <w:pPr>
        <w:pStyle w:val="27"/>
        <w:snapToGrid w:val="0"/>
        <w:spacing w:line="410" w:lineRule="exact"/>
        <w:ind w:firstLine="420"/>
        <w:rPr>
          <w:rFonts w:hint="eastAsia" w:hAnsi="宋体"/>
          <w:highlight w:val="none"/>
        </w:rPr>
      </w:pPr>
      <w:r>
        <w:rPr>
          <w:rFonts w:hint="eastAsia" w:hAnsi="宋体"/>
          <w:highlight w:val="none"/>
        </w:rPr>
        <w:t>第四章 评定标准及推荐原则</w:t>
      </w:r>
    </w:p>
    <w:p>
      <w:pPr>
        <w:pStyle w:val="27"/>
        <w:snapToGrid w:val="0"/>
        <w:spacing w:line="410" w:lineRule="exact"/>
        <w:ind w:firstLine="420"/>
        <w:rPr>
          <w:rFonts w:hint="eastAsia" w:hAnsi="宋体"/>
          <w:highlight w:val="none"/>
        </w:rPr>
      </w:pPr>
      <w:r>
        <w:rPr>
          <w:rFonts w:hint="eastAsia" w:hAnsi="宋体"/>
          <w:highlight w:val="none"/>
        </w:rPr>
        <w:t>第五章 政府采购合同主要条款</w:t>
      </w:r>
    </w:p>
    <w:p>
      <w:pPr>
        <w:pStyle w:val="27"/>
        <w:snapToGrid w:val="0"/>
        <w:spacing w:line="410" w:lineRule="exact"/>
        <w:ind w:firstLine="420"/>
        <w:rPr>
          <w:rFonts w:hint="eastAsia" w:hAnsi="宋体"/>
          <w:highlight w:val="none"/>
        </w:rPr>
      </w:pPr>
      <w:r>
        <w:rPr>
          <w:rFonts w:hint="eastAsia" w:hAnsi="宋体"/>
          <w:highlight w:val="none"/>
        </w:rPr>
        <w:t>第六章 投标文件格式</w:t>
      </w:r>
    </w:p>
    <w:p>
      <w:pPr>
        <w:spacing w:line="410" w:lineRule="exact"/>
        <w:ind w:firstLine="211" w:firstLineChars="100"/>
        <w:rPr>
          <w:b/>
          <w:bCs/>
          <w:highlight w:val="none"/>
        </w:rPr>
      </w:pPr>
      <w:bookmarkStart w:id="140" w:name="_Toc353785289"/>
      <w:bookmarkStart w:id="141" w:name="_Toc352700419"/>
      <w:r>
        <w:rPr>
          <w:rFonts w:hint="eastAsia"/>
          <w:b/>
          <w:bCs/>
          <w:highlight w:val="none"/>
        </w:rPr>
        <w:t>（二）招标文件的澄清与修改</w:t>
      </w:r>
      <w:bookmarkEnd w:id="140"/>
      <w:bookmarkEnd w:id="141"/>
    </w:p>
    <w:p>
      <w:pPr>
        <w:pStyle w:val="27"/>
        <w:snapToGrid w:val="0"/>
        <w:spacing w:line="410" w:lineRule="exact"/>
        <w:ind w:firstLine="420"/>
        <w:jc w:val="left"/>
        <w:rPr>
          <w:highlight w:val="none"/>
        </w:rPr>
      </w:pPr>
      <w:r>
        <w:rPr>
          <w:rFonts w:hAnsi="宋体"/>
          <w:highlight w:val="none"/>
        </w:rPr>
        <w:t>1.</w:t>
      </w:r>
      <w:r>
        <w:rPr>
          <w:highlight w:val="none"/>
        </w:rPr>
        <w:t>采购人</w:t>
      </w:r>
      <w:r>
        <w:rPr>
          <w:rFonts w:hint="eastAsia"/>
          <w:highlight w:val="none"/>
        </w:rPr>
        <w:t>或者本中心</w:t>
      </w:r>
      <w:r>
        <w:rPr>
          <w:highlight w:val="none"/>
        </w:rPr>
        <w:t>可以对已发出的招标文件进行必要的</w:t>
      </w:r>
      <w:bookmarkStart w:id="142" w:name="_Hlk92287343"/>
      <w:r>
        <w:rPr>
          <w:highlight w:val="none"/>
        </w:rPr>
        <w:t>澄清或者修改</w:t>
      </w:r>
      <w:bookmarkEnd w:id="142"/>
      <w:r>
        <w:rPr>
          <w:highlight w:val="none"/>
        </w:rPr>
        <w:t>，但不得改变采购标的和资格条件。澄清或者修改应当在原公告发布媒体上发布澄清公告。澄清或者修改的内容为招标文件的组成部分。</w:t>
      </w:r>
    </w:p>
    <w:p>
      <w:pPr>
        <w:pStyle w:val="27"/>
        <w:snapToGrid w:val="0"/>
        <w:spacing w:line="410" w:lineRule="exact"/>
        <w:ind w:firstLine="420"/>
        <w:jc w:val="left"/>
        <w:rPr>
          <w:rFonts w:hint="eastAsia" w:hAnsi="宋体"/>
          <w:highlight w:val="none"/>
        </w:rPr>
      </w:pPr>
      <w:r>
        <w:rPr>
          <w:rFonts w:hAnsi="宋体"/>
          <w:highlight w:val="none"/>
        </w:rPr>
        <w:t>2.澄清或者修改的内容可能影响投标文件编制的，采购人或者采购代理机构应当在投标截止时间至少15日前，以</w:t>
      </w:r>
      <w:r>
        <w:rPr>
          <w:rFonts w:hint="eastAsia" w:hAnsi="宋体"/>
          <w:highlight w:val="none"/>
        </w:rPr>
        <w:t>书面形式</w:t>
      </w:r>
      <w:r>
        <w:rPr>
          <w:rFonts w:hAnsi="宋体"/>
          <w:highlight w:val="none"/>
        </w:rPr>
        <w:t>通知所有</w:t>
      </w:r>
      <w:r>
        <w:rPr>
          <w:rFonts w:hint="eastAsia" w:hAnsi="宋体"/>
          <w:highlight w:val="none"/>
        </w:rPr>
        <w:t>依法</w:t>
      </w:r>
      <w:r>
        <w:rPr>
          <w:rFonts w:hAnsi="宋体"/>
          <w:highlight w:val="none"/>
        </w:rPr>
        <w:t>获取招标文件的潜在投标人；不足15日的，采购人或者采购代理机构应当顺延提交投标文件的截止时间。</w:t>
      </w:r>
    </w:p>
    <w:p>
      <w:pPr>
        <w:pStyle w:val="27"/>
        <w:snapToGrid w:val="0"/>
        <w:spacing w:line="410" w:lineRule="exact"/>
        <w:ind w:firstLine="420"/>
        <w:jc w:val="left"/>
        <w:rPr>
          <w:rFonts w:ascii="Arial" w:hAnsi="Arial" w:cs="Arial"/>
          <w:highlight w:val="none"/>
        </w:rPr>
      </w:pPr>
      <w:bookmarkStart w:id="143" w:name="_Hlk92446337"/>
      <w:r>
        <w:rPr>
          <w:rFonts w:hAnsi="宋体"/>
          <w:highlight w:val="none"/>
        </w:rPr>
        <w:t>3.</w:t>
      </w:r>
      <w:r>
        <w:rPr>
          <w:rFonts w:ascii="Arial" w:hAnsi="Arial" w:cs="Arial"/>
          <w:highlight w:val="none"/>
        </w:rPr>
        <w:t>提供期限届满后，获取招标文件的潜在投标人不足3家的，</w:t>
      </w:r>
      <w:r>
        <w:rPr>
          <w:rFonts w:hint="eastAsia" w:ascii="Arial" w:hAnsi="Arial" w:cs="Arial"/>
          <w:highlight w:val="none"/>
        </w:rPr>
        <w:t>本中心</w:t>
      </w:r>
      <w:r>
        <w:rPr>
          <w:rFonts w:ascii="Arial" w:hAnsi="Arial" w:cs="Arial"/>
          <w:highlight w:val="none"/>
        </w:rPr>
        <w:t>可以顺延提供期限，并予公告。</w:t>
      </w:r>
    </w:p>
    <w:bookmarkEnd w:id="143"/>
    <w:p>
      <w:pPr>
        <w:pStyle w:val="4"/>
        <w:spacing w:before="0" w:after="0" w:line="410" w:lineRule="exact"/>
        <w:ind w:firstLine="0" w:firstLineChars="0"/>
        <w:rPr>
          <w:rFonts w:ascii="方正小标宋_GBK" w:eastAsia="方正小标宋_GBK"/>
          <w:b w:val="0"/>
          <w:sz w:val="24"/>
          <w:szCs w:val="24"/>
          <w:highlight w:val="none"/>
        </w:rPr>
      </w:pPr>
      <w:bookmarkStart w:id="144" w:name="_三、投标文件"/>
      <w:bookmarkEnd w:id="144"/>
      <w:bookmarkStart w:id="145" w:name="_Toc254970676"/>
      <w:bookmarkStart w:id="146" w:name="_Toc353785290"/>
      <w:bookmarkStart w:id="147" w:name="_Toc352700420"/>
      <w:bookmarkStart w:id="148" w:name="_Toc254970535"/>
      <w:r>
        <w:rPr>
          <w:rFonts w:hint="eastAsia" w:ascii="方正小标宋_GBK" w:eastAsia="方正小标宋_GBK"/>
          <w:b w:val="0"/>
          <w:sz w:val="24"/>
          <w:szCs w:val="24"/>
          <w:highlight w:val="none"/>
        </w:rPr>
        <w:t>三、</w:t>
      </w:r>
      <w:bookmarkStart w:id="149" w:name="_Hlk92446512"/>
      <w:r>
        <w:rPr>
          <w:rFonts w:hint="eastAsia" w:ascii="方正小标宋_GBK" w:eastAsia="方正小标宋_GBK"/>
          <w:b w:val="0"/>
          <w:sz w:val="24"/>
          <w:szCs w:val="24"/>
          <w:highlight w:val="none"/>
        </w:rPr>
        <w:t>投标文件</w:t>
      </w:r>
      <w:bookmarkEnd w:id="145"/>
      <w:bookmarkEnd w:id="146"/>
      <w:bookmarkEnd w:id="147"/>
      <w:bookmarkEnd w:id="148"/>
    </w:p>
    <w:p>
      <w:pPr>
        <w:spacing w:line="410" w:lineRule="exact"/>
        <w:ind w:firstLine="211" w:firstLineChars="100"/>
        <w:rPr>
          <w:rFonts w:hint="eastAsia" w:hAnsi="宋体"/>
          <w:b/>
          <w:bCs/>
          <w:highlight w:val="none"/>
        </w:rPr>
      </w:pPr>
      <w:bookmarkStart w:id="150" w:name="_Toc254970536"/>
      <w:bookmarkStart w:id="151" w:name="_Toc254970677"/>
      <w:bookmarkStart w:id="152" w:name="_Toc352700421"/>
      <w:bookmarkStart w:id="153" w:name="_Toc353785291"/>
      <w:r>
        <w:rPr>
          <w:rFonts w:hint="eastAsia" w:hAnsi="宋体"/>
          <w:b/>
          <w:bCs/>
          <w:highlight w:val="none"/>
        </w:rPr>
        <w:t>（一）投标人的风险</w:t>
      </w:r>
    </w:p>
    <w:p>
      <w:pPr>
        <w:spacing w:line="410" w:lineRule="exact"/>
        <w:ind w:firstLine="420"/>
        <w:rPr>
          <w:rFonts w:hint="eastAsia" w:hAnsi="宋体"/>
          <w:highlight w:val="none"/>
        </w:rPr>
      </w:pPr>
      <w:r>
        <w:rPr>
          <w:rFonts w:hAnsi="宋体"/>
          <w:highlight w:val="none"/>
        </w:rPr>
        <w:t>1.</w:t>
      </w:r>
      <w:r>
        <w:rPr>
          <w:rFonts w:hint="eastAsia" w:hAnsi="宋体"/>
          <w:highlight w:val="none"/>
        </w:rPr>
        <w:t>投标人应仔细阅读招标文件的全部内容，按照招标文件的要求提交投标文件，并对所提供的全部资料的真实性承担法律责任。</w:t>
      </w:r>
    </w:p>
    <w:p>
      <w:pPr>
        <w:spacing w:line="410" w:lineRule="exact"/>
        <w:ind w:firstLine="420"/>
        <w:rPr>
          <w:rFonts w:hint="eastAsia" w:hAnsi="宋体"/>
          <w:highlight w:val="none"/>
        </w:rPr>
      </w:pPr>
      <w:r>
        <w:rPr>
          <w:rFonts w:hAnsi="宋体"/>
          <w:highlight w:val="none"/>
        </w:rPr>
        <w:t>2.</w:t>
      </w:r>
      <w:r>
        <w:rPr>
          <w:rFonts w:hint="eastAsia" w:hAnsi="宋体"/>
          <w:highlight w:val="none"/>
        </w:rPr>
        <w:t>投标人在投标活动中提供任何虚假材料的，评标委员会将报财政部门查处。</w:t>
      </w:r>
    </w:p>
    <w:bookmarkEnd w:id="149"/>
    <w:p>
      <w:pPr>
        <w:snapToGrid w:val="0"/>
        <w:spacing w:line="410" w:lineRule="exact"/>
        <w:ind w:firstLine="211" w:firstLineChars="100"/>
        <w:rPr>
          <w:rFonts w:hint="eastAsia" w:ascii="宋体" w:hAnsi="宋体"/>
          <w:b/>
          <w:szCs w:val="21"/>
          <w:highlight w:val="none"/>
        </w:rPr>
      </w:pPr>
      <w:bookmarkStart w:id="154" w:name="_Hlk92446638"/>
      <w:r>
        <w:rPr>
          <w:rFonts w:hint="eastAsia" w:hAnsi="宋体"/>
          <w:b/>
          <w:bCs/>
          <w:highlight w:val="none"/>
        </w:rPr>
        <w:t>（二）</w:t>
      </w:r>
      <w:r>
        <w:rPr>
          <w:rFonts w:hint="eastAsia" w:ascii="宋体" w:hAnsi="宋体"/>
          <w:b/>
          <w:szCs w:val="21"/>
          <w:highlight w:val="none"/>
        </w:rPr>
        <w:t>投标文件的组成</w:t>
      </w:r>
    </w:p>
    <w:p>
      <w:pPr>
        <w:snapToGrid w:val="0"/>
        <w:spacing w:line="410" w:lineRule="exact"/>
        <w:ind w:firstLine="422"/>
        <w:rPr>
          <w:rFonts w:hint="eastAsia" w:ascii="宋体" w:hAnsi="宋体"/>
          <w:b/>
          <w:szCs w:val="21"/>
          <w:highlight w:val="none"/>
        </w:rPr>
      </w:pPr>
      <w:bookmarkStart w:id="155" w:name="_Hlk92285760"/>
      <w:r>
        <w:rPr>
          <w:rFonts w:ascii="宋体" w:hAnsi="宋体"/>
          <w:b/>
          <w:szCs w:val="21"/>
          <w:highlight w:val="none"/>
        </w:rPr>
        <w:t>1.</w:t>
      </w:r>
      <w:r>
        <w:rPr>
          <w:rFonts w:hint="eastAsia" w:ascii="宋体" w:hAnsi="宋体"/>
          <w:b/>
          <w:szCs w:val="21"/>
          <w:highlight w:val="none"/>
        </w:rPr>
        <w:t>资格文件：</w:t>
      </w:r>
    </w:p>
    <w:p>
      <w:pPr>
        <w:tabs>
          <w:tab w:val="left" w:pos="3870"/>
          <w:tab w:val="left" w:pos="4085"/>
        </w:tabs>
        <w:snapToGrid w:val="0"/>
        <w:spacing w:line="410" w:lineRule="exact"/>
        <w:ind w:firstLine="420"/>
        <w:rPr>
          <w:rFonts w:hint="eastAsia" w:ascii="宋体" w:hAnsi="宋体"/>
          <w:szCs w:val="21"/>
          <w:highlight w:val="none"/>
        </w:rPr>
      </w:pPr>
      <w:r>
        <w:rPr>
          <w:rFonts w:hint="eastAsia" w:ascii="宋体" w:hAnsi="宋体" w:cs="宋体"/>
          <w:bCs/>
          <w:kern w:val="0"/>
          <w:szCs w:val="21"/>
          <w:highlight w:val="none"/>
        </w:rPr>
        <w:t>★</w:t>
      </w:r>
      <w:bookmarkStart w:id="156" w:name="_Hlk90369149"/>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法人或者其他组织的营业执照等证明文件</w:t>
      </w:r>
    </w:p>
    <w:bookmarkEnd w:id="156"/>
    <w:p>
      <w:pPr>
        <w:tabs>
          <w:tab w:val="left" w:pos="3870"/>
          <w:tab w:val="left" w:pos="4085"/>
        </w:tabs>
        <w:snapToGrid w:val="0"/>
        <w:spacing w:line="410" w:lineRule="exact"/>
        <w:ind w:firstLine="420"/>
        <w:rPr>
          <w:rFonts w:hint="eastAsia" w:hAnsi="宋体"/>
          <w:highlight w:val="none"/>
        </w:rPr>
      </w:pPr>
      <w:r>
        <w:rPr>
          <w:rFonts w:hint="eastAsia" w:ascii="宋体" w:hAnsi="宋体" w:cs="宋体"/>
          <w:bCs/>
          <w:kern w:val="0"/>
          <w:szCs w:val="21"/>
          <w:highlight w:val="none"/>
        </w:rPr>
        <w:t>★(</w:t>
      </w:r>
      <w:r>
        <w:rPr>
          <w:rFonts w:ascii="宋体" w:hAnsi="宋体" w:cs="宋体"/>
          <w:bCs/>
          <w:kern w:val="0"/>
          <w:szCs w:val="21"/>
          <w:highlight w:val="none"/>
        </w:rPr>
        <w:t>2)</w:t>
      </w:r>
      <w:r>
        <w:rPr>
          <w:rFonts w:hint="eastAsia" w:ascii="宋体" w:hAnsi="宋体"/>
          <w:szCs w:val="21"/>
          <w:highlight w:val="none"/>
        </w:rPr>
        <w:t>投标人具备参加政府采购活动条件的承诺书</w:t>
      </w:r>
      <w:r>
        <w:rPr>
          <w:rFonts w:hint="eastAsia" w:ascii="宋体" w:hAnsi="宋体" w:cs="宋体"/>
          <w:szCs w:val="21"/>
          <w:highlight w:val="none"/>
        </w:rPr>
        <w:t>(格式见第六章</w:t>
      </w:r>
      <w:r>
        <w:rPr>
          <w:rFonts w:ascii="宋体" w:hAnsi="宋体" w:cs="宋体"/>
          <w:szCs w:val="21"/>
          <w:highlight w:val="none"/>
        </w:rPr>
        <w:t>）</w:t>
      </w:r>
    </w:p>
    <w:p>
      <w:pPr>
        <w:tabs>
          <w:tab w:val="left" w:pos="3870"/>
          <w:tab w:val="left" w:pos="4085"/>
        </w:tabs>
        <w:snapToGrid w:val="0"/>
        <w:spacing w:line="410" w:lineRule="exact"/>
        <w:ind w:firstLine="420"/>
        <w:rPr>
          <w:rFonts w:hint="eastAsia" w:hAnsi="宋体"/>
          <w:highlight w:val="none"/>
        </w:rPr>
      </w:pPr>
      <w:r>
        <w:rPr>
          <w:rFonts w:hint="eastAsia" w:ascii="宋体" w:hAnsi="宋体" w:cs="宋体"/>
          <w:bCs/>
          <w:kern w:val="0"/>
          <w:szCs w:val="21"/>
          <w:highlight w:val="none"/>
        </w:rPr>
        <w:t>★(</w:t>
      </w:r>
      <w:r>
        <w:rPr>
          <w:rFonts w:ascii="宋体" w:hAnsi="宋体" w:cs="宋体"/>
          <w:bCs/>
          <w:kern w:val="0"/>
          <w:szCs w:val="21"/>
          <w:highlight w:val="none"/>
        </w:rPr>
        <w:t>3)</w:t>
      </w:r>
      <w:r>
        <w:rPr>
          <w:rFonts w:hint="eastAsia" w:hAnsi="宋体"/>
          <w:highlight w:val="none"/>
        </w:rPr>
        <w:t>参加政府采购活动前3年内在经营活动中没有重大违法记录的书面声明(格式见第六章)</w:t>
      </w:r>
    </w:p>
    <w:p>
      <w:pPr>
        <w:snapToGrid w:val="0"/>
        <w:spacing w:line="410" w:lineRule="exact"/>
        <w:ind w:firstLine="422"/>
        <w:rPr>
          <w:rFonts w:hint="eastAsia" w:ascii="宋体" w:hAnsi="宋体"/>
          <w:b/>
          <w:szCs w:val="21"/>
          <w:highlight w:val="none"/>
        </w:rPr>
      </w:pPr>
      <w:r>
        <w:rPr>
          <w:rFonts w:ascii="宋体" w:hAnsi="宋体"/>
          <w:b/>
          <w:szCs w:val="21"/>
          <w:highlight w:val="none"/>
        </w:rPr>
        <w:t>2.</w:t>
      </w:r>
      <w:r>
        <w:rPr>
          <w:rFonts w:hint="eastAsia" w:ascii="宋体" w:hAnsi="宋体"/>
          <w:b/>
          <w:szCs w:val="21"/>
          <w:highlight w:val="none"/>
        </w:rPr>
        <w:t>商务技术文件：</w:t>
      </w:r>
    </w:p>
    <w:p>
      <w:pPr>
        <w:snapToGrid w:val="0"/>
        <w:spacing w:line="410" w:lineRule="exact"/>
        <w:ind w:firstLine="422"/>
        <w:rPr>
          <w:rFonts w:hint="eastAsia" w:ascii="宋体" w:hAnsi="宋体"/>
          <w:szCs w:val="21"/>
          <w:highlight w:val="none"/>
        </w:rPr>
      </w:pPr>
      <w:r>
        <w:rPr>
          <w:rFonts w:ascii="宋体" w:hAnsi="宋体"/>
          <w:b/>
          <w:szCs w:val="21"/>
          <w:highlight w:val="none"/>
        </w:rPr>
        <w:t xml:space="preserve"> </w:t>
      </w:r>
      <w:r>
        <w:rPr>
          <w:rFonts w:ascii="宋体" w:hAnsi="宋体"/>
          <w:szCs w:val="21"/>
          <w:highlight w:val="none"/>
        </w:rPr>
        <w:t xml:space="preserve"> (1)</w:t>
      </w:r>
      <w:bookmarkStart w:id="157" w:name="_Hlk97803518"/>
      <w:r>
        <w:rPr>
          <w:rFonts w:hint="eastAsia" w:ascii="宋体" w:hAnsi="宋体"/>
          <w:szCs w:val="21"/>
          <w:highlight w:val="none"/>
        </w:rPr>
        <w:t>投标保证金票据或转账凭证(户名、账号及开户行等信息清晰可辨）</w:t>
      </w:r>
      <w:bookmarkEnd w:id="157"/>
    </w:p>
    <w:p>
      <w:pPr>
        <w:tabs>
          <w:tab w:val="left" w:pos="3870"/>
          <w:tab w:val="left" w:pos="4085"/>
        </w:tabs>
        <w:snapToGrid w:val="0"/>
        <w:spacing w:line="410" w:lineRule="exact"/>
        <w:ind w:firstLine="420"/>
        <w:rPr>
          <w:rFonts w:hint="eastAsia" w:ascii="宋体" w:hAnsi="宋体"/>
          <w:szCs w:val="21"/>
          <w:highlight w:val="none"/>
        </w:rPr>
      </w:pPr>
      <w:r>
        <w:rPr>
          <w:rFonts w:hint="eastAsia" w:ascii="宋体" w:hAnsi="宋体" w:cs="宋体"/>
          <w:bCs/>
          <w:kern w:val="0"/>
          <w:szCs w:val="21"/>
          <w:highlight w:val="none"/>
        </w:rPr>
        <w:t>★</w:t>
      </w: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投标函（格式见第六章）</w:t>
      </w:r>
    </w:p>
    <w:p>
      <w:pPr>
        <w:tabs>
          <w:tab w:val="left" w:pos="3870"/>
          <w:tab w:val="left" w:pos="4085"/>
        </w:tabs>
        <w:snapToGrid w:val="0"/>
        <w:spacing w:line="410" w:lineRule="exact"/>
        <w:ind w:firstLine="420"/>
        <w:rPr>
          <w:rFonts w:hint="eastAsia" w:ascii="宋体" w:hAnsi="宋体"/>
          <w:szCs w:val="21"/>
          <w:highlight w:val="none"/>
        </w:rPr>
      </w:pPr>
      <w:r>
        <w:rPr>
          <w:rFonts w:hint="eastAsia" w:ascii="宋体" w:hAnsi="宋体" w:cs="宋体"/>
          <w:bCs/>
          <w:kern w:val="0"/>
          <w:szCs w:val="21"/>
          <w:highlight w:val="none"/>
        </w:rPr>
        <w:t>★</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法定代表人身份证</w:t>
      </w:r>
    </w:p>
    <w:p>
      <w:pPr>
        <w:snapToGrid w:val="0"/>
        <w:spacing w:line="410" w:lineRule="exact"/>
        <w:ind w:firstLine="417" w:firstLineChars="199"/>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法定代表人授权委托书和代理人身份证（委托代理时必须提供，格式见第六章）</w:t>
      </w:r>
    </w:p>
    <w:p>
      <w:pPr>
        <w:snapToGrid w:val="0"/>
        <w:spacing w:line="410" w:lineRule="exact"/>
        <w:ind w:firstLine="420" w:firstLineChars="199"/>
        <w:rPr>
          <w:rFonts w:hint="eastAsia" w:ascii="宋体" w:hAnsi="宋体"/>
          <w:szCs w:val="21"/>
          <w:highlight w:val="none"/>
        </w:rPr>
      </w:pPr>
      <w:r>
        <w:rPr>
          <w:rFonts w:hint="eastAsia" w:ascii="宋体" w:hAnsi="宋体"/>
          <w:b/>
          <w:szCs w:val="21"/>
          <w:highlight w:val="none"/>
        </w:rPr>
        <w:t>★</w:t>
      </w:r>
      <w:r>
        <w:rPr>
          <w:rFonts w:hint="eastAsia" w:ascii="宋体" w:hAnsi="宋体"/>
          <w:szCs w:val="21"/>
          <w:highlight w:val="none"/>
        </w:rPr>
        <w:t>(</w:t>
      </w:r>
      <w:r>
        <w:rPr>
          <w:rFonts w:ascii="宋体" w:hAnsi="宋体"/>
          <w:szCs w:val="21"/>
          <w:highlight w:val="none"/>
        </w:rPr>
        <w:t>5)</w:t>
      </w:r>
      <w:r>
        <w:rPr>
          <w:rFonts w:ascii="宋体" w:hAnsi="宋体"/>
          <w:highlight w:val="none"/>
        </w:rPr>
        <w:t>商务响应表(格式见第六章)</w:t>
      </w:r>
    </w:p>
    <w:p>
      <w:pPr>
        <w:snapToGrid w:val="0"/>
        <w:spacing w:line="410" w:lineRule="exact"/>
        <w:ind w:firstLine="420" w:firstLineChars="199"/>
        <w:rPr>
          <w:rFonts w:hint="eastAsia" w:ascii="宋体" w:hAnsi="宋体"/>
          <w:highlight w:val="none"/>
        </w:rPr>
      </w:pPr>
      <w:r>
        <w:rPr>
          <w:rFonts w:hint="eastAsia" w:ascii="宋体" w:hAnsi="宋体"/>
          <w:b/>
          <w:szCs w:val="21"/>
          <w:highlight w:val="none"/>
        </w:rPr>
        <w:t>★</w:t>
      </w:r>
      <w:r>
        <w:rPr>
          <w:rFonts w:hint="eastAsia" w:ascii="宋体" w:hAnsi="宋体"/>
          <w:highlight w:val="none"/>
        </w:rPr>
        <w:t>(</w:t>
      </w:r>
      <w:r>
        <w:rPr>
          <w:rFonts w:ascii="宋体" w:hAnsi="宋体"/>
          <w:highlight w:val="none"/>
        </w:rPr>
        <w:t>6)</w:t>
      </w:r>
      <w:r>
        <w:rPr>
          <w:rFonts w:hint="eastAsia" w:ascii="宋体" w:hAnsi="宋体"/>
          <w:szCs w:val="21"/>
          <w:highlight w:val="none"/>
        </w:rPr>
        <w:t>技术响应表</w:t>
      </w:r>
      <w:bookmarkStart w:id="158" w:name="_Hlk92285954"/>
      <w:r>
        <w:rPr>
          <w:rFonts w:ascii="宋体" w:hAnsi="宋体"/>
          <w:highlight w:val="none"/>
        </w:rPr>
        <w:t>(格式见第六章)</w:t>
      </w:r>
      <w:bookmarkEnd w:id="158"/>
    </w:p>
    <w:p>
      <w:pPr>
        <w:snapToGrid w:val="0"/>
        <w:spacing w:line="410" w:lineRule="exact"/>
        <w:ind w:firstLine="420" w:firstLineChars="199"/>
        <w:rPr>
          <w:rFonts w:hint="eastAsia" w:ascii="宋体" w:hAnsi="宋体"/>
          <w:szCs w:val="21"/>
          <w:highlight w:val="none"/>
        </w:rPr>
      </w:pPr>
      <w:r>
        <w:rPr>
          <w:rFonts w:hint="eastAsia" w:ascii="宋体" w:hAnsi="宋体"/>
          <w:b/>
          <w:szCs w:val="21"/>
          <w:highlight w:val="none"/>
        </w:rPr>
        <w:t>★</w:t>
      </w:r>
      <w:r>
        <w:rPr>
          <w:rFonts w:hint="eastAsia" w:ascii="宋体" w:hAnsi="宋体"/>
          <w:highlight w:val="none"/>
        </w:rPr>
        <w:t>(7</w:t>
      </w:r>
      <w:r>
        <w:rPr>
          <w:rFonts w:ascii="宋体" w:hAnsi="宋体"/>
          <w:highlight w:val="none"/>
        </w:rPr>
        <w:t>)</w:t>
      </w:r>
      <w:r>
        <w:rPr>
          <w:rFonts w:hint="eastAsia" w:ascii="宋体" w:hAnsi="宋体"/>
          <w:highlight w:val="none"/>
        </w:rPr>
        <w:t>《项目需求》中要求必须提供的材料</w:t>
      </w:r>
    </w:p>
    <w:p>
      <w:pPr>
        <w:snapToGrid w:val="0"/>
        <w:spacing w:line="410" w:lineRule="exact"/>
        <w:ind w:firstLine="627" w:firstLineChars="299"/>
        <w:rPr>
          <w:rFonts w:hint="eastAsia" w:ascii="宋体" w:hAnsi="宋体"/>
          <w:highlight w:val="none"/>
        </w:rPr>
      </w:pPr>
      <w:r>
        <w:rPr>
          <w:rFonts w:hint="eastAsia" w:ascii="宋体" w:hAnsi="宋体"/>
          <w:szCs w:val="21"/>
          <w:highlight w:val="none"/>
        </w:rPr>
        <w:t>(8</w:t>
      </w:r>
      <w:r>
        <w:rPr>
          <w:rFonts w:ascii="宋体" w:hAnsi="宋体"/>
          <w:szCs w:val="21"/>
          <w:highlight w:val="none"/>
        </w:rPr>
        <w:t>)</w:t>
      </w:r>
      <w:r>
        <w:rPr>
          <w:rFonts w:hint="eastAsia" w:ascii="宋体" w:hAnsi="宋体"/>
          <w:highlight w:val="none"/>
        </w:rPr>
        <w:t>项目实施</w:t>
      </w:r>
      <w:r>
        <w:rPr>
          <w:rFonts w:hint="eastAsia" w:ascii="宋体" w:hAnsi="宋体" w:cs="宋体"/>
          <w:szCs w:val="21"/>
          <w:highlight w:val="none"/>
        </w:rPr>
        <w:t>方案</w:t>
      </w:r>
      <w:r>
        <w:rPr>
          <w:rFonts w:hint="eastAsia" w:ascii="宋体" w:hAnsi="宋体"/>
          <w:highlight w:val="none"/>
        </w:rPr>
        <w:t>（</w:t>
      </w:r>
      <w:r>
        <w:rPr>
          <w:rFonts w:hint="eastAsia" w:ascii="宋体" w:cs="宋体"/>
          <w:kern w:val="0"/>
          <w:szCs w:val="21"/>
          <w:highlight w:val="none"/>
        </w:rPr>
        <w:t>根据项目需求及《评定标准及推荐原则》的要求提供，格式自拟</w:t>
      </w:r>
      <w:r>
        <w:rPr>
          <w:rFonts w:hint="eastAsia" w:ascii="宋体" w:hAnsi="宋体"/>
          <w:highlight w:val="none"/>
        </w:rPr>
        <w:t>）</w:t>
      </w:r>
    </w:p>
    <w:p>
      <w:pPr>
        <w:snapToGrid w:val="0"/>
        <w:spacing w:line="410" w:lineRule="exact"/>
        <w:ind w:firstLine="627" w:firstLineChars="299"/>
        <w:rPr>
          <w:rFonts w:hint="eastAsia" w:ascii="宋体" w:hAnsi="宋体"/>
          <w:highlight w:val="none"/>
        </w:rPr>
      </w:pPr>
      <w:r>
        <w:rPr>
          <w:rFonts w:hint="eastAsia" w:ascii="宋体" w:hAnsi="宋体"/>
          <w:szCs w:val="21"/>
          <w:highlight w:val="none"/>
        </w:rPr>
        <w:t>(9</w:t>
      </w:r>
      <w:r>
        <w:rPr>
          <w:rFonts w:ascii="宋体" w:hAnsi="宋体"/>
          <w:szCs w:val="21"/>
          <w:highlight w:val="none"/>
        </w:rPr>
        <w:t>)</w:t>
      </w:r>
      <w:r>
        <w:rPr>
          <w:rFonts w:hint="eastAsia" w:ascii="宋体" w:hAnsi="宋体"/>
          <w:highlight w:val="none"/>
        </w:rPr>
        <w:t>售后服务</w:t>
      </w:r>
      <w:r>
        <w:rPr>
          <w:rFonts w:hint="eastAsia" w:ascii="宋体" w:hAnsi="宋体" w:cs="宋体"/>
          <w:szCs w:val="21"/>
          <w:highlight w:val="none"/>
        </w:rPr>
        <w:t>方案</w:t>
      </w:r>
      <w:r>
        <w:rPr>
          <w:rFonts w:hint="eastAsia" w:ascii="宋体" w:hAnsi="宋体"/>
          <w:highlight w:val="none"/>
        </w:rPr>
        <w:t>（</w:t>
      </w:r>
      <w:r>
        <w:rPr>
          <w:rFonts w:hint="eastAsia" w:ascii="宋体" w:cs="宋体"/>
          <w:kern w:val="0"/>
          <w:szCs w:val="21"/>
          <w:highlight w:val="none"/>
        </w:rPr>
        <w:t>根据项目需求及《评定标准及推荐原则》的要求提供，格式自拟</w:t>
      </w:r>
      <w:r>
        <w:rPr>
          <w:rFonts w:hint="eastAsia" w:ascii="宋体" w:hAnsi="宋体"/>
          <w:highlight w:val="none"/>
        </w:rPr>
        <w:t>）</w:t>
      </w:r>
    </w:p>
    <w:p>
      <w:pPr>
        <w:spacing w:line="410" w:lineRule="exact"/>
        <w:ind w:firstLine="630" w:firstLineChars="300"/>
        <w:rPr>
          <w:rFonts w:hint="eastAsia" w:ascii="宋体" w:hAnsi="宋体"/>
          <w:szCs w:val="21"/>
          <w:highlight w:val="none"/>
        </w:rPr>
      </w:pPr>
      <w:r>
        <w:rPr>
          <w:rFonts w:ascii="宋体" w:hAnsi="宋体"/>
          <w:szCs w:val="21"/>
          <w:highlight w:val="none"/>
        </w:rPr>
        <w:t>(</w:t>
      </w:r>
      <w:r>
        <w:rPr>
          <w:rFonts w:hint="eastAsia" w:ascii="宋体" w:hAnsi="宋体"/>
          <w:szCs w:val="21"/>
          <w:highlight w:val="none"/>
        </w:rPr>
        <w:t>10</w:t>
      </w:r>
      <w:r>
        <w:rPr>
          <w:rFonts w:ascii="宋体" w:hAnsi="宋体"/>
          <w:szCs w:val="21"/>
          <w:highlight w:val="none"/>
        </w:rPr>
        <w:t>)</w:t>
      </w:r>
      <w:r>
        <w:rPr>
          <w:rFonts w:hint="eastAsia" w:ascii="宋体" w:hAnsi="宋体"/>
          <w:highlight w:val="none"/>
        </w:rPr>
        <w:t>项目</w:t>
      </w:r>
      <w:r>
        <w:rPr>
          <w:rFonts w:hint="eastAsia" w:ascii="宋体" w:hAnsi="宋体"/>
          <w:highlight w:val="none"/>
          <w:lang w:val="en-US" w:eastAsia="zh-CN"/>
        </w:rPr>
        <w:t>技术</w:t>
      </w:r>
      <w:r>
        <w:rPr>
          <w:rFonts w:hint="eastAsia" w:ascii="宋体" w:hAnsi="宋体" w:cs="宋体"/>
          <w:szCs w:val="21"/>
          <w:highlight w:val="none"/>
        </w:rPr>
        <w:t>方案</w:t>
      </w:r>
      <w:r>
        <w:rPr>
          <w:rFonts w:hint="eastAsia" w:ascii="宋体" w:hAnsi="宋体"/>
          <w:highlight w:val="none"/>
        </w:rPr>
        <w:t>（</w:t>
      </w:r>
      <w:r>
        <w:rPr>
          <w:rFonts w:hint="eastAsia" w:ascii="宋体" w:cs="宋体"/>
          <w:kern w:val="0"/>
          <w:szCs w:val="21"/>
          <w:highlight w:val="none"/>
        </w:rPr>
        <w:t>根据项目需求及《评定标准及推荐原则》的要求提供，格式自拟</w:t>
      </w:r>
      <w:r>
        <w:rPr>
          <w:rFonts w:hint="eastAsia" w:ascii="宋体" w:hAnsi="宋体"/>
          <w:highlight w:val="none"/>
        </w:rPr>
        <w:t>）</w:t>
      </w:r>
    </w:p>
    <w:p>
      <w:pPr>
        <w:spacing w:line="410" w:lineRule="exact"/>
        <w:ind w:firstLine="630" w:firstLineChars="300"/>
        <w:rPr>
          <w:rFonts w:hint="eastAsia" w:ascii="宋体" w:hAnsi="宋体"/>
          <w:szCs w:val="21"/>
          <w:highlight w:val="none"/>
        </w:rPr>
      </w:pPr>
      <w:r>
        <w:rPr>
          <w:rFonts w:hint="eastAsia" w:ascii="宋体" w:hAnsi="宋体"/>
          <w:szCs w:val="21"/>
          <w:highlight w:val="none"/>
        </w:rPr>
        <w:t>(11)投标人/产品生产厂家具备相关管理体系认证的证明材料</w:t>
      </w:r>
    </w:p>
    <w:p>
      <w:pPr>
        <w:spacing w:line="410" w:lineRule="exact"/>
        <w:ind w:firstLine="630" w:firstLineChars="300"/>
        <w:rPr>
          <w:rFonts w:hint="eastAsia" w:ascii="宋体" w:hAnsi="宋体"/>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投标人自2021年以来具有同类</w:t>
      </w:r>
      <w:r>
        <w:rPr>
          <w:rFonts w:hint="eastAsia" w:ascii="宋体" w:hAnsi="宋体"/>
          <w:szCs w:val="21"/>
          <w:highlight w:val="none"/>
          <w:lang w:val="en-US" w:eastAsia="zh-CN"/>
        </w:rPr>
        <w:t>合同</w:t>
      </w:r>
      <w:r>
        <w:rPr>
          <w:rFonts w:hint="eastAsia" w:ascii="宋体" w:hAnsi="宋体"/>
          <w:szCs w:val="21"/>
          <w:highlight w:val="none"/>
        </w:rPr>
        <w:t>的证明材料</w:t>
      </w:r>
    </w:p>
    <w:p>
      <w:pPr>
        <w:spacing w:line="410" w:lineRule="exact"/>
        <w:ind w:firstLine="630" w:firstLineChars="300"/>
        <w:rPr>
          <w:rFonts w:hint="eastAsia" w:ascii="宋体" w:hAnsi="宋体"/>
          <w:highlight w:val="none"/>
        </w:rPr>
      </w:pPr>
      <w:r>
        <w:rPr>
          <w:rFonts w:hint="eastAsia" w:ascii="宋体" w:hAnsi="宋体" w:eastAsia="宋体" w:cs="Times New Roman"/>
          <w:kern w:val="2"/>
          <w:sz w:val="21"/>
          <w:szCs w:val="21"/>
          <w:highlight w:val="none"/>
          <w:lang w:val="en-US" w:eastAsia="zh-CN" w:bidi="ar-SA"/>
        </w:rPr>
        <w:t>（13）</w:t>
      </w:r>
      <w:r>
        <w:rPr>
          <w:rFonts w:hint="eastAsia" w:ascii="宋体" w:hAnsi="宋体"/>
          <w:highlight w:val="none"/>
        </w:rPr>
        <w:t>投标人认为有必要提供的声明或材料(中小企业声明、残疾人福利性单位声明、监狱企业证明、节能或环境标志产品证书等)</w:t>
      </w:r>
    </w:p>
    <w:p>
      <w:pPr>
        <w:pStyle w:val="32"/>
        <w:rPr>
          <w:rFonts w:hint="default" w:eastAsia="宋体"/>
          <w:highlight w:val="none"/>
          <w:lang w:val="en-US" w:eastAsia="zh-CN"/>
        </w:rPr>
      </w:pPr>
    </w:p>
    <w:p>
      <w:pPr>
        <w:snapToGrid w:val="0"/>
        <w:spacing w:line="410" w:lineRule="exact"/>
        <w:ind w:firstLine="422"/>
        <w:rPr>
          <w:rFonts w:hint="eastAsia" w:ascii="宋体" w:hAnsi="宋体"/>
          <w:b/>
          <w:szCs w:val="21"/>
          <w:highlight w:val="none"/>
        </w:rPr>
      </w:pPr>
      <w:r>
        <w:rPr>
          <w:rFonts w:ascii="宋体" w:hAnsi="宋体"/>
          <w:b/>
          <w:szCs w:val="21"/>
          <w:highlight w:val="none"/>
        </w:rPr>
        <w:t>3.</w:t>
      </w:r>
      <w:r>
        <w:rPr>
          <w:rFonts w:hint="eastAsia" w:ascii="宋体" w:hAnsi="宋体"/>
          <w:b/>
          <w:szCs w:val="21"/>
          <w:highlight w:val="none"/>
        </w:rPr>
        <w:t>报价文件</w:t>
      </w:r>
    </w:p>
    <w:p>
      <w:pPr>
        <w:snapToGrid w:val="0"/>
        <w:spacing w:line="410" w:lineRule="exact"/>
        <w:ind w:firstLine="422"/>
        <w:rPr>
          <w:rFonts w:hint="eastAsia" w:ascii="宋体" w:hAnsi="宋体"/>
          <w:b/>
          <w:szCs w:val="21"/>
          <w:highlight w:val="none"/>
        </w:rPr>
      </w:pPr>
      <w:r>
        <w:rPr>
          <w:rFonts w:hint="eastAsia" w:ascii="宋体" w:hAnsi="宋体"/>
          <w:b/>
          <w:szCs w:val="21"/>
          <w:highlight w:val="none"/>
        </w:rPr>
        <w:t>★</w:t>
      </w:r>
      <w:r>
        <w:rPr>
          <w:rFonts w:hint="eastAsia" w:ascii="宋体" w:hAnsi="宋体"/>
          <w:bCs/>
          <w:szCs w:val="21"/>
          <w:highlight w:val="none"/>
        </w:rPr>
        <w:t>(</w:t>
      </w:r>
      <w:r>
        <w:rPr>
          <w:rFonts w:ascii="宋体" w:hAnsi="宋体"/>
          <w:bCs/>
          <w:szCs w:val="21"/>
          <w:highlight w:val="none"/>
        </w:rPr>
        <w:t>1)</w:t>
      </w:r>
      <w:r>
        <w:rPr>
          <w:rFonts w:hint="eastAsia" w:ascii="宋体" w:hAnsi="宋体"/>
          <w:szCs w:val="21"/>
          <w:highlight w:val="none"/>
        </w:rPr>
        <w:t>开标一览表(格式见第六章）</w:t>
      </w:r>
    </w:p>
    <w:p>
      <w:pPr>
        <w:snapToGrid w:val="0"/>
        <w:spacing w:line="410" w:lineRule="exact"/>
        <w:ind w:firstLine="422"/>
        <w:rPr>
          <w:rFonts w:hint="eastAsia" w:ascii="宋体" w:hAnsi="宋体"/>
          <w:highlight w:val="none"/>
        </w:rPr>
      </w:pPr>
      <w:r>
        <w:rPr>
          <w:rFonts w:hint="eastAsia" w:ascii="宋体" w:hAnsi="宋体"/>
          <w:b/>
          <w:szCs w:val="21"/>
          <w:highlight w:val="none"/>
        </w:rPr>
        <w:t>★</w:t>
      </w:r>
      <w:r>
        <w:rPr>
          <w:rFonts w:hint="eastAsia" w:ascii="宋体" w:hAnsi="宋体"/>
          <w:bCs/>
          <w:szCs w:val="21"/>
          <w:highlight w:val="none"/>
        </w:rPr>
        <w:t>(</w:t>
      </w:r>
      <w:r>
        <w:rPr>
          <w:rFonts w:ascii="宋体" w:hAnsi="宋体"/>
          <w:bCs/>
          <w:szCs w:val="21"/>
          <w:highlight w:val="none"/>
        </w:rPr>
        <w:t>2)</w:t>
      </w:r>
      <w:bookmarkStart w:id="159" w:name="_Hlk92265738"/>
      <w:r>
        <w:rPr>
          <w:rFonts w:hint="eastAsia" w:ascii="宋体" w:hAnsi="宋体"/>
          <w:bCs/>
          <w:szCs w:val="21"/>
          <w:highlight w:val="none"/>
        </w:rPr>
        <w:t>报价明细表</w:t>
      </w:r>
      <w:bookmarkEnd w:id="159"/>
      <w:r>
        <w:rPr>
          <w:rFonts w:hint="eastAsia" w:ascii="宋体" w:hAnsi="宋体"/>
          <w:bCs/>
          <w:szCs w:val="21"/>
          <w:highlight w:val="none"/>
        </w:rPr>
        <w:t>(格式见第六章)</w:t>
      </w:r>
    </w:p>
    <w:bookmarkEnd w:id="155"/>
    <w:p>
      <w:pPr>
        <w:snapToGrid w:val="0"/>
        <w:spacing w:line="410" w:lineRule="exact"/>
        <w:ind w:firstLine="420"/>
        <w:rPr>
          <w:rFonts w:hint="eastAsia" w:ascii="宋体" w:hAnsi="宋体"/>
          <w:szCs w:val="21"/>
          <w:highlight w:val="none"/>
        </w:rPr>
      </w:pPr>
      <w:r>
        <w:rPr>
          <w:rFonts w:hint="eastAsia" w:ascii="宋体" w:hAnsi="宋体"/>
          <w:szCs w:val="21"/>
          <w:highlight w:val="none"/>
        </w:rPr>
        <w:t>注：标注★号的材料均为必须提供的材料须由投标人加盖公章，授权委托书必须由法定代表人签名，报价文件还须由法定代表人或授权代表签名，否则视为无效投标文件。</w:t>
      </w:r>
    </w:p>
    <w:bookmarkEnd w:id="150"/>
    <w:bookmarkEnd w:id="151"/>
    <w:bookmarkEnd w:id="152"/>
    <w:bookmarkEnd w:id="153"/>
    <w:bookmarkEnd w:id="154"/>
    <w:p>
      <w:pPr>
        <w:spacing w:line="410" w:lineRule="exact"/>
        <w:ind w:firstLine="211" w:firstLineChars="100"/>
        <w:rPr>
          <w:rFonts w:hint="eastAsia" w:ascii="宋体" w:hAnsi="宋体"/>
          <w:b/>
          <w:bCs/>
          <w:szCs w:val="21"/>
          <w:highlight w:val="none"/>
        </w:rPr>
      </w:pPr>
      <w:bookmarkStart w:id="160" w:name="_Hlk90906323"/>
      <w:bookmarkStart w:id="161" w:name="_Hlk92447223"/>
      <w:r>
        <w:rPr>
          <w:rFonts w:hint="eastAsia" w:ascii="宋体" w:hAnsi="宋体"/>
          <w:b/>
          <w:szCs w:val="21"/>
          <w:highlight w:val="none"/>
        </w:rPr>
        <w:t>（三）</w:t>
      </w:r>
      <w:bookmarkStart w:id="162" w:name="_Toc352700422"/>
      <w:bookmarkStart w:id="163" w:name="_Toc353785292"/>
      <w:bookmarkStart w:id="164" w:name="_Toc254970537"/>
      <w:bookmarkStart w:id="165" w:name="_Toc254970678"/>
      <w:r>
        <w:rPr>
          <w:rFonts w:hint="eastAsia" w:ascii="宋体" w:hAnsi="宋体"/>
          <w:b/>
          <w:bCs/>
          <w:szCs w:val="21"/>
          <w:highlight w:val="none"/>
        </w:rPr>
        <w:t>投标文件的编制、签署及加密</w:t>
      </w:r>
    </w:p>
    <w:p>
      <w:pPr>
        <w:spacing w:line="410" w:lineRule="exact"/>
        <w:ind w:firstLine="42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投标人应认真阅读、并充分理解招标文件的全部内容(包括所有的补充、修改内容)，承诺履行其各项条款的规定并按要求编制，投标文件应为电子文件或扫描件(样品除外)。</w:t>
      </w:r>
    </w:p>
    <w:p>
      <w:pPr>
        <w:spacing w:line="410" w:lineRule="exact"/>
        <w:ind w:firstLine="42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投标人应通过广西政府采购云平台客户端编制加密投标文件。</w:t>
      </w:r>
    </w:p>
    <w:p>
      <w:pPr>
        <w:spacing w:line="410" w:lineRule="exact"/>
        <w:ind w:firstLine="42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pPr>
        <w:spacing w:line="410" w:lineRule="exact"/>
        <w:ind w:firstLine="0" w:firstLineChars="0"/>
        <w:rPr>
          <w:rFonts w:hint="eastAsia" w:ascii="宋体" w:hAnsi="宋体"/>
          <w:b/>
          <w:bCs/>
          <w:szCs w:val="21"/>
          <w:highlight w:val="none"/>
        </w:rPr>
      </w:pPr>
      <w:r>
        <w:rPr>
          <w:rFonts w:ascii="宋体" w:hAnsi="宋体"/>
          <w:szCs w:val="21"/>
          <w:highlight w:val="none"/>
        </w:rPr>
        <w:tab/>
      </w:r>
      <w:r>
        <w:rPr>
          <w:rFonts w:ascii="宋体" w:hAnsi="宋体"/>
          <w:b/>
          <w:bCs/>
          <w:szCs w:val="21"/>
          <w:highlight w:val="none"/>
        </w:rPr>
        <w:t>4.</w:t>
      </w:r>
      <w:r>
        <w:rPr>
          <w:rFonts w:hint="eastAsia" w:ascii="宋体" w:hAnsi="宋体"/>
          <w:b/>
          <w:bCs/>
          <w:szCs w:val="21"/>
          <w:highlight w:val="none"/>
        </w:rPr>
        <w:t>投标文件由投标人在规定位置由法定代表人或授权委托人签名（可为电子签名）、填写投标人名称，并加盖公章(简称“盖章”，可为电子公章)，投标人名称应写全称。</w:t>
      </w:r>
    </w:p>
    <w:p>
      <w:pPr>
        <w:snapToGrid w:val="0"/>
        <w:spacing w:line="410" w:lineRule="exact"/>
        <w:ind w:firstLine="210" w:firstLineChars="100"/>
        <w:rPr>
          <w:rFonts w:hint="eastAsia" w:ascii="宋体" w:hAnsi="宋体"/>
          <w:b/>
          <w:bCs/>
          <w:szCs w:val="21"/>
          <w:highlight w:val="none"/>
        </w:rPr>
      </w:pPr>
      <w:r>
        <w:rPr>
          <w:rFonts w:ascii="宋体" w:hAnsi="宋体"/>
          <w:szCs w:val="21"/>
          <w:highlight w:val="none"/>
        </w:rPr>
        <w:tab/>
      </w:r>
      <w:r>
        <w:rPr>
          <w:rFonts w:ascii="宋体" w:hAnsi="宋体"/>
          <w:szCs w:val="21"/>
          <w:highlight w:val="none"/>
        </w:rPr>
        <w:t>5.</w:t>
      </w:r>
      <w:r>
        <w:rPr>
          <w:rFonts w:hint="eastAsia" w:ascii="宋体" w:hAnsi="宋体"/>
          <w:szCs w:val="21"/>
          <w:highlight w:val="none"/>
        </w:rPr>
        <w:t>投标文件内容不完整、编排混乱、不清晰等原因导致被误读或漏读的责任和后果由投标人承担。</w:t>
      </w:r>
    </w:p>
    <w:bookmarkEnd w:id="160"/>
    <w:p>
      <w:pPr>
        <w:spacing w:line="410" w:lineRule="exact"/>
        <w:ind w:firstLine="211" w:firstLineChars="100"/>
        <w:rPr>
          <w:highlight w:val="none"/>
        </w:rPr>
      </w:pPr>
      <w:r>
        <w:rPr>
          <w:rFonts w:hint="eastAsia"/>
          <w:b/>
          <w:bCs/>
          <w:highlight w:val="none"/>
        </w:rPr>
        <w:t>（四）投标文件的语言及计量</w:t>
      </w:r>
      <w:bookmarkEnd w:id="162"/>
      <w:bookmarkEnd w:id="163"/>
      <w:bookmarkEnd w:id="164"/>
      <w:bookmarkEnd w:id="165"/>
    </w:p>
    <w:p>
      <w:pPr>
        <w:snapToGrid w:val="0"/>
        <w:spacing w:line="410" w:lineRule="exact"/>
        <w:ind w:firstLine="42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投标文件以及投标人与采购人、本中心就有关投标事宜的所有来往函电，均应以中文汉语书写。除签名、盖章、专用名称等特殊情形外，以中文汉语以外的文字表述的视为无效文件。</w:t>
      </w:r>
    </w:p>
    <w:p>
      <w:pPr>
        <w:snapToGrid w:val="0"/>
        <w:spacing w:line="410" w:lineRule="exact"/>
        <w:ind w:firstLine="42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投标计量单位，招标文件已有明确规定的，使用招标文件规定的计量单位；招标文件没有规定的，应采用中华人民共和国法定计量单位（货币单位：人民币元），否则视为无效投标文件。</w:t>
      </w:r>
    </w:p>
    <w:bookmarkEnd w:id="161"/>
    <w:p>
      <w:pPr>
        <w:pStyle w:val="4"/>
        <w:spacing w:before="0" w:after="0" w:line="410" w:lineRule="exact"/>
        <w:ind w:firstLine="211" w:firstLineChars="100"/>
        <w:rPr>
          <w:rFonts w:hint="eastAsia" w:ascii="宋体" w:hAnsi="宋体" w:eastAsia="宋体"/>
          <w:sz w:val="21"/>
          <w:szCs w:val="21"/>
          <w:highlight w:val="none"/>
        </w:rPr>
      </w:pPr>
      <w:bookmarkStart w:id="166" w:name="_（五）投标报价"/>
      <w:bookmarkEnd w:id="166"/>
      <w:bookmarkStart w:id="167" w:name="_Toc254970538"/>
      <w:bookmarkStart w:id="168" w:name="_Toc352700423"/>
      <w:bookmarkStart w:id="169" w:name="_Toc353785293"/>
      <w:bookmarkStart w:id="170" w:name="_Toc254970679"/>
      <w:bookmarkStart w:id="171" w:name="_Hlk92447977"/>
      <w:r>
        <w:rPr>
          <w:rFonts w:hint="eastAsia" w:ascii="宋体" w:hAnsi="宋体" w:eastAsia="宋体"/>
          <w:sz w:val="21"/>
          <w:szCs w:val="21"/>
          <w:highlight w:val="none"/>
        </w:rPr>
        <w:t>（五）投标报价</w:t>
      </w:r>
      <w:bookmarkEnd w:id="167"/>
      <w:bookmarkEnd w:id="168"/>
      <w:bookmarkEnd w:id="169"/>
      <w:bookmarkEnd w:id="170"/>
    </w:p>
    <w:p>
      <w:pPr>
        <w:pStyle w:val="27"/>
        <w:snapToGrid w:val="0"/>
        <w:spacing w:line="410" w:lineRule="exact"/>
        <w:ind w:firstLine="420"/>
        <w:rPr>
          <w:rFonts w:hint="eastAsia" w:hAnsi="宋体"/>
          <w:highlight w:val="none"/>
        </w:rPr>
      </w:pPr>
      <w:r>
        <w:rPr>
          <w:rFonts w:hAnsi="宋体"/>
          <w:highlight w:val="none"/>
        </w:rPr>
        <w:t>1.</w:t>
      </w:r>
      <w:r>
        <w:rPr>
          <w:rFonts w:hint="eastAsia" w:hAnsi="宋体"/>
          <w:highlight w:val="none"/>
        </w:rPr>
        <w:t>招标文件中未列明，而投标人认为必需的费用也须列入总报价。在合同实施时，采购人将不予支付中标人没有列入总报价的费用，并认为此项费用已包含在总报价中。</w:t>
      </w:r>
    </w:p>
    <w:p>
      <w:pPr>
        <w:pStyle w:val="27"/>
        <w:snapToGrid w:val="0"/>
        <w:spacing w:line="410" w:lineRule="exact"/>
        <w:ind w:firstLine="420"/>
        <w:rPr>
          <w:highlight w:val="none"/>
        </w:rPr>
      </w:pPr>
      <w:r>
        <w:rPr>
          <w:rFonts w:hAnsi="宋体"/>
          <w:highlight w:val="none"/>
        </w:rPr>
        <w:t>2.</w:t>
      </w:r>
      <w:r>
        <w:rPr>
          <w:rFonts w:hint="eastAsia" w:hAnsi="宋体"/>
          <w:highlight w:val="none"/>
        </w:rPr>
        <w:t>投标报价应按招标文件中相关附表格式填写。投标人</w:t>
      </w:r>
      <w:r>
        <w:rPr>
          <w:rFonts w:hint="eastAsia"/>
          <w:highlight w:val="none"/>
        </w:rPr>
        <w:t>必须就《项目需求》的内容作完整唯一报价。</w:t>
      </w:r>
    </w:p>
    <w:p>
      <w:pPr>
        <w:tabs>
          <w:tab w:val="left" w:pos="525"/>
        </w:tabs>
        <w:snapToGrid w:val="0"/>
        <w:spacing w:line="410" w:lineRule="exact"/>
        <w:ind w:firstLine="42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投标文件每标项只允许有一个总报价，有选择的或有条件的报价视为无效投标文件。</w:t>
      </w:r>
    </w:p>
    <w:p>
      <w:pPr>
        <w:pStyle w:val="4"/>
        <w:spacing w:before="0" w:after="0" w:line="410" w:lineRule="exact"/>
        <w:ind w:firstLine="211" w:firstLineChars="100"/>
        <w:rPr>
          <w:rFonts w:hint="eastAsia" w:ascii="宋体" w:hAnsi="宋体" w:eastAsia="宋体"/>
          <w:sz w:val="21"/>
          <w:szCs w:val="21"/>
          <w:highlight w:val="none"/>
        </w:rPr>
      </w:pPr>
      <w:bookmarkStart w:id="172" w:name="_（六）投标文件有效期"/>
      <w:bookmarkEnd w:id="172"/>
      <w:bookmarkStart w:id="173" w:name="_Toc352700424"/>
      <w:bookmarkStart w:id="174" w:name="_Toc353785294"/>
      <w:r>
        <w:rPr>
          <w:rFonts w:hint="eastAsia" w:ascii="宋体" w:hAnsi="宋体" w:eastAsia="宋体"/>
          <w:sz w:val="21"/>
          <w:szCs w:val="21"/>
          <w:highlight w:val="none"/>
        </w:rPr>
        <w:t>（六）投标有效期</w:t>
      </w:r>
      <w:bookmarkEnd w:id="171"/>
      <w:bookmarkEnd w:id="173"/>
      <w:bookmarkEnd w:id="174"/>
      <w:bookmarkStart w:id="175" w:name="_（七）投标保证金"/>
      <w:bookmarkEnd w:id="175"/>
      <w:bookmarkStart w:id="176" w:name="_Toc352700425"/>
      <w:bookmarkStart w:id="177" w:name="_Toc254970682"/>
      <w:bookmarkStart w:id="178" w:name="_Toc353785295"/>
      <w:bookmarkStart w:id="179" w:name="_Toc254970541"/>
      <w:bookmarkStart w:id="180" w:name="_Hlk92448848"/>
    </w:p>
    <w:p>
      <w:pPr>
        <w:spacing w:line="410" w:lineRule="exact"/>
        <w:ind w:firstLine="420"/>
        <w:rPr>
          <w:highlight w:val="none"/>
        </w:rPr>
      </w:pPr>
      <w:r>
        <w:rPr>
          <w:rFonts w:hint="eastAsia"/>
          <w:highlight w:val="none"/>
        </w:rPr>
        <w:t>投标有效期从提交投标文件的截止之日起算。投标文件中承诺的投标有效期应当不少于9</w:t>
      </w:r>
      <w:r>
        <w:rPr>
          <w:highlight w:val="none"/>
        </w:rPr>
        <w:t>0</w:t>
      </w:r>
      <w:r>
        <w:rPr>
          <w:rFonts w:hint="eastAsia"/>
          <w:highlight w:val="none"/>
        </w:rPr>
        <w:t>天。</w:t>
      </w:r>
    </w:p>
    <w:p>
      <w:pPr>
        <w:pStyle w:val="4"/>
        <w:spacing w:before="0" w:after="0" w:line="410" w:lineRule="exact"/>
        <w:ind w:firstLine="211" w:firstLineChars="100"/>
        <w:rPr>
          <w:rFonts w:hint="eastAsia" w:ascii="宋体" w:hAnsi="宋体" w:eastAsia="宋体"/>
          <w:sz w:val="21"/>
          <w:szCs w:val="21"/>
          <w:highlight w:val="none"/>
        </w:rPr>
      </w:pPr>
      <w:r>
        <w:rPr>
          <w:rFonts w:hint="eastAsia" w:ascii="宋体" w:hAnsi="宋体" w:eastAsia="宋体"/>
          <w:sz w:val="21"/>
          <w:szCs w:val="21"/>
          <w:highlight w:val="none"/>
        </w:rPr>
        <w:t>（七）投标保证金</w:t>
      </w:r>
      <w:bookmarkEnd w:id="176"/>
      <w:bookmarkEnd w:id="177"/>
      <w:bookmarkEnd w:id="178"/>
      <w:bookmarkEnd w:id="179"/>
    </w:p>
    <w:p>
      <w:pPr>
        <w:snapToGrid w:val="0"/>
        <w:spacing w:line="410" w:lineRule="exact"/>
        <w:ind w:firstLine="420"/>
        <w:rPr>
          <w:rFonts w:hint="eastAsia" w:ascii="宋体" w:hAnsi="宋体"/>
          <w:szCs w:val="21"/>
          <w:highlight w:val="none"/>
        </w:rPr>
      </w:pPr>
      <w:bookmarkStart w:id="181" w:name="_Toc353785296"/>
      <w:bookmarkStart w:id="182" w:name="_Toc254970542"/>
      <w:bookmarkStart w:id="183" w:name="_Toc352700426"/>
      <w:bookmarkStart w:id="184" w:name="_Toc254970683"/>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投标保证金金额：</w:t>
      </w:r>
      <w:r>
        <w:rPr>
          <w:rStyle w:val="58"/>
          <w:rFonts w:hint="eastAsia" w:ascii="宋体" w:hAnsi="宋体" w:cs="宋体"/>
          <w:color w:val="auto"/>
          <w:kern w:val="0"/>
          <w:szCs w:val="21"/>
          <w:highlight w:val="none"/>
          <w:u w:val="none"/>
        </w:rPr>
        <w:t>标项一：壹万玖仟捌佰元整(￥</w:t>
      </w:r>
      <w:r>
        <w:rPr>
          <w:rStyle w:val="58"/>
          <w:rFonts w:hint="eastAsia" w:ascii="宋体" w:hAnsi="宋体" w:cs="宋体"/>
          <w:color w:val="auto"/>
          <w:kern w:val="0"/>
          <w:szCs w:val="21"/>
          <w:highlight w:val="none"/>
          <w:u w:val="none"/>
          <w:lang w:val="en-US" w:eastAsia="zh-CN"/>
        </w:rPr>
        <w:t>19,800</w:t>
      </w:r>
      <w:r>
        <w:rPr>
          <w:rStyle w:val="58"/>
          <w:rFonts w:hint="eastAsia" w:ascii="宋体" w:hAnsi="宋体" w:cs="宋体"/>
          <w:color w:val="auto"/>
          <w:kern w:val="0"/>
          <w:szCs w:val="21"/>
          <w:highlight w:val="none"/>
          <w:u w:val="none"/>
        </w:rPr>
        <w:t>.00)、标项二：贰万零肆佰伍拾元整(￥</w:t>
      </w:r>
      <w:r>
        <w:rPr>
          <w:rStyle w:val="58"/>
          <w:rFonts w:hint="eastAsia" w:ascii="宋体" w:hAnsi="宋体" w:cs="宋体"/>
          <w:color w:val="auto"/>
          <w:kern w:val="0"/>
          <w:szCs w:val="21"/>
          <w:highlight w:val="none"/>
          <w:u w:val="none"/>
          <w:lang w:val="en-US" w:eastAsia="zh-CN"/>
        </w:rPr>
        <w:t>20,450</w:t>
      </w:r>
      <w:r>
        <w:rPr>
          <w:rStyle w:val="58"/>
          <w:rFonts w:hint="eastAsia" w:ascii="宋体" w:hAnsi="宋体" w:cs="宋体"/>
          <w:color w:val="auto"/>
          <w:kern w:val="0"/>
          <w:szCs w:val="21"/>
          <w:highlight w:val="none"/>
          <w:u w:val="none"/>
        </w:rPr>
        <w:t>.00)</w:t>
      </w:r>
    </w:p>
    <w:p>
      <w:pPr>
        <w:snapToGrid w:val="0"/>
        <w:spacing w:line="410" w:lineRule="exact"/>
        <w:ind w:firstLine="42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提交形式：以支票、汇票、本票、网上银行支付</w:t>
      </w:r>
      <w:bookmarkStart w:id="185" w:name="_Hlk91771269"/>
      <w:r>
        <w:rPr>
          <w:rFonts w:hint="eastAsia" w:ascii="宋体" w:hAnsi="宋体"/>
          <w:szCs w:val="21"/>
          <w:highlight w:val="none"/>
        </w:rPr>
        <w:t>或者金融机构、担保机构出具的保函</w:t>
      </w:r>
      <w:bookmarkEnd w:id="185"/>
      <w:r>
        <w:rPr>
          <w:rFonts w:hint="eastAsia" w:ascii="宋体" w:hAnsi="宋体"/>
          <w:szCs w:val="21"/>
          <w:highlight w:val="none"/>
        </w:rPr>
        <w:t>等非现金形式提交。</w:t>
      </w:r>
    </w:p>
    <w:p>
      <w:pPr>
        <w:snapToGrid w:val="0"/>
        <w:spacing w:line="410" w:lineRule="exact"/>
        <w:ind w:firstLine="420"/>
        <w:jc w:val="left"/>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pPr>
        <w:snapToGrid w:val="0"/>
        <w:spacing w:line="410" w:lineRule="exact"/>
        <w:ind w:firstLine="42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以网上银行形式提交保证金的，投标人必须于投标文件提交截止时间前从投标人账户缴存至本中心银行账户并确保到账，否则视为无效保证金。</w:t>
      </w:r>
    </w:p>
    <w:p>
      <w:pPr>
        <w:snapToGrid w:val="0"/>
        <w:spacing w:line="410" w:lineRule="exact"/>
        <w:ind w:firstLine="0" w:firstLineChars="0"/>
        <w:rPr>
          <w:rFonts w:hint="eastAsia" w:ascii="宋体" w:hAnsi="宋体"/>
          <w:bCs/>
          <w:szCs w:val="21"/>
          <w:highlight w:val="none"/>
        </w:rPr>
      </w:pPr>
      <w:r>
        <w:rPr>
          <w:rFonts w:hint="eastAsia" w:ascii="宋体" w:hAnsi="宋体"/>
          <w:bCs/>
          <w:szCs w:val="21"/>
          <w:highlight w:val="none"/>
        </w:rPr>
        <w:tab/>
      </w:r>
      <w:r>
        <w:rPr>
          <w:rFonts w:hint="eastAsia" w:ascii="宋体" w:hAnsi="宋体"/>
          <w:bCs/>
          <w:szCs w:val="21"/>
          <w:highlight w:val="none"/>
        </w:rPr>
        <w:t>本中心银行账户：</w:t>
      </w:r>
    </w:p>
    <w:p>
      <w:pPr>
        <w:snapToGrid w:val="0"/>
        <w:spacing w:line="410" w:lineRule="exact"/>
        <w:ind w:firstLine="0" w:firstLineChars="0"/>
        <w:rPr>
          <w:rFonts w:hint="eastAsia" w:ascii="宋体" w:hAnsi="宋体"/>
          <w:szCs w:val="21"/>
          <w:highlight w:val="none"/>
        </w:rPr>
      </w:pPr>
      <w:r>
        <w:rPr>
          <w:rFonts w:hint="eastAsia" w:ascii="宋体" w:hAnsi="宋体"/>
          <w:bCs/>
          <w:szCs w:val="21"/>
          <w:highlight w:val="none"/>
        </w:rPr>
        <w:tab/>
      </w:r>
      <w:r>
        <w:rPr>
          <w:rFonts w:hint="eastAsia" w:ascii="宋体" w:hAnsi="宋体"/>
          <w:bCs/>
          <w:szCs w:val="21"/>
          <w:highlight w:val="none"/>
        </w:rPr>
        <w:t>开户名称：钦州市政府采购中心</w:t>
      </w:r>
    </w:p>
    <w:p>
      <w:pPr>
        <w:snapToGrid w:val="0"/>
        <w:spacing w:line="410" w:lineRule="exact"/>
        <w:ind w:firstLine="0" w:firstLineChars="0"/>
        <w:rPr>
          <w:rFonts w:hint="eastAsia" w:ascii="宋体" w:hAnsi="宋体"/>
          <w:szCs w:val="21"/>
          <w:highlight w:val="none"/>
        </w:rPr>
      </w:pPr>
      <w:r>
        <w:rPr>
          <w:rFonts w:hint="eastAsia" w:ascii="宋体" w:hAnsi="宋体"/>
          <w:bCs/>
          <w:szCs w:val="21"/>
          <w:highlight w:val="none"/>
        </w:rPr>
        <w:tab/>
      </w:r>
      <w:r>
        <w:rPr>
          <w:rFonts w:hint="eastAsia" w:ascii="宋体" w:hAnsi="宋体"/>
          <w:bCs/>
          <w:szCs w:val="21"/>
          <w:highlight w:val="none"/>
        </w:rPr>
        <w:t>开户银行：中国工商银行股份有限公司钦州市永福东支行</w:t>
      </w:r>
    </w:p>
    <w:p>
      <w:pPr>
        <w:snapToGrid w:val="0"/>
        <w:spacing w:line="410" w:lineRule="exact"/>
        <w:ind w:firstLine="0" w:firstLineChars="0"/>
        <w:rPr>
          <w:rFonts w:hint="eastAsia" w:ascii="宋体" w:hAnsi="宋体"/>
          <w:bCs/>
          <w:szCs w:val="21"/>
          <w:highlight w:val="none"/>
        </w:rPr>
      </w:pPr>
      <w:r>
        <w:rPr>
          <w:rFonts w:hint="eastAsia" w:ascii="宋体" w:hAnsi="宋体"/>
          <w:bCs/>
          <w:szCs w:val="21"/>
          <w:highlight w:val="none"/>
        </w:rPr>
        <w:tab/>
      </w:r>
      <w:r>
        <w:rPr>
          <w:rFonts w:hint="eastAsia" w:ascii="宋体" w:hAnsi="宋体"/>
          <w:bCs/>
          <w:szCs w:val="21"/>
          <w:highlight w:val="none"/>
        </w:rPr>
        <w:t>银行账号：2115591229100078724</w:t>
      </w:r>
    </w:p>
    <w:p>
      <w:pPr>
        <w:snapToGrid w:val="0"/>
        <w:spacing w:line="410" w:lineRule="exact"/>
        <w:ind w:firstLine="420" w:firstLineChars="0"/>
        <w:rPr>
          <w:rFonts w:hint="eastAsia" w:ascii="宋体" w:hAnsi="宋体"/>
          <w:bCs/>
          <w:szCs w:val="21"/>
          <w:highlight w:val="none"/>
        </w:rPr>
      </w:pPr>
      <w:r>
        <w:rPr>
          <w:rFonts w:hint="eastAsia" w:ascii="宋体" w:hAnsi="宋体"/>
          <w:szCs w:val="21"/>
          <w:highlight w:val="none"/>
        </w:rPr>
        <w:t>注：投标人无法选择以上开户银行的，请选择“中国工商银行股份有限公司钦州分行”进行缴存。</w:t>
      </w:r>
    </w:p>
    <w:p>
      <w:pPr>
        <w:snapToGrid w:val="0"/>
        <w:spacing w:line="410" w:lineRule="exact"/>
        <w:ind w:firstLine="0" w:firstLineChars="0"/>
        <w:rPr>
          <w:rFonts w:hint="eastAsia" w:ascii="宋体" w:hAnsi="宋体"/>
          <w:szCs w:val="21"/>
          <w:highlight w:val="none"/>
        </w:rPr>
      </w:pPr>
      <w:r>
        <w:rPr>
          <w:rFonts w:hint="eastAsia" w:ascii="宋体" w:hAnsi="宋体"/>
          <w:szCs w:val="21"/>
          <w:highlight w:val="none"/>
        </w:rPr>
        <w:tab/>
      </w:r>
      <w:r>
        <w:rPr>
          <w:rFonts w:ascii="宋体" w:hAnsi="宋体"/>
          <w:szCs w:val="21"/>
          <w:highlight w:val="none"/>
        </w:rPr>
        <w:t>3.</w:t>
      </w:r>
      <w:r>
        <w:rPr>
          <w:rFonts w:hint="eastAsia" w:ascii="宋体" w:hAnsi="宋体"/>
          <w:szCs w:val="21"/>
          <w:highlight w:val="none"/>
        </w:rPr>
        <w:t>评标委员会将以投标人递交的支票、汇票、本票、保函原件以及本中心财务室出具的《保证金收缴情况表》作为评审依据，对未按规定提交投标保证金的投标文件作无效处理。</w:t>
      </w:r>
    </w:p>
    <w:p>
      <w:pPr>
        <w:snapToGrid w:val="0"/>
        <w:spacing w:line="410" w:lineRule="exact"/>
        <w:ind w:firstLine="42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保证金的退付：</w:t>
      </w:r>
    </w:p>
    <w:tbl>
      <w:tblPr>
        <w:tblStyle w:val="49"/>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43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l2br w:val="single" w:color="auto" w:sz="4" w:space="0"/>
            </w:tcBorders>
            <w:vAlign w:val="center"/>
          </w:tcPr>
          <w:p>
            <w:pPr>
              <w:snapToGrid w:val="0"/>
              <w:spacing w:line="410" w:lineRule="exact"/>
              <w:ind w:firstLine="33" w:firstLineChars="16"/>
              <w:rPr>
                <w:rFonts w:hint="eastAsia" w:ascii="宋体" w:hAnsi="宋体"/>
                <w:szCs w:val="21"/>
                <w:highlight w:val="none"/>
              </w:rPr>
            </w:pPr>
            <w:r>
              <w:rPr>
                <w:rFonts w:hint="eastAsia" w:ascii="宋体" w:hAnsi="宋体"/>
                <w:szCs w:val="21"/>
                <w:highlight w:val="none"/>
              </w:rPr>
              <w:t xml:space="preserve">     提交形式</w:t>
            </w:r>
          </w:p>
          <w:p>
            <w:pPr>
              <w:snapToGrid w:val="0"/>
              <w:spacing w:line="410" w:lineRule="exact"/>
              <w:ind w:firstLine="0" w:firstLineChars="0"/>
              <w:rPr>
                <w:rFonts w:hint="eastAsia" w:ascii="宋体" w:hAnsi="宋体"/>
                <w:szCs w:val="21"/>
                <w:highlight w:val="none"/>
              </w:rPr>
            </w:pPr>
            <w:r>
              <w:rPr>
                <w:rFonts w:hint="eastAsia" w:ascii="宋体" w:hAnsi="宋体"/>
                <w:szCs w:val="21"/>
                <w:highlight w:val="none"/>
              </w:rPr>
              <w:t>投标人</w:t>
            </w:r>
          </w:p>
        </w:tc>
        <w:tc>
          <w:tcPr>
            <w:tcW w:w="4394" w:type="dxa"/>
            <w:vAlign w:val="center"/>
          </w:tcPr>
          <w:p>
            <w:pPr>
              <w:snapToGrid w:val="0"/>
              <w:spacing w:line="410" w:lineRule="exact"/>
              <w:ind w:firstLine="0" w:firstLineChars="0"/>
              <w:jc w:val="center"/>
              <w:rPr>
                <w:rFonts w:hint="eastAsia" w:ascii="宋体" w:hAnsi="宋体"/>
                <w:szCs w:val="21"/>
                <w:highlight w:val="none"/>
              </w:rPr>
            </w:pPr>
            <w:r>
              <w:rPr>
                <w:rFonts w:hint="eastAsia" w:ascii="宋体" w:hAnsi="宋体"/>
                <w:szCs w:val="21"/>
                <w:highlight w:val="none"/>
              </w:rPr>
              <w:t>网上银行形式</w:t>
            </w:r>
          </w:p>
        </w:tc>
        <w:tc>
          <w:tcPr>
            <w:tcW w:w="3260" w:type="dxa"/>
            <w:vAlign w:val="center"/>
          </w:tcPr>
          <w:p>
            <w:pPr>
              <w:snapToGrid w:val="0"/>
              <w:spacing w:line="410" w:lineRule="exact"/>
              <w:ind w:firstLine="0" w:firstLineChars="0"/>
              <w:jc w:val="center"/>
              <w:rPr>
                <w:rFonts w:hint="eastAsia" w:ascii="宋体" w:hAnsi="宋体"/>
                <w:spacing w:val="-10"/>
                <w:szCs w:val="21"/>
                <w:highlight w:val="none"/>
              </w:rPr>
            </w:pPr>
            <w:r>
              <w:rPr>
                <w:rFonts w:hint="eastAsia" w:ascii="宋体" w:hAnsi="宋体"/>
                <w:spacing w:val="-10"/>
                <w:szCs w:val="21"/>
                <w:highlight w:val="none"/>
              </w:rPr>
              <w:t>支票、汇票、本票、保函等形式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pPr>
              <w:snapToGrid w:val="0"/>
              <w:spacing w:line="410" w:lineRule="exact"/>
              <w:ind w:firstLine="0" w:firstLineChars="0"/>
              <w:jc w:val="center"/>
              <w:rPr>
                <w:rFonts w:hint="eastAsia" w:ascii="宋体" w:hAnsi="宋体"/>
                <w:szCs w:val="21"/>
                <w:highlight w:val="none"/>
              </w:rPr>
            </w:pPr>
            <w:r>
              <w:rPr>
                <w:rFonts w:hint="eastAsia" w:ascii="宋体" w:hAnsi="宋体"/>
                <w:szCs w:val="21"/>
                <w:highlight w:val="none"/>
              </w:rPr>
              <w:t>未中标人</w:t>
            </w:r>
          </w:p>
        </w:tc>
        <w:tc>
          <w:tcPr>
            <w:tcW w:w="4394" w:type="dxa"/>
            <w:vAlign w:val="center"/>
          </w:tcPr>
          <w:p>
            <w:pPr>
              <w:snapToGrid w:val="0"/>
              <w:spacing w:line="410" w:lineRule="exact"/>
              <w:ind w:firstLine="0" w:firstLineChars="0"/>
              <w:rPr>
                <w:rFonts w:hint="eastAsia" w:ascii="宋体" w:hAnsi="宋体"/>
                <w:szCs w:val="21"/>
                <w:highlight w:val="none"/>
              </w:rPr>
            </w:pPr>
            <w:r>
              <w:rPr>
                <w:rFonts w:hint="eastAsia" w:ascii="宋体" w:hAnsi="宋体"/>
                <w:szCs w:val="21"/>
                <w:highlight w:val="none"/>
              </w:rPr>
              <w:t>中标通知书(结果公告)发出之日起四个工作日内以网上银行形式退回到投标人银行账户。</w:t>
            </w:r>
          </w:p>
        </w:tc>
        <w:tc>
          <w:tcPr>
            <w:tcW w:w="3260" w:type="dxa"/>
            <w:vAlign w:val="center"/>
          </w:tcPr>
          <w:p>
            <w:pPr>
              <w:snapToGrid w:val="0"/>
              <w:spacing w:line="410" w:lineRule="exact"/>
              <w:ind w:firstLine="0" w:firstLineChars="0"/>
              <w:rPr>
                <w:rFonts w:hint="eastAsia" w:ascii="宋体" w:hAnsi="宋体"/>
                <w:szCs w:val="21"/>
                <w:highlight w:val="none"/>
              </w:rPr>
            </w:pPr>
            <w:r>
              <w:rPr>
                <w:rFonts w:hint="eastAsia" w:ascii="宋体" w:hAnsi="宋体"/>
                <w:szCs w:val="21"/>
                <w:highlight w:val="none"/>
              </w:rPr>
              <w:t>中标通知书(结果公告)发出之日起四个工作日内退还。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vAlign w:val="center"/>
          </w:tcPr>
          <w:p>
            <w:pPr>
              <w:snapToGrid w:val="0"/>
              <w:spacing w:line="410" w:lineRule="exact"/>
              <w:ind w:firstLine="33" w:firstLineChars="16"/>
              <w:jc w:val="center"/>
              <w:rPr>
                <w:rFonts w:hint="eastAsia" w:ascii="宋体" w:hAnsi="宋体"/>
                <w:szCs w:val="21"/>
                <w:highlight w:val="none"/>
              </w:rPr>
            </w:pPr>
            <w:r>
              <w:rPr>
                <w:rFonts w:hint="eastAsia" w:ascii="宋体" w:hAnsi="宋体"/>
                <w:szCs w:val="21"/>
                <w:highlight w:val="none"/>
              </w:rPr>
              <w:t>中标人</w:t>
            </w:r>
          </w:p>
        </w:tc>
        <w:tc>
          <w:tcPr>
            <w:tcW w:w="4394" w:type="dxa"/>
            <w:vAlign w:val="center"/>
          </w:tcPr>
          <w:p>
            <w:pPr>
              <w:snapToGrid w:val="0"/>
              <w:spacing w:line="410" w:lineRule="exact"/>
              <w:ind w:firstLine="0" w:firstLineChars="0"/>
              <w:rPr>
                <w:rFonts w:hint="eastAsia" w:ascii="宋体" w:hAnsi="宋体"/>
                <w:szCs w:val="21"/>
                <w:highlight w:val="none"/>
              </w:rPr>
            </w:pPr>
            <w:r>
              <w:rPr>
                <w:rFonts w:hint="eastAsia" w:ascii="宋体" w:hAnsi="宋体"/>
                <w:szCs w:val="21"/>
                <w:highlight w:val="none"/>
              </w:rPr>
              <w:t>在政府采购合同签订之日起四个工作日内以网上银行形式退回到投标人银行账户。</w:t>
            </w:r>
          </w:p>
        </w:tc>
        <w:tc>
          <w:tcPr>
            <w:tcW w:w="3260" w:type="dxa"/>
            <w:vAlign w:val="center"/>
          </w:tcPr>
          <w:p>
            <w:pPr>
              <w:snapToGrid w:val="0"/>
              <w:spacing w:line="410" w:lineRule="exact"/>
              <w:ind w:firstLine="0" w:firstLineChars="0"/>
              <w:rPr>
                <w:rFonts w:hint="eastAsia" w:ascii="宋体" w:hAnsi="宋体"/>
                <w:szCs w:val="21"/>
                <w:highlight w:val="none"/>
              </w:rPr>
            </w:pPr>
            <w:r>
              <w:rPr>
                <w:rFonts w:hint="eastAsia" w:ascii="宋体" w:hAnsi="宋体"/>
                <w:szCs w:val="21"/>
                <w:highlight w:val="none"/>
              </w:rPr>
              <w:t>在政府采购合同签订之日起四个工作日内退还。</w:t>
            </w:r>
          </w:p>
        </w:tc>
      </w:tr>
    </w:tbl>
    <w:p>
      <w:pPr>
        <w:widowControl/>
        <w:spacing w:line="410" w:lineRule="exact"/>
        <w:ind w:firstLine="424" w:firstLineChars="202"/>
        <w:jc w:val="left"/>
        <w:rPr>
          <w:rFonts w:hint="eastAsia" w:ascii="宋体" w:hAnsi="宋体"/>
          <w:szCs w:val="21"/>
          <w:highlight w:val="none"/>
        </w:rPr>
      </w:pPr>
      <w:r>
        <w:rPr>
          <w:rFonts w:hint="eastAsia" w:ascii="宋体" w:hAnsi="宋体"/>
          <w:szCs w:val="21"/>
          <w:highlight w:val="none"/>
        </w:rPr>
        <w:t>注：因投标人自身原因导致无法及时退还的除外</w:t>
      </w:r>
    </w:p>
    <w:p>
      <w:pPr>
        <w:snapToGrid w:val="0"/>
        <w:spacing w:line="410" w:lineRule="exact"/>
        <w:ind w:firstLine="420"/>
        <w:rPr>
          <w:rFonts w:hint="eastAsia" w:ascii="宋体" w:hAnsi="宋体"/>
          <w:szCs w:val="21"/>
          <w:highlight w:val="none"/>
        </w:rPr>
      </w:pPr>
      <w:r>
        <w:rPr>
          <w:rFonts w:ascii="宋体" w:hAnsi="宋体"/>
          <w:szCs w:val="21"/>
          <w:highlight w:val="none"/>
        </w:rPr>
        <w:t>5.</w:t>
      </w:r>
      <w:r>
        <w:rPr>
          <w:rFonts w:hint="eastAsia" w:ascii="宋体" w:hAnsi="宋体"/>
          <w:szCs w:val="21"/>
          <w:highlight w:val="none"/>
        </w:rPr>
        <w:t>投标人有下列情形之一的，投标保证金将不予退还：</w:t>
      </w:r>
    </w:p>
    <w:p>
      <w:pPr>
        <w:snapToGrid w:val="0"/>
        <w:spacing w:line="410" w:lineRule="exact"/>
        <w:ind w:firstLine="42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投标人在投标有效期内撤回投标文件的；</w:t>
      </w:r>
    </w:p>
    <w:p>
      <w:pPr>
        <w:snapToGrid w:val="0"/>
        <w:spacing w:line="410" w:lineRule="exact"/>
        <w:ind w:firstLine="42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投标人在投标文件中提供虚假材料的；</w:t>
      </w:r>
    </w:p>
    <w:p>
      <w:pPr>
        <w:snapToGrid w:val="0"/>
        <w:spacing w:line="410" w:lineRule="exact"/>
        <w:ind w:firstLine="42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投标人与其他投标人或采购代理机构恶意串通的；</w:t>
      </w:r>
    </w:p>
    <w:p>
      <w:pPr>
        <w:snapToGrid w:val="0"/>
        <w:spacing w:line="410" w:lineRule="exact"/>
        <w:ind w:firstLine="42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中标人无正当理由不与采购人签订采购合同的；</w:t>
      </w:r>
    </w:p>
    <w:p>
      <w:pPr>
        <w:snapToGrid w:val="0"/>
        <w:spacing w:line="410" w:lineRule="exact"/>
        <w:ind w:firstLine="420"/>
        <w:rPr>
          <w:rFonts w:hint="eastAsia" w:ascii="宋体" w:hAnsi="宋体"/>
          <w:szCs w:val="21"/>
          <w:highlight w:val="none"/>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招标文件规定的其他情形。</w:t>
      </w:r>
    </w:p>
    <w:bookmarkEnd w:id="180"/>
    <w:bookmarkEnd w:id="181"/>
    <w:bookmarkEnd w:id="182"/>
    <w:bookmarkEnd w:id="183"/>
    <w:bookmarkEnd w:id="184"/>
    <w:p>
      <w:pPr>
        <w:spacing w:line="410" w:lineRule="exact"/>
        <w:ind w:firstLine="211" w:firstLineChars="100"/>
        <w:rPr>
          <w:b/>
          <w:bCs/>
          <w:highlight w:val="none"/>
        </w:rPr>
      </w:pPr>
      <w:r>
        <w:rPr>
          <w:rFonts w:hint="eastAsia"/>
          <w:b/>
          <w:bCs/>
          <w:highlight w:val="none"/>
        </w:rPr>
        <w:t>（八）投标文件的上传、提交、修改、撤回</w:t>
      </w:r>
    </w:p>
    <w:p>
      <w:pPr>
        <w:snapToGrid w:val="0"/>
        <w:spacing w:line="410" w:lineRule="exact"/>
        <w:ind w:firstLine="420"/>
        <w:rPr>
          <w:rFonts w:hint="eastAsia" w:ascii="宋体" w:hAnsi="宋体"/>
          <w:szCs w:val="21"/>
          <w:highlight w:val="none"/>
        </w:rPr>
      </w:pPr>
      <w:bookmarkStart w:id="186" w:name="_Toc352700427"/>
      <w:bookmarkStart w:id="187" w:name="_Toc353785297"/>
      <w:r>
        <w:rPr>
          <w:rFonts w:ascii="宋体" w:hAnsi="宋体"/>
          <w:szCs w:val="21"/>
          <w:highlight w:val="none"/>
        </w:rPr>
        <w:t>1.</w:t>
      </w:r>
      <w:r>
        <w:rPr>
          <w:rFonts w:hint="eastAsia" w:ascii="宋体" w:hAnsi="宋体"/>
          <w:szCs w:val="21"/>
          <w:highlight w:val="none"/>
        </w:rPr>
        <w:t>投标文件的上传和提交:投标人须将编制好的加密投标文件上传至政府采购云平台，并在投标文件提交截止时间前提交，否则</w:t>
      </w:r>
      <w:bookmarkStart w:id="188" w:name="_Hlk91772691"/>
      <w:r>
        <w:rPr>
          <w:rFonts w:hint="eastAsia" w:ascii="宋体" w:hAnsi="宋体"/>
          <w:szCs w:val="21"/>
          <w:highlight w:val="none"/>
        </w:rPr>
        <w:t>政府采购云平台</w:t>
      </w:r>
      <w:bookmarkEnd w:id="188"/>
      <w:r>
        <w:rPr>
          <w:rFonts w:hint="eastAsia" w:ascii="宋体" w:hAnsi="宋体"/>
          <w:szCs w:val="21"/>
          <w:highlight w:val="none"/>
        </w:rPr>
        <w:t>将予以拒收。投标文件提交成功后，投标人可自行打印投标文件接收回执。</w:t>
      </w:r>
    </w:p>
    <w:p>
      <w:pPr>
        <w:snapToGrid w:val="0"/>
        <w:spacing w:line="410" w:lineRule="exact"/>
        <w:ind w:firstLine="42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pPr>
        <w:snapToGrid w:val="0"/>
        <w:spacing w:line="410" w:lineRule="exact"/>
        <w:ind w:firstLine="420"/>
        <w:rPr>
          <w:rFonts w:hint="eastAsia" w:ascii="宋体" w:hAnsi="宋体"/>
          <w:szCs w:val="21"/>
          <w:highlight w:val="none"/>
        </w:rPr>
      </w:pPr>
    </w:p>
    <w:p>
      <w:pPr>
        <w:pStyle w:val="4"/>
        <w:spacing w:before="0" w:after="0" w:line="410" w:lineRule="exact"/>
        <w:ind w:firstLine="0" w:firstLineChars="0"/>
        <w:rPr>
          <w:rFonts w:ascii="方正小标宋_GBK" w:eastAsia="方正小标宋_GBK"/>
          <w:b w:val="0"/>
          <w:bCs w:val="0"/>
          <w:sz w:val="24"/>
          <w:szCs w:val="24"/>
          <w:highlight w:val="none"/>
        </w:rPr>
      </w:pPr>
      <w:bookmarkStart w:id="189" w:name="_四、开标"/>
      <w:bookmarkEnd w:id="189"/>
      <w:r>
        <w:rPr>
          <w:rFonts w:hint="eastAsia" w:ascii="方正小标宋_GBK" w:eastAsia="方正小标宋_GBK"/>
          <w:b w:val="0"/>
          <w:bCs w:val="0"/>
          <w:sz w:val="24"/>
          <w:szCs w:val="24"/>
          <w:highlight w:val="none"/>
        </w:rPr>
        <w:t>四、开标</w:t>
      </w:r>
      <w:bookmarkStart w:id="190" w:name="_Toc353785300"/>
      <w:bookmarkStart w:id="191" w:name="_Toc352700430"/>
    </w:p>
    <w:bookmarkEnd w:id="190"/>
    <w:bookmarkEnd w:id="191"/>
    <w:p>
      <w:pPr>
        <w:spacing w:line="410" w:lineRule="exact"/>
        <w:ind w:firstLine="210" w:firstLineChars="100"/>
        <w:rPr>
          <w:rFonts w:ascii="方正小标宋_GBK" w:hAnsi="Arial" w:eastAsia="方正小标宋_GBK"/>
          <w:bCs/>
          <w:sz w:val="24"/>
          <w:highlight w:val="none"/>
        </w:rPr>
      </w:pPr>
      <w:r>
        <w:rPr>
          <w:rFonts w:hint="eastAsia"/>
          <w:highlight w:val="none"/>
        </w:rPr>
        <w:t>（一）本中心将在投标文件提交截止时间后在</w:t>
      </w:r>
      <w:bookmarkStart w:id="192" w:name="_Hlk90300735"/>
      <w:r>
        <w:rPr>
          <w:rFonts w:hint="eastAsia"/>
          <w:highlight w:val="none"/>
        </w:rPr>
        <w:t>政采云远程开标大厅</w:t>
      </w:r>
      <w:bookmarkEnd w:id="192"/>
      <w:r>
        <w:rPr>
          <w:rFonts w:hint="eastAsia"/>
          <w:highlight w:val="none"/>
        </w:rPr>
        <w:t>进行开标，投标人法定代表人或委托代理人须按时登录</w:t>
      </w:r>
      <w:bookmarkStart w:id="193" w:name="_Hlk90300780"/>
      <w:r>
        <w:rPr>
          <w:rFonts w:hint="eastAsia"/>
          <w:highlight w:val="none"/>
        </w:rPr>
        <w:t>政采云远程开标大厅</w:t>
      </w:r>
      <w:bookmarkEnd w:id="193"/>
      <w:r>
        <w:rPr>
          <w:rFonts w:hint="eastAsia"/>
          <w:highlight w:val="none"/>
        </w:rPr>
        <w:t>（政府采购云平台-应用中心-项目采购-开标评标），保持全程在线并关注开标评标进度，评标期间评标委员会提出澄清等要求时，投标人须在规定时间内进行应答，否则按招标文件或政采云平台的相关规定执行。</w:t>
      </w:r>
      <w:bookmarkStart w:id="194" w:name="_Toc353785301"/>
      <w:bookmarkStart w:id="195" w:name="_Toc352700431"/>
    </w:p>
    <w:p>
      <w:pPr>
        <w:spacing w:line="410" w:lineRule="exact"/>
        <w:ind w:firstLine="210" w:firstLineChars="100"/>
        <w:rPr>
          <w:rFonts w:ascii="方正小标宋_GBK" w:hAnsi="Arial" w:eastAsia="方正小标宋_GBK"/>
          <w:bCs/>
          <w:sz w:val="24"/>
          <w:highlight w:val="none"/>
        </w:rPr>
      </w:pPr>
      <w:r>
        <w:rPr>
          <w:rFonts w:hint="eastAsia"/>
          <w:highlight w:val="none"/>
        </w:rPr>
        <w:t>（二）开标程序</w:t>
      </w:r>
      <w:bookmarkEnd w:id="194"/>
      <w:bookmarkEnd w:id="195"/>
    </w:p>
    <w:p>
      <w:pPr>
        <w:spacing w:line="410" w:lineRule="exact"/>
        <w:ind w:left="420" w:firstLine="0" w:firstLineChars="0"/>
        <w:rPr>
          <w:highlight w:val="none"/>
        </w:rPr>
      </w:pPr>
      <w:r>
        <w:rPr>
          <w:highlight w:val="none"/>
        </w:rPr>
        <w:t>1.</w:t>
      </w:r>
      <w:r>
        <w:rPr>
          <w:rFonts w:hint="eastAsia"/>
          <w:highlight w:val="none"/>
        </w:rPr>
        <w:t>开标会由本中心主持；</w:t>
      </w:r>
    </w:p>
    <w:p>
      <w:pPr>
        <w:spacing w:line="410" w:lineRule="exact"/>
        <w:ind w:firstLine="420"/>
        <w:rPr>
          <w:highlight w:val="none"/>
        </w:rPr>
      </w:pPr>
      <w:r>
        <w:rPr>
          <w:highlight w:val="none"/>
        </w:rPr>
        <w:t>2.</w:t>
      </w:r>
      <w:r>
        <w:rPr>
          <w:rFonts w:hint="eastAsia"/>
          <w:b/>
          <w:bCs/>
          <w:highlight w:val="none"/>
        </w:rPr>
        <w:t>解密：</w:t>
      </w:r>
      <w:r>
        <w:rPr>
          <w:rFonts w:hint="eastAsia"/>
          <w:highlight w:val="none"/>
        </w:rPr>
        <w:t>投标文件提交时间截止后，我中心将向各提交投标文件的投标人发出电子加密投标文件解密通知，投标人代表应当在接到解密通知后30分钟内对已加密的电子投标文件进行在线解密。投标人未在规定时间内完成解密的，政府采购云平台视为投标人自主放弃投标。</w:t>
      </w:r>
    </w:p>
    <w:p>
      <w:pPr>
        <w:spacing w:line="410" w:lineRule="exact"/>
        <w:ind w:firstLine="420"/>
        <w:rPr>
          <w:highlight w:val="none"/>
        </w:rPr>
      </w:pPr>
      <w:r>
        <w:rPr>
          <w:rFonts w:hint="eastAsia"/>
          <w:highlight w:val="none"/>
        </w:rPr>
        <w:t>注：当招标项目(或分标</w:t>
      </w:r>
      <w:r>
        <w:rPr>
          <w:highlight w:val="none"/>
        </w:rPr>
        <w:t>)</w:t>
      </w:r>
      <w:r>
        <w:rPr>
          <w:rFonts w:hint="eastAsia"/>
          <w:highlight w:val="none"/>
        </w:rPr>
        <w:t>的投标人不足3家的，不开标。</w:t>
      </w:r>
    </w:p>
    <w:p>
      <w:pPr>
        <w:spacing w:line="410" w:lineRule="exact"/>
        <w:ind w:firstLine="211" w:firstLineChars="100"/>
        <w:rPr>
          <w:b/>
          <w:bCs/>
          <w:highlight w:val="none"/>
        </w:rPr>
      </w:pPr>
      <w:r>
        <w:rPr>
          <w:rFonts w:hint="eastAsia"/>
          <w:b/>
          <w:bCs/>
          <w:highlight w:val="none"/>
        </w:rPr>
        <w:t>（三）资格审查</w:t>
      </w:r>
    </w:p>
    <w:p>
      <w:pPr>
        <w:spacing w:line="410" w:lineRule="exact"/>
        <w:ind w:firstLine="420"/>
        <w:rPr>
          <w:rFonts w:hint="eastAsia"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采购人依法对投标人的资格进行审查，招标项目(或分标)</w:t>
      </w:r>
      <w:r>
        <w:rPr>
          <w:rFonts w:ascii="Arial" w:hAnsi="Arial" w:cs="Arial"/>
          <w:highlight w:val="none"/>
        </w:rPr>
        <w:t>合格投标人不足3家的，不评标</w:t>
      </w:r>
      <w:r>
        <w:rPr>
          <w:rFonts w:hint="eastAsia" w:ascii="宋体" w:hAnsi="宋体"/>
          <w:szCs w:val="21"/>
          <w:highlight w:val="none"/>
        </w:rPr>
        <w:t>。</w:t>
      </w:r>
    </w:p>
    <w:p>
      <w:pPr>
        <w:spacing w:line="410" w:lineRule="exact"/>
        <w:ind w:firstLine="420"/>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资格性审查时，如发现下列情形之一的，投标文件将被视为无效：</w:t>
      </w:r>
    </w:p>
    <w:p>
      <w:pPr>
        <w:spacing w:line="410" w:lineRule="exact"/>
        <w:ind w:firstLine="420"/>
        <w:rPr>
          <w:rFonts w:hint="eastAsia" w:ascii="宋体" w:hAnsi="宋体"/>
          <w:szCs w:val="21"/>
          <w:highlight w:val="none"/>
        </w:rPr>
      </w:pPr>
      <w:r>
        <w:rPr>
          <w:rFonts w:hint="eastAsia" w:ascii="宋体" w:hAnsi="宋体"/>
          <w:szCs w:val="21"/>
          <w:highlight w:val="none"/>
        </w:rPr>
        <w:t>(1)超越了按照法律法规规定必须获得行政许可或者行政审批的经营范围的；</w:t>
      </w:r>
    </w:p>
    <w:p>
      <w:pPr>
        <w:spacing w:line="410" w:lineRule="exact"/>
        <w:ind w:firstLine="420"/>
        <w:rPr>
          <w:rFonts w:hint="eastAsia" w:ascii="宋体" w:hAnsi="宋体"/>
          <w:szCs w:val="21"/>
          <w:highlight w:val="none"/>
        </w:rPr>
      </w:pPr>
      <w:r>
        <w:rPr>
          <w:rFonts w:hint="eastAsia" w:ascii="宋体" w:hAnsi="宋体"/>
          <w:szCs w:val="21"/>
          <w:highlight w:val="none"/>
        </w:rPr>
        <w:t>(2)资格证明文件不全的，或者不符合招标文件标明的资格要求的；</w:t>
      </w:r>
    </w:p>
    <w:p>
      <w:pPr>
        <w:snapToGrid w:val="0"/>
        <w:spacing w:line="410" w:lineRule="exact"/>
        <w:ind w:firstLine="420"/>
        <w:jc w:val="left"/>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pPr>
        <w:pStyle w:val="4"/>
        <w:spacing w:before="0" w:after="0" w:line="410" w:lineRule="exact"/>
        <w:ind w:firstLine="0" w:firstLineChars="0"/>
        <w:rPr>
          <w:rFonts w:ascii="方正小标宋_GBK" w:eastAsia="方正小标宋_GBK"/>
          <w:b w:val="0"/>
          <w:bCs w:val="0"/>
          <w:sz w:val="24"/>
          <w:szCs w:val="24"/>
          <w:highlight w:val="none"/>
        </w:rPr>
      </w:pPr>
      <w:bookmarkStart w:id="196" w:name="_五、评标"/>
      <w:bookmarkEnd w:id="196"/>
      <w:bookmarkStart w:id="197" w:name="_Toc254970686"/>
      <w:bookmarkStart w:id="198" w:name="_Toc254970545"/>
      <w:bookmarkStart w:id="199" w:name="_Toc353785302"/>
      <w:bookmarkStart w:id="200" w:name="_Toc352700432"/>
      <w:r>
        <w:rPr>
          <w:rFonts w:hint="eastAsia" w:ascii="方正小标宋_GBK" w:eastAsia="方正小标宋_GBK"/>
          <w:b w:val="0"/>
          <w:bCs w:val="0"/>
          <w:sz w:val="24"/>
          <w:szCs w:val="24"/>
          <w:highlight w:val="none"/>
        </w:rPr>
        <w:t>五、评标</w:t>
      </w:r>
      <w:bookmarkEnd w:id="197"/>
      <w:bookmarkEnd w:id="198"/>
      <w:bookmarkEnd w:id="199"/>
      <w:bookmarkEnd w:id="200"/>
    </w:p>
    <w:p>
      <w:pPr>
        <w:snapToGrid w:val="0"/>
        <w:spacing w:line="410" w:lineRule="exact"/>
        <w:ind w:firstLine="211" w:firstLineChars="100"/>
        <w:rPr>
          <w:rFonts w:hint="eastAsia" w:ascii="宋体" w:hAnsi="宋体"/>
          <w:b/>
          <w:bCs/>
          <w:szCs w:val="21"/>
          <w:highlight w:val="none"/>
        </w:rPr>
      </w:pPr>
      <w:bookmarkStart w:id="201" w:name="_Toc352700433"/>
      <w:bookmarkStart w:id="202" w:name="_Toc353785303"/>
      <w:r>
        <w:rPr>
          <w:rFonts w:hint="eastAsia" w:ascii="宋体" w:hAnsi="宋体"/>
          <w:b/>
          <w:bCs/>
          <w:szCs w:val="21"/>
          <w:highlight w:val="none"/>
        </w:rPr>
        <w:t>（一）评标原则：</w:t>
      </w:r>
    </w:p>
    <w:p>
      <w:pPr>
        <w:snapToGrid w:val="0"/>
        <w:spacing w:line="410" w:lineRule="exact"/>
        <w:ind w:firstLine="42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评标委员会必须公平、公正、客观，不带任何倾向性和启发性；不得向外界透露任何与评标有关的内容；任何单位和个人不得干扰、影响评标的正常进行；评标委员会及有关工作人员不得私下接触投标人。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rPr>
          <w:rFonts w:hint="eastAsia" w:ascii="宋体" w:hAnsi="宋体" w:cs="Courier New"/>
          <w:szCs w:val="21"/>
          <w:highlight w:val="none"/>
        </w:rPr>
      </w:pPr>
      <w:r>
        <w:rPr>
          <w:rFonts w:ascii="宋体" w:hAnsi="宋体"/>
          <w:szCs w:val="21"/>
          <w:highlight w:val="none"/>
        </w:rPr>
        <w:t>2.</w:t>
      </w:r>
      <w:r>
        <w:rPr>
          <w:rFonts w:hint="eastAsia" w:ascii="宋体" w:hAnsi="宋体" w:cs="Courier New"/>
          <w:szCs w:val="21"/>
          <w:highlight w:val="none"/>
        </w:rPr>
        <w:t>本项目采用不公开方式评标，评标的依据为招标文件和投标文件。</w:t>
      </w:r>
    </w:p>
    <w:p>
      <w:pPr>
        <w:snapToGrid w:val="0"/>
        <w:spacing w:line="410" w:lineRule="exact"/>
        <w:ind w:firstLine="420"/>
        <w:rPr>
          <w:rFonts w:hint="eastAsia" w:ascii="宋体" w:hAnsi="宋体"/>
          <w:szCs w:val="21"/>
          <w:highlight w:val="none"/>
        </w:rPr>
      </w:pPr>
      <w:r>
        <w:rPr>
          <w:rFonts w:hint="eastAsia" w:ascii="宋体" w:hAnsi="宋体" w:cs="Courier New"/>
          <w:szCs w:val="21"/>
          <w:highlight w:val="none"/>
        </w:rPr>
        <w:t>3</w:t>
      </w:r>
      <w:r>
        <w:rPr>
          <w:rFonts w:ascii="宋体" w:hAnsi="宋体" w:cs="Courier New"/>
          <w:szCs w:val="21"/>
          <w:highlight w:val="none"/>
        </w:rPr>
        <w:t>.</w:t>
      </w:r>
      <w:r>
        <w:rPr>
          <w:rFonts w:hint="eastAsia" w:ascii="宋体" w:hAnsi="宋体" w:cs="宋体"/>
          <w:szCs w:val="21"/>
          <w:highlight w:val="none"/>
        </w:rPr>
        <w:t>评标方法：综合评分法，即满足招标文件全部实质性要求且按照评审因素的量化指标评审得分最高的供应商为中标候选人。</w:t>
      </w:r>
    </w:p>
    <w:p>
      <w:pPr>
        <w:snapToGrid w:val="0"/>
        <w:spacing w:line="410" w:lineRule="exact"/>
        <w:ind w:firstLine="211" w:firstLineChars="100"/>
        <w:rPr>
          <w:rFonts w:hint="eastAsia" w:ascii="宋体" w:hAnsi="宋体"/>
          <w:b/>
          <w:bCs/>
          <w:szCs w:val="21"/>
          <w:highlight w:val="none"/>
        </w:rPr>
      </w:pPr>
      <w:r>
        <w:rPr>
          <w:rFonts w:hint="eastAsia"/>
          <w:b/>
          <w:bCs/>
          <w:highlight w:val="none"/>
        </w:rPr>
        <w:t>（二）组建评标委员会</w:t>
      </w:r>
    </w:p>
    <w:p>
      <w:pPr>
        <w:snapToGrid w:val="0"/>
        <w:spacing w:line="410" w:lineRule="exact"/>
        <w:ind w:firstLine="420"/>
        <w:rPr>
          <w:rFonts w:hint="eastAsia" w:ascii="宋体" w:hAnsi="宋体"/>
          <w:szCs w:val="21"/>
          <w:highlight w:val="none"/>
        </w:rPr>
      </w:pPr>
      <w:r>
        <w:rPr>
          <w:rFonts w:ascii="宋体" w:hAnsi="宋体" w:cs="Courier New"/>
          <w:bCs/>
          <w:szCs w:val="21"/>
          <w:highlight w:val="none"/>
        </w:rPr>
        <w:t>评标委员会由采购人代表和评审专家组成，成员人数应当为</w:t>
      </w:r>
      <w:r>
        <w:rPr>
          <w:rFonts w:hint="eastAsia" w:ascii="宋体" w:hAnsi="宋体" w:cs="Courier New"/>
          <w:bCs/>
          <w:szCs w:val="21"/>
          <w:highlight w:val="none"/>
        </w:rPr>
        <w:t>5</w:t>
      </w:r>
      <w:r>
        <w:rPr>
          <w:rFonts w:ascii="宋体" w:hAnsi="宋体" w:cs="Courier New"/>
          <w:bCs/>
          <w:szCs w:val="21"/>
          <w:highlight w:val="none"/>
        </w:rPr>
        <w:t>人以上单数，其中评审专家不得少于成员总数的三分之二。</w:t>
      </w:r>
      <w:bookmarkEnd w:id="201"/>
      <w:bookmarkEnd w:id="202"/>
    </w:p>
    <w:p>
      <w:pPr>
        <w:spacing w:line="410" w:lineRule="exact"/>
        <w:ind w:firstLine="211" w:firstLineChars="100"/>
        <w:rPr>
          <w:rFonts w:hint="eastAsia" w:ascii="宋体" w:hAnsi="宋体" w:cs="Courier New"/>
          <w:szCs w:val="21"/>
          <w:highlight w:val="none"/>
        </w:rPr>
      </w:pPr>
      <w:r>
        <w:rPr>
          <w:rFonts w:hint="eastAsia" w:ascii="宋体" w:hAnsi="宋体"/>
          <w:b/>
          <w:bCs/>
          <w:szCs w:val="21"/>
          <w:highlight w:val="none"/>
        </w:rPr>
        <w:t>（三）符合性审查</w:t>
      </w:r>
    </w:p>
    <w:p>
      <w:pPr>
        <w:snapToGrid w:val="0"/>
        <w:spacing w:line="410" w:lineRule="exact"/>
        <w:ind w:firstLine="420"/>
        <w:rPr>
          <w:rFonts w:hint="eastAsia" w:ascii="宋体" w:hAnsi="宋体"/>
          <w:szCs w:val="21"/>
          <w:highlight w:val="none"/>
        </w:rPr>
      </w:pPr>
      <w:r>
        <w:rPr>
          <w:rFonts w:hint="eastAsia" w:ascii="宋体" w:hAnsi="宋体"/>
          <w:szCs w:val="21"/>
          <w:highlight w:val="none"/>
        </w:rPr>
        <w:t>评标委员会对符合资格的投标人投标文件进行符合性审查，以确定其是否满足招标文件的实质性要求。</w:t>
      </w:r>
    </w:p>
    <w:p>
      <w:pPr>
        <w:snapToGrid w:val="0"/>
        <w:spacing w:line="410" w:lineRule="exact"/>
        <w:ind w:firstLine="422"/>
        <w:rPr>
          <w:rFonts w:hint="eastAsia" w:ascii="宋体" w:hAnsi="宋体"/>
          <w:b/>
          <w:bCs/>
          <w:szCs w:val="21"/>
          <w:highlight w:val="none"/>
        </w:rPr>
      </w:pPr>
      <w:r>
        <w:rPr>
          <w:rFonts w:ascii="宋体" w:hAnsi="宋体"/>
          <w:b/>
          <w:bCs/>
          <w:szCs w:val="21"/>
          <w:highlight w:val="none"/>
        </w:rPr>
        <w:t>1.</w:t>
      </w:r>
      <w:r>
        <w:rPr>
          <w:rFonts w:hint="eastAsia" w:ascii="宋体" w:hAnsi="宋体"/>
          <w:b/>
          <w:bCs/>
          <w:szCs w:val="21"/>
          <w:highlight w:val="none"/>
        </w:rPr>
        <w:t>符合性审查时，如发现下列情形之一的，投标文件将被视为无效：</w:t>
      </w:r>
    </w:p>
    <w:p>
      <w:pPr>
        <w:snapToGrid w:val="0"/>
        <w:spacing w:line="410" w:lineRule="exact"/>
        <w:ind w:firstLine="422"/>
        <w:rPr>
          <w:rFonts w:hint="eastAsia" w:ascii="宋体" w:hAnsi="宋体"/>
          <w:b/>
          <w:bCs/>
          <w:szCs w:val="21"/>
          <w:highlight w:val="none"/>
        </w:rPr>
      </w:pPr>
      <w:r>
        <w:rPr>
          <w:rFonts w:hint="eastAsia" w:ascii="宋体" w:hAnsi="宋体"/>
          <w:b/>
          <w:bCs/>
          <w:szCs w:val="21"/>
          <w:highlight w:val="none"/>
        </w:rPr>
        <w:t>(</w:t>
      </w:r>
      <w:r>
        <w:rPr>
          <w:rFonts w:ascii="宋体" w:hAnsi="宋体"/>
          <w:b/>
          <w:bCs/>
          <w:szCs w:val="21"/>
          <w:highlight w:val="none"/>
        </w:rPr>
        <w:t>1)</w:t>
      </w:r>
      <w:r>
        <w:rPr>
          <w:rFonts w:hint="eastAsia" w:ascii="宋体" w:hAnsi="宋体"/>
          <w:b/>
          <w:bCs/>
          <w:szCs w:val="21"/>
          <w:highlight w:val="none"/>
        </w:rPr>
        <w:t>商务评审:</w:t>
      </w:r>
    </w:p>
    <w:p>
      <w:pPr>
        <w:snapToGrid w:val="0"/>
        <w:spacing w:line="410" w:lineRule="exact"/>
        <w:ind w:firstLine="525" w:firstLineChars="250"/>
        <w:rPr>
          <w:rFonts w:hint="eastAsia" w:ascii="宋体" w:hAnsi="宋体"/>
          <w:szCs w:val="21"/>
          <w:highlight w:val="none"/>
        </w:rPr>
      </w:pPr>
      <w:r>
        <w:rPr>
          <w:rFonts w:hint="eastAsia" w:ascii="宋体" w:hAnsi="宋体"/>
          <w:szCs w:val="21"/>
          <w:highlight w:val="none"/>
        </w:rPr>
        <w:t>①应交未交投标保证金的；</w:t>
      </w:r>
    </w:p>
    <w:p>
      <w:pPr>
        <w:snapToGrid w:val="0"/>
        <w:spacing w:line="410" w:lineRule="exact"/>
        <w:ind w:firstLine="525" w:firstLineChars="250"/>
        <w:rPr>
          <w:rFonts w:hint="eastAsia" w:ascii="宋体" w:hAnsi="宋体"/>
          <w:szCs w:val="21"/>
          <w:highlight w:val="none"/>
        </w:rPr>
      </w:pPr>
      <w:r>
        <w:rPr>
          <w:rFonts w:hint="eastAsia" w:ascii="宋体" w:hAnsi="宋体"/>
          <w:szCs w:val="21"/>
          <w:highlight w:val="none"/>
        </w:rPr>
        <w:t>②投标文件未按投标文件编制要求提供或内容虚假的</w:t>
      </w:r>
    </w:p>
    <w:p>
      <w:pPr>
        <w:snapToGrid w:val="0"/>
        <w:spacing w:line="410" w:lineRule="exact"/>
        <w:ind w:firstLine="525" w:firstLineChars="250"/>
        <w:rPr>
          <w:rFonts w:hint="eastAsia" w:ascii="宋体" w:hAnsi="宋体"/>
          <w:szCs w:val="21"/>
          <w:highlight w:val="none"/>
        </w:rPr>
      </w:pPr>
      <w:r>
        <w:rPr>
          <w:rFonts w:hint="eastAsia" w:ascii="宋体" w:hAnsi="宋体"/>
          <w:szCs w:val="21"/>
          <w:highlight w:val="none"/>
        </w:rPr>
        <w:t>③投标文件无法定代表人或其委托代理人签署、未提供授权委托书，或未按规定盖章的；</w:t>
      </w:r>
    </w:p>
    <w:p>
      <w:pPr>
        <w:snapToGrid w:val="0"/>
        <w:spacing w:line="410" w:lineRule="exact"/>
        <w:ind w:firstLine="525" w:firstLineChars="250"/>
        <w:rPr>
          <w:rFonts w:hint="eastAsia" w:ascii="宋体" w:hAnsi="宋体"/>
          <w:szCs w:val="21"/>
          <w:highlight w:val="none"/>
        </w:rPr>
      </w:pPr>
      <w:r>
        <w:rPr>
          <w:rFonts w:hint="eastAsia" w:ascii="宋体" w:hAnsi="宋体"/>
          <w:szCs w:val="21"/>
          <w:highlight w:val="none"/>
        </w:rPr>
        <w:t>④投标人代表未能出具身份证明或与法定代表人委托代理人身份不符的；</w:t>
      </w:r>
    </w:p>
    <w:p>
      <w:pPr>
        <w:snapToGrid w:val="0"/>
        <w:spacing w:line="410" w:lineRule="exact"/>
        <w:ind w:firstLine="525" w:firstLineChars="250"/>
        <w:rPr>
          <w:rFonts w:hint="eastAsia" w:ascii="宋体" w:hAnsi="宋体"/>
          <w:szCs w:val="21"/>
          <w:highlight w:val="none"/>
        </w:rPr>
      </w:pPr>
      <w:r>
        <w:rPr>
          <w:rFonts w:hint="eastAsia" w:ascii="宋体" w:hAnsi="宋体"/>
          <w:szCs w:val="21"/>
          <w:highlight w:val="none"/>
        </w:rPr>
        <w:t>⑤投</w:t>
      </w:r>
      <w:bookmarkStart w:id="203" w:name="_Hlk112423038"/>
      <w:r>
        <w:rPr>
          <w:rFonts w:hint="eastAsia" w:ascii="宋体" w:hAnsi="宋体"/>
          <w:szCs w:val="21"/>
          <w:highlight w:val="none"/>
        </w:rPr>
        <w:t>标有效期、交货时间、质保期等不允许偏离的实质性要求和条件不能满足招标文件要求的；</w:t>
      </w:r>
      <w:bookmarkEnd w:id="203"/>
    </w:p>
    <w:p>
      <w:pPr>
        <w:snapToGrid w:val="0"/>
        <w:spacing w:line="410" w:lineRule="exact"/>
        <w:ind w:firstLine="525" w:firstLineChars="250"/>
        <w:rPr>
          <w:rFonts w:hint="eastAsia" w:ascii="宋体" w:hAnsi="宋体"/>
          <w:szCs w:val="21"/>
          <w:highlight w:val="none"/>
        </w:rPr>
      </w:pPr>
      <w:r>
        <w:rPr>
          <w:rFonts w:hint="eastAsia" w:ascii="宋体" w:hAnsi="宋体"/>
          <w:szCs w:val="21"/>
          <w:highlight w:val="none"/>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szCs w:val="21"/>
          <w:highlight w:val="none"/>
        </w:rPr>
      </w:pPr>
      <w:r>
        <w:rPr>
          <w:rFonts w:hint="eastAsia" w:ascii="宋体" w:hAnsi="宋体"/>
          <w:szCs w:val="21"/>
          <w:highlight w:val="none"/>
        </w:rPr>
        <w:t>⑦未实质性响应招标文件要求或者投标文件有采购人不能接受的附加条件的；</w:t>
      </w:r>
    </w:p>
    <w:p>
      <w:pPr>
        <w:snapToGrid w:val="0"/>
        <w:spacing w:line="410" w:lineRule="exact"/>
        <w:ind w:firstLine="422"/>
        <w:rPr>
          <w:rFonts w:hint="eastAsia" w:ascii="宋体" w:hAnsi="宋体"/>
          <w:b/>
          <w:bCs/>
          <w:szCs w:val="21"/>
          <w:highlight w:val="none"/>
        </w:rPr>
      </w:pPr>
      <w:r>
        <w:rPr>
          <w:rFonts w:hint="eastAsia" w:ascii="宋体" w:hAnsi="宋体"/>
          <w:b/>
          <w:bCs/>
          <w:szCs w:val="21"/>
          <w:highlight w:val="none"/>
        </w:rPr>
        <w:t>(</w:t>
      </w:r>
      <w:r>
        <w:rPr>
          <w:rFonts w:ascii="宋体" w:hAnsi="宋体"/>
          <w:b/>
          <w:bCs/>
          <w:szCs w:val="21"/>
          <w:highlight w:val="none"/>
        </w:rPr>
        <w:t>2)</w:t>
      </w:r>
      <w:r>
        <w:rPr>
          <w:rFonts w:hint="eastAsia" w:ascii="宋体" w:hAnsi="宋体"/>
          <w:b/>
          <w:bCs/>
          <w:szCs w:val="21"/>
          <w:highlight w:val="none"/>
        </w:rPr>
        <w:t>技术评审：</w:t>
      </w:r>
    </w:p>
    <w:p>
      <w:pPr>
        <w:snapToGrid w:val="0"/>
        <w:spacing w:line="410" w:lineRule="exact"/>
        <w:ind w:firstLine="505" w:firstLineChars="250"/>
        <w:rPr>
          <w:rFonts w:hint="eastAsia" w:ascii="宋体" w:hAnsi="宋体"/>
          <w:spacing w:val="-4"/>
          <w:szCs w:val="21"/>
          <w:highlight w:val="none"/>
        </w:rPr>
      </w:pPr>
      <w:r>
        <w:rPr>
          <w:rFonts w:hint="eastAsia" w:ascii="宋体" w:hAnsi="宋体"/>
          <w:spacing w:val="-4"/>
          <w:szCs w:val="21"/>
          <w:highlight w:val="none"/>
        </w:rPr>
        <w:t>①</w:t>
      </w:r>
      <w:r>
        <w:rPr>
          <w:rFonts w:hint="eastAsia" w:ascii="宋体" w:hAnsi="宋体"/>
          <w:szCs w:val="21"/>
          <w:highlight w:val="none"/>
        </w:rPr>
        <w:t>未提供或未如实提供货物技术参数或服务响应，或投标文件标明的响应或偏离与事实不符的；</w:t>
      </w:r>
    </w:p>
    <w:p>
      <w:pPr>
        <w:snapToGrid w:val="0"/>
        <w:spacing w:line="410" w:lineRule="exact"/>
        <w:ind w:firstLine="505" w:firstLineChars="250"/>
        <w:rPr>
          <w:rFonts w:hint="eastAsia" w:ascii="宋体" w:hAnsi="宋体"/>
          <w:spacing w:val="-4"/>
          <w:szCs w:val="21"/>
          <w:highlight w:val="none"/>
        </w:rPr>
      </w:pPr>
      <w:r>
        <w:rPr>
          <w:rFonts w:hint="eastAsia" w:ascii="宋体" w:hAnsi="宋体"/>
          <w:spacing w:val="-4"/>
          <w:szCs w:val="21"/>
          <w:highlight w:val="none"/>
        </w:rPr>
        <w:t>②明显不符合招标文件要求的质量标准，或者与招标文件中的技术指标、功能、服务事项发生实质性较大偏离，已不符合采购人需求的；</w:t>
      </w:r>
    </w:p>
    <w:p>
      <w:pPr>
        <w:snapToGrid w:val="0"/>
        <w:spacing w:line="410" w:lineRule="exact"/>
        <w:ind w:firstLine="505" w:firstLineChars="250"/>
        <w:rPr>
          <w:rFonts w:hint="eastAsia" w:ascii="宋体" w:hAnsi="宋体"/>
          <w:spacing w:val="-4"/>
          <w:szCs w:val="21"/>
          <w:highlight w:val="none"/>
        </w:rPr>
      </w:pPr>
      <w:r>
        <w:rPr>
          <w:rFonts w:hint="eastAsia" w:ascii="宋体" w:hAnsi="宋体"/>
          <w:spacing w:val="-4"/>
          <w:szCs w:val="21"/>
          <w:highlight w:val="none"/>
        </w:rPr>
        <w:t>③投标文件技术方案不明确，存在一个或一个以上备选（替代）投标方案的。</w:t>
      </w:r>
    </w:p>
    <w:p>
      <w:pPr>
        <w:snapToGrid w:val="0"/>
        <w:spacing w:line="410" w:lineRule="exact"/>
        <w:ind w:firstLine="422"/>
        <w:rPr>
          <w:rFonts w:hint="eastAsia" w:ascii="宋体" w:hAnsi="宋体"/>
          <w:b/>
          <w:bCs/>
          <w:szCs w:val="21"/>
          <w:highlight w:val="none"/>
        </w:rPr>
      </w:pPr>
      <w:r>
        <w:rPr>
          <w:rFonts w:hint="eastAsia" w:ascii="宋体" w:hAnsi="宋体"/>
          <w:b/>
          <w:bCs/>
          <w:szCs w:val="21"/>
          <w:highlight w:val="none"/>
        </w:rPr>
        <w:t>(</w:t>
      </w:r>
      <w:r>
        <w:rPr>
          <w:rFonts w:ascii="宋体" w:hAnsi="宋体"/>
          <w:b/>
          <w:bCs/>
          <w:szCs w:val="21"/>
          <w:highlight w:val="none"/>
        </w:rPr>
        <w:t>3)</w:t>
      </w:r>
      <w:r>
        <w:rPr>
          <w:rFonts w:hint="eastAsia" w:ascii="宋体" w:hAnsi="宋体"/>
          <w:b/>
          <w:bCs/>
          <w:szCs w:val="21"/>
          <w:highlight w:val="none"/>
        </w:rPr>
        <w:t>报价评审：</w:t>
      </w:r>
    </w:p>
    <w:p>
      <w:pPr>
        <w:snapToGrid w:val="0"/>
        <w:spacing w:line="410" w:lineRule="exact"/>
        <w:ind w:firstLine="505" w:firstLineChars="250"/>
        <w:rPr>
          <w:rFonts w:hint="eastAsia" w:ascii="宋体" w:hAnsi="宋体"/>
          <w:spacing w:val="-4"/>
          <w:szCs w:val="21"/>
          <w:highlight w:val="none"/>
        </w:rPr>
      </w:pPr>
      <w:r>
        <w:rPr>
          <w:rFonts w:hint="eastAsia" w:ascii="宋体" w:hAnsi="宋体"/>
          <w:spacing w:val="-4"/>
          <w:szCs w:val="21"/>
          <w:highlight w:val="none"/>
        </w:rPr>
        <w:t>①</w:t>
      </w:r>
      <w:r>
        <w:rPr>
          <w:rFonts w:ascii="宋体" w:hAnsi="宋体"/>
          <w:spacing w:val="-4"/>
          <w:szCs w:val="21"/>
          <w:highlight w:val="none"/>
        </w:rPr>
        <w:t>报价超过招标文件中规定的预算金额或者最高限价的</w:t>
      </w:r>
      <w:r>
        <w:rPr>
          <w:rFonts w:hint="eastAsia" w:ascii="宋体" w:hAnsi="宋体"/>
          <w:spacing w:val="-4"/>
          <w:szCs w:val="21"/>
          <w:highlight w:val="none"/>
        </w:rPr>
        <w:t>；</w:t>
      </w:r>
    </w:p>
    <w:p>
      <w:pPr>
        <w:snapToGrid w:val="0"/>
        <w:spacing w:line="410" w:lineRule="exact"/>
        <w:ind w:firstLine="505" w:firstLineChars="250"/>
        <w:rPr>
          <w:rFonts w:hint="eastAsia" w:ascii="宋体" w:hAnsi="宋体"/>
          <w:spacing w:val="-4"/>
          <w:szCs w:val="21"/>
          <w:highlight w:val="none"/>
        </w:rPr>
      </w:pPr>
      <w:r>
        <w:rPr>
          <w:rFonts w:hint="eastAsia" w:ascii="宋体" w:hAnsi="宋体"/>
          <w:spacing w:val="-4"/>
          <w:szCs w:val="21"/>
          <w:highlight w:val="none"/>
        </w:rPr>
        <w:t>②未采用人民币报价或者未按照招标文件标明的币种报价的；</w:t>
      </w:r>
    </w:p>
    <w:p>
      <w:pPr>
        <w:snapToGrid w:val="0"/>
        <w:spacing w:line="410" w:lineRule="exact"/>
        <w:ind w:firstLine="505" w:firstLineChars="250"/>
        <w:rPr>
          <w:rFonts w:hint="eastAsia" w:ascii="宋体" w:hAnsi="宋体"/>
          <w:spacing w:val="-4"/>
          <w:szCs w:val="21"/>
          <w:highlight w:val="none"/>
        </w:rPr>
      </w:pPr>
      <w:r>
        <w:rPr>
          <w:rFonts w:hint="eastAsia" w:ascii="宋体" w:hAnsi="宋体"/>
          <w:spacing w:val="-4"/>
          <w:szCs w:val="21"/>
          <w:highlight w:val="none"/>
        </w:rPr>
        <w:t>③投标报价具有选择性；</w:t>
      </w:r>
    </w:p>
    <w:p>
      <w:pPr>
        <w:snapToGrid w:val="0"/>
        <w:spacing w:line="410" w:lineRule="exact"/>
        <w:ind w:firstLine="505" w:firstLineChars="250"/>
        <w:rPr>
          <w:rFonts w:hint="eastAsia" w:ascii="宋体" w:hAnsi="宋体"/>
          <w:spacing w:val="-4"/>
          <w:szCs w:val="21"/>
          <w:highlight w:val="none"/>
        </w:rPr>
      </w:pPr>
      <w:r>
        <w:rPr>
          <w:rFonts w:hint="eastAsia" w:ascii="宋体" w:hAnsi="宋体"/>
          <w:spacing w:val="-4"/>
          <w:szCs w:val="21"/>
          <w:highlight w:val="none"/>
        </w:rPr>
        <w:t>④</w:t>
      </w:r>
      <w:r>
        <w:rPr>
          <w:rFonts w:hint="eastAsia" w:ascii="宋体" w:hAnsi="宋体" w:cs="Courier New"/>
          <w:szCs w:val="21"/>
          <w:highlight w:val="none"/>
        </w:rPr>
        <w:t>评标委员会认为投标人的报价明显低于其他通过符合性审查投标人的报价，有可能影响产品质量或者不能诚信履约的，投标人不能证明其报价合理性的</w:t>
      </w:r>
      <w:r>
        <w:rPr>
          <w:rFonts w:hint="eastAsia" w:ascii="宋体" w:hAnsi="宋体"/>
          <w:spacing w:val="-4"/>
          <w:szCs w:val="21"/>
          <w:highlight w:val="none"/>
        </w:rPr>
        <w:t>；</w:t>
      </w:r>
    </w:p>
    <w:p>
      <w:pPr>
        <w:snapToGrid w:val="0"/>
        <w:spacing w:line="410" w:lineRule="exact"/>
        <w:ind w:firstLine="505" w:firstLineChars="250"/>
        <w:rPr>
          <w:rFonts w:hint="eastAsia" w:ascii="宋体" w:hAnsi="宋体"/>
          <w:spacing w:val="-4"/>
          <w:szCs w:val="21"/>
          <w:highlight w:val="none"/>
        </w:rPr>
      </w:pPr>
      <w:r>
        <w:rPr>
          <w:rFonts w:hint="eastAsia" w:ascii="宋体" w:hAnsi="宋体"/>
          <w:spacing w:val="-4"/>
          <w:szCs w:val="21"/>
          <w:highlight w:val="none"/>
        </w:rPr>
        <w:t>⑤</w:t>
      </w:r>
      <w:r>
        <w:rPr>
          <w:rFonts w:hint="eastAsia" w:ascii="宋体" w:hAnsi="宋体"/>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pPr>
        <w:snapToGrid w:val="0"/>
        <w:spacing w:line="410" w:lineRule="exact"/>
        <w:ind w:firstLine="211" w:firstLineChars="100"/>
        <w:rPr>
          <w:rFonts w:hint="eastAsia" w:ascii="宋体" w:hAnsi="宋体"/>
          <w:b/>
          <w:bCs/>
          <w:szCs w:val="21"/>
          <w:highlight w:val="none"/>
        </w:rPr>
      </w:pPr>
      <w:r>
        <w:rPr>
          <w:rFonts w:hint="eastAsia" w:ascii="宋体" w:hAnsi="宋体"/>
          <w:b/>
          <w:bCs/>
          <w:szCs w:val="21"/>
          <w:highlight w:val="none"/>
        </w:rPr>
        <w:t>（四）比较与评价</w:t>
      </w:r>
    </w:p>
    <w:p>
      <w:pPr>
        <w:snapToGrid w:val="0"/>
        <w:spacing w:line="410" w:lineRule="exact"/>
        <w:ind w:firstLine="420"/>
        <w:rPr>
          <w:rFonts w:hint="eastAsia" w:ascii="宋体" w:hAnsi="宋体"/>
          <w:szCs w:val="21"/>
          <w:highlight w:val="none"/>
        </w:rPr>
      </w:pPr>
      <w:r>
        <w:rPr>
          <w:rFonts w:ascii="宋体" w:hAnsi="宋体"/>
          <w:szCs w:val="21"/>
          <w:highlight w:val="none"/>
        </w:rPr>
        <w:t>1.</w:t>
      </w:r>
      <w:r>
        <w:rPr>
          <w:rFonts w:hint="eastAsia" w:ascii="宋体" w:hAnsi="Courier New" w:cs="Courier New"/>
          <w:szCs w:val="21"/>
          <w:highlight w:val="none"/>
        </w:rPr>
        <w:t>评分细则：</w:t>
      </w:r>
      <w:bookmarkStart w:id="204" w:name="_Hlk92463857"/>
      <w:r>
        <w:rPr>
          <w:rFonts w:hint="eastAsia" w:ascii="宋体" w:hAnsi="Courier New" w:cs="Courier New"/>
          <w:szCs w:val="21"/>
          <w:highlight w:val="none"/>
        </w:rPr>
        <w:t>详见第四章《评定标准及推荐原则》</w:t>
      </w:r>
      <w:bookmarkEnd w:id="204"/>
      <w:r>
        <w:rPr>
          <w:rFonts w:hint="eastAsia" w:ascii="宋体" w:hAnsi="Courier New" w:cs="Courier New"/>
          <w:szCs w:val="21"/>
          <w:highlight w:val="none"/>
        </w:rPr>
        <w:t>。</w:t>
      </w:r>
    </w:p>
    <w:p>
      <w:pPr>
        <w:snapToGrid w:val="0"/>
        <w:spacing w:line="410" w:lineRule="exact"/>
        <w:ind w:firstLine="420"/>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评标委员会按评分细则对各投标人的投标文件进行评价打分，由政府采购云平台进行计算。</w:t>
      </w:r>
    </w:p>
    <w:p>
      <w:pPr>
        <w:snapToGrid w:val="0"/>
        <w:spacing w:line="410" w:lineRule="exact"/>
        <w:ind w:firstLine="420"/>
        <w:rPr>
          <w:rFonts w:hint="eastAsia" w:ascii="宋体" w:hAnsi="宋体"/>
          <w:szCs w:val="21"/>
          <w:highlight w:val="none"/>
        </w:rPr>
      </w:pPr>
      <w:bookmarkStart w:id="205" w:name="_Hlk90303998"/>
      <w:r>
        <w:rPr>
          <w:rFonts w:ascii="宋体" w:hAnsi="宋体"/>
          <w:szCs w:val="21"/>
          <w:highlight w:val="none"/>
        </w:rPr>
        <w:t>2.</w:t>
      </w:r>
      <w:r>
        <w:rPr>
          <w:rFonts w:hint="eastAsia" w:ascii="宋体" w:hAnsi="宋体"/>
          <w:szCs w:val="21"/>
          <w:highlight w:val="none"/>
        </w:rPr>
        <w:t>评标委员会</w:t>
      </w:r>
      <w:bookmarkEnd w:id="205"/>
      <w:r>
        <w:rPr>
          <w:rFonts w:hint="eastAsia" w:ascii="宋体" w:hAnsi="宋体"/>
          <w:szCs w:val="21"/>
          <w:highlight w:val="none"/>
        </w:rPr>
        <w:t>完成评标后,由政府采购云平台对各投标人各项得分进行汇总，计算各投标人最终得分。评标委员会按推荐原则推荐中标候选人同时形成评标报告。</w:t>
      </w:r>
      <w:bookmarkStart w:id="206" w:name="_Toc352700436"/>
      <w:bookmarkStart w:id="207" w:name="_Toc353785306"/>
    </w:p>
    <w:p>
      <w:pPr>
        <w:snapToGrid w:val="0"/>
        <w:spacing w:line="410" w:lineRule="exact"/>
        <w:ind w:firstLine="211" w:firstLineChars="100"/>
        <w:rPr>
          <w:rFonts w:hint="eastAsia" w:ascii="宋体" w:hAnsi="宋体"/>
          <w:b/>
          <w:bCs/>
          <w:szCs w:val="32"/>
          <w:highlight w:val="none"/>
        </w:rPr>
      </w:pPr>
      <w:r>
        <w:rPr>
          <w:rFonts w:hint="eastAsia" w:ascii="宋体" w:hAnsi="宋体"/>
          <w:b/>
          <w:bCs/>
          <w:szCs w:val="32"/>
          <w:highlight w:val="none"/>
        </w:rPr>
        <w:t>（五）澄清问题的形式</w:t>
      </w:r>
      <w:bookmarkEnd w:id="206"/>
      <w:bookmarkEnd w:id="207"/>
    </w:p>
    <w:p>
      <w:pPr>
        <w:spacing w:line="410" w:lineRule="exact"/>
        <w:ind w:firstLine="420"/>
        <w:rPr>
          <w:highlight w:val="none"/>
        </w:rPr>
      </w:pPr>
      <w:bookmarkStart w:id="208" w:name="_Toc353785307"/>
      <w:bookmarkStart w:id="209" w:name="_Toc352700437"/>
      <w:r>
        <w:rPr>
          <w:rFonts w:hint="eastAsia"/>
          <w:highlight w:val="none"/>
        </w:rPr>
        <w:t>对于投标文件中含义不明确、同类问题表述不一致或者有明显文字和计算错误的内容，评标委员会应当以书面形式要求投标人作出必要的</w:t>
      </w:r>
      <w:bookmarkStart w:id="210" w:name="_Hlk92457660"/>
      <w:r>
        <w:rPr>
          <w:rFonts w:hint="eastAsia"/>
          <w:highlight w:val="none"/>
        </w:rPr>
        <w:t>澄清、说明或者补正</w:t>
      </w:r>
      <w:bookmarkEnd w:id="210"/>
      <w:r>
        <w:rPr>
          <w:rFonts w:hint="eastAsia"/>
          <w:highlight w:val="none"/>
        </w:rPr>
        <w:t>。投标人的澄清、说明或者补正应当采用书面形式，并加盖公章，或者由法定代表人或其授权的代表签名。投标人的澄清、说明或者补正不得超出投标文件的范围或者改变投标文件的实质性内容。</w:t>
      </w:r>
    </w:p>
    <w:p>
      <w:pPr>
        <w:spacing w:line="410" w:lineRule="exact"/>
        <w:ind w:firstLine="211" w:firstLineChars="100"/>
        <w:rPr>
          <w:b/>
          <w:bCs/>
          <w:highlight w:val="none"/>
        </w:rPr>
      </w:pPr>
      <w:r>
        <w:rPr>
          <w:rFonts w:hint="eastAsia"/>
          <w:b/>
          <w:bCs/>
          <w:highlight w:val="none"/>
        </w:rPr>
        <w:t>（六）错误修正</w:t>
      </w:r>
      <w:bookmarkEnd w:id="208"/>
      <w:bookmarkEnd w:id="209"/>
    </w:p>
    <w:p>
      <w:pPr>
        <w:snapToGrid w:val="0"/>
        <w:spacing w:line="410" w:lineRule="exact"/>
        <w:ind w:firstLine="420"/>
        <w:rPr>
          <w:rFonts w:hint="eastAsia" w:ascii="宋体" w:hAnsi="宋体" w:cs="Courier New"/>
          <w:szCs w:val="21"/>
          <w:highlight w:val="none"/>
        </w:rPr>
      </w:pPr>
      <w:r>
        <w:rPr>
          <w:rFonts w:hint="eastAsia" w:ascii="宋体" w:hAnsi="宋体" w:cs="Courier New"/>
          <w:szCs w:val="21"/>
          <w:highlight w:val="none"/>
        </w:rPr>
        <w:t>投标文件报价出现前后不一致的，除招标文件另有规定外，按照下列规定修正：</w:t>
      </w:r>
    </w:p>
    <w:p>
      <w:pPr>
        <w:snapToGrid w:val="0"/>
        <w:spacing w:line="410" w:lineRule="exact"/>
        <w:ind w:firstLine="420"/>
        <w:rPr>
          <w:rFonts w:hint="eastAsia" w:ascii="宋体" w:hAnsi="宋体" w:cs="Courier New"/>
          <w:szCs w:val="21"/>
          <w:highlight w:val="none"/>
        </w:rPr>
      </w:pPr>
      <w:r>
        <w:rPr>
          <w:rFonts w:hint="eastAsia" w:ascii="宋体" w:hAnsi="宋体" w:cs="Courier New"/>
          <w:szCs w:val="21"/>
          <w:highlight w:val="none"/>
        </w:rPr>
        <w:t>1</w:t>
      </w:r>
      <w:r>
        <w:rPr>
          <w:rFonts w:ascii="宋体" w:hAnsi="宋体" w:cs="Courier New"/>
          <w:szCs w:val="21"/>
          <w:highlight w:val="none"/>
        </w:rPr>
        <w:t>.</w:t>
      </w:r>
      <w:r>
        <w:rPr>
          <w:rFonts w:hint="eastAsia" w:ascii="宋体" w:hAnsi="宋体" w:cs="Courier New"/>
          <w:szCs w:val="21"/>
          <w:highlight w:val="none"/>
        </w:rPr>
        <w:t>投标文件中开标一览表内容</w:t>
      </w:r>
      <w:bookmarkStart w:id="211" w:name="_Hlk92464203"/>
      <w:r>
        <w:rPr>
          <w:rFonts w:hint="eastAsia" w:ascii="宋体" w:hAnsi="宋体" w:cs="Courier New"/>
          <w:szCs w:val="21"/>
          <w:highlight w:val="none"/>
        </w:rPr>
        <w:t>与投标文件中相应内容不一致的</w:t>
      </w:r>
      <w:bookmarkEnd w:id="211"/>
      <w:r>
        <w:rPr>
          <w:rFonts w:hint="eastAsia" w:ascii="宋体" w:hAnsi="宋体" w:cs="Courier New"/>
          <w:szCs w:val="21"/>
          <w:highlight w:val="none"/>
        </w:rPr>
        <w:t>，以开标一览表为准；</w:t>
      </w:r>
    </w:p>
    <w:p>
      <w:pPr>
        <w:snapToGrid w:val="0"/>
        <w:spacing w:line="410" w:lineRule="exact"/>
        <w:ind w:firstLine="420"/>
        <w:rPr>
          <w:rFonts w:hint="eastAsia" w:ascii="宋体" w:hAnsi="宋体" w:cs="Courier New"/>
          <w:szCs w:val="21"/>
          <w:highlight w:val="none"/>
        </w:rPr>
      </w:pPr>
      <w:r>
        <w:rPr>
          <w:rFonts w:hint="eastAsia" w:ascii="宋体" w:hAnsi="宋体" w:cs="Courier New"/>
          <w:szCs w:val="21"/>
          <w:highlight w:val="none"/>
        </w:rPr>
        <w:t>2</w:t>
      </w:r>
      <w:r>
        <w:rPr>
          <w:rFonts w:ascii="宋体" w:hAnsi="宋体" w:cs="Courier New"/>
          <w:szCs w:val="21"/>
          <w:highlight w:val="none"/>
        </w:rPr>
        <w:t>.</w:t>
      </w:r>
      <w:r>
        <w:rPr>
          <w:rFonts w:hint="eastAsia" w:ascii="宋体" w:hAnsi="宋体" w:cs="Courier New"/>
          <w:szCs w:val="21"/>
          <w:highlight w:val="none"/>
        </w:rPr>
        <w:t>大写金额和小写金额不一致的，以大写金额为准；</w:t>
      </w:r>
    </w:p>
    <w:p>
      <w:pPr>
        <w:snapToGrid w:val="0"/>
        <w:spacing w:line="410" w:lineRule="exact"/>
        <w:ind w:firstLine="420"/>
        <w:rPr>
          <w:rFonts w:hint="eastAsia" w:ascii="宋体" w:hAnsi="宋体" w:cs="Courier New"/>
          <w:szCs w:val="21"/>
          <w:highlight w:val="none"/>
        </w:rPr>
      </w:pPr>
      <w:r>
        <w:rPr>
          <w:rFonts w:hint="eastAsia" w:ascii="宋体" w:hAnsi="宋体" w:cs="Courier New"/>
          <w:szCs w:val="21"/>
          <w:highlight w:val="none"/>
        </w:rPr>
        <w:t>3</w:t>
      </w:r>
      <w:r>
        <w:rPr>
          <w:rFonts w:ascii="宋体" w:hAnsi="宋体" w:cs="Courier New"/>
          <w:szCs w:val="21"/>
          <w:highlight w:val="none"/>
        </w:rPr>
        <w:t>.</w:t>
      </w:r>
      <w:r>
        <w:rPr>
          <w:rFonts w:hint="eastAsia" w:ascii="宋体" w:hAnsi="宋体" w:cs="Courier New"/>
          <w:szCs w:val="21"/>
          <w:highlight w:val="none"/>
        </w:rPr>
        <w:t>单价金额小数点或者百分比有明显错位的，以开标一览表的总价为准，并修改单价；</w:t>
      </w:r>
    </w:p>
    <w:p>
      <w:pPr>
        <w:snapToGrid w:val="0"/>
        <w:spacing w:line="410" w:lineRule="exact"/>
        <w:ind w:firstLine="420"/>
        <w:rPr>
          <w:rFonts w:hint="eastAsia" w:ascii="宋体" w:hAnsi="宋体" w:cs="Courier New"/>
          <w:szCs w:val="21"/>
          <w:highlight w:val="none"/>
        </w:rPr>
      </w:pPr>
      <w:r>
        <w:rPr>
          <w:rFonts w:hint="eastAsia" w:ascii="宋体" w:hAnsi="宋体" w:cs="Courier New"/>
          <w:szCs w:val="21"/>
          <w:highlight w:val="none"/>
        </w:rPr>
        <w:t>4</w:t>
      </w:r>
      <w:r>
        <w:rPr>
          <w:rFonts w:ascii="宋体" w:hAnsi="宋体" w:cs="Courier New"/>
          <w:szCs w:val="21"/>
          <w:highlight w:val="none"/>
        </w:rPr>
        <w:t>.</w:t>
      </w:r>
      <w:r>
        <w:rPr>
          <w:rFonts w:hint="eastAsia" w:ascii="宋体" w:hAnsi="宋体" w:cs="Courier New"/>
          <w:szCs w:val="21"/>
          <w:highlight w:val="none"/>
        </w:rPr>
        <w:t>总价金额与按单价汇总金额不一致的，以单价金额计算结果为准。</w:t>
      </w:r>
    </w:p>
    <w:p>
      <w:pPr>
        <w:snapToGrid w:val="0"/>
        <w:spacing w:line="410" w:lineRule="exact"/>
        <w:ind w:firstLine="420"/>
        <w:rPr>
          <w:rFonts w:hint="eastAsia" w:ascii="宋体" w:hAnsi="宋体" w:cs="Courier New"/>
          <w:szCs w:val="21"/>
          <w:highlight w:val="none"/>
        </w:rPr>
      </w:pPr>
      <w:r>
        <w:rPr>
          <w:rFonts w:hint="eastAsia" w:ascii="宋体" w:hAnsi="宋体" w:cs="Courier New"/>
          <w:szCs w:val="21"/>
          <w:highlight w:val="none"/>
        </w:rPr>
        <w:t>同时出现两种以上不一致的，按照前款规定的顺序修正。修正后的报价按照澄清、说明或者补正的规定经投标人确认后产生约束力，投标人不确认的，其投标无效。</w:t>
      </w:r>
    </w:p>
    <w:bookmarkEnd w:id="186"/>
    <w:bookmarkEnd w:id="187"/>
    <w:p>
      <w:pPr>
        <w:pStyle w:val="27"/>
        <w:spacing w:line="410" w:lineRule="exact"/>
        <w:ind w:firstLine="211" w:firstLineChars="100"/>
        <w:rPr>
          <w:rFonts w:hint="eastAsia" w:hAnsi="宋体"/>
          <w:b/>
          <w:highlight w:val="none"/>
        </w:rPr>
      </w:pPr>
      <w:bookmarkStart w:id="212" w:name="_Toc254970685"/>
      <w:bookmarkStart w:id="213" w:name="_Toc353785299"/>
      <w:bookmarkStart w:id="214" w:name="_Toc352700429"/>
      <w:bookmarkStart w:id="215" w:name="_Toc254970544"/>
      <w:r>
        <w:rPr>
          <w:rFonts w:hint="eastAsia" w:hAnsi="宋体"/>
          <w:b/>
          <w:highlight w:val="none"/>
        </w:rPr>
        <w:t>（七）核心产品相同品牌产品投标、串通投标、恶意串通行为的说明：</w:t>
      </w:r>
    </w:p>
    <w:p>
      <w:pPr>
        <w:spacing w:line="410" w:lineRule="exact"/>
        <w:ind w:firstLine="420"/>
        <w:rPr>
          <w:rFonts w:hint="eastAsia" w:ascii="宋体" w:hAnsi="宋体"/>
          <w:highlight w:val="none"/>
        </w:rPr>
      </w:pPr>
      <w:r>
        <w:rPr>
          <w:rFonts w:ascii="宋体" w:hAnsi="宋体"/>
          <w:highlight w:val="none"/>
        </w:rPr>
        <w:t>1.</w:t>
      </w:r>
      <w:r>
        <w:rPr>
          <w:rFonts w:hint="eastAsia" w:ascii="宋体" w:hAnsi="宋体"/>
          <w:highlight w:val="none"/>
        </w:rPr>
        <w:t>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10" w:lineRule="exact"/>
        <w:ind w:firstLine="420"/>
        <w:rPr>
          <w:rFonts w:hint="eastAsia" w:ascii="宋体" w:hAnsi="宋体"/>
          <w:highlight w:val="none"/>
        </w:rPr>
      </w:pPr>
      <w:r>
        <w:rPr>
          <w:rFonts w:ascii="宋体" w:hAnsi="宋体"/>
          <w:highlight w:val="none"/>
        </w:rPr>
        <w:t>2.</w:t>
      </w:r>
      <w:r>
        <w:rPr>
          <w:rFonts w:hint="eastAsia" w:ascii="宋体" w:hAnsi="宋体"/>
          <w:highlight w:val="none"/>
        </w:rPr>
        <w:t>有下列情形之一的视为供应商相互串通投标，投标文件将被视为无效：</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1)不同投标人的投标文件由同一单位或者个人编制</w:t>
      </w:r>
      <w:bookmarkStart w:id="216" w:name="OLE_LINK10"/>
      <w:r>
        <w:rPr>
          <w:rFonts w:hint="eastAsia" w:ascii="宋体" w:hAnsi="宋体"/>
          <w:highlight w:val="none"/>
        </w:rPr>
        <w:t>；或不同投标人报名的IP地址一致的；</w:t>
      </w:r>
      <w:bookmarkEnd w:id="216"/>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2)不同投标人委托同一单位或者个人办理投标事宜；</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3)不同投标人的投标文件载明的项目管理成员或者联系人员为同一人；</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4)不同投标人的投标文件异常一致或者投标报价呈规律性差异；</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5)不同投标人的投标文件相互混装；</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6)不同投标人的投标保证金从同一单位或者个人的账户转出。</w:t>
      </w:r>
    </w:p>
    <w:p>
      <w:pPr>
        <w:spacing w:line="410" w:lineRule="exact"/>
        <w:ind w:firstLine="420"/>
        <w:rPr>
          <w:rFonts w:hint="eastAsia" w:ascii="宋体" w:hAnsi="宋体"/>
          <w:highlight w:val="none"/>
        </w:rPr>
      </w:pPr>
      <w:r>
        <w:rPr>
          <w:rFonts w:ascii="宋体" w:hAnsi="宋体"/>
          <w:highlight w:val="none"/>
        </w:rPr>
        <w:t>3.</w:t>
      </w:r>
      <w:r>
        <w:rPr>
          <w:rFonts w:hint="eastAsia" w:ascii="宋体" w:hAnsi="宋体"/>
          <w:highlight w:val="none"/>
        </w:rPr>
        <w:t>供应商有下列情形之一的，属于</w:t>
      </w:r>
      <w:bookmarkStart w:id="217" w:name="_Hlk90304995"/>
      <w:r>
        <w:rPr>
          <w:rFonts w:hint="eastAsia" w:ascii="宋体" w:hAnsi="宋体"/>
          <w:highlight w:val="none"/>
        </w:rPr>
        <w:t>恶意串通</w:t>
      </w:r>
      <w:bookmarkEnd w:id="217"/>
      <w:r>
        <w:rPr>
          <w:rFonts w:hint="eastAsia" w:ascii="宋体" w:hAnsi="宋体"/>
          <w:highlight w:val="none"/>
        </w:rPr>
        <w:t>：</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供应商直接或者间接从采购人或者采购代理机构处获得其他供应商的相关信息并修改其投标文件：</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供应商按照采购人或者采购代理机构的授意撤换、修改投标文件；</w:t>
      </w:r>
    </w:p>
    <w:p>
      <w:pPr>
        <w:spacing w:line="410" w:lineRule="exact"/>
        <w:ind w:firstLine="0" w:firstLineChars="0"/>
        <w:rPr>
          <w:rFonts w:hint="eastAsia" w:ascii="宋体" w:hAnsi="宋体"/>
          <w:highlight w:val="none"/>
        </w:rPr>
      </w:pPr>
      <w:r>
        <w:rPr>
          <w:rFonts w:ascii="宋体" w:hAnsi="宋体"/>
          <w:highlight w:val="none"/>
        </w:rPr>
        <w:tab/>
      </w:r>
      <w:r>
        <w:rPr>
          <w:rFonts w:hint="eastAsia" w:ascii="宋体" w:hAnsi="宋体"/>
          <w:highlight w:val="none"/>
        </w:rPr>
        <w:t>(</w:t>
      </w:r>
      <w:r>
        <w:rPr>
          <w:rFonts w:ascii="宋体" w:hAnsi="宋体"/>
          <w:highlight w:val="none"/>
        </w:rPr>
        <w:t>3)</w:t>
      </w:r>
      <w:r>
        <w:rPr>
          <w:rFonts w:hint="eastAsia" w:ascii="宋体" w:hAnsi="宋体"/>
          <w:highlight w:val="none"/>
        </w:rPr>
        <w:t>供应商之间协商报价、技术方案等投标文件的实质性内容；</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4)</w:t>
      </w:r>
      <w:r>
        <w:rPr>
          <w:rFonts w:hint="eastAsia" w:ascii="宋体" w:hAnsi="宋体"/>
          <w:highlight w:val="none"/>
        </w:rPr>
        <w:t>属于同一集团、协会、商会等组织成员的供应商按照该组织要求协同参加政府采购活动；</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5)</w:t>
      </w:r>
      <w:r>
        <w:rPr>
          <w:rFonts w:hint="eastAsia" w:ascii="宋体" w:hAnsi="宋体"/>
          <w:highlight w:val="none"/>
        </w:rPr>
        <w:t>供应商之间事先约定一致抬高或者压低报价，或者在采购项目中事先约定轮流以高价位或者低价位成交，或者事先约定由某一特定供应商成交，然后再参加投标；</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6)</w:t>
      </w:r>
      <w:r>
        <w:rPr>
          <w:rFonts w:hint="eastAsia" w:ascii="宋体" w:hAnsi="宋体"/>
          <w:highlight w:val="none"/>
        </w:rPr>
        <w:t>供应商之间商定部分供应商放弃参加政府采购活动或者放弃成交；</w:t>
      </w:r>
    </w:p>
    <w:p>
      <w:pPr>
        <w:spacing w:line="410" w:lineRule="exact"/>
        <w:ind w:firstLine="420"/>
        <w:rPr>
          <w:rFonts w:hint="eastAsia" w:ascii="宋体" w:hAnsi="宋体"/>
          <w:highlight w:val="none"/>
        </w:rPr>
      </w:pPr>
      <w:r>
        <w:rPr>
          <w:rFonts w:hint="eastAsia" w:ascii="宋体" w:hAnsi="宋体"/>
          <w:highlight w:val="none"/>
        </w:rPr>
        <w:t>(</w:t>
      </w:r>
      <w:r>
        <w:rPr>
          <w:rFonts w:ascii="宋体" w:hAnsi="宋体"/>
          <w:highlight w:val="none"/>
        </w:rPr>
        <w:t>7)</w:t>
      </w:r>
      <w:r>
        <w:rPr>
          <w:rFonts w:hint="eastAsia" w:ascii="宋体" w:hAnsi="宋体"/>
          <w:highlight w:val="none"/>
        </w:rPr>
        <w:t>供应商与采购人或者采购代理机构之间、供应商相互之间，为谋求特定供应商成交或者排斥其他供应商的其他串通行为。</w:t>
      </w:r>
    </w:p>
    <w:p>
      <w:pPr>
        <w:pStyle w:val="27"/>
        <w:spacing w:line="410" w:lineRule="exact"/>
        <w:ind w:firstLine="211" w:firstLineChars="100"/>
        <w:rPr>
          <w:rFonts w:hint="eastAsia" w:hAnsi="宋体"/>
          <w:b/>
          <w:highlight w:val="none"/>
        </w:rPr>
      </w:pPr>
      <w:r>
        <w:rPr>
          <w:rFonts w:hint="eastAsia" w:hAnsi="宋体"/>
          <w:b/>
          <w:highlight w:val="none"/>
        </w:rPr>
        <w:t>（八）废标</w:t>
      </w:r>
    </w:p>
    <w:p>
      <w:pPr>
        <w:pStyle w:val="27"/>
        <w:spacing w:line="410" w:lineRule="exact"/>
        <w:ind w:firstLine="420"/>
        <w:rPr>
          <w:rFonts w:hint="eastAsia" w:hAnsi="宋体"/>
          <w:highlight w:val="none"/>
        </w:rPr>
      </w:pPr>
      <w:r>
        <w:rPr>
          <w:rFonts w:hAnsi="宋体"/>
          <w:highlight w:val="none"/>
        </w:rPr>
        <w:t>出现下列情形之一的，应予废标：</w:t>
      </w:r>
    </w:p>
    <w:p>
      <w:pPr>
        <w:pStyle w:val="27"/>
        <w:spacing w:line="410" w:lineRule="exact"/>
        <w:ind w:firstLine="420"/>
        <w:rPr>
          <w:rFonts w:hint="eastAsia" w:hAnsi="宋体"/>
          <w:highlight w:val="none"/>
        </w:rPr>
      </w:pPr>
      <w:r>
        <w:rPr>
          <w:rFonts w:hint="eastAsia" w:hAnsi="宋体"/>
          <w:highlight w:val="none"/>
        </w:rPr>
        <w:t>1</w:t>
      </w:r>
      <w:r>
        <w:rPr>
          <w:rFonts w:hAnsi="宋体"/>
          <w:highlight w:val="none"/>
        </w:rPr>
        <w:t>.符合专业条件的供应商或者对招标文件作实质响应的供应商不足三家的；</w:t>
      </w:r>
    </w:p>
    <w:p>
      <w:pPr>
        <w:pStyle w:val="27"/>
        <w:spacing w:line="410" w:lineRule="exact"/>
        <w:ind w:firstLine="420"/>
        <w:rPr>
          <w:rFonts w:hint="eastAsia" w:hAnsi="宋体"/>
          <w:highlight w:val="none"/>
        </w:rPr>
      </w:pPr>
      <w:r>
        <w:rPr>
          <w:rFonts w:hint="eastAsia" w:hAnsi="宋体"/>
          <w:highlight w:val="none"/>
        </w:rPr>
        <w:t>2</w:t>
      </w:r>
      <w:r>
        <w:rPr>
          <w:rFonts w:hAnsi="宋体"/>
          <w:highlight w:val="none"/>
        </w:rPr>
        <w:t>.出现影响采购公正的违法、违规行为的；</w:t>
      </w:r>
    </w:p>
    <w:p>
      <w:pPr>
        <w:pStyle w:val="27"/>
        <w:spacing w:line="410" w:lineRule="exact"/>
        <w:ind w:firstLine="420"/>
        <w:rPr>
          <w:rFonts w:hint="eastAsia" w:hAnsi="宋体"/>
          <w:highlight w:val="none"/>
        </w:rPr>
      </w:pPr>
      <w:r>
        <w:rPr>
          <w:rFonts w:hint="eastAsia" w:hAnsi="宋体"/>
          <w:highlight w:val="none"/>
        </w:rPr>
        <w:t>3</w:t>
      </w:r>
      <w:r>
        <w:rPr>
          <w:rFonts w:hAnsi="宋体"/>
          <w:highlight w:val="none"/>
        </w:rPr>
        <w:t>.投标人的报价均超过了采购预算，采购人不能支付的；</w:t>
      </w:r>
    </w:p>
    <w:p>
      <w:pPr>
        <w:pStyle w:val="27"/>
        <w:spacing w:line="410" w:lineRule="exact"/>
        <w:ind w:firstLine="420"/>
        <w:rPr>
          <w:rFonts w:hint="eastAsia" w:hAnsi="宋体"/>
          <w:highlight w:val="none"/>
        </w:rPr>
      </w:pPr>
      <w:r>
        <w:rPr>
          <w:rFonts w:hint="eastAsia" w:hAnsi="宋体"/>
          <w:highlight w:val="none"/>
        </w:rPr>
        <w:t>4</w:t>
      </w:r>
      <w:r>
        <w:rPr>
          <w:rFonts w:hAnsi="宋体"/>
          <w:highlight w:val="none"/>
        </w:rPr>
        <w:t>.因重大变故，采购任务取消的。</w:t>
      </w:r>
      <w:bookmarkEnd w:id="212"/>
      <w:bookmarkEnd w:id="213"/>
      <w:bookmarkEnd w:id="214"/>
      <w:bookmarkEnd w:id="215"/>
    </w:p>
    <w:p>
      <w:pPr>
        <w:spacing w:line="410" w:lineRule="exact"/>
        <w:ind w:firstLine="211" w:firstLineChars="100"/>
        <w:rPr>
          <w:b/>
          <w:bCs/>
          <w:highlight w:val="none"/>
        </w:rPr>
      </w:pPr>
      <w:bookmarkStart w:id="218" w:name="_Toc352700439"/>
      <w:bookmarkStart w:id="219" w:name="_Toc353785309"/>
      <w:r>
        <w:rPr>
          <w:rFonts w:hint="eastAsia"/>
          <w:b/>
          <w:bCs/>
          <w:highlight w:val="none"/>
        </w:rPr>
        <w:t>（</w:t>
      </w:r>
      <w:r>
        <w:rPr>
          <w:rFonts w:hint="eastAsia" w:hAnsi="宋体"/>
          <w:b/>
          <w:highlight w:val="none"/>
        </w:rPr>
        <w:t>九</w:t>
      </w:r>
      <w:r>
        <w:rPr>
          <w:rFonts w:hint="eastAsia"/>
          <w:b/>
          <w:bCs/>
          <w:highlight w:val="none"/>
        </w:rPr>
        <w:t>）评标过程的监控</w:t>
      </w:r>
      <w:bookmarkEnd w:id="218"/>
      <w:bookmarkEnd w:id="219"/>
    </w:p>
    <w:p>
      <w:pPr>
        <w:snapToGrid w:val="0"/>
        <w:spacing w:line="410" w:lineRule="exact"/>
        <w:ind w:firstLine="420"/>
        <w:rPr>
          <w:rFonts w:hint="eastAsia" w:hAnsi="宋体"/>
          <w:highlight w:val="none"/>
        </w:rPr>
      </w:pPr>
      <w:r>
        <w:rPr>
          <w:rFonts w:hint="eastAsia" w:hAnsi="宋体"/>
          <w:highlight w:val="none"/>
        </w:rPr>
        <w:t>本项目评标过程实行全程录音、录像监控，投标人在评标过程中所进行的试图影响评标结果的不公正活动，可能导致其投标无效。</w:t>
      </w:r>
    </w:p>
    <w:p>
      <w:pPr>
        <w:snapToGrid w:val="0"/>
        <w:spacing w:line="410" w:lineRule="exact"/>
        <w:ind w:firstLine="420"/>
        <w:rPr>
          <w:rFonts w:hint="eastAsia" w:ascii="宋体" w:hAnsi="宋体"/>
          <w:szCs w:val="21"/>
          <w:highlight w:val="none"/>
        </w:rPr>
      </w:pPr>
    </w:p>
    <w:p>
      <w:pPr>
        <w:pStyle w:val="4"/>
        <w:spacing w:before="0" w:after="0" w:line="410" w:lineRule="exact"/>
        <w:ind w:firstLine="0" w:firstLineChars="0"/>
        <w:rPr>
          <w:rFonts w:ascii="方正小标宋_GBK" w:eastAsia="方正小标宋_GBK"/>
          <w:b w:val="0"/>
          <w:sz w:val="24"/>
          <w:szCs w:val="24"/>
          <w:highlight w:val="none"/>
        </w:rPr>
      </w:pPr>
      <w:bookmarkStart w:id="220" w:name="_Toc254970687"/>
      <w:bookmarkStart w:id="221" w:name="_Toc254970546"/>
      <w:bookmarkStart w:id="222" w:name="_Toc353785310"/>
      <w:bookmarkStart w:id="223" w:name="_Toc352700440"/>
      <w:r>
        <w:rPr>
          <w:rFonts w:hint="eastAsia" w:ascii="方正小标宋_GBK" w:eastAsia="方正小标宋_GBK"/>
          <w:b w:val="0"/>
          <w:sz w:val="24"/>
          <w:szCs w:val="24"/>
          <w:highlight w:val="none"/>
        </w:rPr>
        <w:t>六、评标结果</w:t>
      </w:r>
      <w:bookmarkEnd w:id="220"/>
      <w:bookmarkEnd w:id="221"/>
      <w:bookmarkEnd w:id="222"/>
      <w:bookmarkEnd w:id="223"/>
    </w:p>
    <w:p>
      <w:pPr>
        <w:pStyle w:val="27"/>
        <w:spacing w:line="410" w:lineRule="exact"/>
        <w:ind w:firstLine="210" w:firstLineChars="100"/>
        <w:rPr>
          <w:rFonts w:hint="eastAsia" w:hAnsi="宋体"/>
          <w:highlight w:val="none"/>
        </w:rPr>
      </w:pPr>
      <w:r>
        <w:rPr>
          <w:rFonts w:hint="eastAsia" w:hAnsi="宋体"/>
          <w:bCs/>
          <w:highlight w:val="none"/>
        </w:rPr>
        <w:t>（一）</w:t>
      </w:r>
      <w:r>
        <w:rPr>
          <w:rFonts w:hint="eastAsia" w:hAnsi="宋体"/>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pPr>
        <w:snapToGrid w:val="0"/>
        <w:spacing w:line="410" w:lineRule="exact"/>
        <w:ind w:firstLine="210" w:firstLineChars="100"/>
        <w:rPr>
          <w:rFonts w:hint="eastAsia" w:ascii="宋体" w:hAnsi="宋体"/>
          <w:highlight w:val="none"/>
        </w:rPr>
      </w:pPr>
      <w:r>
        <w:rPr>
          <w:rFonts w:hint="eastAsia"/>
          <w:highlight w:val="none"/>
        </w:rPr>
        <w:t>（二）中标人确定后，本中心</w:t>
      </w:r>
      <w:r>
        <w:rPr>
          <w:rFonts w:hint="eastAsia" w:ascii="宋体" w:hAnsi="宋体"/>
          <w:highlight w:val="none"/>
        </w:rPr>
        <w:t>在省级以上财政部门指定的媒体上公告中标结果，</w:t>
      </w:r>
      <w:r>
        <w:rPr>
          <w:rFonts w:hint="eastAsia" w:hAnsi="宋体"/>
          <w:highlight w:val="none"/>
        </w:rPr>
        <w:t>同时向中标人发出中标通知书</w:t>
      </w:r>
      <w:r>
        <w:rPr>
          <w:rFonts w:hint="eastAsia" w:ascii="宋体" w:hAnsi="宋体"/>
          <w:highlight w:val="none"/>
        </w:rPr>
        <w:t>。</w:t>
      </w:r>
    </w:p>
    <w:p>
      <w:pPr>
        <w:pStyle w:val="27"/>
        <w:spacing w:line="410" w:lineRule="exact"/>
        <w:ind w:firstLine="210" w:firstLineChars="100"/>
        <w:rPr>
          <w:rFonts w:hint="eastAsia" w:hAnsi="宋体"/>
          <w:highlight w:val="none"/>
        </w:rPr>
      </w:pPr>
      <w:r>
        <w:rPr>
          <w:rFonts w:hint="eastAsia" w:hAnsi="宋体"/>
          <w:highlight w:val="none"/>
        </w:rPr>
        <w:t>（三）</w:t>
      </w:r>
      <w:bookmarkStart w:id="224" w:name="_Toc352700441"/>
      <w:bookmarkStart w:id="225" w:name="_Toc353785311"/>
      <w:r>
        <w:rPr>
          <w:rFonts w:hint="eastAsia" w:hAnsi="宋体"/>
          <w:highlight w:val="none"/>
        </w:rPr>
        <w:t>中标通知书发出后，采购人不得违法改变中标结果，中标人无正当理由不得放弃中标。</w:t>
      </w:r>
    </w:p>
    <w:p>
      <w:pPr>
        <w:pStyle w:val="27"/>
        <w:spacing w:line="410" w:lineRule="exact"/>
        <w:ind w:firstLine="210" w:firstLineChars="100"/>
        <w:rPr>
          <w:rFonts w:hint="eastAsia" w:hAnsi="宋体"/>
          <w:highlight w:val="none"/>
        </w:rPr>
      </w:pPr>
    </w:p>
    <w:p>
      <w:pPr>
        <w:pStyle w:val="4"/>
        <w:spacing w:before="0" w:after="0" w:line="410" w:lineRule="exact"/>
        <w:ind w:firstLine="0" w:firstLineChars="0"/>
        <w:rPr>
          <w:rFonts w:ascii="方正小标宋_GBK" w:eastAsia="方正小标宋_GBK"/>
          <w:b w:val="0"/>
          <w:sz w:val="24"/>
          <w:szCs w:val="24"/>
          <w:highlight w:val="none"/>
        </w:rPr>
      </w:pPr>
      <w:r>
        <w:rPr>
          <w:rFonts w:hint="eastAsia" w:ascii="方正小标宋_GBK" w:eastAsia="方正小标宋_GBK"/>
          <w:b w:val="0"/>
          <w:sz w:val="24"/>
          <w:szCs w:val="24"/>
          <w:highlight w:val="none"/>
        </w:rPr>
        <w:t>七、签订合同</w:t>
      </w:r>
      <w:bookmarkEnd w:id="224"/>
      <w:bookmarkEnd w:id="225"/>
    </w:p>
    <w:p>
      <w:pPr>
        <w:pStyle w:val="27"/>
        <w:spacing w:line="410" w:lineRule="exact"/>
        <w:ind w:firstLine="210" w:firstLineChars="100"/>
        <w:rPr>
          <w:rFonts w:hint="eastAsia" w:hAnsi="宋体"/>
          <w:highlight w:val="none"/>
        </w:rPr>
      </w:pPr>
      <w:r>
        <w:rPr>
          <w:rFonts w:hint="eastAsia" w:hAnsi="宋体" w:cs="Times New Roman"/>
          <w:szCs w:val="32"/>
          <w:highlight w:val="none"/>
        </w:rPr>
        <w:t>（一）</w:t>
      </w:r>
      <w:r>
        <w:rPr>
          <w:rFonts w:hint="eastAsia" w:hAnsi="宋体"/>
          <w:highlight w:val="none"/>
        </w:rPr>
        <w:t>采购人应当自中标通知书发出之日起15日内，按照招标文件和中标人投标文件的规定，与中标人签订书面合同。所签订的合同不得对招标文件确定的事项和中标人投标文件作实质性修改。</w:t>
      </w:r>
    </w:p>
    <w:p>
      <w:pPr>
        <w:pStyle w:val="27"/>
        <w:spacing w:line="410" w:lineRule="exact"/>
        <w:ind w:firstLine="210" w:firstLineChars="100"/>
        <w:rPr>
          <w:rFonts w:hint="eastAsia" w:hAnsi="宋体"/>
          <w:highlight w:val="none"/>
        </w:rPr>
      </w:pPr>
      <w:r>
        <w:rPr>
          <w:rFonts w:hint="eastAsia" w:hAnsi="宋体"/>
          <w:highlight w:val="none"/>
        </w:rPr>
        <w:t>（二）中标通知书对采购人和中标人均具有法律效力。中标通知书发出后，采购人改变中标结果的，或者中标人放弃中标项目的，应当依法承担法律责任。</w:t>
      </w:r>
    </w:p>
    <w:p>
      <w:pPr>
        <w:pStyle w:val="27"/>
        <w:spacing w:line="410" w:lineRule="exact"/>
        <w:ind w:firstLine="210" w:firstLineChars="100"/>
        <w:rPr>
          <w:rFonts w:hint="eastAsia" w:hAnsi="宋体"/>
          <w:highlight w:val="none"/>
        </w:rPr>
      </w:pPr>
      <w:r>
        <w:rPr>
          <w:rFonts w:hint="eastAsia" w:hAnsi="宋体"/>
          <w:highlight w:val="none"/>
        </w:rPr>
        <w:t>（三）</w:t>
      </w:r>
      <w:r>
        <w:rPr>
          <w:rFonts w:hint="eastAsia" w:hAnsi="宋体" w:cs="宋体"/>
          <w:kern w:val="0"/>
          <w:highlight w:val="none"/>
        </w:rPr>
        <w:t>中标人可凭成交通知书或政府采购合同等在内的相关材料、信息，通过中征应收账款融资服务平台向银行业金融机构在线申请</w:t>
      </w:r>
      <w:r>
        <w:rPr>
          <w:rFonts w:hAnsi="宋体" w:cs="宋体"/>
          <w:kern w:val="0"/>
          <w:highlight w:val="none"/>
        </w:rPr>
        <w:t>“</w:t>
      </w:r>
      <w:r>
        <w:rPr>
          <w:rFonts w:hint="eastAsia" w:hAnsi="宋体" w:cs="宋体"/>
          <w:kern w:val="0"/>
          <w:highlight w:val="none"/>
        </w:rPr>
        <w:t>政采贷”融资。</w:t>
      </w:r>
    </w:p>
    <w:p>
      <w:pPr>
        <w:pStyle w:val="27"/>
        <w:spacing w:line="410" w:lineRule="exact"/>
        <w:ind w:firstLine="210" w:firstLineChars="100"/>
        <w:rPr>
          <w:rFonts w:hint="eastAsia" w:hAnsi="宋体"/>
          <w:highlight w:val="none"/>
        </w:rPr>
      </w:pPr>
      <w:r>
        <w:rPr>
          <w:rFonts w:hint="eastAsia" w:hAnsi="宋体"/>
          <w:highlight w:val="none"/>
        </w:rPr>
        <w:t>（四）中标人拒绝与采购人签订合同的，采购人可以按照评标报告推荐的中标候选人名单排序，确定下一候选人为中标人，也可以重新开展政府采购活动。</w:t>
      </w:r>
    </w:p>
    <w:p>
      <w:pPr>
        <w:pStyle w:val="27"/>
        <w:spacing w:line="410" w:lineRule="exact"/>
        <w:ind w:firstLine="210" w:firstLineChars="100"/>
        <w:rPr>
          <w:rFonts w:hint="eastAsia" w:hAnsi="宋体"/>
          <w:highlight w:val="none"/>
        </w:rPr>
      </w:pPr>
      <w:r>
        <w:rPr>
          <w:rFonts w:hint="eastAsia" w:hAnsi="宋体"/>
          <w:highlight w:val="none"/>
        </w:rPr>
        <w:t>（五）采购人与中标人应当根据合同的约定依法履行合同义务。政府采购合同的履行、违约责任和解决争议的方法等适用《中华人民共和国民法典》。</w:t>
      </w:r>
    </w:p>
    <w:p>
      <w:pPr>
        <w:pStyle w:val="27"/>
        <w:spacing w:line="410" w:lineRule="exact"/>
        <w:ind w:firstLine="0" w:firstLineChars="0"/>
        <w:rPr>
          <w:rFonts w:hint="eastAsia" w:hAnsi="宋体"/>
          <w:highlight w:val="none"/>
        </w:rPr>
      </w:pPr>
    </w:p>
    <w:p>
      <w:pPr>
        <w:spacing w:line="410" w:lineRule="exact"/>
        <w:ind w:firstLine="0" w:firstLineChars="0"/>
        <w:rPr>
          <w:rFonts w:ascii="方正小标宋_GBK" w:eastAsia="方正小标宋_GBK"/>
          <w:b/>
          <w:sz w:val="24"/>
          <w:highlight w:val="none"/>
        </w:rPr>
      </w:pPr>
      <w:bookmarkStart w:id="226" w:name="_Toc352700445"/>
      <w:bookmarkStart w:id="227" w:name="_Toc353785315"/>
      <w:bookmarkStart w:id="228" w:name="_Toc352315998"/>
      <w:r>
        <w:rPr>
          <w:rFonts w:hint="eastAsia" w:ascii="方正小标宋_GBK" w:eastAsia="方正小标宋_GBK"/>
          <w:b/>
          <w:sz w:val="24"/>
          <w:highlight w:val="none"/>
        </w:rPr>
        <w:t>八、适用法律</w:t>
      </w:r>
    </w:p>
    <w:p>
      <w:pPr>
        <w:spacing w:line="410" w:lineRule="exact"/>
        <w:ind w:firstLine="210" w:firstLineChars="100"/>
        <w:rPr>
          <w:rFonts w:hint="eastAsia" w:ascii="宋体" w:hAnsi="宋体"/>
          <w:szCs w:val="21"/>
          <w:highlight w:val="none"/>
        </w:rPr>
      </w:pPr>
      <w:r>
        <w:rPr>
          <w:rFonts w:hint="eastAsia" w:ascii="宋体" w:hAnsi="宋体"/>
          <w:szCs w:val="21"/>
          <w:highlight w:val="none"/>
        </w:rPr>
        <w:t>本项目采购活动适用于《中华人民共和国政府采购法》及其实施条例、《政府采购货物和服务招标投标管理办法》等规定。</w:t>
      </w:r>
    </w:p>
    <w:p>
      <w:pPr>
        <w:spacing w:line="410" w:lineRule="exact"/>
        <w:ind w:firstLine="0" w:firstLineChars="0"/>
        <w:rPr>
          <w:rFonts w:hint="eastAsia" w:ascii="宋体" w:hAnsi="宋体"/>
          <w:szCs w:val="21"/>
          <w:highlight w:val="none"/>
        </w:rPr>
      </w:pPr>
    </w:p>
    <w:p>
      <w:pPr>
        <w:pStyle w:val="4"/>
        <w:spacing w:before="0" w:after="0" w:line="410" w:lineRule="exact"/>
        <w:ind w:firstLine="0" w:firstLineChars="0"/>
        <w:rPr>
          <w:rFonts w:ascii="方正小标宋_GBK" w:eastAsia="方正小标宋_GBK"/>
          <w:b w:val="0"/>
          <w:sz w:val="24"/>
          <w:szCs w:val="24"/>
          <w:highlight w:val="none"/>
        </w:rPr>
      </w:pPr>
      <w:bookmarkStart w:id="229" w:name="_九、其他事项"/>
      <w:bookmarkEnd w:id="229"/>
      <w:r>
        <w:rPr>
          <w:rFonts w:hint="eastAsia" w:ascii="方正小标宋_GBK" w:eastAsia="方正小标宋_GBK"/>
          <w:b w:val="0"/>
          <w:sz w:val="24"/>
          <w:szCs w:val="24"/>
          <w:highlight w:val="none"/>
        </w:rPr>
        <w:t>九、其他事项</w:t>
      </w:r>
      <w:bookmarkEnd w:id="226"/>
      <w:bookmarkEnd w:id="227"/>
      <w:bookmarkEnd w:id="228"/>
    </w:p>
    <w:p>
      <w:pPr>
        <w:pStyle w:val="27"/>
        <w:spacing w:line="410" w:lineRule="exact"/>
        <w:ind w:firstLine="210" w:firstLineChars="100"/>
        <w:rPr>
          <w:rFonts w:hint="eastAsia" w:hAnsi="宋体"/>
          <w:bCs/>
          <w:highlight w:val="none"/>
        </w:rPr>
      </w:pPr>
      <w:r>
        <w:rPr>
          <w:rFonts w:hint="eastAsia" w:hAnsi="宋体"/>
          <w:bCs/>
          <w:highlight w:val="none"/>
        </w:rPr>
        <w:t>（一）代理服务费</w:t>
      </w:r>
    </w:p>
    <w:p>
      <w:pPr>
        <w:pStyle w:val="27"/>
        <w:spacing w:line="410" w:lineRule="exact"/>
        <w:ind w:firstLine="420"/>
        <w:rPr>
          <w:rFonts w:hint="eastAsia" w:hAnsi="宋体"/>
          <w:highlight w:val="none"/>
        </w:rPr>
      </w:pPr>
      <w:r>
        <w:rPr>
          <w:rFonts w:hAnsi="宋体"/>
          <w:highlight w:val="none"/>
        </w:rPr>
        <w:t>1.</w:t>
      </w:r>
      <w:bookmarkStart w:id="230" w:name="_Hlk92466646"/>
      <w:r>
        <w:rPr>
          <w:rFonts w:hint="eastAsia" w:hAnsi="宋体"/>
          <w:highlight w:val="none"/>
        </w:rPr>
        <w:t>本中心按钦州市物价局“钦市价费﹝2013﹞4号”文件规定向中标人收取代理服务费，中标人须向本中心一次付清代理服务费。</w:t>
      </w:r>
      <w:bookmarkEnd w:id="230"/>
    </w:p>
    <w:p>
      <w:pPr>
        <w:pStyle w:val="27"/>
        <w:spacing w:line="410" w:lineRule="exact"/>
        <w:ind w:firstLine="420"/>
        <w:rPr>
          <w:rFonts w:hint="eastAsia" w:hAnsi="宋体"/>
          <w:bCs/>
          <w:highlight w:val="none"/>
        </w:rPr>
      </w:pPr>
      <w:r>
        <w:rPr>
          <w:rFonts w:hAnsi="宋体"/>
          <w:bCs/>
          <w:highlight w:val="none"/>
        </w:rPr>
        <w:t>2.</w:t>
      </w:r>
      <w:bookmarkStart w:id="231" w:name="_Hlk92466736"/>
      <w:r>
        <w:rPr>
          <w:rFonts w:hint="eastAsia" w:hAnsi="宋体"/>
          <w:bCs/>
          <w:highlight w:val="none"/>
        </w:rPr>
        <w:t>代理服务收费标准：</w:t>
      </w:r>
      <w:bookmarkEnd w:id="231"/>
    </w:p>
    <w:tbl>
      <w:tblPr>
        <w:tblStyle w:val="49"/>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pPr>
              <w:widowControl/>
              <w:ind w:firstLine="420"/>
              <w:rPr>
                <w:rFonts w:hint="eastAsia" w:ascii="宋体" w:hAnsi="宋体"/>
                <w:kern w:val="0"/>
                <w:szCs w:val="21"/>
                <w:highlight w:val="none"/>
              </w:rPr>
            </w:pPr>
            <w:r>
              <w:rPr>
                <w:rFonts w:ascii="宋体" w:hAnsi="宋体"/>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5080" t="3810" r="20320" b="17780"/>
                      <wp:wrapNone/>
                      <wp:docPr id="1" name="Line 2"/>
                      <wp:cNvGraphicFramePr/>
                      <a:graphic xmlns:a="http://schemas.openxmlformats.org/drawingml/2006/main">
                        <a:graphicData uri="http://schemas.microsoft.com/office/word/2010/wordprocessingShape">
                          <wps:wsp>
                            <wps:cNvCnPr/>
                            <wps:spPr>
                              <a:xfrm>
                                <a:off x="0" y="0"/>
                                <a:ext cx="914400" cy="127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EgKM0rYAQAA0gMAAA4AAABkcnMvZTJvRG9jLnhtbK1TTY8T&#10;MQy9I/EfotzptGUXllGne9iyXFZQCfgBbuLpRMqX4myn/fc4mdKF5dIDc8g4if3s9+ys7o/OigMm&#10;MsF3cjGbS4FeBW38vpM/fzy+u5OCMngNNnjs5AlJ3q/fvlmNscVlGILVmASDeGrH2Mkh59g2DakB&#10;HdAsRPR82YfkIPM27RudYGR0Z5vlfP6hGUPSMQWFRHy6mS7lGTFdAxj63ijcBPXs0OcJNaGFzJRo&#10;MJHkulbb96jyt74nzMJ2kpnmunIStndlbdYraPcJ4mDUuQS4poRXnBwYz0kvUBvIIJ6T+QfKGZUC&#10;hT7PVHDNRKQqwiwW81fafB8gYuXCUlO8iE7/D1Z9PWyTMJonQQoPjhv+ZDyKZVFmjNSyw4PfpvOO&#10;4jYVmsc+ufJnAuJY1Txd1MRjFooPPy1ubuass+KrxfLj+7tFlbt5iY6J8hcMThSjk5YTVxHh8ESZ&#10;M7Lrb5eSzHoxMuzt8pZBgUev55az6SKXT35fYylYox+NtSWC0n73YJM4QGl//Qovxv3LrSTZAA2T&#10;X72aBmNA0J+9FvkUWRjP70GWEhxqKSzy8ykWA0KbwdhrPDm19VxBkXYSs1i7oE9V43rOra41nsey&#10;zNKf+xr98hTX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MZ4M1gAAAAkBAAAPAAAAAAAAAAEA&#10;IAAAACIAAABkcnMvZG93bnJldi54bWxQSwECFAAUAAAACACHTuJASAozStgBAADSAwAADgAAAAAA&#10;AAABACAAAAAlAQAAZHJzL2Uyb0RvYy54bWxQSwUGAAAAAAYABgBZAQAAbwUAAAAA&#10;">
                      <v:fill on="f" focussize="0,0"/>
                      <v:stroke color="#000000" joinstyle="round"/>
                      <v:imagedata o:title=""/>
                      <o:lock v:ext="edit" aspectratio="f"/>
                    </v:line>
                  </w:pict>
                </mc:Fallback>
              </mc:AlternateContent>
            </w:r>
            <w:r>
              <w:rPr>
                <w:rFonts w:hint="eastAsia" w:ascii="宋体" w:hAnsi="宋体"/>
                <w:kern w:val="0"/>
                <w:szCs w:val="21"/>
                <w:highlight w:val="none"/>
              </w:rPr>
              <w:t xml:space="preserve"> </w:t>
            </w:r>
            <w:r>
              <w:rPr>
                <w:rFonts w:ascii="宋体" w:hAnsi="宋体"/>
                <w:kern w:val="0"/>
                <w:szCs w:val="21"/>
                <w:highlight w:val="none"/>
              </w:rPr>
              <w:t xml:space="preserve">              </w:t>
            </w:r>
            <w:r>
              <w:rPr>
                <w:rFonts w:hint="eastAsia" w:ascii="宋体" w:hAnsi="宋体"/>
                <w:kern w:val="0"/>
                <w:szCs w:val="21"/>
                <w:highlight w:val="none"/>
              </w:rPr>
              <w:t>服务类型</w:t>
            </w:r>
          </w:p>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费率</w:t>
            </w:r>
          </w:p>
          <w:p>
            <w:pPr>
              <w:widowControl/>
              <w:ind w:left="2" w:firstLine="420"/>
              <w:jc w:val="left"/>
              <w:rPr>
                <w:rFonts w:hint="eastAsia" w:ascii="宋体" w:hAnsi="宋体"/>
                <w:kern w:val="0"/>
                <w:szCs w:val="21"/>
                <w:highlight w:val="none"/>
              </w:rPr>
            </w:pPr>
          </w:p>
          <w:p>
            <w:pPr>
              <w:widowControl/>
              <w:ind w:firstLine="0" w:firstLineChars="0"/>
              <w:jc w:val="left"/>
              <w:rPr>
                <w:rFonts w:hint="eastAsia" w:ascii="宋体" w:hAnsi="宋体"/>
                <w:kern w:val="0"/>
                <w:szCs w:val="21"/>
                <w:highlight w:val="none"/>
              </w:rPr>
            </w:pPr>
          </w:p>
          <w:p>
            <w:pPr>
              <w:widowControl/>
              <w:ind w:firstLine="0" w:firstLineChars="0"/>
              <w:jc w:val="left"/>
              <w:rPr>
                <w:rFonts w:hint="eastAsia" w:ascii="宋体" w:hAnsi="宋体"/>
                <w:kern w:val="0"/>
                <w:szCs w:val="21"/>
                <w:highlight w:val="none"/>
              </w:rPr>
            </w:pPr>
            <w:r>
              <w:rPr>
                <w:rFonts w:hint="eastAsia" w:ascii="宋体" w:hAnsi="宋体"/>
                <w:kern w:val="0"/>
                <w:szCs w:val="21"/>
                <w:highlight w:val="none"/>
              </w:rPr>
              <w:t>中标金额（万元）</w:t>
            </w:r>
          </w:p>
        </w:tc>
        <w:tc>
          <w:tcPr>
            <w:tcW w:w="1899" w:type="dxa"/>
            <w:tcBorders>
              <w:top w:val="single" w:color="000000" w:sz="4" w:space="0"/>
              <w:left w:val="nil"/>
              <w:right w:val="single" w:color="auto"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货物招标</w:t>
            </w:r>
          </w:p>
        </w:tc>
        <w:tc>
          <w:tcPr>
            <w:tcW w:w="1980" w:type="dxa"/>
            <w:tcBorders>
              <w:top w:val="single" w:color="000000" w:sz="4" w:space="0"/>
              <w:left w:val="single" w:color="auto" w:sz="4" w:space="0"/>
              <w:right w:val="single" w:color="auto"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服务招标</w:t>
            </w:r>
          </w:p>
        </w:tc>
        <w:tc>
          <w:tcPr>
            <w:tcW w:w="1980" w:type="dxa"/>
            <w:tcBorders>
              <w:top w:val="single" w:color="000000" w:sz="4" w:space="0"/>
              <w:left w:val="single" w:color="auto"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highlight w:val="none"/>
              </w:rPr>
            </w:pPr>
            <w:r>
              <w:rPr>
                <w:rFonts w:hint="eastAsia" w:ascii="宋体" w:hAnsi="宋体"/>
                <w:kern w:val="0"/>
                <w:szCs w:val="21"/>
                <w:highlight w:val="none"/>
              </w:rPr>
              <w:t>100以下</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highlight w:val="none"/>
              </w:rPr>
            </w:pPr>
            <w:r>
              <w:rPr>
                <w:rFonts w:hint="eastAsia" w:ascii="宋体" w:hAnsi="宋体"/>
                <w:kern w:val="0"/>
                <w:szCs w:val="21"/>
                <w:highlight w:val="none"/>
              </w:rPr>
              <w:t>100-500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0.88%</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51" w:firstLineChars="215"/>
              <w:jc w:val="center"/>
              <w:rPr>
                <w:rFonts w:hint="eastAsia" w:ascii="宋体" w:hAnsi="宋体"/>
                <w:kern w:val="0"/>
                <w:szCs w:val="21"/>
                <w:highlight w:val="none"/>
              </w:rPr>
            </w:pPr>
            <w:r>
              <w:rPr>
                <w:rFonts w:hint="eastAsia" w:ascii="宋体" w:hAnsi="宋体"/>
                <w:kern w:val="0"/>
                <w:szCs w:val="21"/>
                <w:highlight w:val="none"/>
              </w:rPr>
              <w:t>500-1000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0.36%</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highlight w:val="none"/>
              </w:rPr>
            </w:pPr>
            <w:r>
              <w:rPr>
                <w:rFonts w:hint="eastAsia" w:ascii="宋体" w:hAnsi="宋体"/>
                <w:kern w:val="0"/>
                <w:szCs w:val="21"/>
                <w:highlight w:val="none"/>
              </w:rPr>
              <w:t>1000-5000</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0.4%</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ind w:firstLine="420"/>
              <w:jc w:val="center"/>
              <w:rPr>
                <w:rFonts w:hint="eastAsia" w:ascii="宋体" w:hAnsi="宋体"/>
                <w:kern w:val="0"/>
                <w:szCs w:val="21"/>
                <w:highlight w:val="none"/>
              </w:rPr>
            </w:pPr>
            <w:r>
              <w:rPr>
                <w:rFonts w:hint="eastAsia" w:ascii="宋体" w:hAnsi="宋体"/>
                <w:kern w:val="0"/>
                <w:szCs w:val="21"/>
                <w:highlight w:val="none"/>
              </w:rPr>
              <w:t>5000-10000</w:t>
            </w:r>
          </w:p>
        </w:tc>
        <w:tc>
          <w:tcPr>
            <w:tcW w:w="1899"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0.2%</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0.08%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ind w:firstLine="420"/>
              <w:jc w:val="center"/>
              <w:rPr>
                <w:rFonts w:hint="eastAsia" w:ascii="宋体" w:hAnsi="宋体"/>
                <w:kern w:val="0"/>
                <w:szCs w:val="21"/>
                <w:highlight w:val="none"/>
              </w:rPr>
            </w:pPr>
            <w:r>
              <w:rPr>
                <w:rFonts w:hint="eastAsia" w:ascii="宋体" w:hAnsi="宋体"/>
                <w:kern w:val="0"/>
                <w:szCs w:val="21"/>
                <w:highlight w:val="none"/>
              </w:rPr>
              <w:t>10000-50000</w:t>
            </w:r>
          </w:p>
        </w:tc>
        <w:tc>
          <w:tcPr>
            <w:tcW w:w="1899"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ind w:firstLine="420"/>
              <w:jc w:val="center"/>
              <w:rPr>
                <w:rFonts w:hint="eastAsia" w:ascii="宋体" w:hAnsi="宋体"/>
                <w:kern w:val="0"/>
                <w:szCs w:val="21"/>
                <w:highlight w:val="none"/>
              </w:rPr>
            </w:pPr>
            <w:r>
              <w:rPr>
                <w:rFonts w:hint="eastAsia" w:ascii="宋体" w:hAnsi="宋体"/>
                <w:kern w:val="0"/>
                <w:szCs w:val="21"/>
                <w:highlight w:val="none"/>
              </w:rPr>
              <w:t>50000-100000</w:t>
            </w:r>
          </w:p>
        </w:tc>
        <w:tc>
          <w:tcPr>
            <w:tcW w:w="1899"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pPr>
              <w:ind w:firstLine="420"/>
              <w:jc w:val="center"/>
              <w:rPr>
                <w:rFonts w:hint="eastAsia" w:ascii="宋体" w:hAnsi="宋体"/>
                <w:kern w:val="0"/>
                <w:szCs w:val="21"/>
                <w:highlight w:val="none"/>
              </w:rPr>
            </w:pPr>
            <w:r>
              <w:rPr>
                <w:rFonts w:hint="eastAsia" w:ascii="宋体" w:hAnsi="宋体"/>
                <w:kern w:val="0"/>
                <w:szCs w:val="21"/>
                <w:highlight w:val="none"/>
              </w:rPr>
              <w:t>100000-500000</w:t>
            </w:r>
          </w:p>
        </w:tc>
        <w:tc>
          <w:tcPr>
            <w:tcW w:w="1899"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ind w:firstLine="420"/>
              <w:jc w:val="center"/>
              <w:rPr>
                <w:rFonts w:hint="eastAsia" w:ascii="宋体" w:hAnsi="宋体"/>
                <w:kern w:val="0"/>
                <w:szCs w:val="21"/>
                <w:highlight w:val="none"/>
              </w:rPr>
            </w:pPr>
            <w:r>
              <w:rPr>
                <w:rFonts w:hint="eastAsia" w:ascii="宋体" w:hAnsi="宋体"/>
                <w:kern w:val="0"/>
                <w:szCs w:val="21"/>
                <w:highlight w:val="none"/>
              </w:rPr>
              <w:t>500000-1000000</w:t>
            </w:r>
          </w:p>
        </w:tc>
        <w:tc>
          <w:tcPr>
            <w:tcW w:w="1899"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ind w:firstLine="0" w:firstLineChars="0"/>
              <w:jc w:val="center"/>
              <w:rPr>
                <w:rFonts w:hint="eastAsia" w:ascii="宋体" w:hAnsi="宋体"/>
                <w:kern w:val="0"/>
                <w:szCs w:val="21"/>
                <w:highlight w:val="none"/>
              </w:rPr>
            </w:pPr>
            <w:r>
              <w:rPr>
                <w:rFonts w:hint="eastAsia" w:ascii="宋体" w:hAnsi="宋体"/>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rPr>
                <w:rFonts w:hint="eastAsia" w:ascii="宋体" w:hAnsi="宋体"/>
                <w:kern w:val="0"/>
                <w:szCs w:val="21"/>
                <w:highlight w:val="none"/>
              </w:rPr>
            </w:pPr>
            <w:r>
              <w:rPr>
                <w:rFonts w:hint="eastAsia" w:ascii="宋体" w:hAnsi="宋体"/>
                <w:kern w:val="0"/>
                <w:szCs w:val="21"/>
                <w:highlight w:val="none"/>
              </w:rPr>
              <w:t>1000000以上</w:t>
            </w:r>
          </w:p>
        </w:tc>
        <w:tc>
          <w:tcPr>
            <w:tcW w:w="1899"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ind w:firstLine="0" w:firstLineChars="0"/>
              <w:jc w:val="center"/>
              <w:rPr>
                <w:rFonts w:hint="eastAsia" w:ascii="宋体" w:hAnsi="宋体"/>
                <w:kern w:val="0"/>
                <w:szCs w:val="21"/>
                <w:highlight w:val="none"/>
              </w:rPr>
            </w:pPr>
            <w:r>
              <w:rPr>
                <w:rFonts w:hint="eastAsia" w:ascii="宋体" w:hAnsi="宋体"/>
                <w:kern w:val="0"/>
                <w:szCs w:val="21"/>
                <w:highlight w:val="none"/>
              </w:rPr>
              <w:t>0.0032%</w:t>
            </w:r>
          </w:p>
        </w:tc>
      </w:tr>
    </w:tbl>
    <w:p>
      <w:pPr>
        <w:pStyle w:val="27"/>
        <w:spacing w:line="400" w:lineRule="atLeast"/>
        <w:ind w:firstLine="315" w:firstLineChars="150"/>
        <w:rPr>
          <w:rFonts w:hint="eastAsia" w:hAnsi="宋体"/>
          <w:highlight w:val="none"/>
        </w:rPr>
      </w:pPr>
      <w:r>
        <w:rPr>
          <w:rFonts w:hAnsi="宋体"/>
          <w:highlight w:val="none"/>
        </w:rPr>
        <w:tab/>
      </w:r>
      <w:bookmarkStart w:id="232" w:name="_Hlk92466755"/>
      <w:r>
        <w:rPr>
          <w:rFonts w:hint="eastAsia" w:hAnsi="宋体"/>
          <w:highlight w:val="none"/>
        </w:rPr>
        <w:t>注：代理服务收费按差额定率累进法计算</w:t>
      </w:r>
      <w:bookmarkEnd w:id="232"/>
      <w:r>
        <w:rPr>
          <w:rFonts w:hint="eastAsia" w:hAnsi="宋体"/>
          <w:highlight w:val="none"/>
        </w:rPr>
        <w:t>。</w:t>
      </w:r>
    </w:p>
    <w:p>
      <w:pPr>
        <w:spacing w:line="410" w:lineRule="exact"/>
        <w:ind w:firstLine="420"/>
        <w:rPr>
          <w:rFonts w:hint="eastAsia" w:ascii="宋体" w:hAnsi="宋体" w:cs="Courier New"/>
          <w:szCs w:val="21"/>
          <w:highlight w:val="none"/>
        </w:rPr>
      </w:pPr>
      <w:r>
        <w:rPr>
          <w:rFonts w:hint="eastAsia" w:ascii="宋体" w:hAnsi="宋体" w:cs="Courier New"/>
          <w:szCs w:val="21"/>
          <w:highlight w:val="none"/>
        </w:rPr>
        <w:t>3.缴纳代理服务费银行账户：</w:t>
      </w:r>
    </w:p>
    <w:p>
      <w:pPr>
        <w:spacing w:line="410" w:lineRule="exact"/>
        <w:ind w:left="420" w:firstLine="210" w:firstLineChars="100"/>
        <w:rPr>
          <w:rFonts w:hint="eastAsia" w:ascii="宋体" w:hAnsi="宋体" w:cs="Courier New"/>
          <w:szCs w:val="21"/>
          <w:highlight w:val="none"/>
        </w:rPr>
      </w:pPr>
      <w:r>
        <w:rPr>
          <w:rFonts w:hint="eastAsia" w:ascii="宋体" w:hAnsi="宋体" w:cs="Courier New"/>
          <w:szCs w:val="21"/>
          <w:highlight w:val="none"/>
        </w:rPr>
        <w:t>开户名称:钦州市政府采购中心</w:t>
      </w:r>
    </w:p>
    <w:p>
      <w:pPr>
        <w:spacing w:line="410" w:lineRule="exact"/>
        <w:ind w:firstLine="630" w:firstLineChars="300"/>
        <w:rPr>
          <w:rFonts w:hint="eastAsia" w:ascii="宋体" w:hAnsi="宋体" w:cs="Courier New"/>
          <w:szCs w:val="21"/>
          <w:highlight w:val="none"/>
        </w:rPr>
      </w:pPr>
      <w:r>
        <w:rPr>
          <w:rFonts w:hint="eastAsia" w:ascii="宋体" w:hAnsi="宋体" w:cs="Courier New"/>
          <w:szCs w:val="21"/>
          <w:highlight w:val="none"/>
        </w:rPr>
        <w:t>开户银行:兴业银行钦州支行</w:t>
      </w:r>
    </w:p>
    <w:p>
      <w:pPr>
        <w:spacing w:line="410" w:lineRule="exact"/>
        <w:ind w:firstLine="630" w:firstLineChars="300"/>
        <w:rPr>
          <w:rFonts w:hint="eastAsia" w:ascii="仿宋_GB2312" w:hAnsi="宋体" w:eastAsia="仿宋_GB2312" w:cs="Courier New"/>
          <w:b/>
          <w:sz w:val="28"/>
          <w:szCs w:val="28"/>
          <w:highlight w:val="none"/>
        </w:rPr>
      </w:pPr>
      <w:r>
        <w:rPr>
          <w:rFonts w:hint="eastAsia" w:ascii="宋体" w:hAnsi="宋体" w:cs="Courier New"/>
          <w:szCs w:val="21"/>
          <w:highlight w:val="none"/>
        </w:rPr>
        <w:t>银行账号:554010100100129709</w:t>
      </w:r>
    </w:p>
    <w:p>
      <w:pPr>
        <w:pStyle w:val="27"/>
        <w:spacing w:line="400" w:lineRule="atLeast"/>
        <w:ind w:firstLine="210" w:firstLineChars="100"/>
        <w:rPr>
          <w:rFonts w:hint="eastAsia" w:hAnsi="宋体"/>
          <w:bCs/>
          <w:highlight w:val="none"/>
        </w:rPr>
      </w:pPr>
      <w:r>
        <w:rPr>
          <w:rFonts w:hint="eastAsia" w:hAnsi="宋体"/>
          <w:bCs/>
          <w:highlight w:val="none"/>
        </w:rPr>
        <w:t>（二）解释权：</w:t>
      </w:r>
      <w:bookmarkStart w:id="233" w:name="_Hlk92466777"/>
      <w:r>
        <w:rPr>
          <w:rFonts w:hint="eastAsia" w:hAnsi="宋体"/>
          <w:bCs/>
          <w:spacing w:val="-4"/>
          <w:highlight w:val="none"/>
        </w:rPr>
        <w:t>本招标文件解释权属本中心</w:t>
      </w:r>
      <w:bookmarkEnd w:id="233"/>
      <w:r>
        <w:rPr>
          <w:rFonts w:hint="eastAsia" w:hAnsi="宋体"/>
          <w:bCs/>
          <w:spacing w:val="-4"/>
          <w:highlight w:val="none"/>
        </w:rPr>
        <w:t>。</w:t>
      </w:r>
    </w:p>
    <w:p>
      <w:pPr>
        <w:pStyle w:val="27"/>
        <w:spacing w:line="400" w:lineRule="atLeast"/>
        <w:ind w:firstLine="210" w:firstLineChars="100"/>
        <w:rPr>
          <w:rFonts w:hint="eastAsia" w:hAnsi="宋体"/>
          <w:bCs/>
          <w:highlight w:val="none"/>
        </w:rPr>
      </w:pPr>
      <w:r>
        <w:rPr>
          <w:rFonts w:hint="eastAsia" w:hAnsi="宋体"/>
          <w:bCs/>
          <w:highlight w:val="none"/>
        </w:rPr>
        <w:t>（三）有关事宜</w:t>
      </w:r>
    </w:p>
    <w:p>
      <w:pPr>
        <w:pStyle w:val="27"/>
        <w:spacing w:line="400" w:lineRule="atLeast"/>
        <w:ind w:firstLine="0" w:firstLineChars="0"/>
        <w:rPr>
          <w:rFonts w:hint="eastAsia" w:hAnsi="宋体"/>
          <w:highlight w:val="none"/>
        </w:rPr>
      </w:pPr>
      <w:r>
        <w:rPr>
          <w:rFonts w:hAnsi="宋体"/>
          <w:highlight w:val="none"/>
        </w:rPr>
        <w:tab/>
      </w:r>
      <w:r>
        <w:rPr>
          <w:rFonts w:hint="eastAsia" w:hAnsi="宋体"/>
          <w:highlight w:val="none"/>
        </w:rPr>
        <w:t>所有与本招标文件有关的函件请按下列通讯地址联系：</w:t>
      </w:r>
    </w:p>
    <w:p>
      <w:pPr>
        <w:pStyle w:val="27"/>
        <w:spacing w:line="400" w:lineRule="atLeast"/>
        <w:ind w:firstLine="420"/>
        <w:rPr>
          <w:rFonts w:hint="eastAsia" w:hAnsi="宋体"/>
          <w:highlight w:val="none"/>
        </w:rPr>
      </w:pPr>
      <w:bookmarkStart w:id="234" w:name="_Hlk92466867"/>
      <w:r>
        <w:rPr>
          <w:rFonts w:hint="eastAsia" w:hAnsi="宋体"/>
          <w:highlight w:val="none"/>
        </w:rPr>
        <w:t>钦州市政府采购中心</w:t>
      </w:r>
    </w:p>
    <w:p>
      <w:pPr>
        <w:pStyle w:val="27"/>
        <w:tabs>
          <w:tab w:val="left" w:pos="1990"/>
        </w:tabs>
        <w:spacing w:line="400" w:lineRule="atLeast"/>
        <w:ind w:firstLine="420"/>
        <w:rPr>
          <w:rFonts w:hint="eastAsia" w:hAnsi="宋体"/>
          <w:highlight w:val="none"/>
          <w:u w:val="single"/>
        </w:rPr>
      </w:pPr>
      <w:r>
        <w:rPr>
          <w:rFonts w:hint="eastAsia" w:hAnsi="宋体"/>
          <w:highlight w:val="none"/>
        </w:rPr>
        <w:t>邮政编码：535000</w:t>
      </w:r>
    </w:p>
    <w:p>
      <w:pPr>
        <w:pStyle w:val="27"/>
        <w:tabs>
          <w:tab w:val="left" w:pos="1990"/>
        </w:tabs>
        <w:spacing w:line="400" w:lineRule="atLeast"/>
        <w:ind w:firstLine="420"/>
        <w:rPr>
          <w:rFonts w:hint="eastAsia" w:hAnsi="宋体"/>
          <w:spacing w:val="-4"/>
          <w:highlight w:val="none"/>
        </w:rPr>
      </w:pPr>
      <w:r>
        <w:rPr>
          <w:rFonts w:hint="eastAsia" w:hAnsi="宋体"/>
          <w:highlight w:val="none"/>
        </w:rPr>
        <w:t>通讯地址：</w:t>
      </w:r>
      <w:r>
        <w:rPr>
          <w:rFonts w:hint="eastAsia" w:ascii="Times New Roman" w:hAnsi="Times New Roman" w:cs="Times New Roman"/>
          <w:szCs w:val="24"/>
          <w:highlight w:val="none"/>
        </w:rPr>
        <w:t>钦州市金海湾东大街8号</w:t>
      </w:r>
    </w:p>
    <w:bookmarkEnd w:id="100"/>
    <w:bookmarkEnd w:id="234"/>
    <w:p>
      <w:pPr>
        <w:widowControl/>
        <w:spacing w:line="400" w:lineRule="atLeast"/>
        <w:ind w:firstLine="420"/>
        <w:jc w:val="left"/>
        <w:rPr>
          <w:highlight w:val="none"/>
        </w:rPr>
      </w:pPr>
      <w:bookmarkStart w:id="235" w:name="_Hlk108515537"/>
      <w:r>
        <w:rPr>
          <w:rFonts w:hint="eastAsia" w:hAnsi="宋体"/>
          <w:highlight w:val="none"/>
        </w:rPr>
        <w:t>钦州市政府采购中心联系方式</w:t>
      </w:r>
      <w:r>
        <w:rPr>
          <w:rFonts w:hint="eastAsia"/>
          <w:highlight w:val="none"/>
        </w:rPr>
        <w:t>：</w:t>
      </w:r>
    </w:p>
    <w:p>
      <w:pPr>
        <w:widowControl/>
        <w:spacing w:line="400" w:lineRule="atLeast"/>
        <w:ind w:firstLine="420"/>
        <w:jc w:val="left"/>
        <w:rPr>
          <w:highlight w:val="none"/>
        </w:rPr>
      </w:pPr>
      <w:r>
        <w:rPr>
          <w:rFonts w:hint="eastAsia"/>
          <w:highlight w:val="none"/>
        </w:rPr>
        <w:t>(1)采购部(采购文件)</w:t>
      </w:r>
    </w:p>
    <w:p>
      <w:pPr>
        <w:widowControl/>
        <w:spacing w:line="400" w:lineRule="atLeast"/>
        <w:ind w:firstLine="420"/>
        <w:jc w:val="left"/>
        <w:rPr>
          <w:highlight w:val="none"/>
        </w:rPr>
      </w:pPr>
      <w:r>
        <w:rPr>
          <w:rFonts w:hint="eastAsia"/>
          <w:highlight w:val="none"/>
        </w:rPr>
        <w:t xml:space="preserve">联系人：黄忠秀 </w:t>
      </w:r>
      <w:r>
        <w:rPr>
          <w:highlight w:val="none"/>
        </w:rPr>
        <w:t xml:space="preserve"> </w:t>
      </w:r>
      <w:r>
        <w:rPr>
          <w:rFonts w:hint="eastAsia"/>
          <w:highlight w:val="none"/>
        </w:rPr>
        <w:t xml:space="preserve"> 联系方式：0777-2886022</w:t>
      </w:r>
    </w:p>
    <w:p>
      <w:pPr>
        <w:widowControl/>
        <w:spacing w:line="400" w:lineRule="atLeast"/>
        <w:ind w:firstLine="420"/>
        <w:jc w:val="left"/>
        <w:rPr>
          <w:highlight w:val="none"/>
        </w:rPr>
      </w:pPr>
      <w:r>
        <w:rPr>
          <w:rFonts w:hint="eastAsia"/>
          <w:highlight w:val="none"/>
        </w:rPr>
        <w:t>(2)综合二部(保证金、开标、评标、中标及合同管理)</w:t>
      </w:r>
    </w:p>
    <w:p>
      <w:pPr>
        <w:widowControl/>
        <w:spacing w:line="400" w:lineRule="atLeast"/>
        <w:ind w:firstLine="420"/>
        <w:jc w:val="left"/>
        <w:rPr>
          <w:highlight w:val="none"/>
        </w:rPr>
      </w:pPr>
      <w:r>
        <w:rPr>
          <w:rFonts w:hint="eastAsia"/>
          <w:highlight w:val="none"/>
        </w:rPr>
        <w:t>联系人：陈侃、陈启梅</w:t>
      </w:r>
      <w:r>
        <w:rPr>
          <w:highlight w:val="none"/>
        </w:rPr>
        <w:t xml:space="preserve">  </w:t>
      </w:r>
      <w:r>
        <w:rPr>
          <w:rFonts w:hint="eastAsia"/>
          <w:highlight w:val="none"/>
        </w:rPr>
        <w:t>联系方式：0777-2886006</w:t>
      </w:r>
    </w:p>
    <w:p>
      <w:pPr>
        <w:widowControl/>
        <w:spacing w:line="400" w:lineRule="atLeast"/>
        <w:ind w:firstLine="420"/>
        <w:jc w:val="left"/>
        <w:rPr>
          <w:highlight w:val="none"/>
        </w:rPr>
      </w:pPr>
      <w:r>
        <w:rPr>
          <w:rFonts w:hint="eastAsia"/>
          <w:highlight w:val="none"/>
        </w:rPr>
        <w:t>(</w:t>
      </w:r>
      <w:r>
        <w:rPr>
          <w:highlight w:val="none"/>
        </w:rPr>
        <w:t>3)</w:t>
      </w:r>
      <w:r>
        <w:rPr>
          <w:rFonts w:hint="eastAsia"/>
          <w:highlight w:val="none"/>
        </w:rPr>
        <w:t>政采云技术支持热线：</w:t>
      </w:r>
      <w:r>
        <w:rPr>
          <w:rFonts w:hAnsi="宋体"/>
          <w:highlight w:val="none"/>
        </w:rPr>
        <w:t>95763</w:t>
      </w:r>
    </w:p>
    <w:bookmarkEnd w:id="235"/>
    <w:p>
      <w:pPr>
        <w:ind w:firstLine="420"/>
        <w:rPr>
          <w:highlight w:val="none"/>
        </w:rPr>
      </w:pPr>
      <w:r>
        <w:rPr>
          <w:highlight w:val="none"/>
        </w:rPr>
        <w:br w:type="page"/>
      </w: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pStyle w:val="46"/>
        <w:ind w:left="0" w:leftChars="0" w:right="0" w:rightChars="0" w:firstLine="0" w:firstLineChars="0"/>
        <w:jc w:val="center"/>
        <w:rPr>
          <w:highlight w:val="none"/>
        </w:rPr>
      </w:pPr>
      <w:bookmarkStart w:id="236" w:name="_Toc91512286"/>
      <w:r>
        <w:rPr>
          <w:rFonts w:hint="eastAsia"/>
          <w:highlight w:val="none"/>
        </w:rPr>
        <w:t xml:space="preserve">第四章  </w:t>
      </w:r>
      <w:bookmarkEnd w:id="236"/>
      <w:r>
        <w:rPr>
          <w:rFonts w:hint="eastAsia"/>
          <w:highlight w:val="none"/>
        </w:rPr>
        <w:t>评定标准及推荐原则</w:t>
      </w:r>
    </w:p>
    <w:p>
      <w:pPr>
        <w:ind w:firstLine="0" w:firstLineChars="0"/>
        <w:rPr>
          <w:highlight w:val="none"/>
        </w:rPr>
      </w:pPr>
      <w:r>
        <w:rPr>
          <w:highlight w:val="none"/>
        </w:rPr>
        <w:br w:type="page"/>
      </w:r>
    </w:p>
    <w:p>
      <w:pPr>
        <w:ind w:firstLine="0" w:firstLineChars="0"/>
        <w:rPr>
          <w:highlight w:val="none"/>
        </w:rPr>
      </w:pPr>
    </w:p>
    <w:p>
      <w:pPr>
        <w:spacing w:line="380" w:lineRule="exact"/>
        <w:ind w:firstLine="0" w:firstLineChars="0"/>
        <w:jc w:val="center"/>
        <w:rPr>
          <w:rFonts w:hint="eastAsia" w:ascii="宋体" w:hAnsi="宋体"/>
          <w:b/>
          <w:sz w:val="32"/>
          <w:szCs w:val="32"/>
          <w:highlight w:val="none"/>
        </w:rPr>
      </w:pPr>
      <w:r>
        <w:rPr>
          <w:rFonts w:hint="eastAsia" w:ascii="宋体" w:hAnsi="宋体"/>
          <w:b/>
          <w:sz w:val="32"/>
          <w:highlight w:val="none"/>
        </w:rPr>
        <w:t>评定标准和推荐原则</w:t>
      </w:r>
      <w:r>
        <w:rPr>
          <w:rFonts w:hint="eastAsia" w:ascii="宋体" w:hAnsi="宋体"/>
          <w:b/>
          <w:color w:val="000000"/>
          <w:sz w:val="32"/>
          <w:highlight w:val="none"/>
        </w:rPr>
        <w:t>（标项</w:t>
      </w:r>
      <w:r>
        <w:rPr>
          <w:rFonts w:hint="eastAsia" w:ascii="宋体" w:hAnsi="宋体"/>
          <w:b/>
          <w:color w:val="000000"/>
          <w:sz w:val="32"/>
          <w:highlight w:val="none"/>
          <w:lang w:val="en-US" w:eastAsia="zh-CN"/>
        </w:rPr>
        <w:t>一</w:t>
      </w:r>
      <w:r>
        <w:rPr>
          <w:rFonts w:hint="eastAsia" w:ascii="宋体" w:hAnsi="宋体"/>
          <w:b/>
          <w:color w:val="000000"/>
          <w:sz w:val="32"/>
          <w:highlight w:val="none"/>
        </w:rPr>
        <w:t>）</w:t>
      </w:r>
    </w:p>
    <w:p>
      <w:pPr>
        <w:pStyle w:val="27"/>
        <w:spacing w:beforeLines="0" w:afterLines="0" w:line="500" w:lineRule="exact"/>
        <w:jc w:val="left"/>
        <w:rPr>
          <w:rFonts w:hint="default" w:hAnsi="宋体"/>
          <w:b/>
          <w:color w:val="000000"/>
          <w:sz w:val="21"/>
          <w:szCs w:val="21"/>
          <w:highlight w:val="none"/>
        </w:rPr>
      </w:pPr>
      <w:r>
        <w:rPr>
          <w:rFonts w:hint="default" w:hAnsi="宋体"/>
          <w:b/>
          <w:color w:val="000000"/>
          <w:sz w:val="21"/>
          <w:szCs w:val="21"/>
          <w:highlight w:val="none"/>
        </w:rPr>
        <w:t>一、评标原则</w:t>
      </w:r>
    </w:p>
    <w:p>
      <w:pPr>
        <w:pStyle w:val="27"/>
        <w:spacing w:beforeLines="0" w:afterLines="0" w:line="500" w:lineRule="exact"/>
        <w:ind w:firstLine="210" w:firstLineChars="100"/>
        <w:jc w:val="left"/>
        <w:rPr>
          <w:rFonts w:hint="default" w:hAnsi="宋体"/>
          <w:color w:val="000000"/>
          <w:sz w:val="21"/>
          <w:szCs w:val="21"/>
          <w:highlight w:val="none"/>
        </w:rPr>
      </w:pPr>
      <w:r>
        <w:rPr>
          <w:rFonts w:hint="default" w:hAnsi="宋体"/>
          <w:color w:val="000000"/>
          <w:sz w:val="21"/>
          <w:szCs w:val="21"/>
          <w:highlight w:val="none"/>
        </w:rPr>
        <w:t>（一）评标依据：评标委员会将以招投标文件为评标依据，对投标人的投标报价、技术商务资信等方面内容进行评价。</w:t>
      </w:r>
    </w:p>
    <w:p>
      <w:pPr>
        <w:pStyle w:val="27"/>
        <w:spacing w:beforeLines="0" w:afterLines="0" w:line="500" w:lineRule="exact"/>
        <w:ind w:firstLine="210" w:firstLineChars="100"/>
        <w:jc w:val="left"/>
        <w:rPr>
          <w:rFonts w:hint="default" w:hAnsi="宋体"/>
          <w:color w:val="000000"/>
          <w:sz w:val="21"/>
          <w:szCs w:val="21"/>
          <w:highlight w:val="none"/>
        </w:rPr>
      </w:pPr>
      <w:r>
        <w:rPr>
          <w:rFonts w:hint="default" w:hAnsi="宋体"/>
          <w:color w:val="000000"/>
          <w:sz w:val="21"/>
          <w:szCs w:val="21"/>
          <w:highlight w:val="none"/>
        </w:rPr>
        <w:t>（二）评标委员会组成：由采购人代表和评审专家组成，成员人数应当为5人以上单数，其中评审专家的人数不得少于成员总数的三分之二。</w:t>
      </w:r>
    </w:p>
    <w:p>
      <w:pPr>
        <w:pStyle w:val="27"/>
        <w:spacing w:beforeLines="0" w:afterLines="0" w:line="500" w:lineRule="exact"/>
        <w:ind w:firstLine="210" w:firstLineChars="100"/>
        <w:jc w:val="left"/>
        <w:rPr>
          <w:rFonts w:hint="default" w:hAnsi="宋体"/>
          <w:color w:val="000000"/>
          <w:sz w:val="21"/>
          <w:szCs w:val="21"/>
          <w:highlight w:val="none"/>
        </w:rPr>
      </w:pPr>
      <w:r>
        <w:rPr>
          <w:rFonts w:hint="default" w:hAnsi="宋体"/>
          <w:color w:val="000000"/>
          <w:sz w:val="21"/>
          <w:szCs w:val="21"/>
          <w:highlight w:val="none"/>
        </w:rPr>
        <w:t>（三）评分方式：评标委员会各成员独立对每个投标人的投标文件进行评价。</w:t>
      </w:r>
    </w:p>
    <w:p>
      <w:pPr>
        <w:pStyle w:val="27"/>
        <w:spacing w:beforeLines="0" w:afterLines="0" w:line="500" w:lineRule="exact"/>
        <w:jc w:val="left"/>
        <w:rPr>
          <w:rFonts w:hint="default" w:hAnsi="宋体"/>
          <w:b/>
          <w:color w:val="000000"/>
          <w:sz w:val="21"/>
          <w:szCs w:val="21"/>
          <w:highlight w:val="none"/>
        </w:rPr>
      </w:pPr>
      <w:r>
        <w:rPr>
          <w:rFonts w:hint="default" w:hAnsi="宋体"/>
          <w:b/>
          <w:color w:val="000000"/>
          <w:sz w:val="21"/>
          <w:szCs w:val="21"/>
          <w:highlight w:val="none"/>
        </w:rPr>
        <w:t>二、评分细则</w:t>
      </w:r>
    </w:p>
    <w:p>
      <w:pPr>
        <w:spacing w:beforeLines="0" w:afterLines="0" w:line="500" w:lineRule="exact"/>
        <w:ind w:firstLine="210" w:firstLineChars="100"/>
        <w:jc w:val="left"/>
        <w:rPr>
          <w:rFonts w:hint="default" w:ascii="宋体" w:hAnsi="宋体" w:cs="Courier New"/>
          <w:color w:val="000000"/>
          <w:sz w:val="21"/>
          <w:szCs w:val="21"/>
          <w:highlight w:val="none"/>
        </w:rPr>
      </w:pPr>
      <w:r>
        <w:rPr>
          <w:rFonts w:hint="default" w:ascii="宋体" w:hAnsi="宋体" w:cs="Courier New"/>
          <w:color w:val="000000"/>
          <w:sz w:val="21"/>
          <w:szCs w:val="21"/>
          <w:highlight w:val="none"/>
        </w:rPr>
        <w:t>综合评分法：对满足招标文件全部实质性要求的投标人投标文件</w:t>
      </w:r>
      <w:r>
        <w:rPr>
          <w:rFonts w:hint="default" w:ascii="宋体" w:hAnsi="宋体" w:cs="Arial"/>
          <w:color w:val="000000"/>
          <w:sz w:val="21"/>
          <w:szCs w:val="21"/>
          <w:highlight w:val="none"/>
        </w:rPr>
        <w:t>按照评审因素的量化指标评审并汇总(</w:t>
      </w:r>
      <w:r>
        <w:rPr>
          <w:rFonts w:hint="default" w:ascii="宋体" w:hAnsi="宋体" w:cs="Courier New"/>
          <w:color w:val="000000"/>
          <w:sz w:val="21"/>
          <w:szCs w:val="21"/>
          <w:highlight w:val="none"/>
        </w:rPr>
        <w:t>四舍五入取至百分位)。</w:t>
      </w:r>
    </w:p>
    <w:p>
      <w:pPr>
        <w:spacing w:beforeLines="0" w:afterLines="0" w:line="500" w:lineRule="exact"/>
        <w:ind w:firstLine="211" w:firstLineChars="100"/>
        <w:rPr>
          <w:rFonts w:hint="default" w:ascii="宋体" w:hAnsi="宋体"/>
          <w:b/>
          <w:color w:val="000000"/>
          <w:sz w:val="21"/>
          <w:szCs w:val="24"/>
          <w:highlight w:val="none"/>
        </w:rPr>
      </w:pPr>
      <w:bookmarkStart w:id="237" w:name="_Hlk92723412"/>
      <w:r>
        <w:rPr>
          <w:rFonts w:hint="eastAsia" w:ascii="宋体" w:hAnsi="宋体"/>
          <w:b/>
          <w:color w:val="000000"/>
          <w:sz w:val="21"/>
          <w:szCs w:val="24"/>
          <w:highlight w:val="none"/>
          <w:lang w:val="en-US" w:eastAsia="zh-CN"/>
        </w:rPr>
        <w:t>1.价格</w:t>
      </w:r>
      <w:r>
        <w:rPr>
          <w:rFonts w:hint="default" w:ascii="宋体" w:hAnsi="宋体"/>
          <w:b/>
          <w:color w:val="000000"/>
          <w:sz w:val="21"/>
          <w:szCs w:val="24"/>
          <w:highlight w:val="none"/>
        </w:rPr>
        <w:t>分（30分）</w:t>
      </w:r>
    </w:p>
    <w:p>
      <w:pPr>
        <w:spacing w:beforeLines="0" w:afterLines="0" w:line="500" w:lineRule="exact"/>
        <w:ind w:firstLine="420"/>
        <w:jc w:val="left"/>
        <w:rPr>
          <w:rFonts w:hint="default" w:ascii="宋体" w:hAnsi="宋体" w:cs="Courier New"/>
          <w:color w:val="000000"/>
          <w:sz w:val="21"/>
          <w:szCs w:val="21"/>
          <w:highlight w:val="none"/>
        </w:rPr>
      </w:pPr>
      <w:r>
        <w:rPr>
          <w:rFonts w:hint="default" w:ascii="宋体" w:hAnsi="宋体" w:cs="Courier New"/>
          <w:color w:val="000000"/>
          <w:sz w:val="21"/>
          <w:szCs w:val="21"/>
          <w:highlight w:val="none"/>
        </w:rPr>
        <w:tab/>
      </w:r>
      <w:r>
        <w:rPr>
          <w:rFonts w:hint="default" w:ascii="宋体" w:hAnsi="宋体" w:cs="Courier New"/>
          <w:sz w:val="21"/>
          <w:szCs w:val="21"/>
          <w:highlight w:val="none"/>
        </w:rPr>
        <w:t>投标人的价格分统一按照下列公式计算：</w:t>
      </w:r>
    </w:p>
    <w:p>
      <w:pPr>
        <w:spacing w:beforeLines="0" w:afterLines="0" w:line="500" w:lineRule="exact"/>
        <w:ind w:firstLine="422"/>
        <w:jc w:val="left"/>
        <w:rPr>
          <w:rFonts w:hint="default" w:ascii="宋体" w:hAnsi="宋体" w:cs="Courier New"/>
          <w:b/>
          <w:sz w:val="21"/>
          <w:szCs w:val="21"/>
          <w:highlight w:val="none"/>
        </w:rPr>
      </w:pPr>
      <w:r>
        <w:rPr>
          <w:rFonts w:hint="default" w:ascii="宋体" w:hAnsi="宋体" w:cs="Courier New"/>
          <w:b/>
          <w:color w:val="000000"/>
          <w:sz w:val="21"/>
          <w:szCs w:val="21"/>
          <w:highlight w:val="none"/>
        </w:rPr>
        <w:tab/>
      </w:r>
      <w:r>
        <w:rPr>
          <w:rFonts w:hint="default" w:ascii="宋体" w:hAnsi="宋体" w:cs="Courier New"/>
          <w:b/>
          <w:color w:val="000000"/>
          <w:sz w:val="21"/>
          <w:szCs w:val="21"/>
          <w:highlight w:val="none"/>
        </w:rPr>
        <w:t>某投标人价格分=（评标基准价/某投标</w:t>
      </w:r>
      <w:r>
        <w:rPr>
          <w:rFonts w:hint="default" w:ascii="宋体" w:hAnsi="宋体" w:cs="Courier New"/>
          <w:b/>
          <w:sz w:val="21"/>
          <w:szCs w:val="21"/>
          <w:highlight w:val="none"/>
        </w:rPr>
        <w:t>人评标价）×30分</w:t>
      </w:r>
    </w:p>
    <w:p>
      <w:pPr>
        <w:widowControl/>
        <w:spacing w:beforeLines="0" w:afterLines="0" w:line="500" w:lineRule="exact"/>
        <w:ind w:firstLine="420"/>
        <w:jc w:val="left"/>
        <w:rPr>
          <w:rFonts w:hint="default" w:ascii="宋体" w:hAnsi="宋体" w:cs="Courier New"/>
          <w:sz w:val="21"/>
          <w:szCs w:val="21"/>
          <w:highlight w:val="none"/>
        </w:rPr>
      </w:pPr>
      <w:r>
        <w:rPr>
          <w:rFonts w:hint="default" w:ascii="宋体" w:hAnsi="宋体" w:cs="Courier New"/>
          <w:sz w:val="21"/>
          <w:szCs w:val="21"/>
          <w:highlight w:val="none"/>
        </w:rPr>
        <w:t>注：</w:t>
      </w:r>
    </w:p>
    <w:p>
      <w:pPr>
        <w:widowControl/>
        <w:spacing w:beforeLines="0" w:afterLines="0" w:line="500" w:lineRule="exact"/>
        <w:ind w:firstLine="420"/>
        <w:jc w:val="left"/>
        <w:rPr>
          <w:rFonts w:hint="default" w:ascii="宋体" w:hAnsi="宋体" w:cs="Courier New"/>
          <w:sz w:val="21"/>
          <w:szCs w:val="21"/>
          <w:highlight w:val="none"/>
        </w:rPr>
      </w:pPr>
      <w:r>
        <w:rPr>
          <w:rFonts w:hint="default" w:ascii="宋体" w:hAnsi="宋体" w:cs="Courier New"/>
          <w:sz w:val="21"/>
          <w:szCs w:val="21"/>
          <w:highlight w:val="none"/>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pPr>
        <w:widowControl/>
        <w:spacing w:beforeLines="0" w:afterLines="0" w:line="500" w:lineRule="exact"/>
        <w:ind w:firstLine="420"/>
        <w:jc w:val="left"/>
        <w:rPr>
          <w:rFonts w:hint="default" w:ascii="宋体" w:hAnsi="宋体" w:cs="Courier New"/>
          <w:sz w:val="21"/>
          <w:szCs w:val="21"/>
          <w:highlight w:val="none"/>
        </w:rPr>
      </w:pPr>
      <w:r>
        <w:rPr>
          <w:rFonts w:hint="default" w:ascii="宋体" w:hAnsi="宋体" w:cs="Courier New"/>
          <w:sz w:val="21"/>
          <w:szCs w:val="21"/>
          <w:highlight w:val="none"/>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beforeLines="0" w:afterLines="0" w:line="500" w:lineRule="exact"/>
        <w:ind w:firstLine="420"/>
        <w:jc w:val="left"/>
        <w:rPr>
          <w:rFonts w:hint="default" w:ascii="宋体" w:hAnsi="宋体" w:cs="Courier New"/>
          <w:sz w:val="21"/>
          <w:szCs w:val="21"/>
          <w:highlight w:val="none"/>
        </w:rPr>
      </w:pPr>
      <w:r>
        <w:rPr>
          <w:rFonts w:hint="default" w:ascii="宋体" w:hAnsi="宋体" w:cs="Courier New"/>
          <w:sz w:val="21"/>
          <w:szCs w:val="21"/>
          <w:highlight w:val="none"/>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beforeLines="0" w:afterLines="0" w:line="500" w:lineRule="exact"/>
        <w:ind w:firstLine="420"/>
        <w:jc w:val="left"/>
        <w:rPr>
          <w:rFonts w:hint="default" w:ascii="宋体" w:hAnsi="宋体" w:cs="Courier New"/>
          <w:color w:val="000000"/>
          <w:sz w:val="21"/>
          <w:szCs w:val="21"/>
          <w:highlight w:val="none"/>
        </w:rPr>
      </w:pPr>
      <w:bookmarkStart w:id="238" w:name="_Hlk93484329"/>
      <w:r>
        <w:rPr>
          <w:rFonts w:hint="default" w:ascii="宋体" w:hAnsi="宋体" w:cs="Courier New"/>
          <w:sz w:val="21"/>
          <w:szCs w:val="24"/>
          <w:highlight w:val="none"/>
        </w:rPr>
        <w:t>投标人获得政策性价格扣除的，评标价=投标报价×（1-20%），否则评标价=投标报价。满足招标文件全部实质性要求的投标人最低评标价为评标基准价。评标价仅作评标时使用，中标金额＝投标报价。</w:t>
      </w:r>
      <w:bookmarkEnd w:id="238"/>
    </w:p>
    <w:p>
      <w:pPr>
        <w:widowControl/>
        <w:spacing w:beforeLines="0" w:afterLines="0" w:line="500" w:lineRule="exact"/>
        <w:ind w:firstLine="420"/>
        <w:jc w:val="left"/>
        <w:rPr>
          <w:rFonts w:hint="default" w:ascii="宋体" w:hAnsi="宋体" w:cs="Courier New"/>
          <w:color w:val="000000"/>
          <w:sz w:val="21"/>
          <w:szCs w:val="21"/>
          <w:highlight w:val="none"/>
        </w:rPr>
      </w:pPr>
      <w:r>
        <w:rPr>
          <w:rFonts w:hint="default" w:ascii="宋体" w:hAnsi="宋体" w:cs="Courier New"/>
          <w:color w:val="000000"/>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237"/>
    <w:p>
      <w:pPr>
        <w:pStyle w:val="27"/>
        <w:spacing w:line="380" w:lineRule="exac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2、技术性能分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eastAsia="zh-CN"/>
        </w:rPr>
        <w:t>满分</w:t>
      </w:r>
      <w:r>
        <w:rPr>
          <w:rFonts w:hint="eastAsia" w:hAnsi="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分</w:t>
      </w:r>
    </w:p>
    <w:p>
      <w:pPr>
        <w:widowControl/>
        <w:spacing w:beforeLines="0" w:afterLines="0" w:line="500" w:lineRule="exact"/>
        <w:ind w:firstLine="440"/>
        <w:jc w:val="left"/>
        <w:outlineLvl w:val="1"/>
        <w:rPr>
          <w:rFonts w:hint="default" w:ascii="宋体" w:hAnsi="宋体" w:cs="宋体"/>
          <w:sz w:val="22"/>
          <w:szCs w:val="28"/>
          <w:highlight w:val="none"/>
        </w:rPr>
      </w:pPr>
      <w:bookmarkStart w:id="239" w:name="OLE_LINK7"/>
      <w:r>
        <w:rPr>
          <w:rFonts w:hint="default" w:ascii="宋体" w:hAnsi="宋体" w:cs="宋体"/>
          <w:sz w:val="22"/>
          <w:szCs w:val="28"/>
          <w:highlight w:val="none"/>
        </w:rPr>
        <w:t>经评标委员会评定，投标人投标产品满足或优于《项目需求》技术参数及性能配置中标注▲项的,每项得1分，满分30分。</w:t>
      </w:r>
    </w:p>
    <w:p>
      <w:pPr>
        <w:spacing w:beforeLines="0" w:afterLines="0" w:line="360" w:lineRule="auto"/>
        <w:ind w:firstLine="420"/>
        <w:rPr>
          <w:rFonts w:hint="default" w:ascii="宋体" w:hAnsi="宋体" w:cs="宋体"/>
          <w:sz w:val="21"/>
          <w:szCs w:val="24"/>
          <w:highlight w:val="none"/>
        </w:rPr>
      </w:pPr>
      <w:r>
        <w:rPr>
          <w:rFonts w:hint="default" w:ascii="宋体" w:hAnsi="宋体" w:cs="宋体"/>
          <w:sz w:val="21"/>
          <w:szCs w:val="24"/>
          <w:highlight w:val="none"/>
        </w:rPr>
        <w:t>注：产品技术参数须在技术偏离表中列明，并在投标文件中提供产品的满足或优于此项技术参数及性能配置的由具备资质的第三方检测机构出具的检测/检验报告或产品功能截图或生产厂家证明作为佐证，并加盖投标人公章。</w:t>
      </w:r>
    </w:p>
    <w:bookmarkEnd w:id="239"/>
    <w:p>
      <w:pPr>
        <w:rPr>
          <w:rFonts w:hint="eastAsia" w:ascii="Times New Roman" w:hAnsi="宋体" w:eastAsia="宋体" w:cs="宋体"/>
          <w:color w:val="auto"/>
          <w:spacing w:val="-1"/>
          <w:highlight w:val="none"/>
          <w:lang w:val="en-US" w:eastAsia="zh-CN"/>
        </w:rPr>
      </w:pPr>
      <w:r>
        <w:rPr>
          <w:rFonts w:hint="eastAsia" w:ascii="宋体" w:hAnsi="宋体" w:eastAsia="宋体" w:cs="宋体"/>
          <w:b/>
          <w:bCs/>
          <w:color w:val="auto"/>
          <w:kern w:val="0"/>
          <w:szCs w:val="21"/>
          <w:highlight w:val="none"/>
          <w:lang w:val="en-US" w:eastAsia="zh-CN"/>
        </w:rPr>
        <w:t>3、实施及安装调试方案分……………………………………………………满分</w:t>
      </w:r>
      <w:r>
        <w:rPr>
          <w:rFonts w:hint="eastAsia" w:ascii="宋体" w:hAnsi="宋体" w:cs="宋体"/>
          <w:b/>
          <w:bCs/>
          <w:color w:val="auto"/>
          <w:kern w:val="0"/>
          <w:szCs w:val="21"/>
          <w:highlight w:val="none"/>
          <w:lang w:val="en-US" w:eastAsia="zh-CN"/>
        </w:rPr>
        <w:t>23</w:t>
      </w:r>
      <w:r>
        <w:rPr>
          <w:rFonts w:hint="eastAsia" w:ascii="宋体" w:hAnsi="宋体" w:eastAsia="宋体" w:cs="宋体"/>
          <w:b/>
          <w:bCs/>
          <w:color w:val="auto"/>
          <w:kern w:val="0"/>
          <w:szCs w:val="21"/>
          <w:highlight w:val="none"/>
          <w:lang w:val="en-US" w:eastAsia="zh-CN"/>
        </w:rPr>
        <w:t>分</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评委根据投标人提供的项目实施及安装调试方案进行综合评定，并按以下标准独立评审并评分：</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一档（</w:t>
      </w:r>
      <w:r>
        <w:rPr>
          <w:rFonts w:hint="eastAsia" w:ascii="Times New Roman" w:hAnsi="宋体" w:cs="宋体"/>
          <w:color w:val="auto"/>
          <w:spacing w:val="-1"/>
          <w:highlight w:val="none"/>
          <w:lang w:val="en-US" w:eastAsia="zh-CN"/>
        </w:rPr>
        <w:t>5</w:t>
      </w:r>
      <w:r>
        <w:rPr>
          <w:rFonts w:hint="eastAsia" w:ascii="Times New Roman" w:hAnsi="宋体" w:eastAsia="宋体" w:cs="宋体"/>
          <w:color w:val="auto"/>
          <w:spacing w:val="-1"/>
          <w:highlight w:val="none"/>
          <w:lang w:val="en-US" w:eastAsia="zh-CN"/>
        </w:rPr>
        <w:t>分）：只能</w:t>
      </w:r>
      <w:r>
        <w:rPr>
          <w:rFonts w:hint="eastAsia" w:ascii="Times New Roman" w:hAnsi="宋体" w:eastAsia="宋体" w:cs="宋体"/>
          <w:color w:val="auto"/>
          <w:spacing w:val="-1"/>
          <w:highlight w:val="none"/>
        </w:rPr>
        <w:t>提供</w:t>
      </w:r>
      <w:r>
        <w:rPr>
          <w:rFonts w:hint="eastAsia" w:ascii="Times New Roman" w:hAnsi="宋体" w:eastAsia="宋体" w:cs="宋体"/>
          <w:color w:val="auto"/>
          <w:spacing w:val="-1"/>
          <w:highlight w:val="none"/>
          <w:lang w:val="en-US" w:eastAsia="zh-CN"/>
        </w:rPr>
        <w:t>实施日程表和人员安排的</w:t>
      </w:r>
      <w:r>
        <w:rPr>
          <w:rFonts w:hint="eastAsia" w:ascii="Times New Roman" w:hAnsi="宋体" w:eastAsia="宋体" w:cs="宋体"/>
          <w:color w:val="auto"/>
          <w:spacing w:val="-1"/>
          <w:highlight w:val="none"/>
        </w:rPr>
        <w:t>实施方案；</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二档（</w:t>
      </w:r>
      <w:r>
        <w:rPr>
          <w:rFonts w:hint="eastAsia" w:ascii="Times New Roman" w:hAnsi="宋体" w:cs="宋体"/>
          <w:color w:val="auto"/>
          <w:spacing w:val="-1"/>
          <w:highlight w:val="none"/>
          <w:lang w:val="en-US" w:eastAsia="zh-CN"/>
        </w:rPr>
        <w:t>9</w:t>
      </w:r>
      <w:r>
        <w:rPr>
          <w:rFonts w:hint="eastAsia" w:ascii="Times New Roman" w:hAnsi="宋体" w:eastAsia="宋体" w:cs="宋体"/>
          <w:color w:val="auto"/>
          <w:spacing w:val="-1"/>
          <w:highlight w:val="none"/>
          <w:lang w:val="en-US" w:eastAsia="zh-CN"/>
        </w:rPr>
        <w:t>分）：有项目实施组织机构，能够描述用户需求，有实施日程表和人员安排，基本满足采购需求。</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三档（</w:t>
      </w:r>
      <w:r>
        <w:rPr>
          <w:rFonts w:hint="eastAsia" w:ascii="Times New Roman" w:hAnsi="宋体" w:cs="宋体"/>
          <w:color w:val="auto"/>
          <w:spacing w:val="-1"/>
          <w:highlight w:val="none"/>
          <w:lang w:val="en-US" w:eastAsia="zh-CN"/>
        </w:rPr>
        <w:t>15</w:t>
      </w:r>
      <w:r>
        <w:rPr>
          <w:rFonts w:hint="eastAsia" w:ascii="Times New Roman" w:hAnsi="宋体" w:eastAsia="宋体" w:cs="宋体"/>
          <w:color w:val="auto"/>
          <w:spacing w:val="-1"/>
          <w:highlight w:val="none"/>
          <w:lang w:val="en-US" w:eastAsia="zh-CN"/>
        </w:rPr>
        <w:t>分）：有项目实施组织机构，有项目实施管理计划，有实施日程表和人员安排，且投入一定数量的实施团队人员，同时方案要求包括物流管理、施工培训、风险控制等内容，满足采购需求。</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四档（</w:t>
      </w:r>
      <w:r>
        <w:rPr>
          <w:rFonts w:hint="eastAsia" w:ascii="Times New Roman" w:hAnsi="宋体" w:cs="宋体"/>
          <w:color w:val="auto"/>
          <w:spacing w:val="-1"/>
          <w:highlight w:val="none"/>
          <w:lang w:val="en-US" w:eastAsia="zh-CN"/>
        </w:rPr>
        <w:t>23</w:t>
      </w:r>
      <w:r>
        <w:rPr>
          <w:rFonts w:hint="eastAsia" w:ascii="Times New Roman" w:hAnsi="宋体" w:eastAsia="宋体" w:cs="宋体"/>
          <w:color w:val="auto"/>
          <w:spacing w:val="-1"/>
          <w:highlight w:val="none"/>
          <w:lang w:val="en-US" w:eastAsia="zh-CN"/>
        </w:rPr>
        <w:t>分）：有项目实施组织机构，有项目实施管理、物流管理计划，有实施日程表和人员安排，有实施团队和培训人员，有安全及质量保证措施和风险管控措施，同时方案内容包含但不限于项目概述、需求分析、项目实施和运行管理、培训方案等内容，完全满足或优于采购需求。</w:t>
      </w:r>
    </w:p>
    <w:p>
      <w:pPr>
        <w:pStyle w:val="19"/>
        <w:rPr>
          <w:rFonts w:hint="default"/>
          <w:highlight w:val="none"/>
        </w:rPr>
      </w:pPr>
    </w:p>
    <w:p>
      <w:pPr>
        <w:pStyle w:val="27"/>
        <w:spacing w:line="380" w:lineRule="exac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4、售后服务方案……………………………………………………………………满分15分</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评委根据投标文件中售后服务方案进行综合评定，并按以下标准独立评审并评分：</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一档（3分）：提供的方案满足招标文件售后服务要求的；</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二档（7分）：满足招标文件售后服务要求的同时，提供的售后服务承诺，售后服务流程、应急预案、质量保障等；</w:t>
      </w:r>
    </w:p>
    <w:p>
      <w:pPr>
        <w:rPr>
          <w:rFonts w:hint="eastAsia" w:ascii="Times New Roman" w:hAnsi="宋体" w:eastAsia="宋体" w:cs="宋体"/>
          <w:color w:val="auto"/>
          <w:spacing w:val="-1"/>
          <w:highlight w:val="none"/>
          <w:lang w:val="en-US" w:eastAsia="zh-CN"/>
        </w:rPr>
      </w:pPr>
      <w:r>
        <w:rPr>
          <w:rFonts w:hint="eastAsia" w:ascii="Times New Roman" w:hAnsi="宋体" w:eastAsia="宋体" w:cs="宋体"/>
          <w:color w:val="auto"/>
          <w:spacing w:val="-1"/>
          <w:highlight w:val="none"/>
          <w:lang w:val="en-US" w:eastAsia="zh-CN"/>
        </w:rPr>
        <w:t>三档（11分）：满足招标文件售后服务要求的同时，方案完整，有售后服务承诺，售后服务流程、应急预案、质量保障等内容，到达现场维护时间、故障出现解决方案优于招标文件要求，有定期维护（注明时间），售后保障措施，其他优惠措施满足招标文件要求；</w:t>
      </w:r>
    </w:p>
    <w:p>
      <w:pPr>
        <w:rPr>
          <w:rFonts w:hint="default" w:ascii="宋体" w:hAnsi="宋体" w:eastAsia="宋体" w:cs="宋体"/>
          <w:bCs/>
          <w:color w:val="FF0000"/>
          <w:kern w:val="0"/>
          <w:sz w:val="21"/>
          <w:szCs w:val="21"/>
          <w:highlight w:val="none"/>
          <w:lang w:val="en-US" w:eastAsia="zh-CN" w:bidi="ar-SA"/>
        </w:rPr>
      </w:pPr>
      <w:r>
        <w:rPr>
          <w:rFonts w:hint="eastAsia" w:ascii="Times New Roman" w:hAnsi="宋体" w:eastAsia="宋体" w:cs="宋体"/>
          <w:color w:val="auto"/>
          <w:spacing w:val="-1"/>
          <w:highlight w:val="none"/>
          <w:lang w:val="en-US" w:eastAsia="zh-CN"/>
        </w:rPr>
        <w:t>四档（15分）：在三档基础上有售后服务承诺，售后服务流程、应急预案、质量保障等内容，售后保障，售后响应快速，为确保项目具有完整、良好的售后服务，具有售后服务团队，其他增值售后服务措施等能充分为采购人考虑，优于招标文件要求。</w:t>
      </w:r>
    </w:p>
    <w:p>
      <w:pPr>
        <w:pStyle w:val="19"/>
        <w:rPr>
          <w:rFonts w:hint="default"/>
          <w:highlight w:val="none"/>
        </w:rPr>
      </w:pPr>
    </w:p>
    <w:p>
      <w:pPr>
        <w:widowControl/>
        <w:spacing w:beforeLines="0" w:afterLines="0" w:line="500" w:lineRule="exact"/>
        <w:ind w:firstLine="422"/>
        <w:jc w:val="left"/>
        <w:outlineLvl w:val="1"/>
        <w:rPr>
          <w:rFonts w:hint="default" w:ascii="宋体" w:hAnsi="宋体" w:cs="宋体"/>
          <w:b/>
          <w:kern w:val="0"/>
          <w:sz w:val="21"/>
          <w:szCs w:val="21"/>
          <w:highlight w:val="none"/>
          <w:lang w:bidi="ar"/>
        </w:rPr>
      </w:pPr>
      <w:r>
        <w:rPr>
          <w:rFonts w:hint="eastAsia" w:ascii="宋体" w:hAnsi="宋体" w:cs="宋体"/>
          <w:b/>
          <w:kern w:val="0"/>
          <w:sz w:val="21"/>
          <w:szCs w:val="21"/>
          <w:highlight w:val="none"/>
          <w:lang w:val="en-US" w:eastAsia="zh-CN" w:bidi="ar"/>
        </w:rPr>
        <w:t>5</w:t>
      </w:r>
      <w:r>
        <w:rPr>
          <w:rFonts w:hint="eastAsia" w:ascii="宋体" w:hAnsi="宋体" w:cs="宋体"/>
          <w:b/>
          <w:kern w:val="0"/>
          <w:sz w:val="21"/>
          <w:szCs w:val="21"/>
          <w:highlight w:val="none"/>
          <w:lang w:eastAsia="zh-CN" w:bidi="ar"/>
        </w:rPr>
        <w:t>、</w:t>
      </w:r>
      <w:r>
        <w:rPr>
          <w:rFonts w:hint="default" w:ascii="宋体" w:hAnsi="宋体" w:cs="宋体"/>
          <w:b/>
          <w:kern w:val="0"/>
          <w:sz w:val="21"/>
          <w:szCs w:val="21"/>
          <w:highlight w:val="none"/>
          <w:lang w:bidi="ar"/>
        </w:rPr>
        <w:t>商务分</w:t>
      </w:r>
      <w:r>
        <w:rPr>
          <w:rFonts w:hint="eastAsia" w:ascii="宋体" w:hAnsi="宋体" w:eastAsia="宋体" w:cs="宋体"/>
          <w:b/>
          <w:bCs/>
          <w:color w:val="auto"/>
          <w:kern w:val="0"/>
          <w:szCs w:val="21"/>
          <w:highlight w:val="none"/>
          <w:lang w:val="en-US" w:eastAsia="zh-CN"/>
        </w:rPr>
        <w:t>……………………………………………………………………满分</w:t>
      </w:r>
      <w:r>
        <w:rPr>
          <w:rFonts w:hint="default" w:ascii="宋体" w:hAnsi="宋体" w:cs="宋体"/>
          <w:b/>
          <w:kern w:val="0"/>
          <w:sz w:val="21"/>
          <w:szCs w:val="21"/>
          <w:highlight w:val="none"/>
          <w:lang w:bidi="ar"/>
        </w:rPr>
        <w:t>2分</w:t>
      </w:r>
    </w:p>
    <w:p>
      <w:pPr>
        <w:widowControl/>
        <w:spacing w:beforeLines="0" w:afterLines="0" w:line="500" w:lineRule="exact"/>
        <w:ind w:firstLine="422"/>
        <w:jc w:val="left"/>
        <w:outlineLvl w:val="1"/>
        <w:rPr>
          <w:rFonts w:hint="default"/>
          <w:highlight w:val="none"/>
        </w:rPr>
      </w:pPr>
      <w:r>
        <w:rPr>
          <w:rFonts w:hint="default" w:ascii="宋体" w:hAnsi="宋体" w:cs="宋体"/>
          <w:b w:val="0"/>
          <w:bCs/>
          <w:kern w:val="0"/>
          <w:sz w:val="21"/>
          <w:szCs w:val="21"/>
          <w:highlight w:val="none"/>
          <w:lang w:bidi="ar"/>
        </w:rPr>
        <w:t>投标人自2022年以来具有同类项目业绩的，每项得1分，满分2分。(须提供包括合同名称、标的、金额、期限、签字盖章内容的合同关键页)</w:t>
      </w:r>
    </w:p>
    <w:p>
      <w:pPr>
        <w:spacing w:beforeLines="0" w:afterLines="0" w:line="500" w:lineRule="exact"/>
        <w:rPr>
          <w:rFonts w:hint="default" w:ascii="宋体" w:hAnsi="宋体" w:eastAsia="宋体"/>
          <w:b/>
          <w:sz w:val="21"/>
          <w:szCs w:val="24"/>
          <w:highlight w:val="none"/>
          <w:lang w:val="en-US" w:eastAsia="zh-CN"/>
        </w:rPr>
      </w:pPr>
      <w:r>
        <w:rPr>
          <w:rFonts w:hint="default" w:ascii="宋体" w:hAnsi="宋体"/>
          <w:b/>
          <w:sz w:val="21"/>
          <w:szCs w:val="24"/>
          <w:highlight w:val="none"/>
        </w:rPr>
        <w:t>三、</w:t>
      </w:r>
      <w:r>
        <w:rPr>
          <w:rFonts w:hint="eastAsia" w:ascii="宋体" w:hAnsi="宋体" w:cs="宋体"/>
          <w:b/>
          <w:color w:val="000000"/>
          <w:szCs w:val="21"/>
          <w:highlight w:val="none"/>
        </w:rPr>
        <w:t>综合得分＝1+2+3</w:t>
      </w:r>
      <w:r>
        <w:rPr>
          <w:rFonts w:hint="eastAsia" w:ascii="宋体" w:hAnsi="宋体" w:cs="宋体"/>
          <w:b/>
          <w:color w:val="000000"/>
          <w:szCs w:val="21"/>
          <w:highlight w:val="none"/>
          <w:lang w:val="en-US" w:eastAsia="zh-CN"/>
        </w:rPr>
        <w:t>+4</w:t>
      </w:r>
      <w:r>
        <w:rPr>
          <w:rFonts w:hint="eastAsia" w:ascii="宋体" w:hAnsi="宋体"/>
          <w:b/>
          <w:sz w:val="21"/>
          <w:szCs w:val="24"/>
          <w:highlight w:val="none"/>
          <w:lang w:val="en-US" w:eastAsia="zh-CN"/>
        </w:rPr>
        <w:t>+5</w:t>
      </w:r>
    </w:p>
    <w:p>
      <w:pPr>
        <w:spacing w:beforeLines="0" w:afterLines="0" w:line="500" w:lineRule="exact"/>
        <w:rPr>
          <w:rFonts w:hint="default" w:ascii="宋体" w:hAnsi="宋体"/>
          <w:b/>
          <w:sz w:val="21"/>
          <w:szCs w:val="24"/>
          <w:highlight w:val="none"/>
        </w:rPr>
      </w:pPr>
      <w:r>
        <w:rPr>
          <w:rFonts w:hint="default" w:ascii="宋体" w:hAnsi="宋体"/>
          <w:b/>
          <w:sz w:val="21"/>
          <w:szCs w:val="24"/>
          <w:highlight w:val="none"/>
        </w:rPr>
        <w:t>四、中标候选人</w:t>
      </w:r>
      <w:bookmarkStart w:id="240" w:name="_Hlk92267887"/>
      <w:r>
        <w:rPr>
          <w:rFonts w:hint="default" w:ascii="宋体" w:hAnsi="宋体"/>
          <w:b/>
          <w:sz w:val="21"/>
          <w:szCs w:val="24"/>
          <w:highlight w:val="none"/>
        </w:rPr>
        <w:t>推荐原则</w:t>
      </w:r>
      <w:bookmarkEnd w:id="240"/>
    </w:p>
    <w:p>
      <w:pPr>
        <w:pStyle w:val="20"/>
        <w:spacing w:beforeLines="0" w:afterLines="0"/>
        <w:rPr>
          <w:rFonts w:hint="default" w:hAnsi="宋体"/>
          <w:sz w:val="24"/>
          <w:szCs w:val="24"/>
          <w:highlight w:val="none"/>
        </w:rPr>
      </w:pPr>
      <w:r>
        <w:rPr>
          <w:rFonts w:hint="default" w:hAnsi="宋体"/>
          <w:sz w:val="24"/>
          <w:szCs w:val="24"/>
          <w:highlight w:val="none"/>
        </w:rPr>
        <w:tab/>
      </w:r>
      <w:r>
        <w:rPr>
          <w:rFonts w:hint="default" w:hAnsi="宋体"/>
          <w:sz w:val="21"/>
          <w:szCs w:val="21"/>
          <w:highlight w:val="none"/>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left="0" w:leftChars="0" w:firstLine="0" w:firstLineChars="0"/>
        <w:rPr>
          <w:highlight w:val="none"/>
        </w:rPr>
      </w:pPr>
    </w:p>
    <w:p>
      <w:pPr>
        <w:ind w:left="0" w:leftChars="0" w:firstLine="0" w:firstLineChars="0"/>
        <w:rPr>
          <w:highlight w:val="none"/>
        </w:rPr>
      </w:pPr>
    </w:p>
    <w:p>
      <w:pPr>
        <w:ind w:left="0" w:leftChars="0" w:firstLine="0" w:firstLineChars="0"/>
        <w:rPr>
          <w:highlight w:val="none"/>
        </w:rPr>
      </w:pPr>
    </w:p>
    <w:p>
      <w:pPr>
        <w:ind w:left="0" w:leftChars="0" w:firstLine="0" w:firstLineChars="0"/>
        <w:rPr>
          <w:highlight w:val="none"/>
        </w:rPr>
      </w:pPr>
    </w:p>
    <w:p>
      <w:pPr>
        <w:ind w:left="0" w:leftChars="0" w:firstLine="0" w:firstLineChars="0"/>
        <w:rPr>
          <w:highlight w:val="none"/>
        </w:rPr>
      </w:pPr>
    </w:p>
    <w:p>
      <w:pPr>
        <w:rPr>
          <w:highlight w:val="none"/>
        </w:rPr>
      </w:pPr>
      <w:r>
        <w:rPr>
          <w:highlight w:val="none"/>
        </w:rPr>
        <w:br w:type="page"/>
      </w:r>
    </w:p>
    <w:p>
      <w:pPr>
        <w:spacing w:line="380" w:lineRule="exact"/>
        <w:ind w:firstLine="0" w:firstLineChars="0"/>
        <w:jc w:val="center"/>
        <w:rPr>
          <w:rFonts w:hint="eastAsia" w:ascii="宋体" w:hAnsi="宋体"/>
          <w:b/>
          <w:sz w:val="32"/>
          <w:szCs w:val="32"/>
          <w:highlight w:val="none"/>
        </w:rPr>
      </w:pPr>
      <w:r>
        <w:rPr>
          <w:rFonts w:hint="eastAsia" w:ascii="宋体" w:hAnsi="宋体"/>
          <w:b/>
          <w:sz w:val="32"/>
          <w:highlight w:val="none"/>
        </w:rPr>
        <w:t>评定标准和推荐原则</w:t>
      </w:r>
      <w:r>
        <w:rPr>
          <w:rFonts w:hint="eastAsia" w:ascii="宋体" w:hAnsi="宋体"/>
          <w:b/>
          <w:color w:val="000000"/>
          <w:sz w:val="32"/>
          <w:highlight w:val="none"/>
        </w:rPr>
        <w:t>（标项</w:t>
      </w:r>
      <w:r>
        <w:rPr>
          <w:rFonts w:hint="eastAsia" w:ascii="宋体" w:hAnsi="宋体"/>
          <w:b/>
          <w:color w:val="000000"/>
          <w:sz w:val="32"/>
          <w:highlight w:val="none"/>
          <w:lang w:val="en-US" w:eastAsia="zh-CN"/>
        </w:rPr>
        <w:t>二</w:t>
      </w:r>
      <w:r>
        <w:rPr>
          <w:rFonts w:hint="eastAsia" w:ascii="宋体" w:hAnsi="宋体"/>
          <w:b/>
          <w:color w:val="000000"/>
          <w:sz w:val="32"/>
          <w:highlight w:val="none"/>
        </w:rPr>
        <w:t>）</w:t>
      </w:r>
    </w:p>
    <w:p>
      <w:pPr>
        <w:pStyle w:val="27"/>
        <w:spacing w:beforeLines="0" w:afterLines="0" w:line="500" w:lineRule="exact"/>
        <w:ind w:firstLine="0" w:firstLineChars="0"/>
        <w:jc w:val="left"/>
        <w:rPr>
          <w:rFonts w:hint="eastAsia" w:hAnsi="宋体"/>
          <w:b/>
          <w:sz w:val="21"/>
          <w:szCs w:val="21"/>
          <w:highlight w:val="none"/>
        </w:rPr>
      </w:pPr>
      <w:r>
        <w:rPr>
          <w:rFonts w:hint="eastAsia" w:hAnsi="宋体"/>
          <w:b/>
          <w:sz w:val="21"/>
          <w:szCs w:val="21"/>
          <w:highlight w:val="none"/>
        </w:rPr>
        <w:t>一、评标原则</w:t>
      </w:r>
    </w:p>
    <w:p>
      <w:pPr>
        <w:pStyle w:val="27"/>
        <w:spacing w:beforeLines="0" w:afterLines="0" w:line="500" w:lineRule="exact"/>
        <w:ind w:firstLine="210" w:firstLineChars="100"/>
        <w:jc w:val="left"/>
        <w:rPr>
          <w:rFonts w:hint="eastAsia" w:hAnsi="宋体"/>
          <w:sz w:val="21"/>
          <w:szCs w:val="21"/>
          <w:highlight w:val="none"/>
        </w:rPr>
      </w:pPr>
      <w:r>
        <w:rPr>
          <w:rFonts w:hint="eastAsia" w:hAnsi="宋体"/>
          <w:sz w:val="21"/>
          <w:szCs w:val="21"/>
          <w:highlight w:val="none"/>
        </w:rPr>
        <w:t>（一）评标依据：评标委员会将以招投标文件为评标依据，对投标人的投标报价、技术商务资信等方面内容进行评价。</w:t>
      </w:r>
    </w:p>
    <w:p>
      <w:pPr>
        <w:pStyle w:val="27"/>
        <w:spacing w:beforeLines="0" w:afterLines="0" w:line="500" w:lineRule="exact"/>
        <w:ind w:firstLine="210" w:firstLineChars="100"/>
        <w:jc w:val="left"/>
        <w:rPr>
          <w:rFonts w:hint="eastAsia" w:hAnsi="宋体"/>
          <w:sz w:val="21"/>
          <w:szCs w:val="21"/>
          <w:highlight w:val="none"/>
        </w:rPr>
      </w:pPr>
      <w:r>
        <w:rPr>
          <w:rFonts w:hint="eastAsia" w:hAnsi="宋体"/>
          <w:sz w:val="21"/>
          <w:szCs w:val="21"/>
          <w:highlight w:val="none"/>
        </w:rPr>
        <w:t>（二）评标委员会组成：由采购人代表和评审专家组成，成员人数应当为5人以上单数，其中评审专家的人数不得少于成员总数的三分之二。</w:t>
      </w:r>
    </w:p>
    <w:p>
      <w:pPr>
        <w:pStyle w:val="27"/>
        <w:spacing w:beforeLines="0" w:afterLines="0" w:line="500" w:lineRule="exact"/>
        <w:ind w:firstLine="210" w:firstLineChars="100"/>
        <w:jc w:val="left"/>
        <w:rPr>
          <w:rFonts w:hint="eastAsia" w:hAnsi="宋体"/>
          <w:sz w:val="21"/>
          <w:szCs w:val="21"/>
          <w:highlight w:val="none"/>
        </w:rPr>
      </w:pPr>
      <w:r>
        <w:rPr>
          <w:rFonts w:hint="eastAsia" w:hAnsi="宋体"/>
          <w:sz w:val="21"/>
          <w:szCs w:val="21"/>
          <w:highlight w:val="none"/>
        </w:rPr>
        <w:t>（三）评分方式：评标委员会各成员独立对每个投标人的投标文件进行评价。</w:t>
      </w:r>
    </w:p>
    <w:p>
      <w:pPr>
        <w:pStyle w:val="27"/>
        <w:spacing w:beforeLines="0" w:afterLines="0" w:line="500" w:lineRule="exact"/>
        <w:ind w:firstLine="0" w:firstLineChars="0"/>
        <w:jc w:val="left"/>
        <w:rPr>
          <w:rFonts w:hint="eastAsia" w:hAnsi="宋体"/>
          <w:b/>
          <w:sz w:val="21"/>
          <w:szCs w:val="21"/>
          <w:highlight w:val="none"/>
        </w:rPr>
      </w:pPr>
      <w:r>
        <w:rPr>
          <w:rFonts w:hint="eastAsia" w:hAnsi="宋体"/>
          <w:b/>
          <w:sz w:val="21"/>
          <w:szCs w:val="21"/>
          <w:highlight w:val="none"/>
        </w:rPr>
        <w:t>二、评分细则</w:t>
      </w:r>
    </w:p>
    <w:p>
      <w:pPr>
        <w:spacing w:beforeLines="0" w:afterLines="0" w:line="500" w:lineRule="exact"/>
        <w:ind w:firstLine="210" w:firstLineChars="100"/>
        <w:jc w:val="left"/>
        <w:rPr>
          <w:rFonts w:hint="eastAsia" w:ascii="宋体" w:hAnsi="宋体" w:eastAsia="宋体" w:cs="Courier New"/>
          <w:sz w:val="21"/>
          <w:szCs w:val="21"/>
          <w:highlight w:val="none"/>
        </w:rPr>
      </w:pPr>
      <w:r>
        <w:rPr>
          <w:rFonts w:hint="eastAsia" w:ascii="宋体" w:hAnsi="宋体" w:eastAsia="宋体" w:cs="Courier New"/>
          <w:sz w:val="21"/>
          <w:szCs w:val="21"/>
          <w:highlight w:val="none"/>
        </w:rPr>
        <w:t>综合评分法：对满足招标文件全部实质性要求的投标人投标文件</w:t>
      </w:r>
      <w:r>
        <w:rPr>
          <w:rFonts w:hint="eastAsia" w:ascii="宋体" w:hAnsi="宋体" w:eastAsia="宋体" w:cs="Arial"/>
          <w:sz w:val="21"/>
          <w:szCs w:val="21"/>
          <w:highlight w:val="none"/>
        </w:rPr>
        <w:t>按照评审因素的量化指标评审并汇总(</w:t>
      </w:r>
      <w:r>
        <w:rPr>
          <w:rFonts w:hint="eastAsia" w:ascii="宋体" w:hAnsi="宋体" w:eastAsia="宋体" w:cs="Courier New"/>
          <w:sz w:val="21"/>
          <w:szCs w:val="21"/>
          <w:highlight w:val="none"/>
        </w:rPr>
        <w:t>四舍五入取至百分位)。</w:t>
      </w:r>
    </w:p>
    <w:p>
      <w:pPr>
        <w:spacing w:beforeLines="0" w:afterLines="0" w:line="500" w:lineRule="exact"/>
        <w:ind w:firstLine="211" w:firstLineChars="100"/>
        <w:rPr>
          <w:rFonts w:hint="eastAsia" w:ascii="宋体" w:hAnsi="宋体" w:eastAsia="宋体"/>
          <w:b/>
          <w:sz w:val="21"/>
          <w:szCs w:val="24"/>
          <w:highlight w:val="none"/>
        </w:rPr>
      </w:pPr>
      <w:r>
        <w:rPr>
          <w:rFonts w:hint="eastAsia" w:ascii="宋体" w:hAnsi="宋体" w:eastAsia="宋体"/>
          <w:b/>
          <w:sz w:val="21"/>
          <w:szCs w:val="24"/>
          <w:highlight w:val="none"/>
        </w:rPr>
        <w:t>（一）报价分（30分）</w:t>
      </w:r>
    </w:p>
    <w:p>
      <w:pPr>
        <w:spacing w:beforeLines="0" w:afterLines="0" w:line="500" w:lineRule="exact"/>
        <w:ind w:firstLine="420"/>
        <w:jc w:val="left"/>
        <w:rPr>
          <w:rFonts w:hint="eastAsia" w:ascii="宋体" w:hAnsi="宋体" w:eastAsia="宋体" w:cs="Courier New"/>
          <w:sz w:val="21"/>
          <w:szCs w:val="21"/>
          <w:highlight w:val="none"/>
        </w:rPr>
      </w:pPr>
      <w:r>
        <w:rPr>
          <w:rFonts w:hint="eastAsia" w:ascii="宋体" w:hAnsi="宋体" w:eastAsia="宋体" w:cs="Courier New"/>
          <w:sz w:val="21"/>
          <w:szCs w:val="21"/>
          <w:highlight w:val="none"/>
        </w:rPr>
        <w:tab/>
      </w:r>
      <w:r>
        <w:rPr>
          <w:rFonts w:hint="eastAsia" w:ascii="宋体" w:hAnsi="宋体" w:eastAsia="宋体" w:cs="Courier New"/>
          <w:sz w:val="21"/>
          <w:szCs w:val="21"/>
          <w:highlight w:val="none"/>
        </w:rPr>
        <w:t>1.投标人的价格分统一按照下列公式计算：</w:t>
      </w:r>
    </w:p>
    <w:p>
      <w:pPr>
        <w:spacing w:beforeLines="0" w:afterLines="0" w:line="500" w:lineRule="exact"/>
        <w:ind w:firstLine="422"/>
        <w:jc w:val="left"/>
        <w:rPr>
          <w:rFonts w:hint="eastAsia" w:ascii="宋体" w:hAnsi="宋体" w:eastAsia="宋体" w:cs="Courier New"/>
          <w:b/>
          <w:sz w:val="21"/>
          <w:szCs w:val="21"/>
          <w:highlight w:val="none"/>
        </w:rPr>
      </w:pPr>
      <w:r>
        <w:rPr>
          <w:rFonts w:hint="eastAsia" w:ascii="宋体" w:hAnsi="宋体" w:eastAsia="宋体" w:cs="Courier New"/>
          <w:b/>
          <w:sz w:val="21"/>
          <w:szCs w:val="21"/>
          <w:highlight w:val="none"/>
        </w:rPr>
        <w:tab/>
      </w:r>
      <w:r>
        <w:rPr>
          <w:rFonts w:hint="eastAsia" w:ascii="宋体" w:hAnsi="宋体" w:eastAsia="宋体" w:cs="Courier New"/>
          <w:b/>
          <w:sz w:val="21"/>
          <w:szCs w:val="21"/>
          <w:highlight w:val="none"/>
        </w:rPr>
        <w:t>某投标人价格分=（评标基准价/某投标人评标价）×30分</w:t>
      </w:r>
    </w:p>
    <w:p>
      <w:pPr>
        <w:widowControl/>
        <w:spacing w:beforeLines="0" w:afterLines="0" w:line="500" w:lineRule="exact"/>
        <w:ind w:firstLine="420"/>
        <w:jc w:val="left"/>
        <w:rPr>
          <w:rFonts w:hint="eastAsia" w:ascii="宋体" w:hAnsi="宋体" w:eastAsia="宋体" w:cs="Courier New"/>
          <w:sz w:val="21"/>
          <w:szCs w:val="21"/>
          <w:highlight w:val="none"/>
        </w:rPr>
      </w:pPr>
      <w:r>
        <w:rPr>
          <w:rFonts w:hint="eastAsia" w:ascii="宋体" w:hAnsi="宋体" w:eastAsia="宋体" w:cs="Courier New"/>
          <w:sz w:val="21"/>
          <w:szCs w:val="21"/>
          <w:highlight w:val="none"/>
        </w:rPr>
        <w:t>注：</w:t>
      </w:r>
    </w:p>
    <w:p>
      <w:pPr>
        <w:widowControl/>
        <w:spacing w:beforeLines="0" w:afterLines="0" w:line="500" w:lineRule="exact"/>
        <w:ind w:firstLine="420"/>
        <w:jc w:val="left"/>
        <w:rPr>
          <w:rFonts w:hint="eastAsia" w:ascii="宋体" w:hAnsi="宋体" w:eastAsia="宋体" w:cs="Courier New"/>
          <w:sz w:val="21"/>
          <w:szCs w:val="21"/>
          <w:highlight w:val="none"/>
        </w:rPr>
      </w:pPr>
      <w:r>
        <w:rPr>
          <w:rFonts w:hint="eastAsia" w:ascii="宋体" w:hAnsi="宋体" w:eastAsia="宋体" w:cs="Courier New"/>
          <w:sz w:val="21"/>
          <w:szCs w:val="21"/>
          <w:highlight w:val="none"/>
        </w:rPr>
        <w:t>投标人提供的全部货物符合《政府采购促进中小企业发展管理办法》（财库﹝2020﹞46号）规定，并在投标文件中提供《中小企业声明函》（格式见第六章，投标人须对声明的真实性负责）。评审中将对小微型企业报价给予20%的扣除，扣除后的价格为评标价。</w:t>
      </w:r>
    </w:p>
    <w:p>
      <w:pPr>
        <w:widowControl/>
        <w:spacing w:beforeLines="0" w:afterLines="0" w:line="500" w:lineRule="exact"/>
        <w:ind w:firstLine="420"/>
        <w:jc w:val="left"/>
        <w:rPr>
          <w:rFonts w:hint="eastAsia" w:ascii="宋体" w:hAnsi="宋体" w:eastAsia="宋体" w:cs="Courier New"/>
          <w:sz w:val="21"/>
          <w:szCs w:val="21"/>
          <w:highlight w:val="none"/>
        </w:rPr>
      </w:pPr>
      <w:r>
        <w:rPr>
          <w:rFonts w:hint="eastAsia" w:ascii="宋体" w:hAnsi="宋体" w:eastAsia="宋体" w:cs="Courier New"/>
          <w:sz w:val="21"/>
          <w:szCs w:val="21"/>
          <w:highlight w:val="none"/>
        </w:rPr>
        <w:t>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widowControl/>
        <w:spacing w:beforeLines="0" w:afterLines="0" w:line="500" w:lineRule="exact"/>
        <w:ind w:firstLine="420"/>
        <w:jc w:val="left"/>
        <w:rPr>
          <w:rFonts w:hint="eastAsia" w:ascii="宋体" w:hAnsi="宋体" w:eastAsia="宋体" w:cs="Courier New"/>
          <w:sz w:val="21"/>
          <w:szCs w:val="21"/>
          <w:highlight w:val="none"/>
        </w:rPr>
      </w:pPr>
      <w:r>
        <w:rPr>
          <w:rFonts w:hint="eastAsia" w:ascii="宋体" w:hAnsi="宋体" w:eastAsia="宋体" w:cs="Courier New"/>
          <w:sz w:val="21"/>
          <w:szCs w:val="21"/>
          <w:highlight w:val="none"/>
        </w:rPr>
        <w:t>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pPr>
        <w:widowControl/>
        <w:spacing w:beforeLines="0" w:afterLines="0" w:line="500" w:lineRule="exact"/>
        <w:ind w:firstLine="420"/>
        <w:jc w:val="left"/>
        <w:rPr>
          <w:rFonts w:hint="eastAsia" w:ascii="宋体" w:hAnsi="宋体" w:eastAsia="宋体" w:cs="Courier New"/>
          <w:sz w:val="21"/>
          <w:szCs w:val="21"/>
          <w:highlight w:val="none"/>
        </w:rPr>
      </w:pPr>
      <w:r>
        <w:rPr>
          <w:rFonts w:hint="eastAsia" w:ascii="宋体" w:hAnsi="宋体" w:eastAsia="宋体" w:cs="Courier New"/>
          <w:sz w:val="21"/>
          <w:szCs w:val="24"/>
          <w:highlight w:val="none"/>
        </w:rPr>
        <w:t>投标人获得政策性价格扣除的，评标价=投标报价×（1-20%），否则评标价=投标报价。满足招标文件全部实质性要求的投标人最低评标价为评标基准价。评标价仅作评标时使用，中标金额＝投标报价。</w:t>
      </w:r>
    </w:p>
    <w:p>
      <w:pPr>
        <w:widowControl/>
        <w:spacing w:beforeLines="0" w:afterLines="0" w:line="500" w:lineRule="exact"/>
        <w:ind w:firstLine="420"/>
        <w:jc w:val="left"/>
        <w:rPr>
          <w:rFonts w:hint="eastAsia" w:ascii="宋体" w:hAnsi="宋体" w:eastAsia="宋体" w:cs="宋体"/>
          <w:b/>
          <w:kern w:val="0"/>
          <w:sz w:val="21"/>
          <w:szCs w:val="21"/>
          <w:highlight w:val="none"/>
        </w:rPr>
      </w:pPr>
      <w:r>
        <w:rPr>
          <w:rFonts w:hint="eastAsia" w:ascii="宋体" w:hAnsi="宋体" w:eastAsia="宋体" w:cs="Courier New"/>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11"/>
        </w:numPr>
        <w:spacing w:beforeLines="0" w:afterLines="0" w:line="500" w:lineRule="exact"/>
        <w:ind w:firstLine="422"/>
        <w:rPr>
          <w:rFonts w:hint="eastAsia" w:ascii="宋体" w:hAnsi="宋体" w:eastAsia="宋体" w:cs="宋体"/>
          <w:b/>
          <w:kern w:val="0"/>
          <w:sz w:val="21"/>
          <w:szCs w:val="21"/>
          <w:highlight w:val="none"/>
        </w:rPr>
      </w:pPr>
      <w:r>
        <w:rPr>
          <w:rFonts w:hint="eastAsia" w:ascii="宋体" w:hAnsi="宋体" w:eastAsia="宋体" w:cs="宋体"/>
          <w:b/>
          <w:kern w:val="0"/>
          <w:sz w:val="21"/>
          <w:szCs w:val="21"/>
          <w:highlight w:val="none"/>
        </w:rPr>
        <w:t>（二）技术商务资信分（70分）</w:t>
      </w:r>
    </w:p>
    <w:p>
      <w:pPr>
        <w:pStyle w:val="19"/>
        <w:rPr>
          <w:rFonts w:hint="default" w:eastAsia="宋体"/>
          <w:highlight w:val="none"/>
          <w:lang w:val="en-US" w:eastAsia="zh-CN"/>
        </w:rPr>
      </w:pPr>
      <w:r>
        <w:rPr>
          <w:rFonts w:hint="eastAsia" w:ascii="宋体" w:hAnsi="宋体" w:cs="宋体"/>
          <w:b/>
          <w:kern w:val="0"/>
          <w:sz w:val="21"/>
          <w:szCs w:val="21"/>
          <w:highlight w:val="none"/>
          <w:lang w:val="en-US" w:eastAsia="zh-CN"/>
        </w:rPr>
        <w:t>1.技术分（65分）</w:t>
      </w:r>
    </w:p>
    <w:p>
      <w:pPr>
        <w:numPr>
          <w:ilvl w:val="0"/>
          <w:numId w:val="0"/>
        </w:numPr>
        <w:spacing w:beforeLines="0" w:afterLines="0" w:line="500" w:lineRule="exact"/>
        <w:ind w:firstLine="422" w:firstLineChars="200"/>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1.</w:t>
      </w:r>
      <w:r>
        <w:rPr>
          <w:rFonts w:hint="eastAsia" w:ascii="宋体" w:hAnsi="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技术参数响应情况（</w:t>
      </w:r>
      <w:r>
        <w:rPr>
          <w:rFonts w:hint="eastAsia" w:ascii="宋体" w:hAnsi="宋体" w:cs="宋体"/>
          <w:b/>
          <w:color w:val="auto"/>
          <w:kern w:val="0"/>
          <w:sz w:val="21"/>
          <w:szCs w:val="21"/>
          <w:highlight w:val="none"/>
          <w:lang w:val="en-US" w:eastAsia="zh-CN" w:bidi="ar"/>
        </w:rPr>
        <w:t>30</w:t>
      </w:r>
      <w:r>
        <w:rPr>
          <w:rFonts w:hint="eastAsia" w:ascii="宋体" w:hAnsi="宋体" w:eastAsia="宋体" w:cs="宋体"/>
          <w:b/>
          <w:color w:val="auto"/>
          <w:kern w:val="0"/>
          <w:sz w:val="21"/>
          <w:szCs w:val="21"/>
          <w:highlight w:val="none"/>
          <w:lang w:bidi="ar"/>
        </w:rPr>
        <w:t>分）</w:t>
      </w:r>
    </w:p>
    <w:p>
      <w:pPr>
        <w:numPr>
          <w:ilvl w:val="0"/>
          <w:numId w:val="0"/>
        </w:numPr>
        <w:spacing w:beforeLines="0" w:afterLines="0" w:line="500" w:lineRule="exact"/>
        <w:ind w:firstLine="420" w:firstLineChars="20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经评标委员会评定，投标人投标产品满足或优于《项目需求》技术参数及性能配置中标注▲项的,每项得1</w:t>
      </w:r>
      <w:r>
        <w:rPr>
          <w:rFonts w:hint="eastAsia" w:ascii="宋体" w:hAnsi="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分，满分30分。</w:t>
      </w:r>
    </w:p>
    <w:p>
      <w:pPr>
        <w:numPr>
          <w:ilvl w:val="0"/>
          <w:numId w:val="0"/>
        </w:numPr>
        <w:spacing w:beforeLines="0" w:afterLines="0" w:line="500" w:lineRule="exact"/>
        <w:ind w:firstLine="420" w:firstLineChars="200"/>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注：产品技术参数须在技术偏离表中列明，并在投标文件中提供产品的满足或优于此项技术参数及性能配置的由具备资质的第三方检测机构出具的检测/检验报告或产品功能截图或生产厂家证明作为佐证，并加盖投标人公章。</w:t>
      </w:r>
    </w:p>
    <w:p>
      <w:pPr>
        <w:numPr>
          <w:ilvl w:val="0"/>
          <w:numId w:val="0"/>
        </w:numPr>
        <w:spacing w:beforeLines="0" w:afterLines="0" w:line="500" w:lineRule="exact"/>
        <w:ind w:firstLine="422" w:firstLineChars="200"/>
        <w:rPr>
          <w:rFonts w:hint="eastAsia" w:ascii="宋体" w:hAnsi="宋体" w:eastAsia="宋体" w:cs="宋体"/>
          <w:b/>
          <w:color w:val="auto"/>
          <w:kern w:val="0"/>
          <w:sz w:val="21"/>
          <w:szCs w:val="21"/>
          <w:highlight w:val="none"/>
          <w:lang w:bidi="ar"/>
        </w:rPr>
      </w:pPr>
      <w:r>
        <w:rPr>
          <w:rFonts w:hint="eastAsia" w:ascii="宋体" w:hAnsi="宋体" w:cs="宋体"/>
          <w:b/>
          <w:color w:val="auto"/>
          <w:kern w:val="0"/>
          <w:sz w:val="21"/>
          <w:szCs w:val="21"/>
          <w:highlight w:val="none"/>
          <w:lang w:val="en-US" w:eastAsia="zh-CN" w:bidi="ar"/>
        </w:rPr>
        <w:t>1.2</w:t>
      </w:r>
      <w:r>
        <w:rPr>
          <w:rFonts w:hint="eastAsia" w:ascii="宋体" w:hAnsi="宋体" w:eastAsia="宋体" w:cs="宋体"/>
          <w:b/>
          <w:color w:val="auto"/>
          <w:kern w:val="0"/>
          <w:sz w:val="21"/>
          <w:szCs w:val="21"/>
          <w:highlight w:val="none"/>
          <w:lang w:bidi="ar"/>
        </w:rPr>
        <w:t>项目实施方案 (</w:t>
      </w:r>
      <w:r>
        <w:rPr>
          <w:rFonts w:hint="eastAsia" w:ascii="宋体" w:hAnsi="宋体" w:cs="宋体"/>
          <w:b/>
          <w:color w:val="auto"/>
          <w:kern w:val="0"/>
          <w:sz w:val="21"/>
          <w:szCs w:val="21"/>
          <w:highlight w:val="none"/>
          <w:lang w:val="en-US" w:eastAsia="zh-CN" w:bidi="ar"/>
        </w:rPr>
        <w:t>13</w:t>
      </w:r>
      <w:r>
        <w:rPr>
          <w:rFonts w:hint="eastAsia" w:ascii="宋体" w:hAnsi="宋体" w:eastAsia="宋体" w:cs="宋体"/>
          <w:b/>
          <w:color w:val="auto"/>
          <w:kern w:val="0"/>
          <w:sz w:val="21"/>
          <w:szCs w:val="21"/>
          <w:highlight w:val="none"/>
          <w:lang w:bidi="ar"/>
        </w:rPr>
        <w:t>分)</w:t>
      </w:r>
    </w:p>
    <w:p>
      <w:pPr>
        <w:widowControl/>
        <w:spacing w:beforeLines="0" w:afterLines="0" w:line="500" w:lineRule="exact"/>
        <w:ind w:firstLine="420"/>
        <w:jc w:val="left"/>
        <w:outlineLvl w:val="1"/>
        <w:rPr>
          <w:rFonts w:hint="eastAsia"/>
          <w:highlight w:val="none"/>
        </w:rPr>
      </w:pPr>
      <w:r>
        <w:rPr>
          <w:rFonts w:hint="default" w:ascii="宋体" w:hAnsi="宋体"/>
          <w:sz w:val="21"/>
          <w:szCs w:val="21"/>
          <w:highlight w:val="none"/>
        </w:rPr>
        <w:t>由评标委员会各成员根据投标人所提供项目实施方案进行独立评审打分。</w:t>
      </w:r>
    </w:p>
    <w:p>
      <w:pPr>
        <w:numPr>
          <w:ilvl w:val="0"/>
          <w:numId w:val="0"/>
        </w:numPr>
        <w:spacing w:beforeLines="0" w:afterLines="0" w:line="500" w:lineRule="exact"/>
        <w:ind w:firstLine="421"/>
        <w:rPr>
          <w:highlight w:val="none"/>
        </w:rPr>
      </w:pPr>
      <w:r>
        <w:rPr>
          <w:rFonts w:hint="eastAsia" w:ascii="宋体" w:hAnsi="宋体" w:cs="宋体"/>
          <w:color w:val="auto"/>
          <w:kern w:val="0"/>
          <w:sz w:val="21"/>
          <w:szCs w:val="21"/>
          <w:highlight w:val="none"/>
          <w:lang w:val="en-US" w:eastAsia="zh-CN" w:bidi="ar"/>
        </w:rPr>
        <w:t>1.2.1</w:t>
      </w:r>
      <w:r>
        <w:rPr>
          <w:rFonts w:hint="eastAsia" w:ascii="宋体" w:hAnsi="宋体" w:eastAsia="宋体" w:cs="宋体"/>
          <w:color w:val="auto"/>
          <w:kern w:val="0"/>
          <w:sz w:val="21"/>
          <w:szCs w:val="21"/>
          <w:highlight w:val="none"/>
          <w:lang w:bidi="ar"/>
        </w:rPr>
        <w:t>根据投标人提供的项目实施方案进行评审： 投标人提供的方案</w:t>
      </w:r>
      <w:r>
        <w:rPr>
          <w:rFonts w:hint="default" w:ascii="宋体" w:hAnsi="宋体"/>
          <w:sz w:val="21"/>
          <w:szCs w:val="21"/>
          <w:highlight w:val="none"/>
        </w:rPr>
        <w:t>满足项目需求且</w:t>
      </w:r>
      <w:r>
        <w:rPr>
          <w:rFonts w:hint="eastAsia" w:ascii="宋体" w:hAnsi="宋体" w:eastAsia="宋体" w:cs="宋体"/>
          <w:color w:val="auto"/>
          <w:kern w:val="0"/>
          <w:sz w:val="21"/>
          <w:szCs w:val="21"/>
          <w:highlight w:val="none"/>
          <w:lang w:bidi="ar"/>
        </w:rPr>
        <w:t>包含①项目进度计划及人员安排职责分工和管理规章制度、②产品质量保证方案、③供货调试方案、④实施进度保证承诺，每项得1分，满分4分。</w:t>
      </w:r>
    </w:p>
    <w:p>
      <w:pPr>
        <w:numPr>
          <w:ilvl w:val="0"/>
          <w:numId w:val="0"/>
        </w:numPr>
        <w:spacing w:beforeLines="0" w:afterLines="0" w:line="500" w:lineRule="exact"/>
        <w:ind w:firstLine="421"/>
        <w:rPr>
          <w:rFonts w:hint="eastAsia"/>
          <w:highlight w:val="none"/>
        </w:rPr>
      </w:pPr>
      <w:r>
        <w:rPr>
          <w:rFonts w:hint="eastAsia"/>
          <w:highlight w:val="none"/>
          <w:lang w:val="en-US" w:eastAsia="zh-CN"/>
        </w:rPr>
        <w:t>1.2.2</w:t>
      </w:r>
      <w:r>
        <w:rPr>
          <w:rFonts w:hint="default" w:ascii="宋体" w:hAnsi="宋体" w:cs="宋体"/>
          <w:sz w:val="21"/>
          <w:szCs w:val="21"/>
          <w:highlight w:val="none"/>
        </w:rPr>
        <w:t>投标人</w:t>
      </w:r>
      <w:r>
        <w:rPr>
          <w:rFonts w:hint="default" w:ascii="宋体" w:hAnsi="宋体" w:cs="Arial"/>
          <w:sz w:val="21"/>
          <w:szCs w:val="21"/>
          <w:highlight w:val="none"/>
        </w:rPr>
        <w:t>提供的</w:t>
      </w:r>
      <w:r>
        <w:rPr>
          <w:rFonts w:hint="default" w:ascii="宋体" w:hAnsi="宋体"/>
          <w:sz w:val="21"/>
          <w:szCs w:val="21"/>
          <w:highlight w:val="none"/>
        </w:rPr>
        <w:t>方案满足项目需求且包含①验收依据、相关的技术标准、②验收的组织形式、程序、注意事项、③验收环节和内容，每项</w:t>
      </w:r>
      <w:r>
        <w:rPr>
          <w:rFonts w:hint="default" w:ascii="宋体" w:hAnsi="宋体" w:cs="宋体"/>
          <w:sz w:val="21"/>
          <w:szCs w:val="21"/>
          <w:highlight w:val="none"/>
        </w:rPr>
        <w:t>得</w:t>
      </w:r>
      <w:r>
        <w:rPr>
          <w:rFonts w:hint="eastAsia" w:ascii="宋体" w:hAnsi="宋体" w:cs="宋体"/>
          <w:sz w:val="21"/>
          <w:szCs w:val="21"/>
          <w:highlight w:val="none"/>
          <w:lang w:val="en-US" w:eastAsia="zh-CN"/>
        </w:rPr>
        <w:t>3</w:t>
      </w:r>
      <w:r>
        <w:rPr>
          <w:rFonts w:hint="default" w:ascii="宋体" w:hAnsi="宋体" w:cs="宋体"/>
          <w:sz w:val="21"/>
          <w:szCs w:val="21"/>
          <w:highlight w:val="none"/>
        </w:rPr>
        <w:t>分，满分</w:t>
      </w:r>
      <w:r>
        <w:rPr>
          <w:rFonts w:hint="eastAsia" w:ascii="宋体" w:hAnsi="宋体" w:cs="宋体"/>
          <w:sz w:val="21"/>
          <w:szCs w:val="21"/>
          <w:highlight w:val="none"/>
          <w:lang w:val="en-US" w:eastAsia="zh-CN"/>
        </w:rPr>
        <w:t>9</w:t>
      </w:r>
      <w:r>
        <w:rPr>
          <w:rFonts w:hint="default" w:ascii="宋体" w:hAnsi="宋体"/>
          <w:sz w:val="21"/>
          <w:szCs w:val="21"/>
          <w:highlight w:val="none"/>
        </w:rPr>
        <w:t>分。</w:t>
      </w:r>
    </w:p>
    <w:p>
      <w:pPr>
        <w:widowControl/>
        <w:spacing w:beforeLines="0" w:afterLines="0" w:line="500" w:lineRule="exact"/>
        <w:ind w:firstLine="422"/>
        <w:jc w:val="left"/>
        <w:outlineLvl w:val="1"/>
        <w:rPr>
          <w:rFonts w:hint="default" w:ascii="宋体" w:hAnsi="宋体" w:cs="宋体"/>
          <w:color w:val="000000"/>
          <w:sz w:val="22"/>
          <w:szCs w:val="28"/>
          <w:highlight w:val="none"/>
        </w:rPr>
      </w:pPr>
      <w:r>
        <w:rPr>
          <w:rFonts w:hint="eastAsia" w:ascii="宋体" w:hAnsi="宋体" w:cs="宋体"/>
          <w:b/>
          <w:color w:val="000000"/>
          <w:kern w:val="0"/>
          <w:sz w:val="21"/>
          <w:szCs w:val="21"/>
          <w:highlight w:val="none"/>
          <w:lang w:val="en-US" w:eastAsia="zh-CN" w:bidi="ar"/>
        </w:rPr>
        <w:t>1.</w:t>
      </w:r>
      <w:r>
        <w:rPr>
          <w:rFonts w:hint="default" w:ascii="宋体" w:hAnsi="宋体" w:cs="宋体"/>
          <w:b/>
          <w:color w:val="000000"/>
          <w:kern w:val="0"/>
          <w:sz w:val="21"/>
          <w:szCs w:val="21"/>
          <w:highlight w:val="none"/>
          <w:lang w:bidi="ar"/>
        </w:rPr>
        <w:t>3</w:t>
      </w:r>
      <w:r>
        <w:rPr>
          <w:rFonts w:hint="eastAsia" w:ascii="宋体" w:hAnsi="宋体" w:cs="宋体"/>
          <w:b/>
          <w:color w:val="000000"/>
          <w:kern w:val="0"/>
          <w:sz w:val="21"/>
          <w:szCs w:val="21"/>
          <w:highlight w:val="none"/>
          <w:lang w:eastAsia="zh-CN" w:bidi="ar"/>
        </w:rPr>
        <w:t>.</w:t>
      </w:r>
      <w:r>
        <w:rPr>
          <w:rFonts w:hint="default" w:ascii="宋体" w:hAnsi="宋体" w:cs="宋体"/>
          <w:b/>
          <w:color w:val="000000"/>
          <w:kern w:val="0"/>
          <w:sz w:val="21"/>
          <w:szCs w:val="21"/>
          <w:highlight w:val="none"/>
          <w:lang w:bidi="ar"/>
        </w:rPr>
        <w:t>售后服务分(</w:t>
      </w:r>
      <w:r>
        <w:rPr>
          <w:rFonts w:hint="eastAsia" w:ascii="宋体" w:hAnsi="宋体" w:cs="宋体"/>
          <w:b/>
          <w:color w:val="000000"/>
          <w:kern w:val="0"/>
          <w:sz w:val="21"/>
          <w:szCs w:val="21"/>
          <w:highlight w:val="none"/>
          <w:lang w:val="en-US" w:eastAsia="zh-CN" w:bidi="ar"/>
        </w:rPr>
        <w:t>22</w:t>
      </w:r>
      <w:r>
        <w:rPr>
          <w:rFonts w:hint="default" w:ascii="宋体" w:hAnsi="宋体" w:cs="宋体"/>
          <w:b/>
          <w:color w:val="000000"/>
          <w:kern w:val="0"/>
          <w:sz w:val="21"/>
          <w:szCs w:val="21"/>
          <w:highlight w:val="none"/>
          <w:lang w:bidi="ar"/>
        </w:rPr>
        <w:t xml:space="preserve">分) </w:t>
      </w:r>
    </w:p>
    <w:p>
      <w:pPr>
        <w:widowControl/>
        <w:spacing w:beforeLines="0" w:afterLines="0" w:line="500" w:lineRule="exact"/>
        <w:ind w:firstLine="420"/>
        <w:jc w:val="left"/>
        <w:outlineLvl w:val="1"/>
        <w:rPr>
          <w:rFonts w:hint="default" w:ascii="宋体" w:hAnsi="宋体"/>
          <w:color w:val="000000"/>
          <w:sz w:val="21"/>
          <w:szCs w:val="21"/>
          <w:highlight w:val="none"/>
        </w:rPr>
      </w:pPr>
      <w:r>
        <w:rPr>
          <w:rFonts w:hint="default" w:ascii="宋体" w:hAnsi="宋体"/>
          <w:sz w:val="21"/>
          <w:szCs w:val="21"/>
          <w:highlight w:val="none"/>
        </w:rPr>
        <w:t>由评标委员会各成员</w:t>
      </w:r>
      <w:r>
        <w:rPr>
          <w:rFonts w:hint="default" w:ascii="宋体" w:hAnsi="宋体"/>
          <w:color w:val="000000"/>
          <w:sz w:val="21"/>
          <w:szCs w:val="21"/>
          <w:highlight w:val="none"/>
        </w:rPr>
        <w:t>根据各投标人所提供售后服务方案进行独立评审打分。</w:t>
      </w:r>
    </w:p>
    <w:p>
      <w:pPr>
        <w:widowControl/>
        <w:spacing w:beforeLines="0" w:afterLines="0" w:line="500" w:lineRule="exact"/>
        <w:ind w:firstLine="420"/>
        <w:jc w:val="left"/>
        <w:outlineLvl w:val="1"/>
        <w:rPr>
          <w:rFonts w:hint="default" w:ascii="宋体" w:hAnsi="宋体"/>
          <w:color w:val="000000"/>
          <w:sz w:val="21"/>
          <w:szCs w:val="21"/>
          <w:highlight w:val="none"/>
        </w:rPr>
      </w:pPr>
      <w:r>
        <w:rPr>
          <w:rFonts w:hint="eastAsia" w:ascii="宋体" w:hAnsi="宋体"/>
          <w:color w:val="000000"/>
          <w:sz w:val="21"/>
          <w:szCs w:val="21"/>
          <w:highlight w:val="none"/>
          <w:lang w:val="en-US" w:eastAsia="zh-CN"/>
        </w:rPr>
        <w:t>1.</w:t>
      </w:r>
      <w:r>
        <w:rPr>
          <w:rFonts w:hint="default" w:ascii="宋体" w:hAnsi="宋体"/>
          <w:color w:val="000000"/>
          <w:sz w:val="21"/>
          <w:szCs w:val="21"/>
          <w:highlight w:val="none"/>
        </w:rPr>
        <w:t>3.1投标人提供项目售后服务承诺方案，投标人设置有售后维护服务承诺、响应程度、服务方案满足采购需求的得</w:t>
      </w:r>
      <w:r>
        <w:rPr>
          <w:rFonts w:hint="eastAsia" w:ascii="宋体" w:hAnsi="宋体"/>
          <w:color w:val="000000"/>
          <w:sz w:val="21"/>
          <w:szCs w:val="21"/>
          <w:highlight w:val="none"/>
          <w:lang w:val="en-US" w:eastAsia="zh-CN"/>
        </w:rPr>
        <w:t>8</w:t>
      </w:r>
      <w:r>
        <w:rPr>
          <w:rFonts w:hint="default" w:ascii="宋体" w:hAnsi="宋体"/>
          <w:color w:val="000000"/>
          <w:sz w:val="21"/>
          <w:szCs w:val="21"/>
          <w:highlight w:val="none"/>
        </w:rPr>
        <w:t>分。</w:t>
      </w:r>
    </w:p>
    <w:p>
      <w:pPr>
        <w:widowControl/>
        <w:spacing w:beforeLines="0" w:afterLines="0" w:line="500" w:lineRule="exact"/>
        <w:ind w:firstLine="420"/>
        <w:jc w:val="left"/>
        <w:outlineLvl w:val="1"/>
        <w:rPr>
          <w:rFonts w:hint="default" w:ascii="宋体" w:hAnsi="宋体"/>
          <w:color w:val="000000"/>
          <w:sz w:val="21"/>
          <w:szCs w:val="21"/>
          <w:highlight w:val="none"/>
        </w:rPr>
      </w:pPr>
      <w:r>
        <w:rPr>
          <w:rFonts w:hint="eastAsia" w:ascii="宋体" w:hAnsi="宋体"/>
          <w:color w:val="000000"/>
          <w:sz w:val="21"/>
          <w:szCs w:val="21"/>
          <w:highlight w:val="none"/>
          <w:lang w:val="en-US" w:eastAsia="zh-CN"/>
        </w:rPr>
        <w:t>1.</w:t>
      </w:r>
      <w:r>
        <w:rPr>
          <w:rFonts w:hint="default" w:ascii="宋体" w:hAnsi="宋体"/>
          <w:color w:val="000000"/>
          <w:sz w:val="21"/>
          <w:szCs w:val="21"/>
          <w:highlight w:val="none"/>
        </w:rPr>
        <w:t>3.2投标人提供项目售后服务承诺方案包含①操作培训计划、②有售后维护应急处理程序、③系统维护信息档案管理和定期回访计划、④发生故障时有替代产品、</w:t>
      </w:r>
      <w:r>
        <w:rPr>
          <w:rFonts w:hint="default" w:ascii="宋体" w:hAnsi="宋体" w:cs="宋体"/>
          <w:sz w:val="21"/>
          <w:szCs w:val="21"/>
          <w:highlight w:val="none"/>
        </w:rPr>
        <w:t>⑤服务期内更换配件的优惠措施、</w:t>
      </w:r>
      <w:r>
        <w:rPr>
          <w:rFonts w:hint="default" w:ascii="宋体" w:hAnsi="宋体"/>
          <w:color w:val="000000"/>
          <w:sz w:val="21"/>
          <w:szCs w:val="21"/>
          <w:highlight w:val="none"/>
        </w:rPr>
        <w:t>⑥提供技术支持服务和定期回访承诺、⑦售后服务团队(应急处理)服务团队保障措施的，每项得2分，满分14分。</w:t>
      </w:r>
    </w:p>
    <w:p>
      <w:pPr>
        <w:widowControl/>
        <w:numPr>
          <w:ilvl w:val="0"/>
          <w:numId w:val="0"/>
        </w:numPr>
        <w:spacing w:line="500" w:lineRule="exact"/>
        <w:ind w:firstLine="422"/>
        <w:rPr>
          <w:rFonts w:hint="eastAsia" w:ascii="宋体" w:hAnsi="宋体" w:eastAsia="宋体" w:cs="宋体"/>
          <w:b/>
          <w:spacing w:val="-12"/>
          <w:kern w:val="0"/>
          <w:sz w:val="21"/>
          <w:szCs w:val="21"/>
          <w:highlight w:val="none"/>
        </w:rPr>
      </w:pPr>
      <w:r>
        <w:rPr>
          <w:rFonts w:hint="eastAsia" w:ascii="宋体" w:hAnsi="宋体" w:cs="宋体"/>
          <w:b/>
          <w:kern w:val="0"/>
          <w:sz w:val="21"/>
          <w:szCs w:val="21"/>
          <w:highlight w:val="none"/>
          <w:lang w:val="en-US" w:eastAsia="zh-CN"/>
        </w:rPr>
        <w:t>2.</w:t>
      </w:r>
      <w:bookmarkStart w:id="241" w:name="OLE_LINK18"/>
      <w:r>
        <w:rPr>
          <w:rFonts w:hint="eastAsia" w:ascii="宋体" w:hAnsi="宋体" w:eastAsia="宋体" w:cs="宋体"/>
          <w:b/>
          <w:kern w:val="0"/>
          <w:sz w:val="21"/>
          <w:szCs w:val="21"/>
          <w:highlight w:val="none"/>
        </w:rPr>
        <w:t>商务分</w:t>
      </w:r>
      <w:r>
        <w:rPr>
          <w:rFonts w:hint="eastAsia" w:ascii="宋体" w:hAnsi="宋体" w:eastAsia="宋体" w:cs="宋体"/>
          <w:b/>
          <w:spacing w:val="-12"/>
          <w:kern w:val="0"/>
          <w:sz w:val="21"/>
          <w:szCs w:val="21"/>
          <w:highlight w:val="none"/>
        </w:rPr>
        <w:t>（</w:t>
      </w:r>
      <w:r>
        <w:rPr>
          <w:rFonts w:hint="eastAsia" w:ascii="宋体" w:hAnsi="宋体" w:cs="宋体"/>
          <w:b/>
          <w:spacing w:val="-12"/>
          <w:kern w:val="0"/>
          <w:sz w:val="21"/>
          <w:szCs w:val="21"/>
          <w:highlight w:val="none"/>
          <w:lang w:val="en-US" w:eastAsia="zh-CN"/>
        </w:rPr>
        <w:t>3</w:t>
      </w:r>
      <w:r>
        <w:rPr>
          <w:rFonts w:hint="eastAsia" w:ascii="宋体" w:hAnsi="宋体" w:eastAsia="宋体" w:cs="宋体"/>
          <w:b/>
          <w:spacing w:val="-12"/>
          <w:kern w:val="0"/>
          <w:sz w:val="21"/>
          <w:szCs w:val="21"/>
          <w:highlight w:val="none"/>
        </w:rPr>
        <w:t>分）</w:t>
      </w:r>
      <w:bookmarkEnd w:id="241"/>
    </w:p>
    <w:p>
      <w:pPr>
        <w:widowControl/>
        <w:spacing w:beforeLines="0" w:afterLines="0" w:line="500" w:lineRule="exact"/>
        <w:ind w:firstLine="422"/>
        <w:jc w:val="left"/>
        <w:outlineLvl w:val="1"/>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2.1.投标人或所投理、化、生实验室生产厂家符合CCS2900-2015标准的教学仪器设备检验检疫标准化安全管理认证证书得1分。（注：提供相关证书复印件并加盖生产厂家公章，提供不齐全或不提供不得分）</w:t>
      </w:r>
    </w:p>
    <w:p>
      <w:pPr>
        <w:widowControl/>
        <w:spacing w:beforeLines="0" w:afterLines="0" w:line="500" w:lineRule="exact"/>
        <w:ind w:firstLine="422"/>
        <w:jc w:val="left"/>
        <w:outlineLvl w:val="1"/>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2.2.投标人或所投理、化、生实验室生产厂家符合CCS2900-2015标准的教育装备行业校用产品使用安全管理认证证书得1分。（注：提供相关证书复印件并加盖生产厂家公章，提供不齐全或不提供不得分）</w:t>
      </w:r>
    </w:p>
    <w:p>
      <w:pPr>
        <w:widowControl/>
        <w:spacing w:beforeLines="0" w:afterLines="0" w:line="500" w:lineRule="exact"/>
        <w:ind w:firstLine="422"/>
        <w:jc w:val="left"/>
        <w:outlineLvl w:val="1"/>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2.3.投标人或所投理、化、生实验室生产厂家符合CCS2900-2015标准的学校标准化建设安全管理认证证书得1分。（注：提供相关证书复印件并加盖生产厂家公章，提供不齐全或不提供不得分）</w:t>
      </w:r>
    </w:p>
    <w:p>
      <w:pPr>
        <w:widowControl/>
        <w:spacing w:beforeLines="0" w:afterLines="0" w:line="500" w:lineRule="exact"/>
        <w:ind w:firstLine="422"/>
        <w:jc w:val="left"/>
        <w:outlineLvl w:val="1"/>
        <w:rPr>
          <w:rFonts w:hint="eastAsia"/>
          <w:highlight w:val="none"/>
        </w:rPr>
      </w:pPr>
      <w:r>
        <w:rPr>
          <w:rFonts w:hint="eastAsia" w:ascii="宋体" w:hAnsi="宋体" w:cs="宋体"/>
          <w:b/>
          <w:kern w:val="0"/>
          <w:sz w:val="21"/>
          <w:szCs w:val="21"/>
          <w:highlight w:val="none"/>
          <w:lang w:val="en-US" w:eastAsia="zh-CN" w:bidi="ar"/>
        </w:rPr>
        <w:t>3</w:t>
      </w:r>
      <w:r>
        <w:rPr>
          <w:rFonts w:hint="default" w:ascii="宋体" w:hAnsi="宋体" w:cs="宋体"/>
          <w:b/>
          <w:kern w:val="0"/>
          <w:sz w:val="21"/>
          <w:szCs w:val="21"/>
          <w:highlight w:val="none"/>
          <w:lang w:bidi="ar"/>
        </w:rPr>
        <w:t>.政策功能分（2分）</w:t>
      </w:r>
    </w:p>
    <w:p>
      <w:pPr>
        <w:pStyle w:val="19"/>
        <w:spacing w:line="360" w:lineRule="auto"/>
        <w:rPr>
          <w:rFonts w:hint="eastAsia" w:ascii="宋体" w:hAnsi="宋体" w:eastAsia="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3.1.</w:t>
      </w:r>
      <w:r>
        <w:rPr>
          <w:rFonts w:hint="eastAsia" w:ascii="宋体" w:hAnsi="宋体" w:eastAsia="宋体" w:cs="Times New Roman"/>
          <w:color w:val="000000"/>
          <w:kern w:val="2"/>
          <w:sz w:val="21"/>
          <w:szCs w:val="21"/>
          <w:highlight w:val="none"/>
          <w:lang w:val="en-US" w:eastAsia="zh-CN" w:bidi="ar-SA"/>
        </w:rPr>
        <w:t>投标产品中</w:t>
      </w:r>
      <w:r>
        <w:rPr>
          <w:rFonts w:hint="eastAsia" w:ascii="宋体" w:hAnsi="宋体" w:cs="Times New Roman"/>
          <w:color w:val="000000"/>
          <w:kern w:val="2"/>
          <w:sz w:val="21"/>
          <w:szCs w:val="21"/>
          <w:highlight w:val="none"/>
          <w:lang w:val="en-US" w:eastAsia="zh-CN" w:bidi="ar-SA"/>
        </w:rPr>
        <w:t>除强制节能产品外</w:t>
      </w:r>
      <w:r>
        <w:rPr>
          <w:rFonts w:hint="eastAsia" w:ascii="宋体" w:hAnsi="宋体" w:eastAsia="宋体" w:cs="Times New Roman"/>
          <w:color w:val="000000"/>
          <w:kern w:val="2"/>
          <w:sz w:val="21"/>
          <w:szCs w:val="21"/>
          <w:highlight w:val="none"/>
          <w:lang w:val="en-US" w:eastAsia="zh-CN" w:bidi="ar-SA"/>
        </w:rPr>
        <w:t>，至少有一样产品纳入财政部 国家发展改革委《关于印发环境标志产品政府采购品目清单的通知》（财库[2019]18号）中环境标志产品政府采购清单的，并须依据《市场监管总局关于发布参与实施政府采购节能产品、环境标志产品认证机构名录的公告》，提供所投相应型号产品有效的认证证书复印件得</w:t>
      </w:r>
      <w:r>
        <w:rPr>
          <w:rFonts w:hint="eastAsia" w:ascii="宋体" w:hAnsi="宋体" w:cs="Times New Roman"/>
          <w:color w:val="000000"/>
          <w:kern w:val="2"/>
          <w:sz w:val="21"/>
          <w:szCs w:val="21"/>
          <w:highlight w:val="none"/>
          <w:lang w:val="en-US" w:eastAsia="zh-CN" w:bidi="ar-SA"/>
        </w:rPr>
        <w:t>1</w:t>
      </w:r>
      <w:r>
        <w:rPr>
          <w:rFonts w:hint="eastAsia" w:ascii="宋体" w:hAnsi="宋体" w:eastAsia="宋体" w:cs="Times New Roman"/>
          <w:color w:val="000000"/>
          <w:kern w:val="2"/>
          <w:sz w:val="21"/>
          <w:szCs w:val="21"/>
          <w:highlight w:val="none"/>
          <w:lang w:val="en-US" w:eastAsia="zh-CN" w:bidi="ar-SA"/>
        </w:rPr>
        <w:t>分。</w:t>
      </w:r>
    </w:p>
    <w:p>
      <w:pPr>
        <w:spacing w:beforeLines="0" w:afterLines="0" w:line="360" w:lineRule="auto"/>
        <w:ind w:firstLine="421" w:firstLineChars="0"/>
        <w:rPr>
          <w:rFonts w:hint="eastAsia" w:ascii="宋体" w:hAnsi="宋体" w:eastAsia="宋体" w:cs="宋体"/>
          <w:color w:val="auto"/>
          <w:kern w:val="0"/>
          <w:sz w:val="21"/>
          <w:szCs w:val="21"/>
          <w:highlight w:val="none"/>
          <w:lang w:bidi="ar"/>
        </w:rPr>
      </w:pPr>
      <w:bookmarkStart w:id="242" w:name="OLE_LINK19"/>
      <w:r>
        <w:rPr>
          <w:rFonts w:hint="eastAsia" w:ascii="宋体" w:hAnsi="宋体" w:cs="宋体"/>
          <w:color w:val="auto"/>
          <w:kern w:val="0"/>
          <w:sz w:val="21"/>
          <w:szCs w:val="21"/>
          <w:highlight w:val="none"/>
          <w:lang w:val="en-US" w:eastAsia="zh-CN" w:bidi="ar"/>
        </w:rPr>
        <w:t>3.2</w:t>
      </w:r>
      <w:r>
        <w:rPr>
          <w:rFonts w:hint="eastAsia" w:ascii="宋体" w:hAnsi="宋体" w:eastAsia="宋体" w:cs="Times New Roman"/>
          <w:color w:val="000000"/>
          <w:kern w:val="2"/>
          <w:sz w:val="21"/>
          <w:szCs w:val="21"/>
          <w:highlight w:val="none"/>
          <w:lang w:val="en-US" w:eastAsia="zh-CN" w:bidi="ar-SA"/>
        </w:rPr>
        <w:t>投标产品中</w:t>
      </w:r>
      <w:r>
        <w:rPr>
          <w:rFonts w:hint="eastAsia" w:ascii="宋体" w:hAnsi="宋体" w:cs="Times New Roman"/>
          <w:color w:val="000000"/>
          <w:kern w:val="2"/>
          <w:sz w:val="21"/>
          <w:szCs w:val="21"/>
          <w:highlight w:val="none"/>
          <w:lang w:val="en-US" w:eastAsia="zh-CN" w:bidi="ar-SA"/>
        </w:rPr>
        <w:t>除强制节能产品外</w:t>
      </w:r>
      <w:r>
        <w:rPr>
          <w:rFonts w:hint="eastAsia" w:ascii="宋体" w:hAnsi="宋体" w:eastAsia="宋体" w:cs="Times New Roman"/>
          <w:color w:val="000000"/>
          <w:kern w:val="2"/>
          <w:sz w:val="21"/>
          <w:szCs w:val="21"/>
          <w:highlight w:val="none"/>
          <w:lang w:val="en-US" w:eastAsia="zh-CN" w:bidi="ar-SA"/>
        </w:rPr>
        <w:t>，至少有一样产品纳入</w:t>
      </w:r>
      <w:r>
        <w:rPr>
          <w:rFonts w:hint="eastAsia" w:ascii="宋体" w:hAnsi="宋体" w:eastAsia="宋体" w:cs="宋体"/>
          <w:color w:val="auto"/>
          <w:kern w:val="0"/>
          <w:sz w:val="21"/>
          <w:szCs w:val="21"/>
          <w:highlight w:val="none"/>
          <w:lang w:bidi="ar"/>
        </w:rPr>
        <w:t>财政部国家发展改革委《关于印发节能产品政府采购品目清单的通知》（财库[2019]19号）中节能产品政府采购清单的（适用于非强制采购节能产品，单一分项报价或项号数占三分之一及以上，并须依据《市场监管总局关于发布参与实施政府采购节能产品、环境标志产品认证机构名录的公告》，提供所投相应型号产品有效的认证证书复印件）得1分。</w:t>
      </w:r>
      <w:bookmarkEnd w:id="242"/>
    </w:p>
    <w:p>
      <w:pPr>
        <w:spacing w:beforeLines="0" w:afterLines="0" w:line="500" w:lineRule="exact"/>
        <w:ind w:firstLine="0" w:firstLineChars="0"/>
        <w:rPr>
          <w:rFonts w:hint="eastAsia" w:ascii="宋体" w:hAnsi="宋体" w:eastAsia="宋体"/>
          <w:b/>
          <w:sz w:val="21"/>
          <w:szCs w:val="24"/>
          <w:highlight w:val="none"/>
        </w:rPr>
      </w:pPr>
      <w:r>
        <w:rPr>
          <w:rFonts w:hint="eastAsia" w:ascii="宋体" w:hAnsi="宋体" w:eastAsia="宋体"/>
          <w:b/>
          <w:sz w:val="21"/>
          <w:szCs w:val="24"/>
          <w:highlight w:val="none"/>
        </w:rPr>
        <w:t>三、总得分=价格分+技术商务资信分</w:t>
      </w:r>
    </w:p>
    <w:p>
      <w:pPr>
        <w:spacing w:beforeLines="0" w:afterLines="0" w:line="500" w:lineRule="exact"/>
        <w:ind w:firstLine="0" w:firstLineChars="0"/>
        <w:rPr>
          <w:rFonts w:hint="eastAsia" w:ascii="宋体" w:hAnsi="宋体" w:eastAsia="宋体"/>
          <w:b/>
          <w:sz w:val="21"/>
          <w:szCs w:val="24"/>
          <w:highlight w:val="none"/>
        </w:rPr>
      </w:pPr>
      <w:r>
        <w:rPr>
          <w:rFonts w:hint="eastAsia" w:ascii="宋体" w:hAnsi="宋体" w:eastAsia="宋体"/>
          <w:b/>
          <w:sz w:val="21"/>
          <w:szCs w:val="24"/>
          <w:highlight w:val="none"/>
        </w:rPr>
        <w:t>四、中标候选人推荐原则</w:t>
      </w:r>
    </w:p>
    <w:p>
      <w:pPr>
        <w:spacing w:beforeLines="0" w:afterLines="0"/>
        <w:ind w:firstLine="420"/>
        <w:rPr>
          <w:rFonts w:hint="eastAsia"/>
          <w:sz w:val="21"/>
          <w:szCs w:val="24"/>
          <w:highlight w:val="none"/>
        </w:rPr>
      </w:pPr>
      <w:r>
        <w:rPr>
          <w:rFonts w:hint="eastAsia" w:ascii="宋体" w:hAnsi="宋体" w:eastAsia="宋体"/>
          <w:sz w:val="21"/>
          <w:szCs w:val="24"/>
          <w:highlight w:val="none"/>
        </w:rPr>
        <w:tab/>
      </w:r>
      <w:r>
        <w:rPr>
          <w:rFonts w:hint="eastAsia" w:ascii="宋体" w:hAnsi="宋体" w:eastAsia="宋体"/>
          <w:sz w:val="21"/>
          <w:szCs w:val="24"/>
          <w:highlight w:val="none"/>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20"/>
        <w:rPr>
          <w:highlight w:val="none"/>
        </w:rPr>
      </w:pPr>
      <w:r>
        <w:rPr>
          <w:highlight w:val="none"/>
        </w:rPr>
        <w:br w:type="page"/>
      </w:r>
    </w:p>
    <w:p>
      <w:pPr>
        <w:pStyle w:val="61"/>
        <w:ind w:firstLine="420"/>
        <w:rPr>
          <w:highlight w:val="none"/>
        </w:rPr>
      </w:pPr>
    </w:p>
    <w:p>
      <w:pPr>
        <w:pStyle w:val="61"/>
        <w:ind w:firstLine="42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pStyle w:val="46"/>
        <w:ind w:left="0" w:leftChars="0" w:right="0" w:rightChars="0" w:firstLine="0" w:firstLineChars="0"/>
        <w:jc w:val="center"/>
        <w:rPr>
          <w:highlight w:val="none"/>
        </w:rPr>
      </w:pPr>
      <w:bookmarkStart w:id="243" w:name="_Toc91512287"/>
      <w:r>
        <w:rPr>
          <w:rFonts w:hint="eastAsia"/>
          <w:highlight w:val="none"/>
        </w:rPr>
        <w:t xml:space="preserve">第五章 </w:t>
      </w:r>
      <w:r>
        <w:rPr>
          <w:highlight w:val="none"/>
        </w:rPr>
        <w:t xml:space="preserve"> </w:t>
      </w:r>
      <w:r>
        <w:rPr>
          <w:rFonts w:hint="eastAsia"/>
          <w:highlight w:val="none"/>
        </w:rPr>
        <w:t>政府采购合同主要条款</w:t>
      </w:r>
      <w:bookmarkEnd w:id="243"/>
    </w:p>
    <w:p>
      <w:pPr>
        <w:ind w:firstLine="480"/>
        <w:jc w:val="center"/>
        <w:rPr>
          <w:sz w:val="24"/>
          <w:highlight w:val="none"/>
        </w:rPr>
      </w:pPr>
      <w:bookmarkStart w:id="244" w:name="_Toc389638324"/>
      <w:r>
        <w:rPr>
          <w:rFonts w:hint="eastAsia"/>
          <w:sz w:val="24"/>
          <w:highlight w:val="none"/>
        </w:rPr>
        <w:t>（拟签订文本）</w:t>
      </w:r>
      <w:bookmarkEnd w:id="244"/>
    </w:p>
    <w:p>
      <w:pPr>
        <w:pStyle w:val="27"/>
        <w:ind w:firstLine="0" w:firstLineChars="0"/>
        <w:jc w:val="left"/>
        <w:rPr>
          <w:highlight w:val="none"/>
        </w:rPr>
      </w:pPr>
      <w:r>
        <w:rPr>
          <w:highlight w:val="none"/>
        </w:rPr>
        <w:br w:type="page"/>
      </w:r>
    </w:p>
    <w:p>
      <w:pPr>
        <w:spacing w:line="600" w:lineRule="exact"/>
        <w:ind w:firstLine="420"/>
        <w:jc w:val="center"/>
        <w:rPr>
          <w:highlight w:val="none"/>
        </w:rPr>
      </w:pPr>
    </w:p>
    <w:p>
      <w:pPr>
        <w:spacing w:line="600" w:lineRule="exact"/>
        <w:ind w:firstLine="884"/>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u w:val="single"/>
        </w:rPr>
        <w:t xml:space="preserve">           </w:t>
      </w:r>
      <w:r>
        <w:rPr>
          <w:rFonts w:hint="eastAsia" w:ascii="宋体" w:hAnsi="宋体" w:cs="宋体"/>
          <w:b/>
          <w:bCs/>
          <w:spacing w:val="-20"/>
          <w:kern w:val="44"/>
          <w:sz w:val="48"/>
          <w:szCs w:val="48"/>
          <w:highlight w:val="none"/>
        </w:rPr>
        <w:t>政府采购货物买卖合同</w:t>
      </w: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ind w:firstLine="420"/>
        <w:rPr>
          <w:highlight w:val="none"/>
        </w:rPr>
      </w:pPr>
    </w:p>
    <w:p>
      <w:pPr>
        <w:spacing w:line="360" w:lineRule="auto"/>
        <w:ind w:left="420" w:leftChars="200" w:firstLine="1600" w:firstLineChars="5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pPr>
        <w:spacing w:line="360" w:lineRule="auto"/>
        <w:ind w:left="420" w:leftChars="200" w:firstLine="1600" w:firstLineChars="5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pPr>
        <w:spacing w:line="360" w:lineRule="auto"/>
        <w:ind w:left="420" w:leftChars="200" w:firstLine="1600" w:firstLineChars="5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pPr>
        <w:spacing w:line="360" w:lineRule="auto"/>
        <w:ind w:left="420" w:leftChars="200" w:firstLine="1600" w:firstLineChars="5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pPr>
        <w:spacing w:line="360" w:lineRule="auto"/>
        <w:ind w:left="420" w:leftChars="200" w:firstLine="1600" w:firstLineChars="5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pPr>
        <w:ind w:firstLine="420"/>
        <w:rPr>
          <w:highlight w:val="none"/>
        </w:rPr>
      </w:pPr>
    </w:p>
    <w:p>
      <w:pPr>
        <w:ind w:firstLine="880"/>
        <w:rPr>
          <w:highlight w:val="none"/>
        </w:rPr>
      </w:pPr>
      <w:r>
        <w:rPr>
          <w:rFonts w:eastAsia="黑体"/>
          <w:sz w:val="44"/>
          <w:szCs w:val="44"/>
          <w:highlight w:val="none"/>
        </w:rPr>
        <w:br w:type="page"/>
      </w:r>
    </w:p>
    <w:p>
      <w:pPr>
        <w:spacing w:line="460" w:lineRule="exact"/>
        <w:ind w:firstLine="880"/>
        <w:jc w:val="center"/>
        <w:rPr>
          <w:rFonts w:eastAsia="黑体"/>
          <w:sz w:val="44"/>
          <w:szCs w:val="44"/>
          <w:highlight w:val="none"/>
        </w:rPr>
      </w:pPr>
      <w:r>
        <w:rPr>
          <w:rFonts w:hint="eastAsia" w:eastAsia="黑体"/>
          <w:sz w:val="44"/>
          <w:szCs w:val="44"/>
          <w:highlight w:val="none"/>
        </w:rPr>
        <w:t>使 用 说 明</w:t>
      </w:r>
    </w:p>
    <w:p>
      <w:pPr>
        <w:ind w:firstLine="420"/>
        <w:rPr>
          <w:highlight w:val="none"/>
        </w:rPr>
      </w:pPr>
    </w:p>
    <w:p>
      <w:pPr>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1.本合同标准文本适用于购买现成货物的采购项目，不包括需要供应商定制开发、创新研发的货物采购项目。</w:t>
      </w:r>
    </w:p>
    <w:p>
      <w:pPr>
        <w:ind w:firstLine="560"/>
        <w:rPr>
          <w:rFonts w:eastAsia="黑体"/>
          <w:sz w:val="28"/>
          <w:szCs w:val="28"/>
          <w:highlight w:val="none"/>
        </w:rPr>
      </w:pPr>
      <w:r>
        <w:rPr>
          <w:rFonts w:hint="eastAsia" w:ascii="仿宋_GB2312" w:hAnsi="仿宋_GB2312" w:eastAsia="仿宋_GB2312" w:cs="仿宋_GB2312"/>
          <w:sz w:val="28"/>
          <w:szCs w:val="28"/>
          <w:highlight w:val="none"/>
        </w:rPr>
        <w:t>2.本合同标准文本为政府采购货物买卖合同编制提供参考，可以结合采购项目具体情况，对文本作必要的调整修订后使用。</w:t>
      </w:r>
    </w:p>
    <w:p>
      <w:pPr>
        <w:ind w:firstLine="56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3.本合同标准文本各条款中，如涉及填写多家供应商、制造商，多种采购标的、分包主要内容等信息的，可根据采购项目具体情况添加信息项。</w:t>
      </w:r>
    </w:p>
    <w:p>
      <w:pPr>
        <w:ind w:firstLine="0" w:firstLineChars="0"/>
        <w:rPr>
          <w:rFonts w:hint="eastAsia" w:ascii="仿宋_GB2312" w:hAnsi="仿宋_GB2312" w:eastAsia="仿宋_GB2312" w:cs="仿宋_GB2312"/>
          <w:sz w:val="28"/>
          <w:szCs w:val="28"/>
          <w:highlight w:val="none"/>
        </w:rPr>
      </w:pPr>
      <w:bookmarkStart w:id="245" w:name="_Toc22209"/>
    </w:p>
    <w:p>
      <w:pPr>
        <w:keepNext/>
        <w:keepLines/>
        <w:adjustRightInd w:val="0"/>
        <w:snapToGrid w:val="0"/>
        <w:ind w:firstLine="560"/>
        <w:jc w:val="center"/>
        <w:outlineLvl w:val="1"/>
        <w:rPr>
          <w:rFonts w:hint="eastAsia" w:ascii="黑体" w:hAnsi="华文中宋" w:eastAsia="黑体"/>
          <w:sz w:val="28"/>
          <w:szCs w:val="28"/>
          <w:highlight w:val="none"/>
        </w:rPr>
      </w:pPr>
      <w:r>
        <w:rPr>
          <w:rFonts w:hint="eastAsia" w:ascii="黑体" w:hAnsi="黑体" w:eastAsia="黑体"/>
          <w:sz w:val="28"/>
          <w:szCs w:val="28"/>
          <w:highlight w:val="none"/>
        </w:rPr>
        <w:t xml:space="preserve">第一节 </w:t>
      </w:r>
      <w:r>
        <w:rPr>
          <w:rFonts w:hint="eastAsia" w:ascii="黑体" w:hAnsi="华文中宋" w:eastAsia="黑体"/>
          <w:sz w:val="28"/>
          <w:szCs w:val="28"/>
          <w:highlight w:val="none"/>
        </w:rPr>
        <w:t>政府采购合同协议书</w:t>
      </w:r>
      <w:bookmarkEnd w:id="245"/>
    </w:p>
    <w:p>
      <w:pPr>
        <w:keepNext/>
        <w:keepLines/>
        <w:adjustRightInd w:val="0"/>
        <w:snapToGrid w:val="0"/>
        <w:ind w:firstLine="560"/>
        <w:jc w:val="center"/>
        <w:outlineLvl w:val="1"/>
        <w:rPr>
          <w:rFonts w:hint="eastAsia" w:ascii="黑体" w:hAnsi="华文中宋" w:eastAsia="黑体"/>
          <w:sz w:val="28"/>
          <w:szCs w:val="28"/>
          <w:highlight w:val="none"/>
        </w:rPr>
      </w:pP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 xml:space="preserve">（采购人、受采购人委托签订合同的单位或采购文件约定的合同甲方） </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乙方1（全称）：</w:t>
      </w:r>
      <w:r>
        <w:rPr>
          <w:rFonts w:hint="eastAsia" w:ascii="宋体" w:hAnsi="宋体"/>
          <w:szCs w:val="21"/>
          <w:highlight w:val="none"/>
          <w:u w:val="single"/>
        </w:rPr>
        <w:t xml:space="preserve">                </w:t>
      </w:r>
      <w:r>
        <w:rPr>
          <w:rFonts w:hint="eastAsia" w:ascii="宋体" w:hAnsi="宋体"/>
          <w:szCs w:val="21"/>
          <w:highlight w:val="none"/>
        </w:rPr>
        <w:t>（供应商）</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乙方2（全称）：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pPr>
        <w:adjustRightInd w:val="0"/>
        <w:snapToGrid w:val="0"/>
        <w:spacing w:line="420" w:lineRule="exact"/>
        <w:ind w:firstLine="420"/>
        <w:rPr>
          <w:rFonts w:hint="eastAsia" w:ascii="宋体" w:hAnsi="宋体"/>
          <w:szCs w:val="21"/>
          <w:highlight w:val="none"/>
        </w:rPr>
      </w:pPr>
      <w:r>
        <w:rPr>
          <w:rFonts w:hint="eastAsia"/>
          <w:highlight w:val="none"/>
        </w:rPr>
        <w:t>乙方</w:t>
      </w:r>
      <w:r>
        <w:rPr>
          <w:rFonts w:hint="eastAsia" w:ascii="宋体" w:hAnsi="宋体"/>
          <w:szCs w:val="21"/>
          <w:highlight w:val="none"/>
        </w:rPr>
        <w:t>3</w:t>
      </w:r>
      <w:r>
        <w:rPr>
          <w:rFonts w:hint="eastAsia"/>
          <w:highlight w:val="none"/>
        </w:rPr>
        <w:t>（全称）</w:t>
      </w:r>
      <w:r>
        <w:rPr>
          <w:rFonts w:hint="eastAsia" w:ascii="宋体" w:hAnsi="宋体"/>
          <w:szCs w:val="21"/>
          <w:highlight w:val="none"/>
          <w:u w:val="single"/>
        </w:rPr>
        <w:t xml:space="preserve">                 </w:t>
      </w:r>
      <w:r>
        <w:rPr>
          <w:rFonts w:hint="eastAsia" w:ascii="宋体" w:hAnsi="宋体"/>
          <w:szCs w:val="21"/>
          <w:highlight w:val="none"/>
        </w:rPr>
        <w:t>（联合体成员供应商或其他合同主体）（如有）</w:t>
      </w:r>
    </w:p>
    <w:p>
      <w:pPr>
        <w:spacing w:line="420" w:lineRule="exact"/>
        <w:ind w:firstLine="420"/>
        <w:rPr>
          <w:highlight w:val="none"/>
        </w:rPr>
      </w:pP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12"/>
        </w:numPr>
        <w:adjustRightInd w:val="0"/>
        <w:snapToGrid w:val="0"/>
        <w:spacing w:line="420" w:lineRule="exact"/>
        <w:ind w:firstLine="422"/>
        <w:rPr>
          <w:rFonts w:hint="eastAsia" w:ascii="宋体" w:hAnsi="宋体"/>
          <w:b/>
          <w:szCs w:val="21"/>
          <w:highlight w:val="none"/>
        </w:rPr>
      </w:pPr>
      <w:r>
        <w:rPr>
          <w:rFonts w:hint="eastAsia" w:ascii="宋体" w:hAnsi="宋体"/>
          <w:b/>
          <w:szCs w:val="21"/>
          <w:highlight w:val="none"/>
        </w:rPr>
        <w:t>项目信息</w:t>
      </w:r>
    </w:p>
    <w:p>
      <w:pPr>
        <w:adjustRightInd w:val="0"/>
        <w:snapToGrid w:val="0"/>
        <w:spacing w:line="420" w:lineRule="exact"/>
        <w:ind w:firstLine="210" w:firstLineChars="100"/>
        <w:rPr>
          <w:rFonts w:hint="eastAsia" w:ascii="宋体" w:hAnsi="宋体"/>
          <w:szCs w:val="21"/>
          <w:highlight w:val="none"/>
          <w:u w:val="single"/>
        </w:rPr>
      </w:pPr>
      <w:r>
        <w:rPr>
          <w:rFonts w:hint="eastAsia" w:ascii="宋体" w:hAnsi="宋体"/>
          <w:szCs w:val="21"/>
          <w:highlight w:val="none"/>
        </w:rPr>
        <w:t>（1）采购项目名称：</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pPr>
        <w:tabs>
          <w:tab w:val="left" w:pos="999"/>
        </w:tabs>
        <w:adjustRightInd w:val="0"/>
        <w:snapToGrid w:val="0"/>
        <w:spacing w:line="420" w:lineRule="exact"/>
        <w:ind w:firstLine="0" w:firstLineChars="0"/>
        <w:rPr>
          <w:rFonts w:hint="eastAsia" w:ascii="宋体" w:hAnsi="宋体"/>
          <w:szCs w:val="21"/>
          <w:highlight w:val="none"/>
        </w:rPr>
      </w:pPr>
      <w:r>
        <w:rPr>
          <w:rFonts w:hint="eastAsia" w:ascii="宋体" w:hAnsi="宋体"/>
          <w:szCs w:val="21"/>
          <w:highlight w:val="none"/>
        </w:rPr>
        <w:t xml:space="preserve">       采购项目编号：</w:t>
      </w:r>
      <w:r>
        <w:rPr>
          <w:rFonts w:ascii="宋体" w:hAnsi="宋体"/>
          <w:szCs w:val="21"/>
          <w:highlight w:val="none"/>
          <w:u w:val="single"/>
        </w:rPr>
        <w:t xml:space="preserve">                                          </w:t>
      </w:r>
    </w:p>
    <w:p>
      <w:pPr>
        <w:adjustRightInd w:val="0"/>
        <w:snapToGrid w:val="0"/>
        <w:spacing w:line="420" w:lineRule="exact"/>
        <w:ind w:firstLine="199" w:firstLineChars="95"/>
        <w:rPr>
          <w:rFonts w:hint="eastAsia"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pPr>
        <w:adjustRightInd w:val="0"/>
        <w:snapToGrid w:val="0"/>
        <w:spacing w:line="420" w:lineRule="exact"/>
        <w:ind w:firstLine="199" w:firstLineChars="95"/>
        <w:rPr>
          <w:rFonts w:hint="eastAsia" w:ascii="宋体" w:hAnsi="宋体"/>
          <w:szCs w:val="21"/>
          <w:highlight w:val="none"/>
        </w:rPr>
      </w:pPr>
      <w:r>
        <w:rPr>
          <w:rFonts w:hint="eastAsia" w:ascii="宋体" w:hAnsi="宋体"/>
          <w:szCs w:val="21"/>
          <w:highlight w:val="none"/>
        </w:rPr>
        <w:t>（3）项目内容：</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 xml:space="preserve">   采购标的及数量（台/套</w:t>
      </w:r>
      <w:r>
        <w:rPr>
          <w:rFonts w:ascii="宋体" w:hAnsi="宋体"/>
          <w:szCs w:val="21"/>
          <w:highlight w:val="none"/>
          <w:lang w:val="en"/>
        </w:rPr>
        <w:t>/</w:t>
      </w:r>
      <w:r>
        <w:rPr>
          <w:rFonts w:hint="eastAsia" w:ascii="宋体" w:hAnsi="宋体"/>
          <w:szCs w:val="21"/>
          <w:highlight w:val="none"/>
          <w:lang w:val="en"/>
        </w:rPr>
        <w:t>个</w:t>
      </w:r>
      <w:r>
        <w:rPr>
          <w:rFonts w:ascii="宋体" w:hAnsi="宋体"/>
          <w:szCs w:val="21"/>
          <w:highlight w:val="none"/>
          <w:lang w:val="en"/>
        </w:rPr>
        <w:t>/</w:t>
      </w:r>
      <w:r>
        <w:rPr>
          <w:rFonts w:hint="eastAsia" w:ascii="宋体" w:hAnsi="宋体"/>
          <w:szCs w:val="21"/>
          <w:highlight w:val="none"/>
          <w:lang w:val="en"/>
        </w:rPr>
        <w:t>架</w:t>
      </w:r>
      <w:r>
        <w:rPr>
          <w:rFonts w:ascii="宋体" w:hAnsi="宋体"/>
          <w:szCs w:val="21"/>
          <w:highlight w:val="none"/>
          <w:lang w:val="en"/>
        </w:rPr>
        <w:t>/</w:t>
      </w:r>
      <w:r>
        <w:rPr>
          <w:rFonts w:hint="eastAsia" w:ascii="宋体" w:hAnsi="宋体"/>
          <w:szCs w:val="21"/>
          <w:highlight w:val="none"/>
          <w:lang w:val="en"/>
        </w:rPr>
        <w:t>组等</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 xml:space="preserve"> </w:t>
      </w:r>
    </w:p>
    <w:p>
      <w:pPr>
        <w:adjustRightInd w:val="0"/>
        <w:snapToGrid w:val="0"/>
        <w:spacing w:line="420" w:lineRule="exact"/>
        <w:ind w:firstLine="420"/>
        <w:rPr>
          <w:rFonts w:hint="eastAsia" w:ascii="宋体" w:hAnsi="宋体" w:cs="宋体"/>
          <w:szCs w:val="21"/>
          <w:highlight w:val="none"/>
          <w:lang w:val="en"/>
        </w:rPr>
      </w:pPr>
      <w:r>
        <w:rPr>
          <w:rFonts w:hint="eastAsia" w:ascii="宋体" w:hAnsi="宋体"/>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lang w:val="en"/>
        </w:rPr>
        <w:t xml:space="preserve">     </w:t>
      </w:r>
      <w:r>
        <w:rPr>
          <w:rFonts w:hint="eastAsia" w:ascii="宋体" w:hAnsi="宋体" w:cs="宋体"/>
          <w:szCs w:val="21"/>
          <w:highlight w:val="none"/>
        </w:rPr>
        <w:t>规格型号：</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r>
        <w:rPr>
          <w:rFonts w:hint="eastAsia" w:ascii="宋体" w:hAnsi="宋体" w:cs="宋体"/>
          <w:szCs w:val="21"/>
          <w:highlight w:val="none"/>
          <w:u w:val="single"/>
        </w:rPr>
        <w:t xml:space="preserve">       </w:t>
      </w:r>
      <w:r>
        <w:rPr>
          <w:rFonts w:ascii="宋体" w:hAnsi="宋体" w:cs="宋体"/>
          <w:szCs w:val="21"/>
          <w:highlight w:val="none"/>
          <w:u w:val="single"/>
          <w:lang w:val="en"/>
        </w:rPr>
        <w:t xml:space="preserve">   </w:t>
      </w:r>
    </w:p>
    <w:p>
      <w:pPr>
        <w:adjustRightInd w:val="0"/>
        <w:snapToGrid w:val="0"/>
        <w:spacing w:line="420" w:lineRule="exact"/>
        <w:ind w:firstLine="735" w:firstLineChars="350"/>
        <w:rPr>
          <w:rFonts w:hint="eastAsia" w:ascii="宋体" w:hAnsi="宋体" w:cs="宋体"/>
          <w:szCs w:val="21"/>
          <w:highlight w:val="none"/>
          <w:lang w:val="en"/>
        </w:rPr>
      </w:pPr>
      <w:r>
        <w:rPr>
          <w:rFonts w:hint="eastAsia" w:ascii="宋体" w:hAnsi="宋体"/>
          <w:szCs w:val="21"/>
          <w:highlight w:val="none"/>
        </w:rPr>
        <w:t>采购标的的技术要求、商务要求具体见附件。</w:t>
      </w:r>
    </w:p>
    <w:p>
      <w:pPr>
        <w:adjustRightInd w:val="0"/>
        <w:snapToGrid w:val="0"/>
        <w:spacing w:line="420" w:lineRule="exact"/>
        <w:ind w:firstLine="735" w:firstLineChars="350"/>
        <w:rPr>
          <w:rFonts w:hint="eastAsia" w:ascii="宋体" w:hAnsi="宋体" w:cs="宋体"/>
          <w:szCs w:val="21"/>
          <w:highlight w:val="none"/>
        </w:rPr>
      </w:pPr>
      <w:r>
        <w:rPr>
          <w:rFonts w:hint="eastAsia" w:ascii="汉仪书宋二S" w:hAnsi="汉仪书宋二S" w:eastAsia="汉仪书宋二S" w:cs="汉仪书宋二S"/>
          <w:szCs w:val="21"/>
          <w:highlight w:val="none"/>
        </w:rPr>
        <w:t>①</w:t>
      </w:r>
      <w:r>
        <w:rPr>
          <w:rFonts w:hint="eastAsia" w:ascii="宋体" w:hAnsi="宋体" w:cs="宋体"/>
          <w:szCs w:val="21"/>
          <w:highlight w:val="none"/>
        </w:rPr>
        <w:t>涉及信息类产品，请填写该产品关键部件的品牌、型号：</w:t>
      </w:r>
    </w:p>
    <w:p>
      <w:pPr>
        <w:adjustRightInd w:val="0"/>
        <w:snapToGrid w:val="0"/>
        <w:spacing w:line="420" w:lineRule="exact"/>
        <w:ind w:firstLine="420"/>
        <w:rPr>
          <w:rFonts w:hint="eastAsia" w:ascii="宋体" w:hAnsi="宋体" w:cs="宋体"/>
          <w:kern w:val="0"/>
          <w:szCs w:val="21"/>
          <w:highlight w:val="none"/>
          <w:u w:val="single"/>
        </w:rPr>
      </w:pPr>
      <w:r>
        <w:rPr>
          <w:rFonts w:hint="eastAsia" w:ascii="宋体" w:hAnsi="宋体" w:cs="宋体"/>
          <w:szCs w:val="21"/>
          <w:highlight w:val="none"/>
        </w:rPr>
        <w:t xml:space="preserve">   标的名称：</w:t>
      </w:r>
      <w:r>
        <w:rPr>
          <w:rFonts w:hint="eastAsia" w:ascii="宋体" w:hAnsi="宋体" w:cs="宋体"/>
          <w:kern w:val="0"/>
          <w:szCs w:val="21"/>
          <w:highlight w:val="none"/>
          <w:u w:val="single"/>
        </w:rPr>
        <w:t xml:space="preserve">      </w:t>
      </w:r>
      <w:r>
        <w:rPr>
          <w:rFonts w:ascii="宋体" w:hAnsi="宋体" w:cs="宋体"/>
          <w:kern w:val="0"/>
          <w:szCs w:val="21"/>
          <w:highlight w:val="none"/>
          <w:u w:val="single"/>
          <w:lang w:val="en"/>
        </w:rPr>
        <w:t xml:space="preserve">               </w:t>
      </w:r>
      <w:r>
        <w:rPr>
          <w:rFonts w:hint="eastAsia" w:ascii="宋体" w:hAnsi="宋体" w:cs="宋体"/>
          <w:kern w:val="0"/>
          <w:szCs w:val="21"/>
          <w:highlight w:val="none"/>
          <w:u w:val="single"/>
        </w:rPr>
        <w:t xml:space="preserve">    </w:t>
      </w:r>
    </w:p>
    <w:p>
      <w:pPr>
        <w:adjustRightInd w:val="0"/>
        <w:snapToGrid w:val="0"/>
        <w:spacing w:line="420" w:lineRule="exact"/>
        <w:ind w:firstLine="420"/>
        <w:rPr>
          <w:rFonts w:hint="eastAsia" w:ascii="宋体" w:hAnsi="宋体" w:cs="宋体"/>
          <w:szCs w:val="21"/>
          <w:highlight w:val="none"/>
        </w:rPr>
      </w:pPr>
      <w:r>
        <w:rPr>
          <w:rFonts w:hint="eastAsia" w:ascii="宋体" w:hAnsi="宋体" w:cs="宋体"/>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w:t>
      </w:r>
      <w:r>
        <w:rPr>
          <w:rFonts w:hint="eastAsia" w:ascii="宋体" w:hAnsi="宋体" w:cs="宋体"/>
          <w:szCs w:val="21"/>
          <w:highlight w:val="none"/>
        </w:rPr>
        <w:t>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型号：</w:t>
      </w:r>
      <w:r>
        <w:rPr>
          <w:rFonts w:hint="eastAsia" w:ascii="宋体" w:hAnsi="宋体" w:cs="宋体"/>
          <w:szCs w:val="21"/>
          <w:highlight w:val="none"/>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关键部件</w:t>
      </w: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highlight w:val="none"/>
        </w:rPr>
      </w:pPr>
      <w:r>
        <w:rPr>
          <w:rFonts w:hint="eastAsia" w:ascii="宋体" w:hAnsi="宋体" w:cs="宋体"/>
          <w:kern w:val="0"/>
          <w:szCs w:val="21"/>
          <w:highlight w:val="none"/>
        </w:rPr>
        <w:t xml:space="preserve">   关键部件：</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品牌：</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型号：</w:t>
      </w:r>
      <w:r>
        <w:rPr>
          <w:rFonts w:hint="eastAsia" w:ascii="宋体" w:hAnsi="宋体" w:cs="宋体"/>
          <w:kern w:val="0"/>
          <w:szCs w:val="21"/>
          <w:highlight w:val="none"/>
          <w:u w:val="single"/>
        </w:rPr>
        <w:t xml:space="preserve">          </w:t>
      </w:r>
    </w:p>
    <w:p>
      <w:pPr>
        <w:widowControl/>
        <w:autoSpaceDE w:val="0"/>
        <w:autoSpaceDN w:val="0"/>
        <w:adjustRightInd w:val="0"/>
        <w:snapToGrid w:val="0"/>
        <w:spacing w:line="420" w:lineRule="exact"/>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widowControl/>
        <w:autoSpaceDE w:val="0"/>
        <w:autoSpaceDN w:val="0"/>
        <w:adjustRightInd w:val="0"/>
        <w:snapToGrid w:val="0"/>
        <w:spacing w:line="420" w:lineRule="exact"/>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汉仪书宋二S" w:hAnsi="汉仪书宋二S" w:eastAsia="汉仪书宋二S" w:cs="汉仪书宋二S"/>
          <w:kern w:val="0"/>
          <w:szCs w:val="21"/>
          <w:highlight w:val="none"/>
        </w:rPr>
        <w:t>②</w:t>
      </w:r>
      <w:r>
        <w:rPr>
          <w:rFonts w:hint="eastAsia" w:ascii="宋体" w:hAnsi="宋体" w:cs="宋体"/>
          <w:kern w:val="0"/>
          <w:szCs w:val="21"/>
          <w:highlight w:val="none"/>
        </w:rPr>
        <w:t>涉及车辆采购，请填写是否属于新能源汽车：</w:t>
      </w:r>
    </w:p>
    <w:p>
      <w:pPr>
        <w:widowControl/>
        <w:autoSpaceDE w:val="0"/>
        <w:autoSpaceDN w:val="0"/>
        <w:adjustRightInd w:val="0"/>
        <w:snapToGrid w:val="0"/>
        <w:spacing w:line="420" w:lineRule="exact"/>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是，《政府采购品目分类目录》底级品目名称：</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数量：</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 xml:space="preserve"> 金额：</w:t>
      </w:r>
      <w:r>
        <w:rPr>
          <w:rFonts w:hint="eastAsia" w:ascii="宋体" w:hAnsi="宋体" w:cs="宋体"/>
          <w:kern w:val="0"/>
          <w:szCs w:val="21"/>
          <w:highlight w:val="none"/>
          <w:u w:val="single"/>
        </w:rPr>
        <w:t xml:space="preserve">          </w:t>
      </w:r>
    </w:p>
    <w:p>
      <w:pPr>
        <w:widowControl/>
        <w:autoSpaceDE w:val="0"/>
        <w:autoSpaceDN w:val="0"/>
        <w:adjustRightInd w:val="0"/>
        <w:snapToGrid w:val="0"/>
        <w:spacing w:line="420" w:lineRule="exact"/>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否</w:t>
      </w:r>
    </w:p>
    <w:p>
      <w:pPr>
        <w:widowControl/>
        <w:autoSpaceDE w:val="0"/>
        <w:autoSpaceDN w:val="0"/>
        <w:adjustRightInd w:val="0"/>
        <w:snapToGrid w:val="0"/>
        <w:spacing w:line="420" w:lineRule="exact"/>
        <w:ind w:firstLine="0" w:firstLineChars="0"/>
        <w:jc w:val="left"/>
        <w:rPr>
          <w:rFonts w:hint="eastAsia" w:ascii="宋体" w:hAnsi="宋体" w:cs="宋体"/>
          <w:kern w:val="0"/>
          <w:szCs w:val="21"/>
          <w:highlight w:val="none"/>
        </w:rPr>
      </w:pPr>
      <w:r>
        <w:rPr>
          <w:rFonts w:hint="eastAsia" w:ascii="宋体" w:hAnsi="宋体" w:cs="宋体"/>
          <w:kern w:val="0"/>
          <w:szCs w:val="21"/>
          <w:highlight w:val="none"/>
        </w:rPr>
        <w:t xml:space="preserve">   （</w:t>
      </w:r>
      <w:r>
        <w:rPr>
          <w:rFonts w:ascii="宋体" w:hAnsi="宋体" w:cs="宋体"/>
          <w:kern w:val="0"/>
          <w:szCs w:val="21"/>
          <w:highlight w:val="none"/>
          <w:lang w:val="en"/>
        </w:rPr>
        <w:t>4</w:t>
      </w:r>
      <w:r>
        <w:rPr>
          <w:rFonts w:hint="eastAsia" w:ascii="宋体" w:hAnsi="宋体" w:cs="宋体"/>
          <w:kern w:val="0"/>
          <w:szCs w:val="21"/>
          <w:highlight w:val="none"/>
        </w:rPr>
        <w:t>）政府采购组织形式：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政府集中采购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部门集中采购  </w:t>
      </w:r>
      <w:r>
        <w:rPr>
          <w:rFonts w:hint="eastAsia" w:ascii="宋体" w:hAnsi="宋体" w:cs="宋体"/>
          <w:kern w:val="0"/>
          <w:szCs w:val="21"/>
          <w:highlight w:val="none"/>
        </w:rPr>
        <w:sym w:font="Wingdings" w:char="00A8"/>
      </w:r>
      <w:r>
        <w:rPr>
          <w:rFonts w:hint="eastAsia" w:ascii="宋体" w:hAnsi="宋体" w:cs="宋体"/>
          <w:kern w:val="0"/>
          <w:szCs w:val="21"/>
          <w:highlight w:val="none"/>
        </w:rPr>
        <w:t>分散采购</w:t>
      </w:r>
    </w:p>
    <w:p>
      <w:pPr>
        <w:widowControl/>
        <w:autoSpaceDE w:val="0"/>
        <w:autoSpaceDN w:val="0"/>
        <w:adjustRightInd w:val="0"/>
        <w:snapToGrid w:val="0"/>
        <w:spacing w:line="420" w:lineRule="exact"/>
        <w:ind w:firstLine="283" w:firstLineChars="135"/>
        <w:jc w:val="left"/>
        <w:rPr>
          <w:rFonts w:hint="eastAsia" w:ascii="宋体" w:hAnsi="宋体" w:cs="宋体"/>
          <w:kern w:val="0"/>
          <w:szCs w:val="21"/>
          <w:highlight w:val="none"/>
        </w:rPr>
      </w:pPr>
      <w:r>
        <w:rPr>
          <w:rFonts w:hint="eastAsia" w:ascii="宋体" w:hAnsi="宋体" w:cs="宋体"/>
          <w:kern w:val="0"/>
          <w:szCs w:val="21"/>
          <w:highlight w:val="none"/>
        </w:rPr>
        <w:t>（</w:t>
      </w:r>
      <w:r>
        <w:rPr>
          <w:rFonts w:ascii="宋体" w:hAnsi="宋体" w:cs="宋体"/>
          <w:kern w:val="0"/>
          <w:szCs w:val="21"/>
          <w:highlight w:val="none"/>
          <w:lang w:val="en"/>
        </w:rPr>
        <w:t>5</w:t>
      </w:r>
      <w:r>
        <w:rPr>
          <w:rFonts w:hint="eastAsia" w:ascii="宋体" w:hAnsi="宋体" w:cs="宋体"/>
          <w:kern w:val="0"/>
          <w:szCs w:val="21"/>
          <w:highlight w:val="none"/>
        </w:rPr>
        <w:t>）政府采购方式：</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公开招标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邀请招标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竞争性谈判 </w:t>
      </w:r>
      <w:r>
        <w:rPr>
          <w:rFonts w:hint="eastAsia" w:ascii="宋体" w:hAnsi="宋体" w:cs="宋体"/>
          <w:kern w:val="0"/>
          <w:szCs w:val="21"/>
          <w:highlight w:val="none"/>
        </w:rPr>
        <w:sym w:font="Wingdings" w:char="00A8"/>
      </w:r>
      <w:r>
        <w:rPr>
          <w:rFonts w:hint="eastAsia" w:ascii="宋体" w:hAnsi="宋体" w:cs="宋体"/>
          <w:kern w:val="0"/>
          <w:szCs w:val="21"/>
          <w:highlight w:val="none"/>
        </w:rPr>
        <w:t>竞争性磋商</w:t>
      </w:r>
    </w:p>
    <w:p>
      <w:pPr>
        <w:widowControl/>
        <w:autoSpaceDE w:val="0"/>
        <w:autoSpaceDN w:val="0"/>
        <w:adjustRightInd w:val="0"/>
        <w:snapToGrid w:val="0"/>
        <w:spacing w:line="420" w:lineRule="exact"/>
        <w:ind w:firstLine="420" w:firstLineChars="0"/>
        <w:jc w:val="left"/>
        <w:rPr>
          <w:rFonts w:hint="eastAsia" w:ascii="宋体" w:hAnsi="宋体" w:cs="宋体"/>
          <w:kern w:val="0"/>
          <w:szCs w:val="21"/>
          <w:highlight w:val="none"/>
          <w:u w:val="single"/>
        </w:rPr>
      </w:pPr>
      <w:r>
        <w:rPr>
          <w:rFonts w:hint="eastAsia" w:ascii="宋体" w:hAnsi="宋体" w:eastAsia="华文楷体" w:cs="宋体"/>
          <w:kern w:val="0"/>
          <w:sz w:val="22"/>
          <w:szCs w:val="21"/>
          <w:highlight w:val="none"/>
        </w:rPr>
        <w:t xml:space="preserve">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询价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单一来源 </w:t>
      </w:r>
      <w:r>
        <w:rPr>
          <w:rFonts w:hint="eastAsia" w:ascii="宋体" w:hAnsi="宋体" w:cs="宋体"/>
          <w:kern w:val="0"/>
          <w:szCs w:val="21"/>
          <w:highlight w:val="none"/>
        </w:rPr>
        <w:sym w:font="Wingdings" w:char="00A8"/>
      </w:r>
      <w:r>
        <w:rPr>
          <w:rFonts w:hint="eastAsia" w:ascii="宋体" w:hAnsi="宋体" w:cs="宋体"/>
          <w:kern w:val="0"/>
          <w:szCs w:val="21"/>
          <w:highlight w:val="none"/>
        </w:rPr>
        <w:t xml:space="preserve">框架协议 </w:t>
      </w:r>
      <w:r>
        <w:rPr>
          <w:rFonts w:hint="eastAsia" w:ascii="宋体" w:hAnsi="宋体" w:cs="宋体"/>
          <w:kern w:val="0"/>
          <w:szCs w:val="21"/>
          <w:highlight w:val="none"/>
        </w:rPr>
        <w:sym w:font="Wingdings" w:char="00A8"/>
      </w:r>
      <w:r>
        <w:rPr>
          <w:rFonts w:hint="eastAsia" w:ascii="宋体" w:hAnsi="宋体" w:cs="宋体"/>
          <w:kern w:val="0"/>
          <w:szCs w:val="21"/>
          <w:highlight w:val="none"/>
        </w:rPr>
        <w:t>其他：</w:t>
      </w:r>
      <w:r>
        <w:rPr>
          <w:rFonts w:hint="eastAsia" w:ascii="宋体" w:hAnsi="宋体" w:cs="宋体"/>
          <w:kern w:val="0"/>
          <w:szCs w:val="21"/>
          <w:highlight w:val="none"/>
          <w:u w:val="single"/>
        </w:rPr>
        <w:t xml:space="preserve">          </w:t>
      </w:r>
    </w:p>
    <w:p>
      <w:pPr>
        <w:widowControl/>
        <w:autoSpaceDE w:val="0"/>
        <w:autoSpaceDN w:val="0"/>
        <w:adjustRightInd w:val="0"/>
        <w:snapToGrid w:val="0"/>
        <w:spacing w:line="420" w:lineRule="exact"/>
        <w:ind w:firstLine="283" w:firstLineChars="135"/>
        <w:jc w:val="left"/>
        <w:rPr>
          <w:rFonts w:hint="eastAsia" w:ascii="宋体" w:hAnsi="宋体"/>
          <w:szCs w:val="21"/>
          <w:highlight w:val="none"/>
        </w:rPr>
      </w:pPr>
      <w:r>
        <w:rPr>
          <w:rFonts w:hint="eastAsia" w:ascii="宋体" w:hAnsi="宋体" w:cs="华文楷体"/>
          <w:kern w:val="0"/>
          <w:szCs w:val="21"/>
          <w:highlight w:val="none"/>
        </w:rPr>
        <w:t>（6）</w:t>
      </w:r>
      <w:r>
        <w:rPr>
          <w:rFonts w:hint="eastAsia" w:ascii="宋体" w:hAnsi="宋体"/>
          <w:szCs w:val="21"/>
          <w:highlight w:val="none"/>
        </w:rPr>
        <w:t>中标（成交）采购标的制造商是否为中小企业：</w:t>
      </w: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否</w:t>
      </w:r>
    </w:p>
    <w:p>
      <w:pPr>
        <w:adjustRightInd w:val="0"/>
        <w:snapToGrid w:val="0"/>
        <w:spacing w:line="420" w:lineRule="exact"/>
        <w:ind w:firstLine="0" w:firstLineChars="0"/>
        <w:rPr>
          <w:rFonts w:hint="eastAsia" w:ascii="宋体" w:hAnsi="宋体"/>
          <w:iCs/>
          <w:szCs w:val="21"/>
          <w:highlight w:val="none"/>
        </w:rPr>
      </w:pPr>
      <w:r>
        <w:rPr>
          <w:rFonts w:hint="eastAsia" w:ascii="宋体" w:hAnsi="宋体"/>
          <w:szCs w:val="21"/>
          <w:highlight w:val="none"/>
        </w:rPr>
        <w:t xml:space="preserve">        本合同是否为专门面向中小企业的采购合同（中小企业预留合同）：</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pPr>
        <w:adjustRightInd w:val="0"/>
        <w:snapToGrid w:val="0"/>
        <w:spacing w:line="420" w:lineRule="exact"/>
        <w:ind w:firstLine="0" w:firstLineChars="0"/>
        <w:rPr>
          <w:rFonts w:hint="eastAsia" w:ascii="宋体" w:hAnsi="宋体"/>
          <w:iCs/>
          <w:szCs w:val="21"/>
          <w:highlight w:val="none"/>
        </w:rPr>
      </w:pPr>
      <w:r>
        <w:rPr>
          <w:rFonts w:hint="eastAsia"/>
          <w:highlight w:val="none"/>
        </w:rPr>
        <w:t xml:space="preserve">        若本项目不专门面向中小企业采购，是否给予小微企业评审优惠：</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pPr>
        <w:adjustRightInd w:val="0"/>
        <w:snapToGrid w:val="0"/>
        <w:spacing w:line="420" w:lineRule="exact"/>
        <w:ind w:firstLine="0" w:firstLineChars="0"/>
        <w:rPr>
          <w:rFonts w:hint="eastAsia" w:ascii="宋体" w:hAnsi="宋体"/>
          <w:iCs/>
          <w:szCs w:val="21"/>
          <w:highlight w:val="none"/>
        </w:rPr>
      </w:pPr>
      <w:r>
        <w:rPr>
          <w:rFonts w:hint="eastAsia"/>
          <w:highlight w:val="none"/>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pPr>
        <w:snapToGrid w:val="0"/>
        <w:spacing w:line="420" w:lineRule="exact"/>
        <w:ind w:firstLine="420"/>
        <w:rPr>
          <w:highlight w:val="none"/>
        </w:rPr>
      </w:pPr>
      <w:r>
        <w:rPr>
          <w:rFonts w:hint="eastAsia"/>
          <w:highlight w:val="none"/>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pPr>
        <w:adjustRightInd w:val="0"/>
        <w:snapToGrid w:val="0"/>
        <w:spacing w:line="420" w:lineRule="exact"/>
        <w:ind w:firstLine="409" w:firstLineChars="195"/>
        <w:rPr>
          <w:rFonts w:hint="eastAsia" w:ascii="宋体" w:hAnsi="宋体"/>
          <w:szCs w:val="21"/>
          <w:highlight w:val="none"/>
        </w:rPr>
      </w:pPr>
      <w:r>
        <w:rPr>
          <w:rFonts w:hint="eastAsia" w:ascii="宋体" w:hAnsi="宋体"/>
          <w:szCs w:val="21"/>
          <w:highlight w:val="none"/>
        </w:rPr>
        <w:t>(</w:t>
      </w:r>
      <w:r>
        <w:rPr>
          <w:rFonts w:ascii="宋体" w:hAnsi="宋体"/>
          <w:szCs w:val="21"/>
          <w:highlight w:val="none"/>
          <w:lang w:val="en"/>
        </w:rPr>
        <w:t>7</w:t>
      </w:r>
      <w:r>
        <w:rPr>
          <w:rFonts w:ascii="宋体" w:hAnsi="宋体"/>
          <w:szCs w:val="21"/>
          <w:highlight w:val="none"/>
        </w:rPr>
        <w:t>）</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pPr>
        <w:adjustRightInd w:val="0"/>
        <w:snapToGrid w:val="0"/>
        <w:spacing w:line="420" w:lineRule="exact"/>
        <w:ind w:firstLine="840" w:firstLineChars="400"/>
        <w:rPr>
          <w:rFonts w:hint="eastAsia" w:ascii="宋体" w:hAnsi="宋体"/>
          <w:szCs w:val="21"/>
          <w:highlight w:val="none"/>
          <w:u w:val="single"/>
        </w:rPr>
      </w:pPr>
      <w:r>
        <w:rPr>
          <w:rFonts w:hint="eastAsia" w:ascii="宋体" w:hAnsi="宋体"/>
          <w:szCs w:val="21"/>
          <w:highlight w:val="none"/>
        </w:rPr>
        <w:t>分包主要内容：</w:t>
      </w:r>
      <w:r>
        <w:rPr>
          <w:rFonts w:hint="eastAsia" w:ascii="宋体" w:hAnsi="宋体"/>
          <w:szCs w:val="21"/>
          <w:highlight w:val="none"/>
          <w:u w:val="single"/>
        </w:rPr>
        <w:t xml:space="preserve">                                                         </w:t>
      </w:r>
    </w:p>
    <w:p>
      <w:pPr>
        <w:adjustRightInd w:val="0"/>
        <w:snapToGrid w:val="0"/>
        <w:spacing w:line="420" w:lineRule="exact"/>
        <w:ind w:firstLine="840" w:firstLineChars="400"/>
        <w:rPr>
          <w:rFonts w:hint="eastAsia" w:ascii="宋体" w:hAnsi="宋体"/>
          <w:szCs w:val="21"/>
          <w:highlight w:val="none"/>
        </w:rPr>
      </w:pPr>
      <w:r>
        <w:rPr>
          <w:rFonts w:hint="eastAsia" w:ascii="宋体" w:hAnsi="宋体"/>
          <w:szCs w:val="21"/>
          <w:highlight w:val="none"/>
        </w:rPr>
        <w:t>分包供应商/制造商名称（如供应商和制造商不同，请分别填写）：</w:t>
      </w:r>
    </w:p>
    <w:p>
      <w:pPr>
        <w:adjustRightInd w:val="0"/>
        <w:snapToGrid w:val="0"/>
        <w:spacing w:line="420" w:lineRule="exact"/>
        <w:ind w:firstLine="840" w:firstLineChars="400"/>
        <w:rPr>
          <w:rFonts w:hint="eastAsia" w:ascii="宋体" w:hAnsi="宋体"/>
          <w:szCs w:val="21"/>
          <w:highlight w:val="none"/>
          <w:u w:val="single"/>
        </w:rPr>
      </w:pPr>
      <w:r>
        <w:rPr>
          <w:rFonts w:hint="eastAsia" w:ascii="宋体" w:hAnsi="宋体"/>
          <w:szCs w:val="21"/>
          <w:highlight w:val="none"/>
        </w:rPr>
        <w:t xml:space="preserve"> </w:t>
      </w:r>
      <w:r>
        <w:rPr>
          <w:rFonts w:hint="eastAsia" w:ascii="宋体" w:hAnsi="宋体"/>
          <w:szCs w:val="21"/>
          <w:highlight w:val="none"/>
          <w:u w:val="single"/>
        </w:rPr>
        <w:t xml:space="preserve">                                                                       </w:t>
      </w:r>
    </w:p>
    <w:p>
      <w:pPr>
        <w:adjustRightInd w:val="0"/>
        <w:snapToGrid w:val="0"/>
        <w:spacing w:line="420" w:lineRule="exact"/>
        <w:ind w:firstLine="840" w:firstLineChars="400"/>
        <w:rPr>
          <w:rFonts w:hint="eastAsia" w:ascii="宋体" w:hAnsi="宋体"/>
          <w:szCs w:val="21"/>
          <w:highlight w:val="none"/>
        </w:rPr>
      </w:pPr>
      <w:r>
        <w:rPr>
          <w:rFonts w:hint="eastAsia" w:ascii="宋体" w:hAnsi="宋体"/>
          <w:szCs w:val="21"/>
          <w:highlight w:val="none"/>
        </w:rPr>
        <w:t>分包供应商/制造商类型（如果供应商和制造商不同，只填写制造商类型）：</w:t>
      </w:r>
    </w:p>
    <w:p>
      <w:pPr>
        <w:adjustRightInd w:val="0"/>
        <w:snapToGrid w:val="0"/>
        <w:spacing w:line="420" w:lineRule="exact"/>
        <w:ind w:firstLine="840" w:firstLineChars="400"/>
        <w:rPr>
          <w:rFonts w:hint="eastAsia" w:ascii="宋体" w:hAnsi="宋体"/>
          <w:iCs/>
          <w:szCs w:val="21"/>
          <w:highlight w:val="none"/>
        </w:rPr>
      </w:pPr>
      <w:r>
        <w:rPr>
          <w:rFonts w:hint="eastAsia" w:ascii="宋体" w:hAnsi="宋体"/>
          <w:iCs/>
          <w:szCs w:val="21"/>
          <w:highlight w:val="none"/>
        </w:rPr>
        <w:sym w:font="Wingdings" w:char="00A8"/>
      </w:r>
      <w:r>
        <w:rPr>
          <w:rFonts w:hint="eastAsia" w:ascii="宋体" w:hAnsi="宋体"/>
          <w:iCs/>
          <w:szCs w:val="21"/>
          <w:highlight w:val="none"/>
        </w:rPr>
        <w:t xml:space="preserve">大型企业  </w:t>
      </w:r>
      <w:r>
        <w:rPr>
          <w:rFonts w:hint="eastAsia" w:ascii="宋体" w:hAnsi="宋体"/>
          <w:iCs/>
          <w:szCs w:val="21"/>
          <w:highlight w:val="none"/>
        </w:rPr>
        <w:sym w:font="Wingdings" w:char="00A8"/>
      </w:r>
      <w:r>
        <w:rPr>
          <w:rFonts w:hint="eastAsia" w:ascii="宋体" w:hAnsi="宋体"/>
          <w:iCs/>
          <w:szCs w:val="21"/>
          <w:highlight w:val="none"/>
        </w:rPr>
        <w:t xml:space="preserve">中型企业  </w:t>
      </w:r>
      <w:r>
        <w:rPr>
          <w:rFonts w:hint="eastAsia" w:ascii="宋体" w:hAnsi="宋体"/>
          <w:iCs/>
          <w:szCs w:val="21"/>
          <w:highlight w:val="none"/>
        </w:rPr>
        <w:sym w:font="Wingdings" w:char="00A8"/>
      </w:r>
      <w:r>
        <w:rPr>
          <w:rFonts w:hint="eastAsia" w:ascii="宋体" w:hAnsi="宋体"/>
          <w:iCs/>
          <w:szCs w:val="21"/>
          <w:highlight w:val="none"/>
        </w:rPr>
        <w:t>小微型企业</w:t>
      </w:r>
    </w:p>
    <w:p>
      <w:pPr>
        <w:adjustRightInd w:val="0"/>
        <w:snapToGrid w:val="0"/>
        <w:spacing w:line="420" w:lineRule="exact"/>
        <w:ind w:firstLine="735" w:firstLineChars="350"/>
        <w:rPr>
          <w:rFonts w:eastAsia="华文楷体"/>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残疾人福利性单位 </w:t>
      </w:r>
      <w:r>
        <w:rPr>
          <w:rFonts w:hint="eastAsia" w:ascii="宋体" w:hAnsi="宋体"/>
          <w:iCs/>
          <w:szCs w:val="21"/>
          <w:highlight w:val="none"/>
        </w:rPr>
        <w:sym w:font="Wingdings" w:char="00A8"/>
      </w:r>
      <w:r>
        <w:rPr>
          <w:rFonts w:hint="eastAsia" w:ascii="宋体" w:hAnsi="宋体"/>
          <w:iCs/>
          <w:szCs w:val="21"/>
          <w:highlight w:val="none"/>
        </w:rPr>
        <w:t xml:space="preserve">监狱企业 </w:t>
      </w:r>
      <w:r>
        <w:rPr>
          <w:rFonts w:hint="eastAsia" w:ascii="宋体" w:hAnsi="宋体"/>
          <w:iCs/>
          <w:szCs w:val="21"/>
          <w:highlight w:val="none"/>
        </w:rPr>
        <w:sym w:font="Wingdings" w:char="00A8"/>
      </w:r>
      <w:r>
        <w:rPr>
          <w:rFonts w:hint="eastAsia" w:ascii="宋体" w:hAnsi="宋体"/>
          <w:iCs/>
          <w:szCs w:val="21"/>
          <w:highlight w:val="none"/>
        </w:rPr>
        <w:t>其他</w:t>
      </w:r>
    </w:p>
    <w:p>
      <w:pPr>
        <w:adjustRightInd w:val="0"/>
        <w:snapToGrid w:val="0"/>
        <w:spacing w:line="420" w:lineRule="exact"/>
        <w:ind w:firstLine="0" w:firstLineChars="0"/>
        <w:rPr>
          <w:rFonts w:hint="eastAsia" w:ascii="宋体" w:hAnsi="宋体" w:cs="宋体"/>
          <w:iCs/>
          <w:szCs w:val="21"/>
          <w:highlight w:val="none"/>
        </w:rPr>
      </w:pPr>
      <w:r>
        <w:rPr>
          <w:rFonts w:hint="eastAsia" w:ascii="宋体" w:hAnsi="宋体"/>
          <w:szCs w:val="21"/>
          <w:highlight w:val="none"/>
        </w:rPr>
        <w:t xml:space="preserve">   </w:t>
      </w:r>
      <w:r>
        <w:rPr>
          <w:rFonts w:hint="eastAsia" w:ascii="宋体" w:hAnsi="宋体" w:cs="宋体"/>
          <w:szCs w:val="21"/>
          <w:highlight w:val="none"/>
        </w:rPr>
        <w:t>（</w:t>
      </w:r>
      <w:r>
        <w:rPr>
          <w:rFonts w:ascii="宋体" w:hAnsi="宋体" w:cs="宋体"/>
          <w:szCs w:val="21"/>
          <w:highlight w:val="none"/>
          <w:lang w:val="en"/>
        </w:rPr>
        <w:t>8</w:t>
      </w:r>
      <w:r>
        <w:rPr>
          <w:rFonts w:hint="eastAsia" w:ascii="宋体" w:hAnsi="宋体" w:cs="宋体"/>
          <w:szCs w:val="21"/>
          <w:highlight w:val="none"/>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pPr>
        <w:widowControl/>
        <w:tabs>
          <w:tab w:val="left" w:pos="1340"/>
        </w:tabs>
        <w:autoSpaceDE w:val="0"/>
        <w:autoSpaceDN w:val="0"/>
        <w:adjustRightInd w:val="0"/>
        <w:spacing w:line="420" w:lineRule="exact"/>
        <w:ind w:firstLine="42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外商投资企业类型：</w:t>
      </w:r>
      <w:r>
        <w:rPr>
          <w:rFonts w:hint="eastAsia" w:ascii="宋体" w:hAnsi="宋体" w:cs="宋体"/>
          <w:iCs/>
          <w:kern w:val="0"/>
          <w:szCs w:val="21"/>
          <w:highlight w:val="none"/>
        </w:rPr>
        <w:sym w:font="Wingdings" w:char="00A8"/>
      </w:r>
      <w:r>
        <w:rPr>
          <w:rFonts w:hint="eastAsia" w:ascii="宋体" w:hAnsi="宋体" w:cs="宋体"/>
          <w:kern w:val="0"/>
          <w:szCs w:val="21"/>
          <w:highlight w:val="none"/>
        </w:rPr>
        <w:t xml:space="preserve">全部由外国投资者投资  </w:t>
      </w:r>
      <w:r>
        <w:rPr>
          <w:rFonts w:hint="eastAsia" w:ascii="宋体" w:hAnsi="宋体" w:cs="宋体"/>
          <w:iCs/>
          <w:kern w:val="0"/>
          <w:szCs w:val="21"/>
          <w:highlight w:val="none"/>
        </w:rPr>
        <w:sym w:font="Wingdings" w:char="00A8"/>
      </w:r>
      <w:r>
        <w:rPr>
          <w:rFonts w:hint="eastAsia" w:ascii="宋体" w:hAnsi="宋体" w:cs="宋体"/>
          <w:iCs/>
          <w:kern w:val="0"/>
          <w:szCs w:val="21"/>
          <w:highlight w:val="none"/>
        </w:rPr>
        <w:t>部分由外国投资者投资</w:t>
      </w:r>
    </w:p>
    <w:p>
      <w:pPr>
        <w:adjustRightInd w:val="0"/>
        <w:snapToGrid w:val="0"/>
        <w:spacing w:line="420" w:lineRule="exact"/>
        <w:ind w:firstLine="304" w:firstLineChars="145"/>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lang w:val="en"/>
        </w:rPr>
        <w:t>9</w:t>
      </w:r>
      <w:r>
        <w:rPr>
          <w:rFonts w:hint="eastAsia" w:ascii="宋体" w:hAnsi="宋体" w:cs="宋体"/>
          <w:szCs w:val="21"/>
          <w:highlight w:val="none"/>
        </w:rPr>
        <w:t>）是否涉及进口产品：</w:t>
      </w:r>
    </w:p>
    <w:p>
      <w:pPr>
        <w:adjustRightInd w:val="0"/>
        <w:snapToGrid w:val="0"/>
        <w:spacing w:line="420" w:lineRule="exact"/>
        <w:ind w:firstLine="735" w:firstLineChars="350"/>
        <w:rPr>
          <w:rFonts w:hint="eastAsia" w:ascii="宋体" w:hAnsi="宋体" w:cs="宋体"/>
          <w:szCs w:val="21"/>
          <w:highlight w:val="none"/>
          <w:u w:val="single"/>
        </w:rPr>
      </w:pPr>
      <w:r>
        <w:rPr>
          <w:rFonts w:hint="eastAsia" w:ascii="宋体" w:hAnsi="宋体" w:cs="宋体"/>
          <w:szCs w:val="21"/>
          <w:highlight w:val="none"/>
        </w:rPr>
        <w:t xml:space="preserve"> </w:t>
      </w:r>
      <w:r>
        <w:rPr>
          <w:rFonts w:hint="eastAsia" w:ascii="宋体" w:hAnsi="宋体" w:cs="宋体"/>
          <w:szCs w:val="21"/>
          <w:highlight w:val="none"/>
        </w:rPr>
        <w:sym w:font="Wingdings" w:char="00A8"/>
      </w:r>
      <w:r>
        <w:rPr>
          <w:rFonts w:hint="eastAsia" w:ascii="宋体" w:hAnsi="宋体" w:cs="宋体"/>
          <w:szCs w:val="21"/>
          <w:highlight w:val="none"/>
        </w:rPr>
        <w:t>是，《政府采购品目分类目录》底级品目名称：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金额：</w:t>
      </w:r>
      <w:r>
        <w:rPr>
          <w:rFonts w:hint="eastAsia" w:ascii="宋体" w:hAnsi="宋体" w:cs="宋体"/>
          <w:szCs w:val="21"/>
          <w:highlight w:val="none"/>
          <w:u w:val="single"/>
        </w:rPr>
        <w:t xml:space="preserve">            </w:t>
      </w:r>
    </w:p>
    <w:p>
      <w:pPr>
        <w:adjustRightInd w:val="0"/>
        <w:snapToGrid w:val="0"/>
        <w:spacing w:line="420" w:lineRule="exact"/>
        <w:ind w:firstLine="840" w:firstLineChars="400"/>
        <w:rPr>
          <w:rFonts w:hint="eastAsia" w:ascii="宋体" w:hAnsi="宋体"/>
          <w:szCs w:val="21"/>
          <w:highlight w:val="none"/>
        </w:rPr>
      </w:pPr>
      <w:r>
        <w:rPr>
          <w:rFonts w:hint="eastAsia" w:ascii="宋体" w:hAnsi="宋体" w:cs="宋体"/>
          <w:szCs w:val="21"/>
          <w:highlight w:val="none"/>
        </w:rPr>
        <w:t>国别：</w:t>
      </w:r>
      <w:r>
        <w:rPr>
          <w:rFonts w:hint="eastAsia" w:ascii="宋体" w:hAnsi="宋体" w:cs="宋体"/>
          <w:szCs w:val="21"/>
          <w:highlight w:val="none"/>
          <w:u w:val="single"/>
        </w:rPr>
        <w:t xml:space="preserve">              </w:t>
      </w:r>
      <w:r>
        <w:rPr>
          <w:rFonts w:hint="eastAsia" w:ascii="宋体" w:hAnsi="宋体" w:cs="宋体"/>
          <w:szCs w:val="21"/>
          <w:highlight w:val="none"/>
        </w:rPr>
        <w:t xml:space="preserve"> 品牌：</w:t>
      </w:r>
      <w:r>
        <w:rPr>
          <w:rFonts w:hint="eastAsia" w:ascii="宋体" w:hAnsi="宋体" w:cs="宋体"/>
          <w:szCs w:val="21"/>
          <w:highlight w:val="none"/>
          <w:u w:val="single"/>
        </w:rPr>
        <w:t xml:space="preserve">             </w:t>
      </w:r>
      <w:r>
        <w:rPr>
          <w:rFonts w:hint="eastAsia" w:ascii="宋体" w:hAnsi="宋体" w:cs="宋体"/>
          <w:szCs w:val="21"/>
          <w:highlight w:val="none"/>
        </w:rPr>
        <w:t xml:space="preserve"> 规格型号：</w:t>
      </w:r>
      <w:r>
        <w:rPr>
          <w:rFonts w:hint="eastAsia" w:ascii="宋体" w:hAnsi="宋体" w:cs="宋体"/>
          <w:szCs w:val="21"/>
          <w:highlight w:val="none"/>
          <w:u w:val="single"/>
        </w:rPr>
        <w:t xml:space="preserve">                  </w:t>
      </w:r>
    </w:p>
    <w:p>
      <w:pPr>
        <w:adjustRightInd w:val="0"/>
        <w:snapToGrid w:val="0"/>
        <w:spacing w:line="420" w:lineRule="exact"/>
        <w:ind w:firstLine="840" w:firstLineChars="400"/>
        <w:rPr>
          <w:rFonts w:hint="eastAsia"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否</w:t>
      </w:r>
    </w:p>
    <w:p>
      <w:pPr>
        <w:tabs>
          <w:tab w:val="left" w:pos="740"/>
        </w:tabs>
        <w:adjustRightInd w:val="0"/>
        <w:snapToGrid w:val="0"/>
        <w:spacing w:line="420" w:lineRule="exact"/>
        <w:ind w:firstLine="0" w:firstLineChars="0"/>
        <w:rPr>
          <w:rFonts w:hint="eastAsia" w:ascii="宋体" w:hAnsi="宋体"/>
          <w:szCs w:val="21"/>
          <w:highlight w:val="none"/>
        </w:rPr>
      </w:pPr>
      <w:r>
        <w:rPr>
          <w:rFonts w:hint="eastAsia" w:ascii="宋体" w:hAnsi="宋体"/>
          <w:szCs w:val="21"/>
          <w:highlight w:val="none"/>
        </w:rPr>
        <w:t xml:space="preserve">   （1</w:t>
      </w:r>
      <w:r>
        <w:rPr>
          <w:rFonts w:ascii="宋体" w:hAnsi="宋体"/>
          <w:szCs w:val="21"/>
          <w:highlight w:val="none"/>
          <w:lang w:val="en"/>
        </w:rPr>
        <w:t>0</w:t>
      </w:r>
      <w:r>
        <w:rPr>
          <w:rFonts w:hint="eastAsia" w:ascii="宋体" w:hAnsi="宋体"/>
          <w:szCs w:val="21"/>
          <w:highlight w:val="none"/>
        </w:rPr>
        <w:t>）是否涉及节能产品：</w:t>
      </w:r>
    </w:p>
    <w:p>
      <w:pPr>
        <w:tabs>
          <w:tab w:val="left" w:pos="740"/>
        </w:tabs>
        <w:adjustRightInd w:val="0"/>
        <w:snapToGrid w:val="0"/>
        <w:spacing w:line="420" w:lineRule="exact"/>
        <w:ind w:firstLine="0" w:firstLineChars="0"/>
        <w:rPr>
          <w:rFonts w:hint="eastAsia" w:ascii="宋体" w:hAnsi="宋体"/>
          <w:iCs/>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是，《节能产品政府采购品目清单》的底级品目名称：</w:t>
      </w:r>
      <w:r>
        <w:rPr>
          <w:rFonts w:hint="eastAsia" w:ascii="宋体" w:hAnsi="宋体"/>
          <w:szCs w:val="21"/>
          <w:highlight w:val="none"/>
          <w:u w:val="single"/>
        </w:rPr>
        <w:t xml:space="preserve">                      </w:t>
      </w:r>
    </w:p>
    <w:p>
      <w:pPr>
        <w:tabs>
          <w:tab w:val="left" w:pos="740"/>
        </w:tabs>
        <w:adjustRightInd w:val="0"/>
        <w:snapToGrid w:val="0"/>
        <w:spacing w:line="420" w:lineRule="exact"/>
        <w:ind w:firstLine="0" w:firstLineChars="0"/>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r>
        <w:rPr>
          <w:rFonts w:hint="eastAsia" w:ascii="宋体" w:hAnsi="宋体"/>
          <w:szCs w:val="21"/>
          <w:highlight w:val="none"/>
        </w:rPr>
        <w:sym w:font="Wingdings" w:char="00A8"/>
      </w:r>
      <w:r>
        <w:rPr>
          <w:rFonts w:hint="eastAsia" w:ascii="宋体" w:hAnsi="宋体"/>
          <w:szCs w:val="21"/>
          <w:highlight w:val="none"/>
        </w:rPr>
        <w:t>否</w:t>
      </w:r>
    </w:p>
    <w:p>
      <w:pPr>
        <w:tabs>
          <w:tab w:val="left" w:pos="740"/>
        </w:tabs>
        <w:adjustRightInd w:val="0"/>
        <w:snapToGrid w:val="0"/>
        <w:spacing w:line="420" w:lineRule="exact"/>
        <w:ind w:firstLine="0" w:firstLineChars="0"/>
        <w:rPr>
          <w:rFonts w:hint="eastAsia" w:ascii="宋体" w:hAnsi="宋体"/>
          <w:szCs w:val="21"/>
          <w:highlight w:val="none"/>
        </w:rPr>
      </w:pPr>
      <w:r>
        <w:rPr>
          <w:rFonts w:hint="eastAsia" w:ascii="宋体" w:hAnsi="宋体"/>
          <w:szCs w:val="21"/>
          <w:highlight w:val="none"/>
        </w:rPr>
        <w:t xml:space="preserve">        是否涉及环境标志产品：</w:t>
      </w:r>
    </w:p>
    <w:p>
      <w:pPr>
        <w:tabs>
          <w:tab w:val="left" w:pos="740"/>
        </w:tabs>
        <w:adjustRightInd w:val="0"/>
        <w:snapToGrid w:val="0"/>
        <w:spacing w:line="420" w:lineRule="exact"/>
        <w:ind w:firstLine="0" w:firstLineChars="0"/>
        <w:rPr>
          <w:rFonts w:hint="eastAsia"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是，《环境标志产品政府采购品目清单》的底级品目名称：</w:t>
      </w:r>
      <w:r>
        <w:rPr>
          <w:rFonts w:hint="eastAsia" w:ascii="宋体" w:hAnsi="宋体"/>
          <w:szCs w:val="21"/>
          <w:highlight w:val="none"/>
          <w:u w:val="single"/>
        </w:rPr>
        <w:t xml:space="preserve">                  </w:t>
      </w:r>
    </w:p>
    <w:p>
      <w:pPr>
        <w:tabs>
          <w:tab w:val="left" w:pos="740"/>
        </w:tabs>
        <w:adjustRightInd w:val="0"/>
        <w:snapToGrid w:val="0"/>
        <w:spacing w:line="420" w:lineRule="exact"/>
        <w:ind w:firstLine="0" w:firstLineChars="0"/>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r>
        <w:rPr>
          <w:rFonts w:hint="eastAsia" w:ascii="宋体" w:hAnsi="宋体"/>
          <w:szCs w:val="21"/>
          <w:highlight w:val="none"/>
        </w:rPr>
        <w:sym w:font="Wingdings" w:char="00A8"/>
      </w:r>
      <w:r>
        <w:rPr>
          <w:rFonts w:hint="eastAsia" w:ascii="宋体" w:hAnsi="宋体"/>
          <w:szCs w:val="21"/>
          <w:highlight w:val="none"/>
        </w:rPr>
        <w:t>否</w:t>
      </w:r>
    </w:p>
    <w:p>
      <w:pPr>
        <w:widowControl/>
        <w:autoSpaceDE w:val="0"/>
        <w:autoSpaceDN w:val="0"/>
        <w:adjustRightInd w:val="0"/>
        <w:snapToGrid w:val="0"/>
        <w:spacing w:line="420" w:lineRule="exact"/>
        <w:ind w:firstLine="0" w:firstLineChars="0"/>
        <w:jc w:val="left"/>
        <w:rPr>
          <w:rFonts w:hint="eastAsia" w:ascii="宋体" w:hAnsi="宋体"/>
          <w:szCs w:val="21"/>
          <w:highlight w:val="none"/>
        </w:rPr>
      </w:pPr>
      <w:r>
        <w:rPr>
          <w:rFonts w:hint="eastAsia" w:ascii="宋体" w:hAnsi="宋体" w:eastAsia="华文楷体" w:cs="华文楷体"/>
          <w:kern w:val="0"/>
          <w:szCs w:val="21"/>
          <w:highlight w:val="none"/>
        </w:rPr>
        <w:t xml:space="preserve">        </w:t>
      </w:r>
      <w:r>
        <w:rPr>
          <w:rFonts w:hint="eastAsia" w:ascii="宋体" w:hAnsi="宋体"/>
          <w:szCs w:val="21"/>
          <w:highlight w:val="none"/>
        </w:rPr>
        <w:t xml:space="preserve">是否涉及绿色产品： </w:t>
      </w:r>
    </w:p>
    <w:p>
      <w:pPr>
        <w:widowControl/>
        <w:autoSpaceDE w:val="0"/>
        <w:autoSpaceDN w:val="0"/>
        <w:adjustRightInd w:val="0"/>
        <w:spacing w:line="420" w:lineRule="exact"/>
        <w:ind w:firstLine="420"/>
        <w:jc w:val="left"/>
        <w:rPr>
          <w:rFonts w:hint="eastAsia" w:ascii="宋体" w:hAnsi="宋体" w:cs="华文楷体"/>
          <w:kern w:val="0"/>
          <w:sz w:val="22"/>
          <w:szCs w:val="21"/>
          <w:highlight w:val="none"/>
          <w:u w:val="single"/>
        </w:rPr>
      </w:pPr>
      <w:r>
        <w:rPr>
          <w:rFonts w:hint="eastAsia" w:ascii="宋体" w:hAnsi="宋体"/>
          <w:szCs w:val="21"/>
          <w:highlight w:val="none"/>
        </w:rPr>
        <w:t xml:space="preserve">    </w:t>
      </w:r>
      <w:r>
        <w:rPr>
          <w:rFonts w:hint="eastAsia" w:ascii="宋体" w:hAnsi="宋体"/>
          <w:szCs w:val="21"/>
          <w:highlight w:val="none"/>
        </w:rPr>
        <w:sym w:font="Wingdings" w:char="00A8"/>
      </w:r>
      <w:r>
        <w:rPr>
          <w:rFonts w:hint="eastAsia" w:ascii="宋体" w:hAnsi="宋体"/>
          <w:szCs w:val="21"/>
          <w:highlight w:val="none"/>
        </w:rPr>
        <w:t>是，绿色产品政府采购相关政策确定的底级品目名称：</w:t>
      </w:r>
      <w:r>
        <w:rPr>
          <w:rFonts w:hint="eastAsia" w:ascii="宋体" w:hAnsi="宋体" w:cs="华文楷体"/>
          <w:kern w:val="0"/>
          <w:sz w:val="22"/>
          <w:szCs w:val="21"/>
          <w:highlight w:val="none"/>
          <w:u w:val="single"/>
        </w:rPr>
        <w:t xml:space="preserve">                      </w:t>
      </w:r>
    </w:p>
    <w:p>
      <w:pPr>
        <w:tabs>
          <w:tab w:val="left" w:pos="740"/>
        </w:tabs>
        <w:adjustRightInd w:val="0"/>
        <w:snapToGrid w:val="0"/>
        <w:spacing w:line="420" w:lineRule="exact"/>
        <w:ind w:firstLine="0" w:firstLineChars="0"/>
        <w:rPr>
          <w:rFonts w:hint="eastAsia" w:ascii="宋体" w:hAnsi="宋体"/>
          <w:iCs/>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强制采购  </w:t>
      </w:r>
      <w:r>
        <w:rPr>
          <w:rFonts w:hint="eastAsia" w:ascii="宋体" w:hAnsi="宋体"/>
          <w:iCs/>
          <w:szCs w:val="21"/>
          <w:highlight w:val="none"/>
        </w:rPr>
        <w:sym w:font="Wingdings" w:char="00A8"/>
      </w:r>
      <w:r>
        <w:rPr>
          <w:rFonts w:hint="eastAsia" w:ascii="宋体" w:hAnsi="宋体"/>
          <w:iCs/>
          <w:szCs w:val="21"/>
          <w:highlight w:val="none"/>
        </w:rPr>
        <w:t xml:space="preserve">优先采购  </w:t>
      </w:r>
      <w:r>
        <w:rPr>
          <w:rFonts w:hint="eastAsia" w:ascii="宋体" w:hAnsi="宋体"/>
          <w:szCs w:val="21"/>
          <w:highlight w:val="none"/>
        </w:rPr>
        <w:sym w:font="Wingdings" w:char="00A8"/>
      </w:r>
      <w:r>
        <w:rPr>
          <w:rFonts w:hint="eastAsia" w:ascii="宋体" w:hAnsi="宋体"/>
          <w:szCs w:val="21"/>
          <w:highlight w:val="none"/>
        </w:rPr>
        <w:t>否</w:t>
      </w:r>
    </w:p>
    <w:p>
      <w:pPr>
        <w:adjustRightInd w:val="0"/>
        <w:snapToGrid w:val="0"/>
        <w:spacing w:line="420" w:lineRule="exact"/>
        <w:ind w:firstLine="315" w:firstLineChars="150"/>
        <w:rPr>
          <w:rFonts w:hint="eastAsia" w:ascii="宋体" w:hAnsi="宋体"/>
          <w:szCs w:val="21"/>
          <w:highlight w:val="none"/>
        </w:rPr>
      </w:pPr>
      <w:r>
        <w:rPr>
          <w:rFonts w:hint="eastAsia" w:ascii="宋体" w:hAnsi="宋体"/>
          <w:szCs w:val="21"/>
          <w:highlight w:val="none"/>
        </w:rPr>
        <w:t>（1</w:t>
      </w:r>
      <w:r>
        <w:rPr>
          <w:rFonts w:ascii="宋体" w:hAnsi="宋体"/>
          <w:szCs w:val="21"/>
          <w:highlight w:val="none"/>
          <w:lang w:val="en"/>
        </w:rPr>
        <w:t>1</w:t>
      </w:r>
      <w:r>
        <w:rPr>
          <w:rFonts w:hint="eastAsia" w:ascii="宋体" w:hAnsi="宋体"/>
          <w:szCs w:val="21"/>
          <w:highlight w:val="none"/>
        </w:rPr>
        <w:t>）涉及商品包装和快递包装的，是否参考《商品包装政府采购需求标准（试行）》、《快递包装政府采购需求标准（试行）》明确产品及相关快递服务的具体包装要求：</w:t>
      </w:r>
      <w:r>
        <w:rPr>
          <w:rFonts w:hint="eastAsia" w:ascii="宋体" w:hAnsi="宋体"/>
          <w:szCs w:val="21"/>
          <w:highlight w:val="none"/>
        </w:rPr>
        <w:sym w:font="Wingdings" w:char="00A8"/>
      </w:r>
      <w:r>
        <w:rPr>
          <w:rFonts w:hint="eastAsia" w:ascii="宋体" w:hAnsi="宋体"/>
          <w:szCs w:val="21"/>
          <w:highlight w:val="none"/>
        </w:rPr>
        <w:t xml:space="preserve">是  </w:t>
      </w:r>
      <w:r>
        <w:rPr>
          <w:rFonts w:hint="eastAsia" w:ascii="宋体" w:hAnsi="宋体"/>
          <w:szCs w:val="21"/>
          <w:highlight w:val="none"/>
        </w:rPr>
        <w:sym w:font="Wingdings" w:char="00A8"/>
      </w:r>
      <w:r>
        <w:rPr>
          <w:rFonts w:hint="eastAsia" w:ascii="宋体" w:hAnsi="宋体"/>
          <w:szCs w:val="21"/>
          <w:highlight w:val="none"/>
        </w:rPr>
        <w:t xml:space="preserve">否  </w:t>
      </w:r>
      <w:r>
        <w:rPr>
          <w:rFonts w:hint="eastAsia" w:ascii="宋体" w:hAnsi="宋体"/>
          <w:szCs w:val="21"/>
          <w:highlight w:val="none"/>
        </w:rPr>
        <w:sym w:font="Wingdings" w:char="00A8"/>
      </w:r>
      <w:r>
        <w:rPr>
          <w:rFonts w:hint="eastAsia" w:ascii="宋体" w:hAnsi="宋体"/>
          <w:szCs w:val="21"/>
          <w:highlight w:val="none"/>
        </w:rPr>
        <w:t>不涉及</w:t>
      </w:r>
    </w:p>
    <w:p>
      <w:pPr>
        <w:numPr>
          <w:ilvl w:val="0"/>
          <w:numId w:val="12"/>
        </w:numPr>
        <w:adjustRightInd w:val="0"/>
        <w:snapToGrid w:val="0"/>
        <w:spacing w:line="420" w:lineRule="exact"/>
        <w:ind w:firstLine="422"/>
        <w:rPr>
          <w:rFonts w:hint="eastAsia" w:ascii="宋体" w:hAnsi="宋体"/>
          <w:b/>
          <w:szCs w:val="21"/>
          <w:highlight w:val="none"/>
        </w:rPr>
      </w:pPr>
      <w:r>
        <w:rPr>
          <w:rFonts w:hint="eastAsia" w:ascii="宋体" w:hAnsi="宋体"/>
          <w:b/>
          <w:szCs w:val="21"/>
          <w:highlight w:val="none"/>
        </w:rPr>
        <w:t>合同金额</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p>
    <w:p>
      <w:pPr>
        <w:adjustRightInd w:val="0"/>
        <w:snapToGrid w:val="0"/>
        <w:spacing w:line="420" w:lineRule="exact"/>
        <w:ind w:firstLine="420"/>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 xml:space="preserve">         分包金额（如有）小写：</w:t>
      </w:r>
      <w:r>
        <w:rPr>
          <w:rFonts w:hint="eastAsia" w:ascii="宋体" w:hAnsi="宋体"/>
          <w:szCs w:val="21"/>
          <w:highlight w:val="none"/>
          <w:u w:val="single"/>
        </w:rPr>
        <w:t xml:space="preserve">                                              </w:t>
      </w:r>
    </w:p>
    <w:p>
      <w:pPr>
        <w:adjustRightInd w:val="0"/>
        <w:snapToGrid w:val="0"/>
        <w:spacing w:line="420" w:lineRule="exact"/>
        <w:ind w:firstLine="420"/>
        <w:rPr>
          <w:rFonts w:hint="eastAsia" w:ascii="宋体" w:hAnsi="宋体"/>
          <w:szCs w:val="21"/>
          <w:highlight w:val="none"/>
          <w:u w:val="single"/>
        </w:rPr>
      </w:pPr>
      <w:r>
        <w:rPr>
          <w:rFonts w:hint="eastAsia" w:ascii="宋体" w:hAnsi="宋体"/>
          <w:szCs w:val="21"/>
          <w:highlight w:val="none"/>
        </w:rPr>
        <w:t xml:space="preserve">                 大写：</w:t>
      </w:r>
      <w:r>
        <w:rPr>
          <w:rFonts w:hint="eastAsia" w:ascii="宋体" w:hAnsi="宋体"/>
          <w:szCs w:val="21"/>
          <w:highlight w:val="none"/>
          <w:u w:val="single"/>
        </w:rPr>
        <w:t xml:space="preserve">                                                      </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 xml:space="preserve">    （注：固定单价合同应填写单价和最高限价）</w:t>
      </w:r>
    </w:p>
    <w:p>
      <w:pPr>
        <w:adjustRightInd w:val="0"/>
        <w:snapToGrid w:val="0"/>
        <w:spacing w:line="420" w:lineRule="exact"/>
        <w:ind w:firstLine="0" w:firstLineChars="0"/>
        <w:rPr>
          <w:rFonts w:hint="eastAsia" w:ascii="宋体" w:hAnsi="宋体"/>
          <w:szCs w:val="21"/>
          <w:highlight w:val="none"/>
        </w:rPr>
      </w:pPr>
      <w:r>
        <w:rPr>
          <w:rFonts w:hint="eastAsia" w:ascii="宋体" w:hAnsi="宋体"/>
          <w:szCs w:val="21"/>
          <w:highlight w:val="none"/>
        </w:rPr>
        <w:t xml:space="preserve">    （2）合同定价方式（采用组合定价方式的，可以勾选多项）：</w:t>
      </w:r>
    </w:p>
    <w:p>
      <w:pPr>
        <w:adjustRightInd w:val="0"/>
        <w:snapToGrid w:val="0"/>
        <w:spacing w:line="420" w:lineRule="exact"/>
        <w:ind w:firstLine="420"/>
        <w:rPr>
          <w:rFonts w:hint="eastAsia" w:ascii="宋体" w:hAnsi="宋体"/>
          <w:szCs w:val="21"/>
          <w:highlight w:val="none"/>
        </w:rPr>
      </w:pP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 xml:space="preserve">固定单价 </w:t>
      </w:r>
      <w:r>
        <w:rPr>
          <w:rFonts w:hint="eastAsia" w:ascii="宋体" w:hAnsi="宋体"/>
          <w:iCs/>
          <w:szCs w:val="21"/>
          <w:highlight w:val="none"/>
        </w:rPr>
        <w:sym w:font="Wingdings" w:char="00A8"/>
      </w:r>
      <w:r>
        <w:rPr>
          <w:rFonts w:hint="eastAsia" w:ascii="宋体" w:hAnsi="宋体"/>
          <w:iCs/>
          <w:szCs w:val="21"/>
          <w:highlight w:val="none"/>
        </w:rPr>
        <w:t xml:space="preserve">固定费率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 xml:space="preserve">绩效激励 </w:t>
      </w:r>
      <w:r>
        <w:rPr>
          <w:rFonts w:hint="eastAsia" w:ascii="宋体" w:hAnsi="宋体"/>
          <w:iCs/>
          <w:szCs w:val="21"/>
          <w:highlight w:val="none"/>
        </w:rPr>
        <w:sym w:font="Wingdings" w:char="00A8"/>
      </w:r>
      <w:r>
        <w:rPr>
          <w:rFonts w:hint="eastAsia" w:ascii="宋体" w:hAnsi="宋体"/>
          <w:iCs/>
          <w:szCs w:val="21"/>
          <w:highlight w:val="none"/>
        </w:rPr>
        <w:t>其他</w:t>
      </w:r>
      <w:r>
        <w:rPr>
          <w:rFonts w:hint="eastAsia" w:ascii="宋体" w:hAnsi="宋体"/>
          <w:szCs w:val="21"/>
          <w:highlight w:val="none"/>
          <w:u w:val="single"/>
        </w:rPr>
        <w:t xml:space="preserve">           </w:t>
      </w:r>
    </w:p>
    <w:p>
      <w:pPr>
        <w:spacing w:line="420" w:lineRule="exact"/>
        <w:ind w:firstLine="420"/>
        <w:rPr>
          <w:szCs w:val="21"/>
          <w:highlight w:val="none"/>
        </w:rPr>
      </w:pPr>
      <w:r>
        <w:rPr>
          <w:rFonts w:hint="eastAsia" w:ascii="宋体" w:hAnsi="宋体"/>
          <w:szCs w:val="21"/>
          <w:highlight w:val="none"/>
        </w:rPr>
        <w:t>（3）付款方式（按项目实际勾选填写）：</w:t>
      </w:r>
    </w:p>
    <w:p>
      <w:pPr>
        <w:adjustRightInd w:val="0"/>
        <w:snapToGrid w:val="0"/>
        <w:spacing w:line="420" w:lineRule="exact"/>
        <w:ind w:firstLine="630"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（应明确一次性支付合同款项的条件）                    </w:t>
      </w:r>
    </w:p>
    <w:p>
      <w:pPr>
        <w:snapToGrid w:val="0"/>
        <w:spacing w:line="420" w:lineRule="exact"/>
        <w:ind w:firstLine="63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（应明确分期支付合同款项的各期比例和支付条件，各期支付条件应与分期履约验收情况挂钩）</w:t>
      </w:r>
      <w:r>
        <w:rPr>
          <w:rFonts w:hint="eastAsia" w:ascii="宋体" w:hAnsi="宋体"/>
          <w:szCs w:val="21"/>
          <w:highlight w:val="none"/>
        </w:rPr>
        <w:t>，其中涉及预付款的：</w:t>
      </w:r>
      <w:r>
        <w:rPr>
          <w:rFonts w:hint="eastAsia" w:ascii="宋体" w:hAnsi="宋体"/>
          <w:szCs w:val="21"/>
          <w:highlight w:val="none"/>
          <w:u w:val="single"/>
        </w:rPr>
        <w:t xml:space="preserve"> （应明确预付款的支付比例和支付条件）</w:t>
      </w:r>
    </w:p>
    <w:p>
      <w:pPr>
        <w:adjustRightInd w:val="0"/>
        <w:snapToGrid w:val="0"/>
        <w:spacing w:line="420" w:lineRule="exact"/>
        <w:ind w:firstLine="630" w:firstLineChars="300"/>
        <w:rPr>
          <w:rFonts w:hint="eastAsia"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pPr>
        <w:adjustRightInd w:val="0"/>
        <w:snapToGrid w:val="0"/>
        <w:spacing w:line="420" w:lineRule="exact"/>
        <w:ind w:firstLine="630" w:firstLineChars="300"/>
        <w:rPr>
          <w:rFonts w:hint="eastAsia"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pPr>
        <w:numPr>
          <w:ilvl w:val="0"/>
          <w:numId w:val="12"/>
        </w:numPr>
        <w:adjustRightInd w:val="0"/>
        <w:snapToGrid w:val="0"/>
        <w:spacing w:line="420" w:lineRule="exact"/>
        <w:ind w:firstLine="422"/>
        <w:rPr>
          <w:rFonts w:hint="eastAsia" w:ascii="宋体" w:hAnsi="宋体"/>
          <w:b/>
          <w:szCs w:val="21"/>
          <w:highlight w:val="none"/>
          <w:u w:val="single"/>
        </w:rPr>
      </w:pPr>
      <w:r>
        <w:rPr>
          <w:rFonts w:hint="eastAsia" w:ascii="宋体" w:hAnsi="宋体"/>
          <w:b/>
          <w:szCs w:val="21"/>
          <w:highlight w:val="none"/>
        </w:rPr>
        <w:t>合同履行</w:t>
      </w:r>
    </w:p>
    <w:p>
      <w:pPr>
        <w:adjustRightInd w:val="0"/>
        <w:snapToGrid w:val="0"/>
        <w:spacing w:line="420" w:lineRule="exact"/>
        <w:ind w:firstLine="199" w:firstLineChars="95"/>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adjustRightInd w:val="0"/>
        <w:snapToGrid w:val="0"/>
        <w:spacing w:line="420" w:lineRule="exact"/>
        <w:ind w:firstLine="199" w:firstLineChars="95"/>
        <w:rPr>
          <w:rFonts w:hint="eastAsia" w:ascii="宋体" w:hAnsi="宋体" w:cs="宋体"/>
          <w:szCs w:val="21"/>
          <w:highlight w:val="none"/>
          <w:u w:val="single"/>
        </w:rPr>
      </w:pPr>
      <w:r>
        <w:rPr>
          <w:rFonts w:hint="eastAsia" w:ascii="宋体" w:hAnsi="宋体" w:cs="宋体"/>
          <w:szCs w:val="21"/>
          <w:highlight w:val="none"/>
        </w:rPr>
        <w:t>（2）履约地点</w:t>
      </w:r>
      <w:r>
        <w:rPr>
          <w:rFonts w:hint="eastAsia" w:ascii="宋体" w:hAnsi="宋体" w:cs="宋体"/>
          <w:bCs/>
          <w:szCs w:val="21"/>
          <w:highlight w:val="none"/>
        </w:rPr>
        <w:t>：</w:t>
      </w:r>
      <w:r>
        <w:rPr>
          <w:rFonts w:hint="eastAsia" w:ascii="宋体" w:hAnsi="宋体" w:cs="宋体"/>
          <w:szCs w:val="21"/>
          <w:highlight w:val="none"/>
          <w:u w:val="single"/>
        </w:rPr>
        <w:t xml:space="preserve">                                            </w:t>
      </w:r>
    </w:p>
    <w:p>
      <w:pPr>
        <w:adjustRightInd w:val="0"/>
        <w:snapToGrid w:val="0"/>
        <w:spacing w:line="420" w:lineRule="exact"/>
        <w:ind w:firstLine="199" w:firstLineChars="95"/>
        <w:rPr>
          <w:rFonts w:hint="eastAsia" w:ascii="宋体" w:hAnsi="宋体" w:cs="宋体"/>
          <w:szCs w:val="21"/>
          <w:highlight w:val="none"/>
        </w:rPr>
      </w:pPr>
      <w:r>
        <w:rPr>
          <w:rFonts w:hint="eastAsia" w:ascii="宋体" w:hAnsi="宋体" w:cs="宋体"/>
          <w:bCs/>
          <w:szCs w:val="21"/>
          <w:highlight w:val="none"/>
        </w:rPr>
        <w:t>（3）履约担保：</w:t>
      </w:r>
      <w:r>
        <w:rPr>
          <w:rFonts w:hint="eastAsia" w:ascii="宋体" w:hAnsi="宋体" w:cs="宋体"/>
          <w:highlight w:val="none"/>
        </w:rPr>
        <w:t>是否收取履约保证金：</w:t>
      </w:r>
      <w:r>
        <w:rPr>
          <w:rFonts w:hint="eastAsia" w:ascii="宋体" w:hAnsi="宋体" w:cs="宋体"/>
          <w:szCs w:val="21"/>
          <w:highlight w:val="none"/>
        </w:rPr>
        <w:sym w:font="Wingdings" w:char="00A8"/>
      </w:r>
      <w:r>
        <w:rPr>
          <w:rFonts w:hint="eastAsia" w:ascii="宋体" w:hAnsi="宋体" w:cs="宋体"/>
          <w:szCs w:val="21"/>
          <w:highlight w:val="none"/>
        </w:rPr>
        <w:t xml:space="preserve">是  </w:t>
      </w:r>
      <w:r>
        <w:rPr>
          <w:rFonts w:hint="eastAsia" w:ascii="宋体" w:hAnsi="宋体" w:cs="宋体"/>
          <w:szCs w:val="21"/>
          <w:highlight w:val="none"/>
        </w:rPr>
        <w:sym w:font="Wingdings" w:char="00A8"/>
      </w:r>
      <w:r>
        <w:rPr>
          <w:rFonts w:hint="eastAsia" w:ascii="宋体" w:hAnsi="宋体" w:cs="宋体"/>
          <w:szCs w:val="21"/>
          <w:highlight w:val="none"/>
        </w:rPr>
        <w:t>否</w:t>
      </w:r>
    </w:p>
    <w:p>
      <w:pPr>
        <w:widowControl/>
        <w:autoSpaceDE w:val="0"/>
        <w:autoSpaceDN w:val="0"/>
        <w:adjustRightInd w:val="0"/>
        <w:spacing w:line="420" w:lineRule="exact"/>
        <w:ind w:firstLine="440"/>
        <w:jc w:val="left"/>
        <w:rPr>
          <w:rFonts w:hint="eastAsia" w:ascii="宋体" w:hAnsi="宋体" w:cs="宋体"/>
          <w:kern w:val="0"/>
          <w:szCs w:val="21"/>
          <w:highlight w:val="none"/>
        </w:rPr>
      </w:pPr>
      <w:r>
        <w:rPr>
          <w:rFonts w:hint="eastAsia" w:ascii="宋体" w:hAnsi="宋体" w:eastAsia="华文楷体" w:cs="宋体"/>
          <w:bCs/>
          <w:kern w:val="0"/>
          <w:sz w:val="22"/>
          <w:szCs w:val="21"/>
          <w:highlight w:val="none"/>
        </w:rPr>
        <w:t xml:space="preserve"> </w:t>
      </w:r>
      <w:r>
        <w:rPr>
          <w:rFonts w:hint="eastAsia" w:ascii="宋体" w:hAnsi="宋体" w:cs="宋体"/>
          <w:kern w:val="0"/>
          <w:szCs w:val="21"/>
          <w:highlight w:val="none"/>
        </w:rPr>
        <w:t xml:space="preserve">  收取履约保证金形式：</w:t>
      </w:r>
      <w:r>
        <w:rPr>
          <w:rFonts w:hint="eastAsia" w:ascii="宋体" w:hAnsi="宋体" w:cs="宋体"/>
          <w:bCs/>
          <w:kern w:val="0"/>
          <w:szCs w:val="21"/>
          <w:highlight w:val="none"/>
          <w:u w:val="single"/>
        </w:rPr>
        <w:t xml:space="preserve">                                  </w:t>
      </w:r>
    </w:p>
    <w:p>
      <w:pPr>
        <w:widowControl/>
        <w:autoSpaceDE w:val="0"/>
        <w:autoSpaceDN w:val="0"/>
        <w:adjustRightInd w:val="0"/>
        <w:spacing w:line="420" w:lineRule="exact"/>
        <w:ind w:firstLine="420"/>
        <w:jc w:val="left"/>
        <w:rPr>
          <w:rFonts w:hint="eastAsia" w:ascii="宋体" w:hAnsi="宋体" w:cs="宋体"/>
          <w:kern w:val="0"/>
          <w:szCs w:val="21"/>
          <w:highlight w:val="none"/>
        </w:rPr>
      </w:pPr>
      <w:r>
        <w:rPr>
          <w:rFonts w:hint="eastAsia" w:ascii="宋体" w:hAnsi="宋体" w:cs="宋体"/>
          <w:kern w:val="0"/>
          <w:szCs w:val="21"/>
          <w:highlight w:val="none"/>
        </w:rPr>
        <w:t xml:space="preserve">   收取履约保证金金额：</w:t>
      </w:r>
      <w:r>
        <w:rPr>
          <w:rFonts w:hint="eastAsia" w:ascii="宋体" w:hAnsi="宋体" w:cs="宋体"/>
          <w:bCs/>
          <w:kern w:val="0"/>
          <w:szCs w:val="21"/>
          <w:highlight w:val="none"/>
          <w:u w:val="single"/>
        </w:rPr>
        <w:t xml:space="preserve">                                  </w:t>
      </w:r>
    </w:p>
    <w:p>
      <w:pPr>
        <w:snapToGrid w:val="0"/>
        <w:spacing w:line="420" w:lineRule="exact"/>
        <w:ind w:firstLine="420"/>
        <w:rPr>
          <w:rFonts w:hint="eastAsia" w:ascii="宋体" w:hAnsi="宋体" w:cs="宋体"/>
          <w:highlight w:val="none"/>
        </w:rPr>
      </w:pPr>
      <w:r>
        <w:rPr>
          <w:rFonts w:hint="eastAsia" w:ascii="宋体" w:hAnsi="宋体" w:cs="宋体"/>
          <w:bCs/>
          <w:szCs w:val="21"/>
          <w:highlight w:val="none"/>
        </w:rPr>
        <w:t xml:space="preserve">   履约担保期限：</w:t>
      </w:r>
      <w:r>
        <w:rPr>
          <w:rFonts w:hint="eastAsia" w:ascii="宋体" w:hAnsi="宋体" w:cs="宋体"/>
          <w:bCs/>
          <w:szCs w:val="21"/>
          <w:highlight w:val="none"/>
          <w:u w:val="single"/>
        </w:rPr>
        <w:t xml:space="preserve">                                        </w:t>
      </w:r>
    </w:p>
    <w:p>
      <w:pPr>
        <w:adjustRightInd w:val="0"/>
        <w:snapToGrid w:val="0"/>
        <w:spacing w:line="420" w:lineRule="exact"/>
        <w:ind w:firstLine="199" w:firstLineChars="95"/>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p>
    <w:p>
      <w:pPr>
        <w:adjustRightInd w:val="0"/>
        <w:snapToGrid w:val="0"/>
        <w:spacing w:line="420" w:lineRule="exact"/>
        <w:ind w:firstLine="199" w:firstLineChars="95"/>
        <w:rPr>
          <w:rFonts w:hint="eastAsia" w:ascii="宋体" w:hAnsi="宋体" w:cs="宋体"/>
          <w:szCs w:val="21"/>
          <w:highlight w:val="none"/>
          <w:u w:val="single"/>
        </w:rPr>
      </w:pPr>
      <w:r>
        <w:rPr>
          <w:rFonts w:hint="eastAsia" w:ascii="宋体" w:hAnsi="宋体" w:cs="宋体"/>
          <w:bCs/>
          <w:szCs w:val="21"/>
          <w:highlight w:val="none"/>
        </w:rPr>
        <w:t>（5）风险处置措施和替代方案：</w:t>
      </w:r>
      <w:r>
        <w:rPr>
          <w:rFonts w:hint="eastAsia" w:ascii="宋体" w:hAnsi="宋体" w:cs="宋体"/>
          <w:szCs w:val="21"/>
          <w:highlight w:val="none"/>
          <w:u w:val="single"/>
        </w:rPr>
        <w:t xml:space="preserve">                              </w:t>
      </w:r>
    </w:p>
    <w:p>
      <w:pPr>
        <w:numPr>
          <w:ilvl w:val="0"/>
          <w:numId w:val="12"/>
        </w:numPr>
        <w:adjustRightInd w:val="0"/>
        <w:snapToGrid w:val="0"/>
        <w:spacing w:line="420" w:lineRule="exact"/>
        <w:ind w:firstLine="422"/>
        <w:rPr>
          <w:rFonts w:hint="eastAsia" w:ascii="宋体" w:hAnsi="宋体"/>
          <w:b/>
          <w:szCs w:val="21"/>
          <w:highlight w:val="none"/>
        </w:rPr>
      </w:pPr>
      <w:r>
        <w:rPr>
          <w:rFonts w:hint="eastAsia" w:ascii="宋体" w:hAnsi="宋体"/>
          <w:b/>
          <w:szCs w:val="21"/>
          <w:highlight w:val="none"/>
        </w:rPr>
        <w:t>合同验收</w:t>
      </w:r>
    </w:p>
    <w:p>
      <w:pPr>
        <w:adjustRightInd w:val="0"/>
        <w:snapToGrid w:val="0"/>
        <w:spacing w:line="420" w:lineRule="exact"/>
        <w:ind w:firstLine="210" w:firstLineChars="100"/>
        <w:rPr>
          <w:rFonts w:hint="eastAsia" w:ascii="宋体" w:hAnsi="宋体"/>
          <w:bCs/>
          <w:szCs w:val="21"/>
          <w:highlight w:val="none"/>
        </w:rPr>
      </w:pPr>
      <w:r>
        <w:rPr>
          <w:rFonts w:hint="eastAsia" w:ascii="宋体" w:hAnsi="宋体"/>
          <w:bCs/>
          <w:szCs w:val="21"/>
          <w:highlight w:val="none"/>
        </w:rPr>
        <w:t>（1）验收组织方式：</w:t>
      </w:r>
      <w:r>
        <w:rPr>
          <w:rFonts w:hint="eastAsia" w:ascii="宋体" w:hAnsi="宋体" w:cs="宋体"/>
          <w:szCs w:val="21"/>
          <w:highlight w:val="none"/>
        </w:rPr>
        <w:sym w:font="Wingdings" w:char="00A8"/>
      </w:r>
      <w:r>
        <w:rPr>
          <w:rFonts w:hint="eastAsia" w:ascii="宋体" w:hAnsi="宋体"/>
          <w:bCs/>
          <w:szCs w:val="21"/>
          <w:highlight w:val="none"/>
        </w:rPr>
        <w:t xml:space="preserve">自行组织 </w:t>
      </w:r>
      <w:r>
        <w:rPr>
          <w:rFonts w:hint="eastAsia" w:ascii="宋体" w:hAnsi="宋体" w:cs="宋体"/>
          <w:szCs w:val="21"/>
          <w:highlight w:val="none"/>
        </w:rPr>
        <w:sym w:font="Wingdings" w:char="00A8"/>
      </w:r>
      <w:r>
        <w:rPr>
          <w:rFonts w:hint="eastAsia" w:ascii="宋体" w:hAnsi="宋体"/>
          <w:bCs/>
          <w:szCs w:val="21"/>
          <w:highlight w:val="none"/>
        </w:rPr>
        <w:t>委托第三方组织</w:t>
      </w:r>
    </w:p>
    <w:p>
      <w:pPr>
        <w:adjustRightInd w:val="0"/>
        <w:snapToGrid w:val="0"/>
        <w:spacing w:line="420" w:lineRule="exact"/>
        <w:ind w:firstLine="420"/>
        <w:rPr>
          <w:rFonts w:hint="eastAsia" w:ascii="宋体" w:hAnsi="宋体"/>
          <w:bCs/>
          <w:szCs w:val="21"/>
          <w:highlight w:val="none"/>
        </w:rPr>
      </w:pPr>
      <w:r>
        <w:rPr>
          <w:rFonts w:hint="eastAsia" w:ascii="宋体" w:hAnsi="宋体"/>
          <w:bCs/>
          <w:szCs w:val="21"/>
          <w:highlight w:val="none"/>
        </w:rPr>
        <w:t xml:space="preserve">        验收主体：</w:t>
      </w:r>
      <w:r>
        <w:rPr>
          <w:rFonts w:hint="eastAsia" w:ascii="宋体" w:hAnsi="宋体"/>
          <w:bCs/>
          <w:szCs w:val="21"/>
          <w:highlight w:val="none"/>
          <w:u w:val="single"/>
        </w:rPr>
        <w:t xml:space="preserve">                                    </w:t>
      </w:r>
    </w:p>
    <w:p>
      <w:pPr>
        <w:adjustRightInd w:val="0"/>
        <w:snapToGrid w:val="0"/>
        <w:spacing w:line="420" w:lineRule="exact"/>
        <w:ind w:firstLine="420"/>
        <w:rPr>
          <w:rFonts w:hint="eastAsia" w:ascii="宋体" w:hAnsi="宋体"/>
          <w:bCs/>
          <w:szCs w:val="21"/>
          <w:highlight w:val="none"/>
        </w:rPr>
      </w:pPr>
      <w:r>
        <w:rPr>
          <w:rFonts w:hint="eastAsia" w:ascii="宋体" w:hAnsi="宋体"/>
          <w:bCs/>
          <w:szCs w:val="21"/>
          <w:highlight w:val="none"/>
        </w:rPr>
        <w:t xml:space="preserve">        是否邀请本项目的其他供应商参加验收：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pPr>
        <w:adjustRightInd w:val="0"/>
        <w:snapToGrid w:val="0"/>
        <w:spacing w:line="420" w:lineRule="exact"/>
        <w:ind w:firstLine="840" w:firstLineChars="400"/>
        <w:rPr>
          <w:rFonts w:hint="eastAsia" w:ascii="宋体" w:hAnsi="宋体"/>
          <w:bCs/>
          <w:szCs w:val="21"/>
          <w:highlight w:val="none"/>
        </w:rPr>
      </w:pPr>
      <w:r>
        <w:rPr>
          <w:rFonts w:hint="eastAsia" w:ascii="宋体" w:hAnsi="宋体"/>
          <w:bCs/>
          <w:szCs w:val="21"/>
          <w:highlight w:val="none"/>
        </w:rPr>
        <w:t>是否邀请专家参加验收：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pPr>
        <w:adjustRightInd w:val="0"/>
        <w:snapToGrid w:val="0"/>
        <w:spacing w:line="420" w:lineRule="exact"/>
        <w:ind w:firstLine="840" w:firstLineChars="400"/>
        <w:rPr>
          <w:rFonts w:hint="eastAsia" w:ascii="宋体" w:hAnsi="宋体"/>
          <w:bCs/>
          <w:szCs w:val="21"/>
          <w:highlight w:val="none"/>
        </w:rPr>
      </w:pPr>
      <w:r>
        <w:rPr>
          <w:rFonts w:hint="eastAsia" w:ascii="宋体" w:hAnsi="宋体"/>
          <w:bCs/>
          <w:szCs w:val="21"/>
          <w:highlight w:val="none"/>
        </w:rPr>
        <w:t>是否邀请服务对象参加验收：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pPr>
        <w:adjustRightInd w:val="0"/>
        <w:snapToGrid w:val="0"/>
        <w:spacing w:line="420" w:lineRule="exact"/>
        <w:ind w:firstLine="840" w:firstLineChars="400"/>
        <w:rPr>
          <w:rFonts w:hint="eastAsia" w:ascii="宋体" w:hAnsi="宋体"/>
          <w:bCs/>
          <w:szCs w:val="21"/>
          <w:highlight w:val="none"/>
        </w:rPr>
      </w:pPr>
      <w:r>
        <w:rPr>
          <w:rFonts w:hint="eastAsia" w:ascii="宋体" w:hAnsi="宋体"/>
          <w:bCs/>
          <w:szCs w:val="21"/>
          <w:highlight w:val="none"/>
        </w:rPr>
        <w:t>是否邀请第三方检测机构参加验收：</w:t>
      </w:r>
      <w:r>
        <w:rPr>
          <w:rFonts w:hint="eastAsia" w:ascii="宋体" w:hAnsi="宋体" w:cs="宋体"/>
          <w:szCs w:val="21"/>
          <w:highlight w:val="none"/>
        </w:rPr>
        <w:sym w:font="Wingdings" w:char="00A8"/>
      </w:r>
      <w:r>
        <w:rPr>
          <w:rFonts w:hint="eastAsia" w:ascii="宋体" w:hAnsi="宋体"/>
          <w:bCs/>
          <w:szCs w:val="21"/>
          <w:highlight w:val="none"/>
        </w:rPr>
        <w:t xml:space="preserve">是  </w:t>
      </w:r>
      <w:r>
        <w:rPr>
          <w:rFonts w:hint="eastAsia" w:ascii="宋体" w:hAnsi="宋体" w:cs="宋体"/>
          <w:szCs w:val="21"/>
          <w:highlight w:val="none"/>
        </w:rPr>
        <w:sym w:font="Wingdings" w:char="00A8"/>
      </w:r>
      <w:r>
        <w:rPr>
          <w:rFonts w:hint="eastAsia" w:ascii="宋体" w:hAnsi="宋体"/>
          <w:bCs/>
          <w:szCs w:val="21"/>
          <w:highlight w:val="none"/>
        </w:rPr>
        <w:t>否</w:t>
      </w:r>
    </w:p>
    <w:p>
      <w:pPr>
        <w:adjustRightInd w:val="0"/>
        <w:snapToGrid w:val="0"/>
        <w:spacing w:line="420" w:lineRule="exact"/>
        <w:ind w:firstLine="840" w:firstLineChars="400"/>
        <w:rPr>
          <w:rFonts w:hint="eastAsia" w:ascii="宋体" w:hAnsi="宋体"/>
          <w:bCs/>
          <w:szCs w:val="21"/>
          <w:highlight w:val="none"/>
        </w:rPr>
      </w:pPr>
      <w:r>
        <w:rPr>
          <w:rFonts w:hint="eastAsia" w:ascii="宋体" w:hAnsi="宋体"/>
          <w:bCs/>
          <w:szCs w:val="21"/>
          <w:highlight w:val="none"/>
        </w:rPr>
        <w:t>是否进行抽查检测：</w:t>
      </w:r>
      <w:r>
        <w:rPr>
          <w:rFonts w:hint="eastAsia" w:ascii="宋体" w:hAnsi="宋体" w:cs="宋体"/>
          <w:szCs w:val="21"/>
          <w:highlight w:val="none"/>
        </w:rPr>
        <w:sym w:font="Wingdings" w:char="00A8"/>
      </w:r>
      <w:r>
        <w:rPr>
          <w:rFonts w:hint="eastAsia" w:ascii="宋体" w:hAnsi="宋体"/>
          <w:bCs/>
          <w:szCs w:val="21"/>
          <w:highlight w:val="none"/>
        </w:rPr>
        <w:t>是，抽查比例：</w:t>
      </w:r>
      <w:r>
        <w:rPr>
          <w:rFonts w:hint="eastAsia" w:ascii="宋体" w:hAnsi="宋体"/>
          <w:bCs/>
          <w:szCs w:val="21"/>
          <w:highlight w:val="none"/>
          <w:u w:val="single"/>
        </w:rPr>
        <w:t xml:space="preserve">        </w:t>
      </w: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pPr>
        <w:adjustRightInd w:val="0"/>
        <w:snapToGrid w:val="0"/>
        <w:spacing w:line="420" w:lineRule="exact"/>
        <w:ind w:firstLine="840" w:firstLineChars="400"/>
        <w:rPr>
          <w:rFonts w:hint="eastAsia" w:ascii="宋体" w:hAnsi="宋体"/>
          <w:bCs/>
          <w:szCs w:val="21"/>
          <w:highlight w:val="none"/>
          <w:u w:val="single"/>
        </w:rPr>
      </w:pPr>
      <w:r>
        <w:rPr>
          <w:rFonts w:hint="eastAsia" w:ascii="宋体" w:hAnsi="宋体"/>
          <w:bCs/>
          <w:szCs w:val="21"/>
          <w:highlight w:val="none"/>
        </w:rPr>
        <w:t>是否存在破坏性检测：</w:t>
      </w:r>
      <w:r>
        <w:rPr>
          <w:rFonts w:hint="eastAsia" w:ascii="宋体" w:hAnsi="宋体" w:cs="宋体"/>
          <w:szCs w:val="21"/>
          <w:highlight w:val="none"/>
        </w:rPr>
        <w:sym w:font="Wingdings" w:char="00A8"/>
      </w:r>
      <w:r>
        <w:rPr>
          <w:rFonts w:hint="eastAsia" w:ascii="宋体" w:hAnsi="宋体"/>
          <w:bCs/>
          <w:szCs w:val="21"/>
          <w:highlight w:val="none"/>
        </w:rPr>
        <w:t>是，</w:t>
      </w:r>
      <w:r>
        <w:rPr>
          <w:rFonts w:hint="eastAsia" w:ascii="宋体" w:hAnsi="宋体"/>
          <w:bCs/>
          <w:szCs w:val="21"/>
          <w:highlight w:val="none"/>
          <w:u w:val="single"/>
        </w:rPr>
        <w:t>（应明确对被破坏的检测产品的处理方式）</w:t>
      </w: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否</w:t>
      </w:r>
    </w:p>
    <w:p>
      <w:pPr>
        <w:adjustRightInd w:val="0"/>
        <w:snapToGrid w:val="0"/>
        <w:spacing w:line="42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pPr>
        <w:adjustRightInd w:val="0"/>
        <w:snapToGrid w:val="0"/>
        <w:spacing w:line="420" w:lineRule="exact"/>
        <w:ind w:firstLine="210" w:firstLineChars="1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 xml:space="preserve">（计划于何时验收/供应商提出验收申请之日起   日内组织验收） </w:t>
      </w:r>
    </w:p>
    <w:p>
      <w:pPr>
        <w:adjustRightInd w:val="0"/>
        <w:snapToGrid w:val="0"/>
        <w:spacing w:line="420" w:lineRule="exact"/>
        <w:ind w:firstLine="210" w:firstLineChars="1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cs="宋体"/>
          <w:szCs w:val="21"/>
          <w:highlight w:val="none"/>
        </w:rPr>
        <w:sym w:font="Wingdings" w:char="00A8"/>
      </w:r>
      <w:r>
        <w:rPr>
          <w:rFonts w:hint="eastAsia" w:ascii="宋体" w:hAnsi="宋体"/>
          <w:bCs/>
          <w:szCs w:val="21"/>
          <w:highlight w:val="none"/>
        </w:rPr>
        <w:t>一次性验收</w:t>
      </w:r>
    </w:p>
    <w:p>
      <w:pPr>
        <w:adjustRightInd w:val="0"/>
        <w:snapToGrid w:val="0"/>
        <w:spacing w:line="420" w:lineRule="exact"/>
        <w:ind w:firstLine="420"/>
        <w:rPr>
          <w:rFonts w:hint="eastAsia" w:ascii="宋体" w:hAnsi="宋体"/>
          <w:bCs/>
          <w:szCs w:val="21"/>
          <w:highlight w:val="none"/>
        </w:rPr>
      </w:pPr>
      <w:r>
        <w:rPr>
          <w:rFonts w:hint="eastAsia" w:ascii="宋体" w:hAnsi="宋体"/>
          <w:bCs/>
          <w:szCs w:val="21"/>
          <w:highlight w:val="none"/>
        </w:rPr>
        <w:t xml:space="preserve">                       </w:t>
      </w:r>
      <w:r>
        <w:rPr>
          <w:rFonts w:hint="eastAsia" w:ascii="宋体" w:hAnsi="宋体" w:cs="宋体"/>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u w:val="single"/>
        </w:rPr>
        <w:t xml:space="preserve">   （应明确分期</w:t>
      </w:r>
      <w:r>
        <w:rPr>
          <w:rFonts w:ascii="宋体" w:hAnsi="宋体"/>
          <w:bCs/>
          <w:szCs w:val="21"/>
          <w:highlight w:val="none"/>
          <w:u w:val="single"/>
          <w:lang w:val="en"/>
        </w:rPr>
        <w:t>/</w:t>
      </w:r>
      <w:r>
        <w:rPr>
          <w:rFonts w:hint="eastAsia" w:ascii="宋体" w:hAnsi="宋体"/>
          <w:bCs/>
          <w:szCs w:val="21"/>
          <w:highlight w:val="none"/>
          <w:u w:val="single"/>
          <w:lang w:val="en"/>
        </w:rPr>
        <w:t>分项验收的工作安排</w:t>
      </w:r>
      <w:r>
        <w:rPr>
          <w:rFonts w:hint="eastAsia" w:ascii="宋体" w:hAnsi="宋体"/>
          <w:bCs/>
          <w:szCs w:val="21"/>
          <w:highlight w:val="none"/>
          <w:u w:val="single"/>
        </w:rPr>
        <w:t xml:space="preserve">）   </w:t>
      </w:r>
    </w:p>
    <w:p>
      <w:pPr>
        <w:adjustRightInd w:val="0"/>
        <w:snapToGrid w:val="0"/>
        <w:spacing w:line="420" w:lineRule="exact"/>
        <w:ind w:firstLine="210" w:firstLineChars="100"/>
        <w:rPr>
          <w:rFonts w:hint="eastAsia"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pPr>
        <w:adjustRightInd w:val="0"/>
        <w:snapToGrid w:val="0"/>
        <w:spacing w:line="420" w:lineRule="exact"/>
        <w:ind w:firstLine="210" w:firstLineChars="100"/>
        <w:rPr>
          <w:rFonts w:hint="eastAsia"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（应当包括每一项技术和商务要求的履约情况，特别是落实政府采购扶持中小企业，支持绿色发展和乡村振兴等政策情况）                                       </w:t>
      </w:r>
    </w:p>
    <w:p>
      <w:pPr>
        <w:adjustRightInd w:val="0"/>
        <w:snapToGrid w:val="0"/>
        <w:spacing w:line="420" w:lineRule="exact"/>
        <w:ind w:firstLine="210" w:firstLineChars="1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pPr>
        <w:widowControl/>
        <w:autoSpaceDE w:val="0"/>
        <w:autoSpaceDN w:val="0"/>
        <w:adjustRightInd w:val="0"/>
        <w:spacing w:line="420" w:lineRule="exact"/>
        <w:ind w:firstLine="210" w:firstLineChars="100"/>
        <w:jc w:val="left"/>
        <w:rPr>
          <w:rFonts w:hint="eastAsia" w:ascii="宋体" w:hAnsi="宋体" w:cs="宋体"/>
          <w:kern w:val="0"/>
          <w:szCs w:val="21"/>
          <w:highlight w:val="none"/>
        </w:rPr>
      </w:pPr>
      <w:r>
        <w:rPr>
          <w:rFonts w:hint="eastAsia" w:ascii="宋体" w:hAnsi="宋体" w:cs="宋体"/>
          <w:bCs/>
          <w:kern w:val="0"/>
          <w:szCs w:val="21"/>
          <w:highlight w:val="none"/>
        </w:rPr>
        <w:t>（7）是否以采购活动中供应商提供的样品作为参考：</w:t>
      </w:r>
      <w:r>
        <w:rPr>
          <w:rFonts w:hint="eastAsia" w:ascii="宋体" w:hAnsi="宋体" w:cs="宋体"/>
          <w:kern w:val="0"/>
          <w:szCs w:val="21"/>
          <w:highlight w:val="none"/>
        </w:rPr>
        <w:sym w:font="Wingdings" w:char="00A8"/>
      </w:r>
      <w:r>
        <w:rPr>
          <w:rFonts w:hint="eastAsia" w:ascii="宋体" w:hAnsi="宋体" w:cs="宋体"/>
          <w:bCs/>
          <w:kern w:val="0"/>
          <w:szCs w:val="21"/>
          <w:highlight w:val="none"/>
        </w:rPr>
        <w:t xml:space="preserve">是  </w:t>
      </w:r>
      <w:r>
        <w:rPr>
          <w:rFonts w:hint="eastAsia" w:ascii="宋体" w:hAnsi="宋体" w:cs="宋体"/>
          <w:kern w:val="0"/>
          <w:szCs w:val="21"/>
          <w:highlight w:val="none"/>
        </w:rPr>
        <w:sym w:font="Wingdings" w:char="00A8"/>
      </w:r>
      <w:r>
        <w:rPr>
          <w:rFonts w:hint="eastAsia" w:ascii="宋体" w:hAnsi="宋体" w:cs="宋体"/>
          <w:bCs/>
          <w:kern w:val="0"/>
          <w:szCs w:val="21"/>
          <w:highlight w:val="none"/>
        </w:rPr>
        <w:t>否</w:t>
      </w:r>
    </w:p>
    <w:p>
      <w:pPr>
        <w:adjustRightInd w:val="0"/>
        <w:snapToGrid w:val="0"/>
        <w:spacing w:line="420" w:lineRule="exact"/>
        <w:ind w:firstLine="210" w:firstLineChars="1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（产权过户登记等）                   </w:t>
      </w:r>
    </w:p>
    <w:p>
      <w:pPr>
        <w:numPr>
          <w:ilvl w:val="0"/>
          <w:numId w:val="12"/>
        </w:numPr>
        <w:adjustRightInd w:val="0"/>
        <w:snapToGrid w:val="0"/>
        <w:spacing w:line="420" w:lineRule="exact"/>
        <w:ind w:firstLine="422"/>
        <w:rPr>
          <w:rFonts w:hint="eastAsia" w:ascii="宋体" w:hAnsi="宋体"/>
          <w:b/>
          <w:szCs w:val="21"/>
          <w:highlight w:val="none"/>
        </w:rPr>
      </w:pPr>
      <w:r>
        <w:rPr>
          <w:rFonts w:hint="eastAsia" w:ascii="宋体" w:hAnsi="宋体"/>
          <w:b/>
          <w:szCs w:val="21"/>
          <w:highlight w:val="none"/>
        </w:rPr>
        <w:t>组成合同的文件</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pPr>
        <w:adjustRightInd w:val="0"/>
        <w:snapToGrid w:val="0"/>
        <w:spacing w:line="420" w:lineRule="exact"/>
        <w:ind w:firstLine="210" w:firstLineChars="100"/>
        <w:rPr>
          <w:rFonts w:hint="eastAsia" w:ascii="宋体" w:hAnsi="宋体"/>
          <w:szCs w:val="21"/>
          <w:highlight w:val="none"/>
        </w:rPr>
      </w:pPr>
      <w:r>
        <w:rPr>
          <w:rFonts w:hint="eastAsia" w:ascii="宋体" w:hAnsi="宋体"/>
          <w:szCs w:val="21"/>
          <w:highlight w:val="none"/>
        </w:rPr>
        <w:t>（1）政府采购合同协议书及其变更、补充协议</w:t>
      </w:r>
    </w:p>
    <w:p>
      <w:pPr>
        <w:adjustRightInd w:val="0"/>
        <w:snapToGrid w:val="0"/>
        <w:spacing w:line="420" w:lineRule="exact"/>
        <w:ind w:firstLine="210" w:firstLineChars="100"/>
        <w:rPr>
          <w:rFonts w:hint="eastAsia" w:ascii="宋体" w:hAnsi="宋体"/>
          <w:szCs w:val="21"/>
          <w:highlight w:val="none"/>
        </w:rPr>
      </w:pPr>
      <w:r>
        <w:rPr>
          <w:rFonts w:hint="eastAsia" w:ascii="宋体" w:hAnsi="宋体"/>
          <w:szCs w:val="21"/>
          <w:highlight w:val="none"/>
        </w:rPr>
        <w:t>（2）政府采购合同专用条款</w:t>
      </w:r>
    </w:p>
    <w:p>
      <w:pPr>
        <w:adjustRightInd w:val="0"/>
        <w:snapToGrid w:val="0"/>
        <w:spacing w:line="420" w:lineRule="exact"/>
        <w:ind w:firstLine="210" w:firstLineChars="100"/>
        <w:rPr>
          <w:rFonts w:hint="eastAsia" w:ascii="宋体" w:hAnsi="宋体"/>
          <w:szCs w:val="21"/>
          <w:highlight w:val="none"/>
        </w:rPr>
      </w:pPr>
      <w:r>
        <w:rPr>
          <w:rFonts w:hint="eastAsia" w:ascii="宋体" w:hAnsi="宋体"/>
          <w:szCs w:val="21"/>
          <w:highlight w:val="none"/>
        </w:rPr>
        <w:t>（3）政府采购合同通用条款</w:t>
      </w:r>
    </w:p>
    <w:p>
      <w:pPr>
        <w:adjustRightInd w:val="0"/>
        <w:snapToGrid w:val="0"/>
        <w:spacing w:line="420" w:lineRule="exact"/>
        <w:ind w:firstLine="210" w:firstLineChars="100"/>
        <w:rPr>
          <w:rFonts w:hint="eastAsia" w:ascii="宋体" w:hAnsi="宋体"/>
          <w:szCs w:val="21"/>
          <w:highlight w:val="none"/>
        </w:rPr>
      </w:pPr>
      <w:r>
        <w:rPr>
          <w:rFonts w:hint="eastAsia" w:ascii="宋体" w:hAnsi="宋体"/>
          <w:szCs w:val="21"/>
          <w:highlight w:val="none"/>
        </w:rPr>
        <w:t>（4）中标（成交）通知书</w:t>
      </w:r>
    </w:p>
    <w:p>
      <w:pPr>
        <w:adjustRightInd w:val="0"/>
        <w:snapToGrid w:val="0"/>
        <w:spacing w:line="420" w:lineRule="exact"/>
        <w:ind w:firstLine="210" w:firstLineChars="100"/>
        <w:rPr>
          <w:rFonts w:hint="eastAsia" w:ascii="宋体" w:hAnsi="宋体"/>
          <w:szCs w:val="21"/>
          <w:highlight w:val="none"/>
        </w:rPr>
      </w:pPr>
      <w:r>
        <w:rPr>
          <w:rFonts w:hint="eastAsia" w:ascii="宋体" w:hAnsi="宋体"/>
          <w:szCs w:val="21"/>
          <w:highlight w:val="none"/>
        </w:rPr>
        <w:t>（5）投标（响应）文件</w:t>
      </w:r>
    </w:p>
    <w:p>
      <w:pPr>
        <w:adjustRightInd w:val="0"/>
        <w:snapToGrid w:val="0"/>
        <w:spacing w:line="420" w:lineRule="exact"/>
        <w:ind w:firstLine="210" w:firstLineChars="100"/>
        <w:rPr>
          <w:rFonts w:hint="eastAsia" w:ascii="宋体" w:hAnsi="宋体"/>
          <w:szCs w:val="21"/>
          <w:highlight w:val="none"/>
        </w:rPr>
      </w:pPr>
      <w:r>
        <w:rPr>
          <w:rFonts w:hint="eastAsia" w:ascii="宋体" w:hAnsi="宋体"/>
          <w:szCs w:val="21"/>
          <w:highlight w:val="none"/>
        </w:rPr>
        <w:t>（6）采购文件</w:t>
      </w:r>
    </w:p>
    <w:p>
      <w:pPr>
        <w:adjustRightInd w:val="0"/>
        <w:snapToGrid w:val="0"/>
        <w:spacing w:line="420" w:lineRule="exact"/>
        <w:ind w:firstLine="210" w:firstLineChars="100"/>
        <w:rPr>
          <w:rFonts w:hint="eastAsia" w:ascii="宋体" w:hAnsi="宋体"/>
          <w:szCs w:val="21"/>
          <w:highlight w:val="none"/>
        </w:rPr>
      </w:pPr>
      <w:r>
        <w:rPr>
          <w:rFonts w:hint="eastAsia" w:ascii="宋体" w:hAnsi="宋体"/>
          <w:szCs w:val="21"/>
          <w:highlight w:val="none"/>
        </w:rPr>
        <w:t>（7）有关技术文件，图纸</w:t>
      </w:r>
    </w:p>
    <w:p>
      <w:pPr>
        <w:widowControl/>
        <w:autoSpaceDE w:val="0"/>
        <w:autoSpaceDN w:val="0"/>
        <w:adjustRightInd w:val="0"/>
        <w:spacing w:line="420" w:lineRule="exact"/>
        <w:ind w:firstLine="210" w:firstLineChars="100"/>
        <w:jc w:val="left"/>
        <w:rPr>
          <w:rFonts w:hint="eastAsia" w:ascii="宋体" w:hAnsi="宋体" w:cs="宋体"/>
          <w:szCs w:val="21"/>
          <w:highlight w:val="none"/>
        </w:rPr>
      </w:pPr>
      <w:r>
        <w:rPr>
          <w:rFonts w:hint="eastAsia" w:ascii="宋体" w:hAnsi="宋体" w:cs="宋体"/>
          <w:kern w:val="0"/>
          <w:szCs w:val="21"/>
          <w:highlight w:val="none"/>
        </w:rPr>
        <w:t>（8）</w:t>
      </w:r>
      <w:r>
        <w:rPr>
          <w:rFonts w:hint="eastAsia" w:ascii="宋体" w:hAnsi="宋体" w:cs="宋体"/>
          <w:szCs w:val="21"/>
          <w:highlight w:val="none"/>
        </w:rPr>
        <w:t>国家法律、行政法规和规章制度规定或合同约定的作为合同组成部分的其他文件</w:t>
      </w:r>
    </w:p>
    <w:p>
      <w:pPr>
        <w:numPr>
          <w:ilvl w:val="0"/>
          <w:numId w:val="12"/>
        </w:numPr>
        <w:adjustRightInd w:val="0"/>
        <w:snapToGrid w:val="0"/>
        <w:spacing w:line="420" w:lineRule="exact"/>
        <w:ind w:firstLine="422"/>
        <w:rPr>
          <w:rFonts w:hint="eastAsia" w:ascii="宋体" w:hAnsi="宋体"/>
          <w:b/>
          <w:szCs w:val="21"/>
          <w:highlight w:val="none"/>
        </w:rPr>
      </w:pPr>
      <w:r>
        <w:rPr>
          <w:rFonts w:hint="eastAsia" w:ascii="宋体" w:hAnsi="宋体"/>
          <w:b/>
          <w:szCs w:val="21"/>
          <w:highlight w:val="none"/>
        </w:rPr>
        <w:t>合同生效</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pPr>
        <w:numPr>
          <w:ilvl w:val="0"/>
          <w:numId w:val="12"/>
        </w:numPr>
        <w:adjustRightInd w:val="0"/>
        <w:snapToGrid w:val="0"/>
        <w:spacing w:line="420" w:lineRule="exact"/>
        <w:ind w:firstLine="422"/>
        <w:rPr>
          <w:rFonts w:hint="eastAsia" w:ascii="宋体" w:hAnsi="宋体"/>
          <w:b/>
          <w:szCs w:val="21"/>
          <w:highlight w:val="none"/>
        </w:rPr>
      </w:pPr>
      <w:r>
        <w:rPr>
          <w:rFonts w:hint="eastAsia" w:ascii="宋体" w:hAnsi="宋体"/>
          <w:b/>
          <w:szCs w:val="21"/>
          <w:highlight w:val="none"/>
        </w:rPr>
        <w:t>合同份数</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份，甲方执</w:t>
      </w:r>
      <w:r>
        <w:rPr>
          <w:rFonts w:hint="eastAsia" w:ascii="宋体" w:hAnsi="宋体"/>
          <w:szCs w:val="21"/>
          <w:highlight w:val="none"/>
          <w:u w:val="single"/>
        </w:rPr>
        <w:t xml:space="preserve">     </w:t>
      </w:r>
      <w:r>
        <w:rPr>
          <w:rFonts w:hint="eastAsia" w:ascii="宋体" w:hAnsi="宋体"/>
          <w:szCs w:val="21"/>
          <w:highlight w:val="none"/>
        </w:rPr>
        <w:t>份，乙方执</w:t>
      </w:r>
      <w:r>
        <w:rPr>
          <w:rFonts w:hint="eastAsia" w:ascii="宋体" w:hAnsi="宋体"/>
          <w:szCs w:val="21"/>
          <w:highlight w:val="none"/>
          <w:u w:val="single"/>
        </w:rPr>
        <w:t xml:space="preserve">     </w:t>
      </w:r>
      <w:r>
        <w:rPr>
          <w:rFonts w:hint="eastAsia" w:ascii="宋体" w:hAnsi="宋体"/>
          <w:szCs w:val="21"/>
          <w:highlight w:val="none"/>
        </w:rPr>
        <w:t>份，均具有同等法律效力。</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djustRightInd w:val="0"/>
        <w:snapToGrid w:val="0"/>
        <w:spacing w:line="420" w:lineRule="exact"/>
        <w:ind w:firstLine="420"/>
        <w:rPr>
          <w:rFonts w:hint="eastAsia"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pPr>
        <w:adjustRightInd w:val="0"/>
        <w:snapToGrid w:val="0"/>
        <w:spacing w:line="420" w:lineRule="exact"/>
        <w:ind w:firstLine="420"/>
        <w:rPr>
          <w:highlight w:val="none"/>
        </w:rPr>
      </w:pPr>
      <w:r>
        <w:rPr>
          <w:rFonts w:hint="eastAsia" w:ascii="宋体" w:hAnsi="宋体"/>
          <w:szCs w:val="21"/>
          <w:highlight w:val="none"/>
        </w:rPr>
        <w:t>附件：具体标的及其技术要求和商务要求、联合协议、分包意向协议等。</w:t>
      </w:r>
    </w:p>
    <w:p>
      <w:pPr>
        <w:widowControl/>
        <w:spacing w:line="420" w:lineRule="exact"/>
        <w:ind w:firstLine="420"/>
        <w:jc w:val="left"/>
        <w:rPr>
          <w:szCs w:val="21"/>
          <w:highlight w:val="none"/>
        </w:rPr>
      </w:pPr>
      <w:r>
        <w:rPr>
          <w:szCs w:val="21"/>
          <w:highlight w:val="none"/>
        </w:rPr>
        <w:br w:type="page"/>
      </w:r>
    </w:p>
    <w:tbl>
      <w:tblPr>
        <w:tblStyle w:val="49"/>
        <w:tblW w:w="0" w:type="auto"/>
        <w:tblInd w:w="113"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2054" w:hRule="atLeast"/>
        </w:trPr>
        <w:tc>
          <w:tcPr>
            <w:tcW w:w="5119" w:type="dxa"/>
            <w:gridSpan w:val="2"/>
            <w:tcBorders>
              <w:bottom w:val="single" w:color="auto" w:sz="2" w:space="0"/>
              <w:right w:val="single" w:color="auto" w:sz="2" w:space="0"/>
            </w:tcBorders>
            <w:vAlign w:val="center"/>
          </w:tcPr>
          <w:p>
            <w:pPr>
              <w:adjustRightInd w:val="0"/>
              <w:snapToGrid w:val="0"/>
              <w:spacing w:line="300" w:lineRule="exact"/>
              <w:ind w:firstLine="420"/>
              <w:jc w:val="center"/>
              <w:rPr>
                <w:highlight w:val="none"/>
              </w:rPr>
            </w:pPr>
            <w:r>
              <w:rPr>
                <w:szCs w:val="21"/>
                <w:highlight w:val="none"/>
              </w:rPr>
              <w:t>甲方</w:t>
            </w:r>
            <w:r>
              <w:rPr>
                <w:rFonts w:hint="eastAsia"/>
                <w:szCs w:val="21"/>
                <w:highlight w:val="none"/>
              </w:rPr>
              <w:t>（采购人</w:t>
            </w:r>
            <w:r>
              <w:rPr>
                <w:rFonts w:hint="eastAsia" w:ascii="宋体" w:hAnsi="宋体"/>
                <w:szCs w:val="21"/>
                <w:highlight w:val="none"/>
              </w:rPr>
              <w:t>、受采购人委托签订合同的单位或</w:t>
            </w:r>
            <w:r>
              <w:rPr>
                <w:rFonts w:hint="eastAsia"/>
                <w:szCs w:val="21"/>
                <w:highlight w:val="none"/>
              </w:rPr>
              <w:t>采购文件约定的合同甲方）</w:t>
            </w:r>
          </w:p>
        </w:tc>
        <w:tc>
          <w:tcPr>
            <w:tcW w:w="4871" w:type="dxa"/>
            <w:gridSpan w:val="2"/>
            <w:tcBorders>
              <w:left w:val="single" w:color="auto" w:sz="2" w:space="0"/>
              <w:bottom w:val="single" w:color="auto" w:sz="2" w:space="0"/>
            </w:tcBorders>
            <w:vAlign w:val="center"/>
          </w:tcPr>
          <w:p>
            <w:pPr>
              <w:adjustRightInd w:val="0"/>
              <w:snapToGrid w:val="0"/>
              <w:spacing w:line="300" w:lineRule="exact"/>
              <w:ind w:firstLine="420"/>
              <w:jc w:val="center"/>
              <w:rPr>
                <w:highlight w:val="none"/>
              </w:rPr>
            </w:pPr>
            <w:r>
              <w:rPr>
                <w:szCs w:val="21"/>
                <w:highlight w:val="none"/>
              </w:rPr>
              <w:t>乙方</w:t>
            </w:r>
            <w:r>
              <w:rPr>
                <w:rFonts w:hint="eastAsia"/>
                <w:szCs w:val="21"/>
                <w:highlight w:val="none"/>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832"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单位名称</w:t>
            </w:r>
            <w:r>
              <w:rPr>
                <w:rFonts w:hint="eastAsia"/>
                <w:szCs w:val="21"/>
                <w:highlight w:val="none"/>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单位名称</w:t>
            </w:r>
            <w:r>
              <w:rPr>
                <w:rFonts w:hint="eastAsia"/>
                <w:szCs w:val="21"/>
                <w:highlight w:val="none"/>
              </w:rPr>
              <w:t>（公章或合同章）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法定代表人</w:t>
            </w:r>
          </w:p>
          <w:p>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2869"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法定代表人</w:t>
            </w:r>
          </w:p>
          <w:p>
            <w:pPr>
              <w:adjustRightInd w:val="0"/>
              <w:snapToGrid w:val="0"/>
              <w:spacing w:line="300" w:lineRule="exact"/>
              <w:ind w:firstLine="420"/>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420"/>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869"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拥有者性别</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住  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住  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联 系 人</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联系电话</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通信地址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邮政编码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电子邮箱</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rFonts w:hint="eastAsia"/>
                <w:szCs w:val="21"/>
                <w:highlight w:val="none"/>
              </w:rPr>
              <w:t>统一社会信用代码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开户名称</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开户名称</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开户银行</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开户银行</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银行账号</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ind w:firstLine="420"/>
              <w:jc w:val="center"/>
              <w:rPr>
                <w:szCs w:val="21"/>
                <w:highlight w:val="none"/>
              </w:rPr>
            </w:pPr>
            <w:r>
              <w:rPr>
                <w:szCs w:val="21"/>
                <w:highlight w:val="none"/>
              </w:rPr>
              <w:t>银行账号</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ind w:firstLine="500"/>
              <w:jc w:val="center"/>
              <w:rPr>
                <w:spacing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45" w:hRule="atLeast"/>
        </w:trPr>
        <w:tc>
          <w:tcPr>
            <w:tcW w:w="9990" w:type="dxa"/>
            <w:gridSpan w:val="4"/>
            <w:tcBorders>
              <w:top w:val="single" w:color="auto" w:sz="2" w:space="0"/>
            </w:tcBorders>
            <w:vAlign w:val="center"/>
          </w:tcPr>
          <w:p>
            <w:pPr>
              <w:adjustRightInd w:val="0"/>
              <w:snapToGrid w:val="0"/>
              <w:spacing w:before="156" w:beforeLines="50" w:line="360" w:lineRule="auto"/>
              <w:ind w:firstLine="420"/>
              <w:jc w:val="left"/>
              <w:rPr>
                <w:spacing w:val="20"/>
                <w:szCs w:val="21"/>
                <w:highlight w:val="none"/>
              </w:rPr>
            </w:pPr>
            <w:r>
              <w:rPr>
                <w:rFonts w:hint="eastAsia" w:ascii="宋体" w:hAnsi="宋体"/>
                <w:szCs w:val="21"/>
                <w:highlight w:val="none"/>
              </w:rPr>
              <w:t>注：涉及联合体或其他合同主体的信息应按上表格式加列。</w:t>
            </w:r>
          </w:p>
        </w:tc>
      </w:tr>
    </w:tbl>
    <w:p>
      <w:pPr>
        <w:keepNext/>
        <w:keepLines/>
        <w:adjustRightInd w:val="0"/>
        <w:snapToGrid w:val="0"/>
        <w:spacing w:before="156" w:beforeLines="50" w:line="360" w:lineRule="auto"/>
        <w:ind w:firstLine="422"/>
        <w:jc w:val="center"/>
        <w:outlineLvl w:val="1"/>
        <w:rPr>
          <w:rFonts w:hint="eastAsia" w:ascii="黑体" w:hAnsi="黑体" w:eastAsia="黑体"/>
          <w:b/>
          <w:bCs/>
          <w:sz w:val="28"/>
          <w:szCs w:val="28"/>
          <w:highlight w:val="none"/>
        </w:rPr>
      </w:pPr>
      <w:r>
        <w:rPr>
          <w:rFonts w:ascii="宋体" w:hAnsi="宋体"/>
          <w:b/>
          <w:bCs/>
          <w:szCs w:val="21"/>
          <w:highlight w:val="none"/>
          <w:u w:val="single"/>
        </w:rPr>
        <w:br w:type="page"/>
      </w:r>
      <w:bookmarkStart w:id="246" w:name="_Toc27624"/>
      <w:r>
        <w:rPr>
          <w:rFonts w:hint="eastAsia" w:ascii="黑体" w:hAnsi="黑体" w:eastAsia="黑体"/>
          <w:sz w:val="28"/>
          <w:szCs w:val="28"/>
          <w:highlight w:val="none"/>
        </w:rPr>
        <w:t>第二节 政府采购合同通用条款</w:t>
      </w:r>
      <w:bookmarkEnd w:id="246"/>
    </w:p>
    <w:p>
      <w:pPr>
        <w:tabs>
          <w:tab w:val="left" w:pos="8820"/>
          <w:tab w:val="left" w:pos="9345"/>
          <w:tab w:val="left" w:pos="9765"/>
        </w:tabs>
        <w:adjustRightInd w:val="0"/>
        <w:snapToGrid w:val="0"/>
        <w:spacing w:line="460" w:lineRule="exact"/>
        <w:ind w:firstLine="482"/>
        <w:jc w:val="left"/>
        <w:rPr>
          <w:rFonts w:hint="eastAsia" w:ascii="宋体" w:hAnsi="宋体"/>
          <w:b/>
          <w:bCs/>
          <w:sz w:val="24"/>
          <w:highlight w:val="none"/>
        </w:rPr>
      </w:pPr>
      <w:r>
        <w:rPr>
          <w:rFonts w:hint="eastAsia" w:ascii="宋体" w:hAnsi="宋体"/>
          <w:b/>
          <w:sz w:val="24"/>
          <w:highlight w:val="none"/>
        </w:rPr>
        <w:t xml:space="preserve">1. </w:t>
      </w:r>
      <w:r>
        <w:rPr>
          <w:rFonts w:hint="eastAsia" w:ascii="宋体" w:hAnsi="宋体"/>
          <w:b/>
          <w:bCs/>
          <w:sz w:val="24"/>
          <w:highlight w:val="none"/>
        </w:rPr>
        <w:t>定义</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1.1合同当事人</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（1）采购人（以下称甲方）是指使用财政性资金，通过政府采购方式向供应商购买货物及其相关服务的国家机关、事业单位、团体组织。</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（3）其他合同主体是指除采购人和供应商以外，</w:t>
      </w:r>
      <w:r>
        <w:rPr>
          <w:rFonts w:hint="eastAsia" w:ascii="宋体" w:hAnsi="宋体" w:cs="宋体"/>
          <w:bCs/>
          <w:szCs w:val="21"/>
          <w:highlight w:val="none"/>
        </w:rPr>
        <w:t>依法参与合同缔结或履行，享有权利、承担义务的合同当事人</w:t>
      </w:r>
      <w:r>
        <w:rPr>
          <w:rFonts w:hint="eastAsia" w:ascii="宋体" w:hAnsi="宋体"/>
          <w:szCs w:val="21"/>
          <w:highlight w:val="none"/>
        </w:rPr>
        <w:t>。</w:t>
      </w:r>
    </w:p>
    <w:p>
      <w:pPr>
        <w:tabs>
          <w:tab w:val="left" w:pos="570"/>
          <w:tab w:val="left" w:pos="9240"/>
          <w:tab w:val="left" w:pos="9555"/>
        </w:tabs>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1.2本合同下列术语应解释为：</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（1）“合同”系指</w:t>
      </w:r>
      <w:r>
        <w:rPr>
          <w:rFonts w:hint="eastAsia" w:ascii="宋体" w:hAnsi="宋体" w:cs="宋体"/>
          <w:bCs/>
          <w:szCs w:val="21"/>
          <w:highlight w:val="none"/>
        </w:rPr>
        <w:t>合同当事人意思表示达成一致的任何协议，包括签署的</w:t>
      </w:r>
      <w:r>
        <w:rPr>
          <w:rFonts w:hint="eastAsia" w:ascii="宋体" w:hAnsi="宋体"/>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highlight w:val="none"/>
        </w:rPr>
        <w:t>国家法律、行政法规和规章制度规定或合同约定的作为合同组成部分的其他文件</w:t>
      </w:r>
      <w:r>
        <w:rPr>
          <w:rFonts w:hint="eastAsia" w:ascii="宋体" w:hAnsi="宋体"/>
          <w:szCs w:val="21"/>
          <w:highlight w:val="none"/>
        </w:rPr>
        <w:t>。</w:t>
      </w:r>
    </w:p>
    <w:p>
      <w:pPr>
        <w:tabs>
          <w:tab w:val="left" w:pos="570"/>
          <w:tab w:val="left" w:pos="9240"/>
          <w:tab w:val="left" w:pos="9555"/>
        </w:tabs>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（2）“合同价款”系指根据本合同规定乙方在全面履行合同义务后甲方应支付给乙方的价款。</w:t>
      </w:r>
    </w:p>
    <w:p>
      <w:pPr>
        <w:tabs>
          <w:tab w:val="left" w:pos="570"/>
          <w:tab w:val="left" w:pos="9240"/>
          <w:tab w:val="left" w:pos="9555"/>
        </w:tabs>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（3）“货物”系指乙方根据本合同规定须向甲方提供的各种形态和种类的物品，包括原材料、设备、产品（包括软件）及相关的其备品备件、工具、手册及</w:t>
      </w:r>
      <w:r>
        <w:rPr>
          <w:rFonts w:ascii="宋体" w:hAnsi="宋体"/>
          <w:szCs w:val="21"/>
          <w:highlight w:val="none"/>
          <w:lang w:val="en"/>
        </w:rPr>
        <w:t>其他</w:t>
      </w:r>
      <w:r>
        <w:rPr>
          <w:rFonts w:hint="eastAsia" w:ascii="宋体" w:hAnsi="宋体"/>
          <w:szCs w:val="21"/>
          <w:highlight w:val="none"/>
        </w:rPr>
        <w:t>技术资料和材料等。</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（4）“相关服务”系指根据合同规定，乙方应提供的与货物有关的技术、管理和</w:t>
      </w:r>
      <w:r>
        <w:rPr>
          <w:rFonts w:ascii="宋体" w:hAnsi="宋体"/>
          <w:szCs w:val="21"/>
          <w:highlight w:val="none"/>
          <w:lang w:val="en"/>
        </w:rPr>
        <w:t>其他</w:t>
      </w:r>
      <w:r>
        <w:rPr>
          <w:rFonts w:hint="eastAsia" w:ascii="宋体" w:hAnsi="宋体"/>
          <w:szCs w:val="21"/>
          <w:highlight w:val="none"/>
        </w:rPr>
        <w:t>服务，包括但不限于：管理和质量保证、运输、保险、检验、现场准备、安装、集成、调试、培训、维修、废弃处置、技术支持等以及合同中规定乙方应承担的</w:t>
      </w:r>
      <w:r>
        <w:rPr>
          <w:rFonts w:ascii="宋体" w:hAnsi="宋体"/>
          <w:szCs w:val="21"/>
          <w:highlight w:val="none"/>
          <w:lang w:val="en"/>
        </w:rPr>
        <w:t>其他</w:t>
      </w:r>
      <w:r>
        <w:rPr>
          <w:rFonts w:hint="eastAsia" w:ascii="宋体" w:hAnsi="宋体"/>
          <w:szCs w:val="21"/>
          <w:highlight w:val="none"/>
        </w:rPr>
        <w:t>义务。</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highlight w:val="none"/>
        </w:rPr>
        <w:t>政府采购合同专用条款</w:t>
      </w:r>
      <w:r>
        <w:rPr>
          <w:rFonts w:hint="eastAsia" w:ascii="宋体" w:hAnsi="宋体"/>
          <w:szCs w:val="21"/>
          <w:highlight w:val="none"/>
        </w:rPr>
        <w:t>】。</w:t>
      </w:r>
    </w:p>
    <w:p>
      <w:pPr>
        <w:tabs>
          <w:tab w:val="left" w:pos="570"/>
          <w:tab w:val="left" w:pos="9240"/>
          <w:tab w:val="left" w:pos="9555"/>
        </w:tabs>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（7）其他术语解释，见【</w:t>
      </w:r>
      <w:r>
        <w:rPr>
          <w:rFonts w:hint="eastAsia" w:ascii="宋体" w:hAnsi="宋体"/>
          <w:b/>
          <w:bCs/>
          <w:szCs w:val="21"/>
          <w:highlight w:val="none"/>
        </w:rPr>
        <w:t>政府采购合同专用条款</w:t>
      </w:r>
      <w:r>
        <w:rPr>
          <w:rFonts w:hint="eastAsia" w:ascii="宋体" w:hAnsi="宋体"/>
          <w:szCs w:val="21"/>
          <w:highlight w:val="none"/>
        </w:rPr>
        <w:t>】。</w:t>
      </w:r>
    </w:p>
    <w:p>
      <w:pPr>
        <w:numPr>
          <w:ilvl w:val="0"/>
          <w:numId w:val="13"/>
        </w:num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sz w:val="24"/>
          <w:highlight w:val="none"/>
        </w:rPr>
        <w:t>合同标的及金额</w:t>
      </w:r>
    </w:p>
    <w:p>
      <w:pPr>
        <w:autoSpaceDE w:val="0"/>
        <w:autoSpaceDN w:val="0"/>
        <w:adjustRightInd w:val="0"/>
        <w:snapToGrid w:val="0"/>
        <w:spacing w:line="460" w:lineRule="exact"/>
        <w:ind w:firstLine="420"/>
        <w:jc w:val="left"/>
        <w:rPr>
          <w:rFonts w:hint="eastAsia" w:ascii="宋体" w:hAnsi="宋体"/>
          <w:b/>
          <w:bCs/>
          <w:i/>
          <w:iCs/>
          <w:szCs w:val="21"/>
          <w:highlight w:val="none"/>
        </w:rPr>
      </w:pPr>
      <w:r>
        <w:rPr>
          <w:rFonts w:hint="eastAsia" w:ascii="宋体" w:hAnsi="宋体"/>
          <w:szCs w:val="21"/>
          <w:highlight w:val="none"/>
        </w:rPr>
        <w:t>2.1 合同标的及金额应与中标（成交）结果一致。乙方为履行本合同而发生的所有费用均应包含在合同价款中，甲方不再另行支付</w:t>
      </w:r>
      <w:r>
        <w:rPr>
          <w:rFonts w:ascii="宋体" w:hAnsi="宋体"/>
          <w:szCs w:val="21"/>
          <w:highlight w:val="none"/>
          <w:lang w:val="en"/>
        </w:rPr>
        <w:t>其他</w:t>
      </w:r>
      <w:r>
        <w:rPr>
          <w:rFonts w:hint="eastAsia" w:ascii="宋体" w:hAnsi="宋体"/>
          <w:szCs w:val="21"/>
          <w:highlight w:val="none"/>
        </w:rPr>
        <w:t>任何费用。</w:t>
      </w:r>
    </w:p>
    <w:p>
      <w:pPr>
        <w:adjustRightInd w:val="0"/>
        <w:snapToGrid w:val="0"/>
        <w:spacing w:line="460" w:lineRule="exact"/>
        <w:ind w:firstLine="482"/>
        <w:jc w:val="left"/>
        <w:rPr>
          <w:rFonts w:hint="eastAsia" w:ascii="宋体" w:hAnsi="宋体"/>
          <w:b/>
          <w:sz w:val="24"/>
          <w:highlight w:val="none"/>
        </w:rPr>
      </w:pPr>
      <w:r>
        <w:rPr>
          <w:rFonts w:hint="eastAsia" w:ascii="宋体" w:hAnsi="宋体"/>
          <w:b/>
          <w:sz w:val="24"/>
          <w:highlight w:val="none"/>
        </w:rPr>
        <w:t>3. 履行合同的时间、地点和方式</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 xml:space="preserve">3.1 </w:t>
      </w:r>
      <w:r>
        <w:rPr>
          <w:rFonts w:hint="eastAsia" w:ascii="宋体" w:hAnsi="宋体" w:cs="宋体"/>
          <w:szCs w:val="21"/>
          <w:highlight w:val="none"/>
        </w:rPr>
        <w:t>乙方应当在约定的时间、地点，按照约定方式履行合同。</w:t>
      </w:r>
    </w:p>
    <w:p>
      <w:p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4. 甲方的权利和义务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4.1</w:t>
      </w:r>
      <w:r>
        <w:rPr>
          <w:rFonts w:ascii="宋体" w:hAnsi="宋体"/>
          <w:szCs w:val="21"/>
          <w:highlight w:val="none"/>
        </w:rPr>
        <w:t xml:space="preserve"> 签署合同后，甲方</w:t>
      </w:r>
      <w:r>
        <w:rPr>
          <w:rFonts w:hint="eastAsia" w:ascii="宋体" w:hAnsi="宋体"/>
          <w:szCs w:val="21"/>
          <w:highlight w:val="none"/>
        </w:rPr>
        <w:t>应</w:t>
      </w:r>
      <w:r>
        <w:rPr>
          <w:rFonts w:ascii="宋体" w:hAnsi="宋体"/>
          <w:szCs w:val="21"/>
          <w:highlight w:val="none"/>
        </w:rPr>
        <w:t>确定</w:t>
      </w:r>
      <w:r>
        <w:rPr>
          <w:rFonts w:hint="eastAsia" w:ascii="宋体" w:hAnsi="宋体"/>
          <w:szCs w:val="21"/>
          <w:highlight w:val="none"/>
        </w:rPr>
        <w:t>项目负责人（或项目联系人）</w:t>
      </w:r>
      <w:r>
        <w:rPr>
          <w:rFonts w:ascii="宋体" w:hAnsi="宋体"/>
          <w:szCs w:val="21"/>
          <w:highlight w:val="none"/>
        </w:rPr>
        <w:t>，负责与本合同有关的事务。</w:t>
      </w:r>
      <w:r>
        <w:rPr>
          <w:rFonts w:hint="eastAsia" w:ascii="宋体" w:hAnsi="宋体"/>
          <w:szCs w:val="21"/>
          <w:highlight w:val="none"/>
        </w:rPr>
        <w:t>甲方有权对乙方的履约行为进行检查，并</w:t>
      </w:r>
      <w:r>
        <w:rPr>
          <w:rFonts w:ascii="宋体" w:hAnsi="宋体"/>
          <w:szCs w:val="21"/>
          <w:highlight w:val="none"/>
        </w:rPr>
        <w:t>及时确认乙方提交的事项</w:t>
      </w:r>
      <w:r>
        <w:rPr>
          <w:rFonts w:hint="eastAsia" w:ascii="宋体" w:hAnsi="宋体"/>
          <w:szCs w:val="21"/>
          <w:highlight w:val="none"/>
        </w:rPr>
        <w:t>。甲方应当</w:t>
      </w:r>
      <w:r>
        <w:rPr>
          <w:rFonts w:ascii="宋体" w:hAnsi="宋体"/>
          <w:szCs w:val="21"/>
          <w:highlight w:val="none"/>
        </w:rPr>
        <w:t>配合乙方完成</w:t>
      </w:r>
      <w:r>
        <w:rPr>
          <w:rFonts w:hint="eastAsia" w:ascii="宋体" w:hAnsi="宋体"/>
          <w:szCs w:val="21"/>
          <w:highlight w:val="none"/>
        </w:rPr>
        <w:t>相关项目</w:t>
      </w:r>
      <w:r>
        <w:rPr>
          <w:rFonts w:ascii="宋体" w:hAnsi="宋体"/>
          <w:szCs w:val="21"/>
          <w:highlight w:val="none"/>
        </w:rPr>
        <w:t>实施工作。</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 xml:space="preserve">4.2 </w:t>
      </w:r>
      <w:r>
        <w:rPr>
          <w:rFonts w:ascii="宋体" w:hAnsi="宋体"/>
          <w:szCs w:val="21"/>
          <w:highlight w:val="none"/>
        </w:rPr>
        <w:t>甲方有权要求乙方按时提交各阶段有关</w:t>
      </w:r>
      <w:r>
        <w:rPr>
          <w:rFonts w:hint="eastAsia" w:ascii="宋体" w:hAnsi="宋体"/>
          <w:szCs w:val="21"/>
          <w:highlight w:val="none"/>
        </w:rPr>
        <w:t>安排计划</w:t>
      </w:r>
      <w:r>
        <w:rPr>
          <w:rFonts w:ascii="宋体" w:hAnsi="宋体"/>
          <w:szCs w:val="21"/>
          <w:highlight w:val="none"/>
        </w:rPr>
        <w:t>，并有权</w:t>
      </w:r>
      <w:r>
        <w:rPr>
          <w:rFonts w:hint="eastAsia" w:ascii="宋体" w:hAnsi="宋体"/>
          <w:szCs w:val="21"/>
          <w:highlight w:val="none"/>
        </w:rPr>
        <w:t>定期核对乙方提供货物数量、规格、质量等内容。甲方</w:t>
      </w:r>
      <w:r>
        <w:rPr>
          <w:rFonts w:ascii="宋体" w:hAnsi="宋体"/>
          <w:szCs w:val="21"/>
          <w:highlight w:val="none"/>
        </w:rPr>
        <w:t>有权督促乙方工作并要求乙方</w:t>
      </w:r>
      <w:r>
        <w:rPr>
          <w:rFonts w:hint="eastAsia" w:ascii="宋体" w:hAnsi="宋体"/>
          <w:szCs w:val="21"/>
          <w:highlight w:val="none"/>
        </w:rPr>
        <w:t>更</w:t>
      </w:r>
      <w:r>
        <w:rPr>
          <w:rFonts w:ascii="宋体" w:hAnsi="宋体"/>
          <w:szCs w:val="21"/>
          <w:highlight w:val="none"/>
        </w:rPr>
        <w:t>换不符合要求的</w:t>
      </w:r>
      <w:r>
        <w:rPr>
          <w:rFonts w:hint="eastAsia" w:ascii="宋体" w:hAnsi="宋体"/>
          <w:szCs w:val="21"/>
          <w:highlight w:val="none"/>
        </w:rPr>
        <w:t>货物</w:t>
      </w:r>
      <w:r>
        <w:rPr>
          <w:rFonts w:ascii="宋体" w:hAnsi="宋体"/>
          <w:szCs w:val="21"/>
          <w:highlight w:val="none"/>
        </w:rPr>
        <w:t>。</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4.</w:t>
      </w:r>
      <w:r>
        <w:rPr>
          <w:rFonts w:ascii="宋体" w:hAnsi="宋体"/>
          <w:szCs w:val="21"/>
          <w:highlight w:val="none"/>
        </w:rPr>
        <w:t>3</w:t>
      </w:r>
      <w:r>
        <w:rPr>
          <w:rFonts w:hint="eastAsia" w:ascii="宋体" w:hAnsi="宋体"/>
          <w:szCs w:val="21"/>
          <w:highlight w:val="none"/>
        </w:rPr>
        <w:t xml:space="preserve"> </w:t>
      </w:r>
      <w:r>
        <w:rPr>
          <w:rFonts w:ascii="宋体" w:hAnsi="宋体"/>
          <w:szCs w:val="21"/>
          <w:highlight w:val="none"/>
        </w:rPr>
        <w:t>甲方</w:t>
      </w:r>
      <w:r>
        <w:rPr>
          <w:rFonts w:hint="eastAsia" w:ascii="宋体" w:hAnsi="宋体"/>
          <w:szCs w:val="21"/>
          <w:highlight w:val="none"/>
        </w:rPr>
        <w:t>有权要求乙方对缺陷部分予以修复，并按合同约定享有货物保修及其他合同约定的权利。</w:t>
      </w:r>
    </w:p>
    <w:p>
      <w:pPr>
        <w:snapToGrid w:val="0"/>
        <w:spacing w:line="460" w:lineRule="exact"/>
        <w:ind w:firstLine="420"/>
        <w:rPr>
          <w:rFonts w:eastAsia="华文楷体"/>
          <w:highlight w:val="none"/>
        </w:rPr>
      </w:pPr>
      <w:r>
        <w:rPr>
          <w:rFonts w:ascii="宋体" w:hAnsi="宋体"/>
          <w:szCs w:val="21"/>
          <w:highlight w:val="none"/>
        </w:rPr>
        <w:t>4.4 甲方应当按照合同约定及时对交付的货物进行验收</w:t>
      </w:r>
      <w:r>
        <w:rPr>
          <w:rFonts w:hint="eastAsia" w:ascii="宋体" w:hAnsi="宋体"/>
          <w:szCs w:val="21"/>
          <w:highlight w:val="none"/>
        </w:rPr>
        <w:t>，</w:t>
      </w:r>
      <w:r>
        <w:rPr>
          <w:rFonts w:hint="eastAsia" w:ascii="宋体" w:hAnsi="宋体" w:cs="宋体"/>
          <w:szCs w:val="21"/>
          <w:highlight w:val="none"/>
        </w:rPr>
        <w:t>未</w:t>
      </w:r>
      <w:r>
        <w:rPr>
          <w:rFonts w:hint="eastAsia" w:ascii="宋体" w:hAnsi="宋体"/>
          <w:szCs w:val="21"/>
          <w:highlight w:val="none"/>
        </w:rPr>
        <w:t>在</w:t>
      </w:r>
      <w:r>
        <w:rPr>
          <w:rFonts w:hint="eastAsia" w:ascii="宋体" w:hAnsi="宋体" w:cs="宋体"/>
          <w:b/>
          <w:bCs/>
          <w:szCs w:val="21"/>
          <w:highlight w:val="none"/>
        </w:rPr>
        <w:t>【政府采购合同专用条款】</w:t>
      </w:r>
      <w:r>
        <w:rPr>
          <w:rFonts w:hint="eastAsia" w:ascii="宋体" w:hAnsi="宋体" w:cs="宋体"/>
          <w:szCs w:val="21"/>
          <w:highlight w:val="none"/>
        </w:rPr>
        <w:t>约定的期限内对乙方履约提出任何异议或者向乙方作出任何说明的，</w:t>
      </w:r>
      <w:r>
        <w:rPr>
          <w:rFonts w:hint="eastAsia" w:ascii="宋体" w:hAnsi="宋体"/>
          <w:szCs w:val="21"/>
          <w:highlight w:val="none"/>
        </w:rPr>
        <w:t>视为验收通过。</w:t>
      </w:r>
    </w:p>
    <w:p>
      <w:pPr>
        <w:autoSpaceDE w:val="0"/>
        <w:autoSpaceDN w:val="0"/>
        <w:adjustRightInd w:val="0"/>
        <w:snapToGrid w:val="0"/>
        <w:spacing w:line="460" w:lineRule="exact"/>
        <w:ind w:firstLine="420"/>
        <w:jc w:val="left"/>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w:t>
      </w:r>
      <w:r>
        <w:rPr>
          <w:rFonts w:ascii="宋体" w:hAnsi="宋体"/>
          <w:szCs w:val="21"/>
          <w:highlight w:val="none"/>
        </w:rPr>
        <w:t xml:space="preserve">5 </w:t>
      </w:r>
      <w:r>
        <w:rPr>
          <w:rFonts w:hint="eastAsia" w:ascii="宋体" w:hAnsi="宋体"/>
          <w:szCs w:val="21"/>
          <w:highlight w:val="none"/>
        </w:rPr>
        <w:t>甲方应当根据合同约定及时向乙方支付合同价款</w:t>
      </w:r>
      <w:r>
        <w:rPr>
          <w:rFonts w:ascii="宋体" w:hAnsi="宋体"/>
          <w:szCs w:val="21"/>
          <w:highlight w:val="none"/>
        </w:rPr>
        <w:t>，不得以内部人员变更、履行内部付款流程等为由，拒绝或迟延支付。</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4.6</w:t>
      </w:r>
      <w:r>
        <w:rPr>
          <w:rFonts w:ascii="宋体" w:hAnsi="宋体"/>
          <w:szCs w:val="21"/>
          <w:highlight w:val="none"/>
        </w:rPr>
        <w:t xml:space="preserve"> </w:t>
      </w:r>
      <w:r>
        <w:rPr>
          <w:rFonts w:hint="eastAsia" w:ascii="宋体" w:hAnsi="宋体"/>
          <w:szCs w:val="21"/>
          <w:highlight w:val="none"/>
        </w:rPr>
        <w:t>国家法律法规规定及</w:t>
      </w:r>
      <w:r>
        <w:rPr>
          <w:rFonts w:hint="eastAsia" w:ascii="宋体" w:hAnsi="宋体" w:cs="宋体"/>
          <w:b/>
          <w:bCs/>
          <w:szCs w:val="21"/>
          <w:highlight w:val="none"/>
        </w:rPr>
        <w:t>【政府采购合同专用条款】</w:t>
      </w:r>
      <w:r>
        <w:rPr>
          <w:rFonts w:hint="eastAsia" w:ascii="宋体" w:hAnsi="宋体"/>
          <w:szCs w:val="21"/>
          <w:highlight w:val="none"/>
        </w:rPr>
        <w:t>约定应由甲方承担的其他义务和责任。</w:t>
      </w:r>
    </w:p>
    <w:p>
      <w:p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5. 乙方的权利和义务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 xml:space="preserve">5.1 </w:t>
      </w:r>
      <w:r>
        <w:rPr>
          <w:rFonts w:ascii="宋体" w:hAnsi="宋体"/>
          <w:szCs w:val="21"/>
          <w:highlight w:val="none"/>
        </w:rPr>
        <w:t>签署合同后，乙方</w:t>
      </w:r>
      <w:r>
        <w:rPr>
          <w:rFonts w:hint="eastAsia" w:ascii="宋体" w:hAnsi="宋体"/>
          <w:szCs w:val="21"/>
          <w:highlight w:val="none"/>
        </w:rPr>
        <w:t>应</w:t>
      </w:r>
      <w:r>
        <w:rPr>
          <w:rFonts w:ascii="宋体" w:hAnsi="宋体"/>
          <w:szCs w:val="21"/>
          <w:highlight w:val="none"/>
        </w:rPr>
        <w:t>确定</w:t>
      </w:r>
      <w:r>
        <w:rPr>
          <w:rFonts w:hint="eastAsia" w:ascii="宋体" w:hAnsi="宋体"/>
          <w:szCs w:val="21"/>
          <w:highlight w:val="none"/>
        </w:rPr>
        <w:t>项目负责人（或项目联系人）</w:t>
      </w:r>
      <w:r>
        <w:rPr>
          <w:rFonts w:ascii="宋体" w:hAnsi="宋体"/>
          <w:szCs w:val="21"/>
          <w:highlight w:val="none"/>
        </w:rPr>
        <w:t>，负责与本合同有关的事务。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5.</w:t>
      </w:r>
      <w:r>
        <w:rPr>
          <w:rFonts w:ascii="宋体" w:hAnsi="宋体"/>
          <w:szCs w:val="21"/>
          <w:highlight w:val="none"/>
        </w:rPr>
        <w:t>2 乙方应按照合同要求</w:t>
      </w:r>
      <w:r>
        <w:rPr>
          <w:rFonts w:hint="eastAsia" w:ascii="宋体" w:hAnsi="宋体"/>
          <w:szCs w:val="21"/>
          <w:highlight w:val="none"/>
        </w:rPr>
        <w:t>履约</w:t>
      </w:r>
      <w:r>
        <w:rPr>
          <w:rFonts w:ascii="宋体" w:hAnsi="宋体"/>
          <w:szCs w:val="21"/>
          <w:highlight w:val="none"/>
        </w:rPr>
        <w:t>，充分合理安排，确保</w:t>
      </w:r>
      <w:r>
        <w:rPr>
          <w:rFonts w:hint="eastAsia" w:ascii="宋体" w:hAnsi="宋体"/>
          <w:szCs w:val="21"/>
          <w:highlight w:val="none"/>
        </w:rPr>
        <w:t>提供的货物及相关服务符合合同有关</w:t>
      </w:r>
      <w:r>
        <w:rPr>
          <w:rFonts w:ascii="宋体" w:hAnsi="宋体"/>
          <w:szCs w:val="21"/>
          <w:highlight w:val="none"/>
        </w:rPr>
        <w:t>要求</w:t>
      </w:r>
      <w:r>
        <w:rPr>
          <w:rFonts w:hint="eastAsia" w:ascii="宋体" w:hAnsi="宋体"/>
          <w:szCs w:val="21"/>
          <w:highlight w:val="none"/>
        </w:rPr>
        <w:t>。接受项目行业管理部门及政府有关部门的指导，配合甲方的履约检查及验收，并</w:t>
      </w:r>
      <w:r>
        <w:rPr>
          <w:rFonts w:ascii="宋体" w:hAnsi="宋体"/>
          <w:szCs w:val="21"/>
          <w:highlight w:val="none"/>
        </w:rPr>
        <w:t>负责项目实施过程中的所有协调工作。</w:t>
      </w:r>
    </w:p>
    <w:p>
      <w:pPr>
        <w:spacing w:line="460" w:lineRule="exact"/>
        <w:ind w:firstLine="369" w:firstLineChars="176"/>
        <w:rPr>
          <w:rFonts w:hint="eastAsia" w:ascii="宋体" w:hAnsi="宋体" w:cs="宋体"/>
          <w:szCs w:val="21"/>
          <w:highlight w:val="none"/>
        </w:rPr>
      </w:pPr>
      <w:r>
        <w:rPr>
          <w:rFonts w:hint="eastAsia" w:ascii="宋体" w:hAnsi="宋体"/>
          <w:szCs w:val="21"/>
          <w:highlight w:val="none"/>
        </w:rPr>
        <w:t>5.</w:t>
      </w:r>
      <w:r>
        <w:rPr>
          <w:rFonts w:ascii="宋体" w:hAnsi="宋体"/>
          <w:szCs w:val="21"/>
          <w:highlight w:val="none"/>
        </w:rPr>
        <w:t>3</w:t>
      </w:r>
      <w:r>
        <w:rPr>
          <w:rFonts w:hint="eastAsia" w:ascii="宋体" w:hAnsi="宋体"/>
          <w:szCs w:val="21"/>
          <w:highlight w:val="none"/>
        </w:rPr>
        <w:t>乙方有权</w:t>
      </w:r>
      <w:r>
        <w:rPr>
          <w:rFonts w:hint="eastAsia" w:ascii="宋体" w:hAnsi="宋体" w:cs="宋体"/>
          <w:szCs w:val="21"/>
          <w:highlight w:val="none"/>
        </w:rPr>
        <w:t>根据合同约定向甲方收取合同价款。</w:t>
      </w:r>
    </w:p>
    <w:p>
      <w:pPr>
        <w:spacing w:line="460" w:lineRule="exact"/>
        <w:ind w:firstLine="369" w:firstLineChars="176"/>
        <w:rPr>
          <w:rFonts w:hint="eastAsia" w:ascii="宋体" w:hAnsi="宋体" w:cs="宋体"/>
          <w:szCs w:val="21"/>
          <w:highlight w:val="none"/>
        </w:rPr>
      </w:pPr>
      <w:r>
        <w:rPr>
          <w:rFonts w:hint="eastAsia" w:ascii="宋体" w:hAnsi="宋体"/>
          <w:szCs w:val="21"/>
          <w:highlight w:val="none"/>
        </w:rPr>
        <w:t>5.</w:t>
      </w:r>
      <w:r>
        <w:rPr>
          <w:rFonts w:ascii="宋体" w:hAnsi="宋体"/>
          <w:szCs w:val="21"/>
          <w:highlight w:val="none"/>
        </w:rPr>
        <w:t>4</w:t>
      </w:r>
      <w:r>
        <w:rPr>
          <w:rFonts w:hint="eastAsia" w:ascii="宋体" w:hAnsi="宋体" w:cs="宋体"/>
          <w:szCs w:val="21"/>
          <w:highlight w:val="none"/>
        </w:rPr>
        <w:t>国家法律法规规定</w:t>
      </w:r>
      <w:r>
        <w:rPr>
          <w:rFonts w:hint="eastAsia" w:ascii="宋体" w:hAnsi="宋体"/>
          <w:szCs w:val="21"/>
          <w:highlight w:val="none"/>
        </w:rPr>
        <w:t>及</w:t>
      </w:r>
      <w:r>
        <w:rPr>
          <w:rFonts w:hint="eastAsia" w:ascii="宋体" w:hAnsi="宋体" w:cs="宋体"/>
          <w:b/>
          <w:bCs/>
          <w:szCs w:val="21"/>
          <w:highlight w:val="none"/>
        </w:rPr>
        <w:t>【政府采购合同专用条款】</w:t>
      </w:r>
      <w:r>
        <w:rPr>
          <w:rFonts w:hint="eastAsia" w:ascii="宋体" w:hAnsi="宋体" w:cs="宋体"/>
          <w:szCs w:val="21"/>
          <w:highlight w:val="none"/>
        </w:rPr>
        <w:t>约定应由乙方承担的其他义务和责任。</w:t>
      </w:r>
    </w:p>
    <w:p>
      <w:pPr>
        <w:numPr>
          <w:ilvl w:val="0"/>
          <w:numId w:val="14"/>
        </w:num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合同履行</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6.1 甲乙双方应当按照</w:t>
      </w:r>
      <w:r>
        <w:rPr>
          <w:rFonts w:hint="eastAsia" w:ascii="宋体" w:hAnsi="宋体" w:cs="宋体"/>
          <w:b/>
          <w:bCs/>
          <w:szCs w:val="21"/>
          <w:highlight w:val="none"/>
        </w:rPr>
        <w:t>【政府采购合同专用条款】</w:t>
      </w:r>
      <w:r>
        <w:rPr>
          <w:rFonts w:hint="eastAsia" w:ascii="宋体" w:hAnsi="宋体"/>
          <w:szCs w:val="21"/>
          <w:highlight w:val="none"/>
        </w:rPr>
        <w:t>约定顺序履行合同义务；如果没有先后顺序的，应当同时履行。</w:t>
      </w:r>
    </w:p>
    <w:p>
      <w:pPr>
        <w:autoSpaceDE w:val="0"/>
        <w:autoSpaceDN w:val="0"/>
        <w:adjustRightInd w:val="0"/>
        <w:snapToGrid w:val="0"/>
        <w:spacing w:line="460" w:lineRule="exact"/>
        <w:ind w:firstLine="420"/>
        <w:jc w:val="left"/>
        <w:rPr>
          <w:highlight w:val="none"/>
        </w:rPr>
      </w:pPr>
      <w:r>
        <w:rPr>
          <w:rFonts w:hint="eastAsia" w:ascii="宋体" w:hAnsi="宋体"/>
          <w:szCs w:val="21"/>
          <w:highlight w:val="none"/>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7. 货物包装、运输、保险和交付要求</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7.1 本合同</w:t>
      </w:r>
      <w:r>
        <w:rPr>
          <w:rFonts w:hint="eastAsia" w:ascii="宋体" w:hAnsi="宋体"/>
          <w:bCs/>
          <w:szCs w:val="21"/>
          <w:highlight w:val="none"/>
        </w:rPr>
        <w:t>涉及商品包装、快递包装的，</w:t>
      </w:r>
      <w:r>
        <w:rPr>
          <w:rFonts w:hint="eastAsia" w:ascii="宋体" w:hAnsi="宋体"/>
          <w:szCs w:val="21"/>
          <w:highlight w:val="none"/>
        </w:rPr>
        <w:t>除</w:t>
      </w:r>
      <w:r>
        <w:rPr>
          <w:rFonts w:hint="eastAsia" w:ascii="宋体" w:hAnsi="宋体"/>
          <w:b/>
          <w:szCs w:val="21"/>
          <w:highlight w:val="none"/>
        </w:rPr>
        <w:t>【政府采购合同专用条款】</w:t>
      </w:r>
      <w:r>
        <w:rPr>
          <w:rFonts w:hint="eastAsia" w:ascii="宋体" w:hAnsi="宋体"/>
          <w:bCs/>
          <w:szCs w:val="21"/>
          <w:highlight w:val="none"/>
        </w:rPr>
        <w:t>另有约定外，</w:t>
      </w:r>
      <w:r>
        <w:rPr>
          <w:rFonts w:hint="eastAsia" w:ascii="宋体" w:hAnsi="宋体"/>
          <w:szCs w:val="21"/>
          <w:highlight w:val="none"/>
        </w:rPr>
        <w:t>包装应适应远距离运输、防潮、防震、防锈和防野蛮装卸等要求，确保货物安全无损地运抵</w:t>
      </w:r>
      <w:r>
        <w:rPr>
          <w:rFonts w:hint="eastAsia" w:ascii="宋体" w:hAnsi="宋体"/>
          <w:b/>
          <w:szCs w:val="21"/>
          <w:highlight w:val="none"/>
        </w:rPr>
        <w:t>【政府采购合同专用条款】</w:t>
      </w:r>
      <w:r>
        <w:rPr>
          <w:rFonts w:hint="eastAsia" w:ascii="宋体" w:hAnsi="宋体"/>
          <w:bCs/>
          <w:szCs w:val="21"/>
          <w:highlight w:val="none"/>
        </w:rPr>
        <w:t>约定的</w:t>
      </w:r>
      <w:r>
        <w:rPr>
          <w:rFonts w:hint="eastAsia" w:ascii="宋体" w:hAnsi="宋体"/>
          <w:szCs w:val="21"/>
          <w:highlight w:val="none"/>
        </w:rPr>
        <w:t>指定现场。</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7.2 除</w:t>
      </w:r>
      <w:r>
        <w:rPr>
          <w:rFonts w:hint="eastAsia" w:ascii="宋体" w:hAnsi="宋体"/>
          <w:b/>
          <w:szCs w:val="21"/>
          <w:highlight w:val="none"/>
        </w:rPr>
        <w:t>【政府采购合同专用条款】</w:t>
      </w:r>
      <w:r>
        <w:rPr>
          <w:rFonts w:hint="eastAsia" w:ascii="宋体" w:hAnsi="宋体"/>
          <w:bCs/>
          <w:szCs w:val="21"/>
          <w:highlight w:val="none"/>
        </w:rPr>
        <w:t>另有约定外，</w:t>
      </w:r>
      <w:r>
        <w:rPr>
          <w:rFonts w:hint="eastAsia" w:ascii="宋体" w:hAnsi="宋体"/>
          <w:szCs w:val="21"/>
          <w:highlight w:val="none"/>
        </w:rPr>
        <w:t>乙方负责办理将货物运抵本合同规定的交货地点，并装卸、交付至甲方的一切运输事项，相关费用应包含在合同价款中。</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7.3 货物保险要求按</w:t>
      </w:r>
      <w:r>
        <w:rPr>
          <w:rFonts w:hint="eastAsia" w:ascii="宋体" w:hAnsi="宋体"/>
          <w:b/>
          <w:szCs w:val="21"/>
          <w:highlight w:val="none"/>
        </w:rPr>
        <w:t>【政府采购合同专用条款】</w:t>
      </w:r>
      <w:r>
        <w:rPr>
          <w:rFonts w:hint="eastAsia" w:ascii="宋体" w:hAnsi="宋体"/>
          <w:bCs/>
          <w:szCs w:val="21"/>
          <w:highlight w:val="none"/>
        </w:rPr>
        <w:t>规定执行</w:t>
      </w:r>
      <w:r>
        <w:rPr>
          <w:rFonts w:hint="eastAsia" w:ascii="宋体" w:hAnsi="宋体"/>
          <w:szCs w:val="21"/>
          <w:highlight w:val="none"/>
        </w:rPr>
        <w:t>。</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 xml:space="preserve">7.5 </w:t>
      </w:r>
      <w:r>
        <w:rPr>
          <w:rFonts w:hint="eastAsia" w:ascii="宋体" w:hAnsi="宋体" w:cs="宋体"/>
          <w:szCs w:val="21"/>
          <w:highlight w:val="none"/>
        </w:rPr>
        <w:t>乙方在运输到达之前应提前通知甲方，并提示货物运输装卸的注意事项，甲方配合乙方做好货物的接收工作。</w:t>
      </w:r>
    </w:p>
    <w:p>
      <w:pPr>
        <w:widowControl/>
        <w:autoSpaceDE w:val="0"/>
        <w:autoSpaceDN w:val="0"/>
        <w:adjustRightInd w:val="0"/>
        <w:spacing w:line="460" w:lineRule="exact"/>
        <w:ind w:firstLine="420"/>
        <w:jc w:val="left"/>
        <w:rPr>
          <w:rFonts w:hint="eastAsia" w:ascii="华文楷体" w:hAnsi="华文楷体" w:eastAsia="华文楷体" w:cs="华文楷体"/>
          <w:kern w:val="0"/>
          <w:szCs w:val="21"/>
          <w:highlight w:val="none"/>
        </w:rPr>
      </w:pPr>
      <w:r>
        <w:rPr>
          <w:rFonts w:hint="eastAsia" w:ascii="宋体" w:hAnsi="宋体"/>
          <w:szCs w:val="21"/>
          <w:highlight w:val="none"/>
        </w:rPr>
        <w:t>7.6 如因包装、运输问题导致货物损毁、丢失或者品质下降，甲方有权要求降价、换货、拒收部分或整批货物，由此产生的费用和损失，均由乙方承担。</w:t>
      </w:r>
    </w:p>
    <w:p>
      <w:pPr>
        <w:adjustRightInd w:val="0"/>
        <w:snapToGrid w:val="0"/>
        <w:spacing w:line="460" w:lineRule="exact"/>
        <w:ind w:firstLine="482"/>
        <w:jc w:val="left"/>
        <w:rPr>
          <w:rFonts w:hint="eastAsia" w:ascii="宋体" w:hAnsi="宋体"/>
          <w:b/>
          <w:sz w:val="24"/>
          <w:highlight w:val="none"/>
        </w:rPr>
      </w:pPr>
      <w:r>
        <w:rPr>
          <w:rFonts w:hint="eastAsia" w:ascii="宋体" w:hAnsi="宋体"/>
          <w:b/>
          <w:sz w:val="24"/>
          <w:highlight w:val="none"/>
        </w:rPr>
        <w:t>8. 质量标准和保证</w:t>
      </w:r>
    </w:p>
    <w:p>
      <w:pPr>
        <w:adjustRightInd w:val="0"/>
        <w:snapToGrid w:val="0"/>
        <w:spacing w:line="460" w:lineRule="exact"/>
        <w:ind w:firstLine="420"/>
        <w:jc w:val="left"/>
        <w:rPr>
          <w:rFonts w:hint="eastAsia" w:ascii="宋体" w:hAnsi="宋体" w:cs="Courier New"/>
          <w:b/>
          <w:szCs w:val="21"/>
          <w:highlight w:val="none"/>
        </w:rPr>
      </w:pPr>
      <w:r>
        <w:rPr>
          <w:rFonts w:hint="eastAsia" w:ascii="宋体" w:hAnsi="宋体" w:cs="Courier New"/>
          <w:szCs w:val="21"/>
          <w:highlight w:val="none"/>
        </w:rPr>
        <w:t>8.1 质量标准</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（1）本合同下提供的货物应符合合同</w:t>
      </w:r>
      <w:r>
        <w:rPr>
          <w:rFonts w:hint="eastAsia" w:ascii="宋体" w:hAnsi="宋体" w:cs="宋体"/>
          <w:szCs w:val="21"/>
          <w:highlight w:val="none"/>
        </w:rPr>
        <w:t>约定的品牌、规格型号、技术性能、配置、质量、数量等要求。</w:t>
      </w:r>
      <w:r>
        <w:rPr>
          <w:rFonts w:hint="eastAsia" w:ascii="宋体" w:hAnsi="宋体"/>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adjustRightInd w:val="0"/>
        <w:snapToGrid w:val="0"/>
        <w:spacing w:line="460" w:lineRule="exact"/>
        <w:ind w:firstLine="420"/>
        <w:jc w:val="left"/>
        <w:rPr>
          <w:rFonts w:hint="eastAsia" w:ascii="宋体" w:hAnsi="宋体" w:cs="Courier New"/>
          <w:szCs w:val="21"/>
          <w:highlight w:val="none"/>
        </w:rPr>
      </w:pPr>
      <w:r>
        <w:rPr>
          <w:rFonts w:hint="eastAsia" w:ascii="宋体" w:hAnsi="宋体" w:cs="Courier New"/>
          <w:szCs w:val="21"/>
          <w:highlight w:val="none"/>
        </w:rPr>
        <w:t>（2）采用中华人民共和国法定计量单位。</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（3）乙方所提供的货物应符合国家有关安全、环保、卫生的规定。</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8.2 保证</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（1）乙方应保证提供的货物完全符合合同规定的质量、规格和性能要求。乙方应保证货物在正确安装、正常使用和保养条件下，</w:t>
      </w:r>
      <w:r>
        <w:rPr>
          <w:rFonts w:hint="eastAsia" w:ascii="宋体" w:hAnsi="宋体" w:cs="宋体"/>
          <w:szCs w:val="21"/>
          <w:highlight w:val="none"/>
        </w:rPr>
        <w:t>在其使用寿命期内具备合同约定的性能</w:t>
      </w:r>
      <w:r>
        <w:rPr>
          <w:rFonts w:hint="eastAsia" w:ascii="宋体" w:hAnsi="宋体"/>
          <w:szCs w:val="21"/>
          <w:highlight w:val="none"/>
        </w:rPr>
        <w:t>。存在质量保证期的，货物最终交付验收合格后在</w:t>
      </w:r>
      <w:r>
        <w:rPr>
          <w:rFonts w:hint="eastAsia" w:ascii="宋体" w:hAnsi="宋体"/>
          <w:b/>
          <w:szCs w:val="21"/>
          <w:highlight w:val="none"/>
        </w:rPr>
        <w:t>【政府采购合同专用条款】</w:t>
      </w:r>
      <w:r>
        <w:rPr>
          <w:rFonts w:hint="eastAsia" w:ascii="宋体" w:hAnsi="宋体"/>
          <w:szCs w:val="21"/>
          <w:highlight w:val="none"/>
        </w:rPr>
        <w:t>规定或乙方书面承诺（两者以较长的为准）的质量保证期内，本保证保持有效。</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（2）在质量保证期内所发现的缺陷，甲方应尽快以书面形式通知乙方。</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（3）乙方收到通知后，应在</w:t>
      </w:r>
      <w:r>
        <w:rPr>
          <w:rFonts w:hint="eastAsia" w:ascii="宋体" w:hAnsi="宋体"/>
          <w:b/>
          <w:szCs w:val="21"/>
          <w:highlight w:val="none"/>
        </w:rPr>
        <w:t>【政府采购合同专用条款】</w:t>
      </w:r>
      <w:r>
        <w:rPr>
          <w:rFonts w:hint="eastAsia" w:ascii="宋体" w:hAnsi="宋体"/>
          <w:szCs w:val="21"/>
          <w:highlight w:val="none"/>
        </w:rPr>
        <w:t>规定的响应时间内以合理的速度免费维修或更换有缺陷的货物或部件。</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60" w:lineRule="exact"/>
        <w:ind w:firstLine="420"/>
        <w:jc w:val="left"/>
        <w:rPr>
          <w:highlight w:val="none"/>
        </w:rPr>
      </w:pPr>
      <w:r>
        <w:rPr>
          <w:rFonts w:hint="eastAsia" w:ascii="宋体" w:hAnsi="宋体"/>
          <w:szCs w:val="21"/>
          <w:highlight w:val="none"/>
        </w:rPr>
        <w:t>（5）乙方在约定的时间内未能弥补缺陷，甲方可采取必要的补救措施，但其风险和费用将由乙方承担，甲方根据合同约定对乙方行使的其他权利不受影响。</w:t>
      </w:r>
    </w:p>
    <w:p>
      <w:pPr>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9. 权利瑕疵担保</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9.1 乙方保证对其出售的货物享有合法的权利。</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 xml:space="preserve">9.2 </w:t>
      </w:r>
      <w:r>
        <w:rPr>
          <w:rFonts w:hint="eastAsia" w:ascii="宋体" w:hAnsi="宋体" w:cs="宋体"/>
          <w:szCs w:val="15"/>
          <w:highlight w:val="none"/>
        </w:rPr>
        <w:t>乙方保证在交付的货物上不存在抵押权等担保物权。</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9.3 如甲方使用上述货物构成对第三人侵权的，则由乙方承担全部责任。</w:t>
      </w:r>
    </w:p>
    <w:p>
      <w:p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10. 知识产权保护</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10.1 乙方对其所销售的货物应当享有知识产权或经权利人合法授权，保证没有侵犯任何第三人的知识产权等权利。</w:t>
      </w:r>
      <w:bookmarkStart w:id="247" w:name="_Hlk163047038"/>
      <w:r>
        <w:rPr>
          <w:rFonts w:hint="eastAsia" w:ascii="宋体" w:hAnsi="宋体" w:cs="宋体"/>
          <w:szCs w:val="15"/>
          <w:highlight w:val="none"/>
        </w:rPr>
        <w:t>因违反前述约定对第三人构成侵权的，应当由乙方向第三人承担法律责任；甲方依法向第三人赔偿后，有权向乙方追偿。甲方有其他损失的，乙方应当赔偿</w:t>
      </w:r>
      <w:bookmarkEnd w:id="247"/>
      <w:r>
        <w:rPr>
          <w:rFonts w:hint="eastAsia" w:ascii="宋体" w:hAnsi="宋体"/>
          <w:szCs w:val="21"/>
          <w:highlight w:val="none"/>
        </w:rPr>
        <w:t>。</w:t>
      </w:r>
    </w:p>
    <w:p>
      <w:p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11. 保密义务</w:t>
      </w:r>
    </w:p>
    <w:p>
      <w:pPr>
        <w:autoSpaceDE w:val="0"/>
        <w:autoSpaceDN w:val="0"/>
        <w:adjustRightInd w:val="0"/>
        <w:snapToGrid w:val="0"/>
        <w:spacing w:line="460" w:lineRule="exact"/>
        <w:ind w:firstLine="420"/>
        <w:jc w:val="left"/>
        <w:rPr>
          <w:rFonts w:hint="eastAsia" w:ascii="宋体" w:hAnsi="宋体" w:cs="宋体"/>
          <w:szCs w:val="15"/>
          <w:highlight w:val="none"/>
        </w:rPr>
      </w:pPr>
      <w:r>
        <w:rPr>
          <w:rFonts w:hint="eastAsia" w:ascii="宋体" w:hAnsi="宋体" w:cs="宋体"/>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highlight w:val="none"/>
        </w:rPr>
        <w:t>【政府采购合同专用条款】</w:t>
      </w:r>
      <w:r>
        <w:rPr>
          <w:rFonts w:hint="eastAsia" w:ascii="宋体" w:hAnsi="宋体" w:cs="宋体"/>
          <w:szCs w:val="15"/>
          <w:highlight w:val="none"/>
        </w:rPr>
        <w:t>中约定。</w:t>
      </w:r>
    </w:p>
    <w:p>
      <w:p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12. 合同价款支付</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12.1 合同价款支付按照国库集中支付制度及财政管理相关规定执行。</w:t>
      </w:r>
    </w:p>
    <w:p>
      <w:pPr>
        <w:keepNext/>
        <w:keepLines/>
        <w:spacing w:line="460" w:lineRule="exact"/>
        <w:ind w:firstLine="420"/>
        <w:outlineLvl w:val="1"/>
        <w:rPr>
          <w:rFonts w:ascii="Arial" w:hAnsi="Arial"/>
          <w:b/>
          <w:bCs/>
          <w:sz w:val="24"/>
          <w:szCs w:val="32"/>
          <w:highlight w:val="none"/>
        </w:rPr>
      </w:pPr>
      <w:r>
        <w:rPr>
          <w:rFonts w:hint="eastAsia" w:ascii="宋体" w:hAnsi="宋体"/>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szCs w:val="21"/>
          <w:highlight w:val="none"/>
        </w:rPr>
        <w:t>政府采购合同专用条款</w:t>
      </w:r>
      <w:r>
        <w:rPr>
          <w:rFonts w:hint="eastAsia" w:ascii="宋体" w:hAnsi="宋体"/>
          <w:szCs w:val="21"/>
          <w:highlight w:val="none"/>
        </w:rPr>
        <w:t>】中约定。</w:t>
      </w:r>
    </w:p>
    <w:p>
      <w:pPr>
        <w:spacing w:line="460" w:lineRule="exact"/>
        <w:ind w:firstLine="482"/>
        <w:rPr>
          <w:rFonts w:hint="eastAsia" w:ascii="宋体" w:hAnsi="宋体"/>
          <w:b/>
          <w:bCs/>
          <w:sz w:val="24"/>
          <w:highlight w:val="none"/>
        </w:rPr>
      </w:pPr>
      <w:r>
        <w:rPr>
          <w:rFonts w:hint="eastAsia" w:ascii="宋体" w:hAnsi="宋体"/>
          <w:b/>
          <w:bCs/>
          <w:sz w:val="24"/>
          <w:highlight w:val="none"/>
        </w:rPr>
        <w:t>13. 履约保证金</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 xml:space="preserve">13.1 </w:t>
      </w:r>
      <w:r>
        <w:rPr>
          <w:rFonts w:hint="eastAsia" w:ascii="宋体" w:hAnsi="宋体" w:cs="宋体"/>
          <w:szCs w:val="15"/>
          <w:highlight w:val="none"/>
        </w:rPr>
        <w:t>乙方应当以支票、汇票、本票或者金融机构、担保机构出具的保函等非现金形式提交。</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13.2 如果乙方出现</w:t>
      </w:r>
      <w:r>
        <w:rPr>
          <w:rFonts w:hint="eastAsia" w:ascii="宋体" w:hAnsi="宋体" w:cs="宋体"/>
          <w:b/>
          <w:bCs/>
          <w:szCs w:val="15"/>
          <w:highlight w:val="none"/>
        </w:rPr>
        <w:t>【政府采购合同专用条款】</w:t>
      </w:r>
      <w:r>
        <w:rPr>
          <w:rFonts w:hint="eastAsia" w:ascii="宋体" w:hAnsi="宋体" w:cs="宋体"/>
          <w:szCs w:val="15"/>
          <w:highlight w:val="none"/>
        </w:rPr>
        <w:t>约定情形的</w:t>
      </w:r>
      <w:r>
        <w:rPr>
          <w:rFonts w:hint="eastAsia" w:ascii="宋体" w:hAnsi="宋体"/>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pPr>
        <w:spacing w:line="460" w:lineRule="exact"/>
        <w:ind w:firstLine="420"/>
        <w:rPr>
          <w:highlight w:val="none"/>
        </w:rPr>
      </w:pPr>
      <w:r>
        <w:rPr>
          <w:rFonts w:hint="eastAsia" w:ascii="宋体" w:hAnsi="宋体"/>
          <w:szCs w:val="21"/>
          <w:highlight w:val="none"/>
        </w:rPr>
        <w:t>13.3 甲方在项目通过验收后按照</w:t>
      </w:r>
      <w:r>
        <w:rPr>
          <w:rFonts w:hint="eastAsia" w:ascii="宋体" w:hAnsi="宋体"/>
          <w:b/>
          <w:szCs w:val="21"/>
          <w:highlight w:val="none"/>
        </w:rPr>
        <w:t>【政府采购合同专用条款】</w:t>
      </w:r>
      <w:r>
        <w:rPr>
          <w:rFonts w:hint="eastAsia" w:ascii="宋体" w:hAnsi="宋体"/>
          <w:szCs w:val="21"/>
          <w:highlight w:val="none"/>
        </w:rPr>
        <w:t>规定的时间内将履约保证金退还乙方；逾期退还的，乙方可要求甲方支付违约金，违约金按照</w:t>
      </w:r>
      <w:r>
        <w:rPr>
          <w:rFonts w:hint="eastAsia" w:ascii="宋体" w:hAnsi="宋体"/>
          <w:b/>
          <w:szCs w:val="21"/>
          <w:highlight w:val="none"/>
        </w:rPr>
        <w:t>【政府采购合同专用条款】</w:t>
      </w:r>
      <w:r>
        <w:rPr>
          <w:rFonts w:hint="eastAsia" w:ascii="宋体" w:hAnsi="宋体"/>
          <w:szCs w:val="21"/>
          <w:highlight w:val="none"/>
        </w:rPr>
        <w:t>规定支付。</w:t>
      </w:r>
    </w:p>
    <w:p>
      <w:pPr>
        <w:autoSpaceDE w:val="0"/>
        <w:autoSpaceDN w:val="0"/>
        <w:adjustRightInd w:val="0"/>
        <w:snapToGrid w:val="0"/>
        <w:spacing w:line="460" w:lineRule="exact"/>
        <w:ind w:firstLine="482"/>
        <w:jc w:val="left"/>
        <w:rPr>
          <w:rFonts w:hint="eastAsia" w:ascii="宋体" w:hAnsi="宋体"/>
          <w:b/>
          <w:sz w:val="24"/>
          <w:highlight w:val="none"/>
        </w:rPr>
      </w:pPr>
      <w:r>
        <w:rPr>
          <w:rFonts w:hint="eastAsia" w:ascii="宋体" w:hAnsi="宋体"/>
          <w:b/>
          <w:bCs/>
          <w:sz w:val="24"/>
          <w:highlight w:val="none"/>
        </w:rPr>
        <w:t xml:space="preserve">14. </w:t>
      </w:r>
      <w:r>
        <w:rPr>
          <w:rFonts w:hint="eastAsia"/>
          <w:b/>
          <w:sz w:val="24"/>
          <w:highlight w:val="none"/>
        </w:rPr>
        <w:t>售后</w:t>
      </w:r>
      <w:r>
        <w:rPr>
          <w:rFonts w:hint="eastAsia" w:ascii="宋体" w:hAnsi="宋体"/>
          <w:b/>
          <w:sz w:val="24"/>
          <w:highlight w:val="none"/>
        </w:rPr>
        <w:t>服务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14.1 除项目不涉及或采购活动中明确约定无须承担外，乙方还应提供下列服务：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（1）货物的现场移动、安装、调试、启动监督及技术支持；</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（2）提供货物组装和维修所需的专用工具和辅助材料；</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（3）在</w:t>
      </w:r>
      <w:r>
        <w:rPr>
          <w:rFonts w:hint="eastAsia" w:ascii="宋体" w:hAnsi="宋体" w:cs="宋体"/>
          <w:b/>
          <w:bCs/>
          <w:szCs w:val="15"/>
          <w:highlight w:val="none"/>
        </w:rPr>
        <w:t>【政府采购合同专用条款】</w:t>
      </w:r>
      <w:r>
        <w:rPr>
          <w:rFonts w:hint="eastAsia" w:ascii="宋体" w:hAnsi="宋体"/>
          <w:szCs w:val="21"/>
          <w:highlight w:val="none"/>
        </w:rPr>
        <w:t>约定的期限内对所有的货物实施运行监督、维修，但前提条件是该服务并不能免除乙方在质量保证期内所承担的义务；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（4）在制造商所在地或指定现场就货物的安装</w:t>
      </w:r>
      <w:r>
        <w:rPr>
          <w:rFonts w:hint="eastAsia" w:ascii="宋体" w:hAnsi="宋体"/>
          <w:spacing w:val="-20"/>
          <w:szCs w:val="21"/>
          <w:highlight w:val="none"/>
        </w:rPr>
        <w:t>、</w:t>
      </w:r>
      <w:r>
        <w:rPr>
          <w:rFonts w:hint="eastAsia" w:ascii="宋体" w:hAnsi="宋体"/>
          <w:szCs w:val="21"/>
          <w:highlight w:val="none"/>
        </w:rPr>
        <w:t>启动</w:t>
      </w:r>
      <w:r>
        <w:rPr>
          <w:rFonts w:hint="eastAsia" w:ascii="宋体" w:hAnsi="宋体"/>
          <w:spacing w:val="-20"/>
          <w:szCs w:val="21"/>
          <w:highlight w:val="none"/>
        </w:rPr>
        <w:t>、</w:t>
      </w:r>
      <w:r>
        <w:rPr>
          <w:rFonts w:hint="eastAsia" w:ascii="宋体" w:hAnsi="宋体"/>
          <w:szCs w:val="21"/>
          <w:highlight w:val="none"/>
        </w:rPr>
        <w:t>运营</w:t>
      </w:r>
      <w:r>
        <w:rPr>
          <w:rFonts w:hint="eastAsia" w:ascii="宋体" w:hAnsi="宋体"/>
          <w:spacing w:val="-20"/>
          <w:szCs w:val="21"/>
          <w:highlight w:val="none"/>
        </w:rPr>
        <w:t>、</w:t>
      </w:r>
      <w:r>
        <w:rPr>
          <w:rFonts w:hint="eastAsia" w:ascii="宋体" w:hAnsi="宋体"/>
          <w:szCs w:val="21"/>
          <w:highlight w:val="none"/>
        </w:rPr>
        <w:t>维护</w:t>
      </w:r>
      <w:r>
        <w:rPr>
          <w:rFonts w:hint="eastAsia" w:ascii="宋体" w:hAnsi="宋体"/>
          <w:spacing w:val="-20"/>
          <w:szCs w:val="21"/>
          <w:highlight w:val="none"/>
        </w:rPr>
        <w:t>、</w:t>
      </w:r>
      <w:r>
        <w:rPr>
          <w:rFonts w:hint="eastAsia" w:ascii="宋体" w:hAnsi="宋体"/>
          <w:szCs w:val="21"/>
          <w:highlight w:val="none"/>
        </w:rPr>
        <w:t>废弃处置等对甲方操作人员进行培训</w:t>
      </w:r>
      <w:r>
        <w:rPr>
          <w:rFonts w:hint="eastAsia" w:ascii="宋体" w:hAnsi="宋体" w:cs="宋体"/>
          <w:szCs w:val="15"/>
          <w:highlight w:val="none"/>
        </w:rPr>
        <w:t>；</w:t>
      </w:r>
    </w:p>
    <w:p>
      <w:pPr>
        <w:widowControl/>
        <w:autoSpaceDE w:val="0"/>
        <w:autoSpaceDN w:val="0"/>
        <w:adjustRightInd w:val="0"/>
        <w:spacing w:line="460" w:lineRule="exact"/>
        <w:ind w:firstLine="420"/>
        <w:jc w:val="left"/>
        <w:rPr>
          <w:rFonts w:hint="eastAsia" w:ascii="宋体" w:hAnsi="宋体" w:cs="宋体"/>
          <w:kern w:val="0"/>
          <w:szCs w:val="21"/>
          <w:highlight w:val="none"/>
        </w:rPr>
      </w:pPr>
      <w:r>
        <w:rPr>
          <w:rFonts w:hint="eastAsia" w:ascii="宋体" w:hAnsi="宋体" w:cs="宋体"/>
          <w:kern w:val="0"/>
          <w:szCs w:val="21"/>
          <w:highlight w:val="none"/>
        </w:rPr>
        <w:t>（5）依照法律、行政法规的规定或者按照</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约定，货物在有效使用年限届满后应予回收的，乙方负有自行或者委托第三人对货物予以回收的义务；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（6）</w:t>
      </w:r>
      <w:r>
        <w:rPr>
          <w:rFonts w:hint="eastAsia" w:ascii="宋体" w:hAnsi="宋体"/>
          <w:b/>
          <w:szCs w:val="21"/>
          <w:highlight w:val="none"/>
        </w:rPr>
        <w:t>【政府采购合同专用条款】</w:t>
      </w:r>
      <w:r>
        <w:rPr>
          <w:rFonts w:hint="eastAsia" w:ascii="宋体" w:hAnsi="宋体"/>
          <w:szCs w:val="21"/>
          <w:highlight w:val="none"/>
        </w:rPr>
        <w:t>规定由乙方提供的其他服务。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14.2 乙方提供的售后服务的费用已包含在合同价款中，甲方不再另行支付。</w:t>
      </w:r>
    </w:p>
    <w:p>
      <w:pPr>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15. 违约责任</w:t>
      </w:r>
    </w:p>
    <w:p>
      <w:pPr>
        <w:adjustRightInd w:val="0"/>
        <w:snapToGrid w:val="0"/>
        <w:spacing w:line="460" w:lineRule="exact"/>
        <w:ind w:firstLine="420"/>
        <w:jc w:val="left"/>
        <w:rPr>
          <w:rFonts w:hint="eastAsia" w:ascii="宋体" w:hAnsi="宋体"/>
          <w:bCs/>
          <w:szCs w:val="21"/>
          <w:highlight w:val="none"/>
        </w:rPr>
      </w:pPr>
      <w:r>
        <w:rPr>
          <w:rFonts w:hint="eastAsia" w:ascii="宋体" w:hAnsi="宋体"/>
          <w:bCs/>
          <w:szCs w:val="21"/>
          <w:highlight w:val="none"/>
        </w:rPr>
        <w:t>15.1质量瑕疵的违约责任</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乙方提供的产品不符合合同约定的质量标准或存在产品质量缺陷，甲方有权要求乙方根据</w:t>
      </w:r>
      <w:r>
        <w:rPr>
          <w:rFonts w:hint="eastAsia" w:ascii="宋体" w:hAnsi="宋体"/>
          <w:b/>
          <w:szCs w:val="21"/>
          <w:highlight w:val="none"/>
        </w:rPr>
        <w:t>【政府采购合同专用条款】</w:t>
      </w:r>
      <w:r>
        <w:rPr>
          <w:rFonts w:hint="eastAsia" w:ascii="宋体" w:hAnsi="宋体"/>
          <w:bCs/>
          <w:szCs w:val="21"/>
          <w:highlight w:val="none"/>
        </w:rPr>
        <w:t>要求</w:t>
      </w:r>
      <w:r>
        <w:rPr>
          <w:rFonts w:hint="eastAsia" w:ascii="宋体" w:hAnsi="宋体"/>
          <w:szCs w:val="21"/>
          <w:highlight w:val="none"/>
        </w:rPr>
        <w:t>及时修理、重作、更换，并承担由此给甲方造成的损失。</w:t>
      </w:r>
    </w:p>
    <w:p>
      <w:pPr>
        <w:autoSpaceDE w:val="0"/>
        <w:autoSpaceDN w:val="0"/>
        <w:adjustRightInd w:val="0"/>
        <w:snapToGrid w:val="0"/>
        <w:spacing w:line="460" w:lineRule="exact"/>
        <w:ind w:firstLine="420"/>
        <w:jc w:val="left"/>
        <w:rPr>
          <w:rFonts w:hint="eastAsia" w:ascii="宋体" w:hAnsi="宋体"/>
          <w:bCs/>
          <w:szCs w:val="21"/>
          <w:highlight w:val="none"/>
        </w:rPr>
      </w:pPr>
      <w:r>
        <w:rPr>
          <w:rFonts w:hint="eastAsia" w:ascii="宋体" w:hAnsi="宋体"/>
          <w:bCs/>
          <w:szCs w:val="21"/>
          <w:highlight w:val="none"/>
        </w:rPr>
        <w:t>15.2 迟延交货的违约责任</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szCs w:val="21"/>
          <w:highlight w:val="none"/>
        </w:rPr>
        <w:t>【政府采购合同专用条款】</w:t>
      </w:r>
      <w:r>
        <w:rPr>
          <w:rFonts w:hint="eastAsia" w:ascii="宋体" w:hAnsi="宋体"/>
          <w:szCs w:val="21"/>
          <w:highlight w:val="none"/>
        </w:rPr>
        <w:t>规定执行。如果涉及公共利益，且赔偿金额无法弥补公共利益损失，甲方可要求继续履行或者采取其他补救措施。</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15.3 迟延支付的违约责任</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甲方存在迟延支付乙方合同款项的，应当承担</w:t>
      </w:r>
      <w:r>
        <w:rPr>
          <w:rFonts w:hint="eastAsia" w:ascii="宋体" w:hAnsi="宋体"/>
          <w:b/>
          <w:bCs/>
          <w:szCs w:val="21"/>
          <w:highlight w:val="none"/>
        </w:rPr>
        <w:t>【政府采购合同专用条款】</w:t>
      </w:r>
      <w:r>
        <w:rPr>
          <w:rFonts w:hint="eastAsia" w:ascii="宋体" w:hAnsi="宋体"/>
          <w:szCs w:val="21"/>
          <w:highlight w:val="none"/>
        </w:rPr>
        <w:t>规定的逾期付款利息。</w:t>
      </w:r>
    </w:p>
    <w:p>
      <w:pPr>
        <w:adjustRightInd w:val="0"/>
        <w:snapToGrid w:val="0"/>
        <w:spacing w:line="460" w:lineRule="exact"/>
        <w:ind w:firstLine="420"/>
        <w:jc w:val="left"/>
        <w:rPr>
          <w:rFonts w:hint="eastAsia" w:ascii="宋体" w:hAnsi="宋体"/>
          <w:szCs w:val="21"/>
          <w:highlight w:val="none"/>
        </w:rPr>
      </w:pPr>
      <w:r>
        <w:rPr>
          <w:rFonts w:hint="eastAsia" w:ascii="宋体" w:hAnsi="宋体"/>
          <w:bCs/>
          <w:szCs w:val="21"/>
          <w:highlight w:val="none"/>
        </w:rPr>
        <w:t>15.4其他违约责任根据项目实际需要按</w:t>
      </w:r>
      <w:r>
        <w:rPr>
          <w:rFonts w:hint="eastAsia" w:ascii="宋体" w:hAnsi="宋体"/>
          <w:b/>
          <w:bCs/>
          <w:szCs w:val="21"/>
          <w:highlight w:val="none"/>
        </w:rPr>
        <w:t>【政府采购合同专用条款】</w:t>
      </w:r>
      <w:r>
        <w:rPr>
          <w:rFonts w:hint="eastAsia" w:ascii="宋体" w:hAnsi="宋体"/>
          <w:szCs w:val="21"/>
          <w:highlight w:val="none"/>
        </w:rPr>
        <w:t>规定执行。</w:t>
      </w:r>
    </w:p>
    <w:p>
      <w:pPr>
        <w:numPr>
          <w:ilvl w:val="0"/>
          <w:numId w:val="15"/>
        </w:numPr>
        <w:autoSpaceDE w:val="0"/>
        <w:autoSpaceDN w:val="0"/>
        <w:adjustRightInd w:val="0"/>
        <w:snapToGrid w:val="0"/>
        <w:spacing w:line="460" w:lineRule="exact"/>
        <w:ind w:firstLine="482"/>
        <w:jc w:val="left"/>
        <w:rPr>
          <w:rFonts w:hint="eastAsia" w:ascii="宋体" w:hAnsi="宋体"/>
          <w:b/>
          <w:sz w:val="24"/>
          <w:highlight w:val="none"/>
        </w:rPr>
      </w:pPr>
      <w:r>
        <w:rPr>
          <w:rFonts w:hint="eastAsia" w:ascii="宋体" w:hAnsi="宋体"/>
          <w:b/>
          <w:sz w:val="24"/>
          <w:highlight w:val="none"/>
        </w:rPr>
        <w:t>合同变更、中止与终止</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16.1合同的变更</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政府采购合同履行中，在不改变合同其他条款的前提下，甲方可以在合同价款10%的范围内追加与合同标的相同的货物，并就此与乙方协商一致后签订补充协议。</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16.2合同的中止</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（1）合同履行过程中因供应商就采购文件、采购过程或结果提起投诉的，甲方认为有必要的，可以中止合同的履行。</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adjustRightInd w:val="0"/>
        <w:spacing w:line="460" w:lineRule="exact"/>
        <w:ind w:firstLine="420"/>
        <w:rPr>
          <w:rFonts w:hint="eastAsia" w:ascii="华文楷体" w:hAnsi="华文楷体" w:eastAsia="华文楷体" w:cs="华文楷体"/>
          <w:kern w:val="0"/>
          <w:szCs w:val="21"/>
          <w:highlight w:val="none"/>
        </w:rPr>
      </w:pPr>
      <w:r>
        <w:rPr>
          <w:rFonts w:hint="eastAsia" w:ascii="宋体" w:hAnsi="宋体" w:cs="宋体"/>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60" w:lineRule="exact"/>
        <w:ind w:firstLine="420"/>
        <w:jc w:val="left"/>
        <w:rPr>
          <w:highlight w:val="none"/>
        </w:rPr>
      </w:pPr>
      <w:r>
        <w:rPr>
          <w:rFonts w:hint="eastAsia" w:ascii="宋体" w:hAnsi="宋体"/>
          <w:szCs w:val="21"/>
          <w:highlight w:val="none"/>
        </w:rPr>
        <w:t>（4）甲方不得以行政区划调整、政府换届、机构或者职能调整以及相关责任人更替为由中止合同。</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16.3合同的终止</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（1）合同因有效期限届满而终止；</w:t>
      </w:r>
    </w:p>
    <w:p>
      <w:pPr>
        <w:snapToGrid w:val="0"/>
        <w:spacing w:line="460" w:lineRule="exact"/>
        <w:ind w:firstLine="420"/>
        <w:rPr>
          <w:rFonts w:hint="eastAsia" w:ascii="宋体" w:hAnsi="宋体" w:cs="宋体"/>
          <w:szCs w:val="21"/>
          <w:highlight w:val="none"/>
        </w:rPr>
      </w:pPr>
      <w:r>
        <w:rPr>
          <w:rFonts w:hint="eastAsia" w:ascii="宋体" w:hAnsi="宋体"/>
          <w:szCs w:val="21"/>
          <w:highlight w:val="none"/>
        </w:rPr>
        <w:t>（2）乙方未按合同约定履行，构成根本性违约的，甲方有权终止合同，</w:t>
      </w:r>
      <w:r>
        <w:rPr>
          <w:rFonts w:hint="eastAsia" w:ascii="宋体" w:hAnsi="宋体" w:cs="宋体"/>
          <w:szCs w:val="21"/>
          <w:highlight w:val="none"/>
        </w:rPr>
        <w:t>并追究乙方的违约责任</w:t>
      </w:r>
      <w:r>
        <w:rPr>
          <w:rFonts w:hint="eastAsia" w:ascii="宋体" w:hAnsi="宋体"/>
          <w:szCs w:val="21"/>
          <w:highlight w:val="none"/>
        </w:rPr>
        <w:t>。</w:t>
      </w:r>
    </w:p>
    <w:p>
      <w:pPr>
        <w:widowControl/>
        <w:autoSpaceDE w:val="0"/>
        <w:autoSpaceDN w:val="0"/>
        <w:adjustRightInd w:val="0"/>
        <w:spacing w:line="460" w:lineRule="exact"/>
        <w:ind w:firstLine="440"/>
        <w:jc w:val="left"/>
        <w:rPr>
          <w:rFonts w:hint="eastAsia" w:ascii="宋体" w:hAnsi="宋体" w:eastAsia="华文楷体" w:cs="华文楷体"/>
          <w:kern w:val="0"/>
          <w:sz w:val="22"/>
          <w:szCs w:val="21"/>
          <w:highlight w:val="none"/>
        </w:rPr>
      </w:pPr>
      <w:r>
        <w:rPr>
          <w:rFonts w:hint="eastAsia" w:ascii="宋体" w:hAnsi="宋体" w:eastAsia="华文楷体" w:cs="华文楷体"/>
          <w:kern w:val="0"/>
          <w:sz w:val="22"/>
          <w:szCs w:val="21"/>
          <w:highlight w:val="none"/>
        </w:rPr>
        <w:t xml:space="preserve">16.4 </w:t>
      </w:r>
      <w:r>
        <w:rPr>
          <w:rFonts w:hint="eastAsia" w:ascii="宋体" w:hAnsi="宋体"/>
          <w:szCs w:val="21"/>
          <w:highlight w:val="none"/>
        </w:rPr>
        <w:t>涉及国家利益、社会公共利益的情形</w:t>
      </w:r>
    </w:p>
    <w:p>
      <w:pPr>
        <w:widowControl/>
        <w:autoSpaceDE w:val="0"/>
        <w:autoSpaceDN w:val="0"/>
        <w:adjustRightInd w:val="0"/>
        <w:spacing w:line="460" w:lineRule="exact"/>
        <w:ind w:firstLine="420"/>
        <w:rPr>
          <w:rFonts w:hint="eastAsia" w:ascii="华文楷体" w:hAnsi="华文楷体" w:eastAsia="华文楷体" w:cs="华文楷体"/>
          <w:kern w:val="0"/>
          <w:szCs w:val="21"/>
          <w:highlight w:val="none"/>
        </w:rPr>
      </w:pPr>
      <w:r>
        <w:rPr>
          <w:rFonts w:hint="eastAsia" w:ascii="宋体" w:hAnsi="宋体" w:cs="宋体"/>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17. 合同分包</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17.1 乙方不得将合同转包给其他供应商。涉及合同分包的，乙方应根据采购文件和投标（响应）文件规定进行合同分包。</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18. 不可抗力</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18.1 不可抗力是指合同双方不能预见、不能避免且不能克服的客观情况。</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18.2 任何一方对由于不可抗力造成的部分或全部不能履行合同不承担违约责任。但迟延履行后发生不可抗力的，不能免除责任。</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19. 解决争议的方法</w:t>
      </w:r>
    </w:p>
    <w:p>
      <w:pPr>
        <w:widowControl/>
        <w:autoSpaceDE w:val="0"/>
        <w:autoSpaceDN w:val="0"/>
        <w:adjustRightInd w:val="0"/>
        <w:spacing w:line="460" w:lineRule="exact"/>
        <w:ind w:firstLine="420"/>
        <w:rPr>
          <w:rFonts w:hint="eastAsia" w:ascii="宋体" w:hAnsi="宋体" w:cs="宋体"/>
          <w:kern w:val="0"/>
          <w:szCs w:val="21"/>
          <w:highlight w:val="none"/>
        </w:rPr>
      </w:pPr>
      <w:r>
        <w:rPr>
          <w:rFonts w:hint="eastAsia" w:ascii="宋体" w:hAnsi="宋体" w:cs="宋体"/>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adjustRightInd w:val="0"/>
        <w:spacing w:line="460" w:lineRule="exact"/>
        <w:ind w:firstLine="420"/>
        <w:rPr>
          <w:rFonts w:hint="eastAsia" w:ascii="宋体" w:hAnsi="宋体" w:cs="宋体"/>
          <w:kern w:val="0"/>
          <w:szCs w:val="21"/>
          <w:highlight w:val="none"/>
        </w:rPr>
      </w:pPr>
      <w:r>
        <w:rPr>
          <w:rFonts w:hint="eastAsia" w:ascii="宋体" w:hAnsi="宋体" w:cs="宋体"/>
          <w:kern w:val="0"/>
          <w:szCs w:val="21"/>
          <w:highlight w:val="none"/>
        </w:rPr>
        <w:t>19.2 选择仲裁的，应在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中明确仲裁机构及仲裁地；通过诉讼方式解决的，可以在</w:t>
      </w:r>
      <w:r>
        <w:rPr>
          <w:rFonts w:hint="eastAsia" w:ascii="宋体" w:hAnsi="宋体" w:cs="宋体"/>
          <w:b/>
          <w:bCs/>
          <w:kern w:val="0"/>
          <w:szCs w:val="21"/>
          <w:highlight w:val="none"/>
        </w:rPr>
        <w:t>【政府采购合同专用条款】</w:t>
      </w:r>
      <w:r>
        <w:rPr>
          <w:rFonts w:hint="eastAsia" w:ascii="宋体" w:hAnsi="宋体" w:cs="宋体"/>
          <w:kern w:val="0"/>
          <w:szCs w:val="21"/>
          <w:highlight w:val="none"/>
        </w:rPr>
        <w:t>中进一步约定选择与争议有实际联系的地点的人民法院管辖，但管辖法院的约定不得违反级别管辖和专属管辖的规定。</w:t>
      </w:r>
    </w:p>
    <w:p>
      <w:pPr>
        <w:widowControl/>
        <w:autoSpaceDE w:val="0"/>
        <w:autoSpaceDN w:val="0"/>
        <w:adjustRightInd w:val="0"/>
        <w:spacing w:line="460" w:lineRule="exact"/>
        <w:ind w:firstLine="420"/>
        <w:rPr>
          <w:rFonts w:hint="eastAsia" w:ascii="宋体" w:hAnsi="宋体" w:cs="宋体"/>
          <w:kern w:val="0"/>
          <w:szCs w:val="21"/>
          <w:highlight w:val="none"/>
        </w:rPr>
      </w:pPr>
      <w:r>
        <w:rPr>
          <w:rFonts w:hint="eastAsia" w:ascii="宋体" w:hAnsi="宋体" w:cs="宋体"/>
          <w:kern w:val="0"/>
          <w:szCs w:val="21"/>
          <w:highlight w:val="none"/>
        </w:rPr>
        <w:t>19.3 如甲乙双方有争议的事项不影响合同其他部分的履行，在争议解决期间，合同其他部分应当继续履行。</w:t>
      </w:r>
    </w:p>
    <w:p>
      <w:pPr>
        <w:autoSpaceDE w:val="0"/>
        <w:autoSpaceDN w:val="0"/>
        <w:adjustRightInd w:val="0"/>
        <w:snapToGrid w:val="0"/>
        <w:spacing w:line="460" w:lineRule="exact"/>
        <w:ind w:firstLine="482"/>
        <w:jc w:val="left"/>
        <w:rPr>
          <w:rFonts w:hint="eastAsia" w:ascii="宋体" w:hAnsi="宋体"/>
          <w:sz w:val="24"/>
          <w:highlight w:val="none"/>
        </w:rPr>
      </w:pPr>
      <w:r>
        <w:rPr>
          <w:rFonts w:hint="eastAsia" w:ascii="宋体" w:hAnsi="宋体"/>
          <w:b/>
          <w:sz w:val="24"/>
          <w:highlight w:val="none"/>
        </w:rPr>
        <w:t>20. 政府采购政策</w:t>
      </w:r>
    </w:p>
    <w:p>
      <w:pPr>
        <w:autoSpaceDE w:val="0"/>
        <w:autoSpaceDN w:val="0"/>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 xml:space="preserve">20.1 </w:t>
      </w:r>
      <w:r>
        <w:rPr>
          <w:rFonts w:hint="eastAsia" w:ascii="宋体" w:hAnsi="宋体" w:cs="宋体"/>
          <w:highlight w:val="none"/>
          <w:lang w:val="en-GB"/>
        </w:rPr>
        <w:t>本合同应当按照规定执行政府采购政策。</w:t>
      </w:r>
    </w:p>
    <w:p>
      <w:pPr>
        <w:autoSpaceDE w:val="0"/>
        <w:autoSpaceDN w:val="0"/>
        <w:adjustRightInd w:val="0"/>
        <w:snapToGrid w:val="0"/>
        <w:spacing w:line="460" w:lineRule="exact"/>
        <w:ind w:firstLine="420"/>
        <w:jc w:val="left"/>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0.2 本合同依法执行政府采购政策的方式和内容，属于合同履约验收的范围。</w:t>
      </w:r>
      <w:r>
        <w:rPr>
          <w:rFonts w:hint="eastAsia" w:ascii="宋体" w:hAnsi="宋体" w:cs="宋体"/>
          <w:highlight w:val="none"/>
        </w:rPr>
        <w:t>甲乙双方</w:t>
      </w:r>
      <w:r>
        <w:rPr>
          <w:rFonts w:hint="eastAsia" w:ascii="宋体" w:hAnsi="宋体" w:cs="宋体"/>
          <w:highlight w:val="none"/>
          <w:lang w:val="en-GB"/>
        </w:rPr>
        <w:t>未按规定要求执行政府采购政策造成损失的</w:t>
      </w:r>
      <w:r>
        <w:rPr>
          <w:rFonts w:hint="eastAsia" w:ascii="宋体" w:hAnsi="宋体"/>
          <w:szCs w:val="21"/>
          <w:highlight w:val="none"/>
        </w:rPr>
        <w:t>，有过错的一方应当承担赔偿责任，双方都有过错的，各自承担相应的责任。</w:t>
      </w:r>
    </w:p>
    <w:p>
      <w:pPr>
        <w:spacing w:line="460" w:lineRule="exact"/>
        <w:ind w:firstLine="420"/>
        <w:rPr>
          <w:szCs w:val="22"/>
          <w:highlight w:val="none"/>
        </w:rPr>
      </w:pPr>
      <w:r>
        <w:rPr>
          <w:rFonts w:ascii="宋体" w:hAnsi="宋体"/>
          <w:szCs w:val="21"/>
          <w:highlight w:val="none"/>
        </w:rPr>
        <w:t>2</w:t>
      </w:r>
      <w:r>
        <w:rPr>
          <w:rFonts w:hint="eastAsia" w:ascii="宋体" w:hAnsi="宋体"/>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60" w:lineRule="exact"/>
        <w:ind w:firstLine="482"/>
        <w:jc w:val="left"/>
        <w:rPr>
          <w:rFonts w:hint="eastAsia" w:ascii="宋体" w:hAnsi="宋体"/>
          <w:b/>
          <w:sz w:val="24"/>
          <w:highlight w:val="none"/>
        </w:rPr>
      </w:pPr>
      <w:r>
        <w:rPr>
          <w:rFonts w:hint="eastAsia" w:ascii="宋体" w:hAnsi="宋体"/>
          <w:b/>
          <w:sz w:val="24"/>
          <w:highlight w:val="none"/>
        </w:rPr>
        <w:t>21. 法律适用</w:t>
      </w:r>
    </w:p>
    <w:p>
      <w:pPr>
        <w:widowControl/>
        <w:autoSpaceDE w:val="0"/>
        <w:autoSpaceDN w:val="0"/>
        <w:adjustRightInd w:val="0"/>
        <w:spacing w:line="460" w:lineRule="exact"/>
        <w:ind w:firstLine="420"/>
        <w:rPr>
          <w:rFonts w:hint="eastAsia" w:ascii="宋体" w:hAnsi="宋体" w:cs="宋体"/>
          <w:kern w:val="0"/>
          <w:szCs w:val="21"/>
          <w:highlight w:val="none"/>
        </w:rPr>
      </w:pPr>
      <w:r>
        <w:rPr>
          <w:rFonts w:hint="eastAsia" w:ascii="宋体" w:hAnsi="宋体" w:cs="宋体"/>
          <w:kern w:val="0"/>
          <w:szCs w:val="21"/>
          <w:highlight w:val="none"/>
        </w:rPr>
        <w:t>21.1 本合同的订立、生效、解释、履行及与本合同有关的争议解决，均适用法律、行政法规。</w:t>
      </w:r>
    </w:p>
    <w:p>
      <w:pPr>
        <w:widowControl/>
        <w:autoSpaceDE w:val="0"/>
        <w:autoSpaceDN w:val="0"/>
        <w:adjustRightInd w:val="0"/>
        <w:spacing w:line="460" w:lineRule="exact"/>
        <w:ind w:firstLine="420"/>
        <w:rPr>
          <w:rFonts w:hint="eastAsia" w:ascii="宋体" w:hAnsi="宋体" w:cs="宋体"/>
          <w:kern w:val="0"/>
          <w:szCs w:val="21"/>
          <w:highlight w:val="none"/>
        </w:rPr>
      </w:pPr>
      <w:r>
        <w:rPr>
          <w:rFonts w:hint="eastAsia" w:ascii="宋体" w:hAnsi="宋体" w:cs="宋体"/>
          <w:kern w:val="0"/>
          <w:szCs w:val="21"/>
          <w:highlight w:val="none"/>
        </w:rPr>
        <w:t>21.2 本合同条款与法律、行政法规的强制性规定不一致的，双方当事人应按照法律、行政法规的强制性规定修改本合同的相关条款。</w:t>
      </w:r>
    </w:p>
    <w:p>
      <w:pPr>
        <w:autoSpaceDE w:val="0"/>
        <w:autoSpaceDN w:val="0"/>
        <w:adjustRightInd w:val="0"/>
        <w:snapToGrid w:val="0"/>
        <w:spacing w:line="460" w:lineRule="exact"/>
        <w:ind w:firstLine="420" w:firstLineChars="0"/>
        <w:jc w:val="left"/>
        <w:rPr>
          <w:rFonts w:hint="eastAsia" w:ascii="宋体" w:hAnsi="宋体"/>
          <w:b/>
          <w:sz w:val="24"/>
          <w:highlight w:val="none"/>
        </w:rPr>
      </w:pPr>
      <w:r>
        <w:rPr>
          <w:rFonts w:hint="eastAsia" w:ascii="宋体" w:hAnsi="宋体"/>
          <w:b/>
          <w:sz w:val="24"/>
          <w:highlight w:val="none"/>
        </w:rPr>
        <w:t>22. 通知</w:t>
      </w:r>
    </w:p>
    <w:p>
      <w:pPr>
        <w:widowControl/>
        <w:autoSpaceDE w:val="0"/>
        <w:autoSpaceDN w:val="0"/>
        <w:adjustRightInd w:val="0"/>
        <w:spacing w:line="460" w:lineRule="exact"/>
        <w:ind w:firstLine="420"/>
        <w:rPr>
          <w:rFonts w:hint="eastAsia" w:ascii="宋体" w:hAnsi="宋体" w:cs="宋体"/>
          <w:kern w:val="0"/>
          <w:szCs w:val="21"/>
          <w:highlight w:val="none"/>
        </w:rPr>
      </w:pPr>
      <w:r>
        <w:rPr>
          <w:rFonts w:hint="eastAsia" w:ascii="宋体" w:hAnsi="宋体" w:cs="宋体"/>
          <w:kern w:val="0"/>
          <w:szCs w:val="21"/>
          <w:highlight w:val="none"/>
        </w:rPr>
        <w:t>22.1 本合同任何一方向对方发出的通知、信件、数据电文等，应当发送至本合同第一部分《政府采购合同协议书》所约定的通讯地址、联系人、联系电话或电子邮箱。</w:t>
      </w:r>
    </w:p>
    <w:p>
      <w:pPr>
        <w:widowControl/>
        <w:autoSpaceDE w:val="0"/>
        <w:autoSpaceDN w:val="0"/>
        <w:adjustRightInd w:val="0"/>
        <w:spacing w:line="460" w:lineRule="exact"/>
        <w:ind w:firstLine="420"/>
        <w:rPr>
          <w:rFonts w:hint="eastAsia" w:ascii="华文楷体" w:hAnsi="华文楷体" w:eastAsia="华文楷体" w:cs="华文楷体"/>
          <w:kern w:val="0"/>
          <w:szCs w:val="21"/>
          <w:highlight w:val="none"/>
        </w:rPr>
      </w:pPr>
      <w:r>
        <w:rPr>
          <w:rFonts w:hint="eastAsia" w:ascii="宋体" w:hAnsi="宋体" w:cs="宋体"/>
          <w:kern w:val="0"/>
          <w:szCs w:val="21"/>
          <w:highlight w:val="none"/>
        </w:rPr>
        <w:t>22.2 一方当事人变更名称、住所、联系人、联系电话或电子邮箱等信息的，应当在变更后3日内及时书面通知对方，对方实际收到变更通知前的送达仍为有效送达。</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22.3本合同一方给另一方的通知均应采用书面形式，传真或快递送到本合同中规定的对方的地址和办理签收手续。</w:t>
      </w:r>
    </w:p>
    <w:p>
      <w:pPr>
        <w:adjustRightInd w:val="0"/>
        <w:snapToGrid w:val="0"/>
        <w:spacing w:line="460" w:lineRule="exact"/>
        <w:ind w:firstLine="420"/>
        <w:jc w:val="left"/>
        <w:rPr>
          <w:rFonts w:hint="eastAsia" w:ascii="宋体" w:hAnsi="宋体"/>
          <w:szCs w:val="21"/>
          <w:highlight w:val="none"/>
        </w:rPr>
      </w:pPr>
      <w:r>
        <w:rPr>
          <w:rFonts w:hint="eastAsia" w:ascii="宋体" w:hAnsi="宋体"/>
          <w:szCs w:val="21"/>
          <w:highlight w:val="none"/>
        </w:rPr>
        <w:t>22.4通知以送达之日或通知书中规定的生效之日起生效，两者中以较迟之日为准。</w:t>
      </w:r>
    </w:p>
    <w:p>
      <w:pPr>
        <w:numPr>
          <w:ilvl w:val="0"/>
          <w:numId w:val="16"/>
        </w:numPr>
        <w:adjustRightInd w:val="0"/>
        <w:snapToGrid w:val="0"/>
        <w:spacing w:line="460" w:lineRule="exact"/>
        <w:ind w:firstLine="482"/>
        <w:jc w:val="left"/>
        <w:rPr>
          <w:rFonts w:hint="eastAsia" w:ascii="宋体" w:hAnsi="宋体"/>
          <w:b/>
          <w:bCs/>
          <w:sz w:val="24"/>
          <w:highlight w:val="none"/>
        </w:rPr>
      </w:pPr>
      <w:r>
        <w:rPr>
          <w:rFonts w:hint="eastAsia" w:ascii="宋体" w:hAnsi="宋体"/>
          <w:b/>
          <w:bCs/>
          <w:sz w:val="24"/>
          <w:highlight w:val="none"/>
        </w:rPr>
        <w:t>合同未尽事项</w:t>
      </w:r>
    </w:p>
    <w:p>
      <w:pPr>
        <w:adjustRightInd w:val="0"/>
        <w:snapToGrid w:val="0"/>
        <w:spacing w:line="460" w:lineRule="exact"/>
        <w:ind w:firstLine="420"/>
        <w:jc w:val="left"/>
        <w:rPr>
          <w:rFonts w:hint="eastAsia" w:ascii="宋体" w:hAnsi="宋体"/>
          <w:bCs/>
          <w:szCs w:val="21"/>
          <w:highlight w:val="none"/>
        </w:rPr>
      </w:pPr>
      <w:r>
        <w:rPr>
          <w:rFonts w:hint="eastAsia" w:ascii="宋体" w:hAnsi="宋体"/>
          <w:bCs/>
          <w:szCs w:val="21"/>
          <w:highlight w:val="none"/>
        </w:rPr>
        <w:t>23.1合同未尽事项见</w:t>
      </w:r>
      <w:r>
        <w:rPr>
          <w:rFonts w:hint="eastAsia" w:ascii="宋体" w:hAnsi="宋体"/>
          <w:b/>
          <w:szCs w:val="21"/>
          <w:highlight w:val="none"/>
        </w:rPr>
        <w:t>【政府采购合同专用条款】</w:t>
      </w:r>
      <w:r>
        <w:rPr>
          <w:rFonts w:hint="eastAsia" w:ascii="宋体" w:hAnsi="宋体"/>
          <w:bCs/>
          <w:szCs w:val="21"/>
          <w:highlight w:val="none"/>
        </w:rPr>
        <w:t>。</w:t>
      </w:r>
    </w:p>
    <w:p>
      <w:pPr>
        <w:adjustRightInd w:val="0"/>
        <w:snapToGrid w:val="0"/>
        <w:spacing w:line="460" w:lineRule="exact"/>
        <w:ind w:firstLine="420"/>
        <w:jc w:val="left"/>
        <w:rPr>
          <w:rFonts w:hint="eastAsia" w:ascii="黑体" w:hAnsi="华文中宋" w:eastAsia="黑体"/>
          <w:sz w:val="28"/>
          <w:szCs w:val="28"/>
          <w:highlight w:val="none"/>
        </w:rPr>
      </w:pPr>
      <w:r>
        <w:rPr>
          <w:rFonts w:hint="eastAsia" w:ascii="宋体" w:hAnsi="宋体"/>
          <w:bCs/>
          <w:szCs w:val="21"/>
          <w:highlight w:val="none"/>
        </w:rPr>
        <w:t xml:space="preserve">    23.2 合同附件与合同正文具有同等的法律效力。</w:t>
      </w:r>
      <w:bookmarkStart w:id="248" w:name="_Toc20313"/>
    </w:p>
    <w:p>
      <w:pPr>
        <w:adjustRightInd w:val="0"/>
        <w:snapToGrid w:val="0"/>
        <w:ind w:firstLine="560"/>
        <w:jc w:val="center"/>
        <w:rPr>
          <w:rFonts w:hint="eastAsia" w:ascii="黑体" w:hAnsi="华文中宋" w:eastAsia="黑体"/>
          <w:sz w:val="28"/>
          <w:szCs w:val="28"/>
          <w:highlight w:val="none"/>
        </w:rPr>
      </w:pPr>
      <w:r>
        <w:rPr>
          <w:rFonts w:hint="eastAsia" w:ascii="黑体" w:hAnsi="华文中宋" w:eastAsia="黑体"/>
          <w:sz w:val="28"/>
          <w:szCs w:val="28"/>
          <w:highlight w:val="none"/>
        </w:rPr>
        <w:br w:type="page"/>
      </w:r>
    </w:p>
    <w:p>
      <w:pPr>
        <w:keepNext/>
        <w:keepLines/>
        <w:adjustRightInd w:val="0"/>
        <w:snapToGrid w:val="0"/>
        <w:spacing w:line="360" w:lineRule="auto"/>
        <w:ind w:firstLine="560"/>
        <w:jc w:val="center"/>
        <w:outlineLvl w:val="1"/>
        <w:rPr>
          <w:rFonts w:hint="eastAsia" w:ascii="黑体" w:hAnsi="华文中宋" w:eastAsia="黑体"/>
          <w:sz w:val="28"/>
          <w:szCs w:val="28"/>
          <w:highlight w:val="none"/>
        </w:rPr>
      </w:pPr>
      <w:r>
        <w:rPr>
          <w:rFonts w:hint="eastAsia" w:ascii="黑体" w:hAnsi="华文中宋" w:eastAsia="黑体"/>
          <w:sz w:val="28"/>
          <w:szCs w:val="28"/>
          <w:highlight w:val="none"/>
        </w:rPr>
        <w:t>第三节 政府采购合同专用条款</w:t>
      </w:r>
      <w:bookmarkEnd w:id="248"/>
    </w:p>
    <w:tbl>
      <w:tblPr>
        <w:tblStyle w:val="49"/>
        <w:tblW w:w="0" w:type="auto"/>
        <w:tblInd w:w="-157"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72"/>
        <w:gridCol w:w="2362"/>
        <w:gridCol w:w="595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第1.2（6）项</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联合体具体要求</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第1.2（7）项</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其他术语解释</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第4.4款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履约验收中甲方提出异议或作出说明的期限</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第4.6款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约定甲方承担的其他义务和责任</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snapToGrid w:val="0"/>
              <w:ind w:firstLine="420"/>
              <w:jc w:val="center"/>
              <w:rPr>
                <w:highlight w:val="none"/>
              </w:rPr>
            </w:pPr>
            <w:r>
              <w:rPr>
                <w:rFonts w:hint="eastAsia" w:ascii="宋体" w:hAnsi="宋体"/>
                <w:szCs w:val="21"/>
                <w:highlight w:val="none"/>
              </w:rPr>
              <w:t>第5.4款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约定乙方承担的其他义务和责任</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snapToGrid w:val="0"/>
              <w:ind w:firstLine="420"/>
              <w:jc w:val="center"/>
              <w:rPr>
                <w:rFonts w:hint="eastAsia" w:ascii="宋体" w:hAnsi="宋体"/>
                <w:szCs w:val="21"/>
                <w:highlight w:val="none"/>
              </w:rPr>
            </w:pPr>
            <w:r>
              <w:rPr>
                <w:rFonts w:hint="eastAsia" w:ascii="宋体" w:hAnsi="宋体"/>
                <w:szCs w:val="21"/>
                <w:highlight w:val="none"/>
              </w:rPr>
              <w:t>第6.1款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履行合同义务的顺序</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restart"/>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第7.1款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包装特殊要求</w:t>
            </w:r>
          </w:p>
        </w:tc>
        <w:tc>
          <w:tcPr>
            <w:tcW w:w="5954" w:type="dxa"/>
            <w:vAlign w:val="center"/>
          </w:tcPr>
          <w:p>
            <w:pPr>
              <w:ind w:firstLine="420"/>
              <w:rPr>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Merge w:val="continue"/>
            <w:vAlign w:val="center"/>
          </w:tcPr>
          <w:p>
            <w:pPr>
              <w:adjustRightInd w:val="0"/>
              <w:snapToGrid w:val="0"/>
              <w:ind w:firstLine="420"/>
              <w:jc w:val="center"/>
              <w:rPr>
                <w:rFonts w:hint="eastAsia" w:ascii="宋体" w:hAnsi="宋体"/>
                <w:szCs w:val="21"/>
                <w:highlight w:val="none"/>
              </w:rPr>
            </w:pP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指定现场</w:t>
            </w:r>
          </w:p>
        </w:tc>
        <w:tc>
          <w:tcPr>
            <w:tcW w:w="5954" w:type="dxa"/>
            <w:vAlign w:val="center"/>
          </w:tcPr>
          <w:p>
            <w:pPr>
              <w:ind w:firstLine="420"/>
              <w:rPr>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第7.2款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运输特殊要求</w:t>
            </w:r>
          </w:p>
        </w:tc>
        <w:tc>
          <w:tcPr>
            <w:tcW w:w="5954" w:type="dxa"/>
            <w:vAlign w:val="center"/>
          </w:tcPr>
          <w:p>
            <w:pPr>
              <w:ind w:firstLine="420"/>
              <w:rPr>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第7.3款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保险要求</w:t>
            </w:r>
          </w:p>
        </w:tc>
        <w:tc>
          <w:tcPr>
            <w:tcW w:w="5954" w:type="dxa"/>
            <w:vAlign w:val="center"/>
          </w:tcPr>
          <w:p>
            <w:pPr>
              <w:ind w:firstLine="420"/>
              <w:rPr>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第8.2（1）项</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质量保证期</w:t>
            </w:r>
          </w:p>
        </w:tc>
        <w:tc>
          <w:tcPr>
            <w:tcW w:w="5954" w:type="dxa"/>
            <w:vAlign w:val="center"/>
          </w:tcPr>
          <w:p>
            <w:pPr>
              <w:autoSpaceDE w:val="0"/>
              <w:autoSpaceDN w:val="0"/>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第8.2（3）项</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货物质量缺陷</w:t>
            </w:r>
          </w:p>
          <w:p>
            <w:pPr>
              <w:adjustRightInd w:val="0"/>
              <w:snapToGrid w:val="0"/>
              <w:ind w:firstLine="420"/>
              <w:jc w:val="left"/>
              <w:rPr>
                <w:rFonts w:hint="eastAsia" w:ascii="宋体" w:hAnsi="宋体"/>
                <w:szCs w:val="21"/>
                <w:highlight w:val="none"/>
              </w:rPr>
            </w:pPr>
            <w:r>
              <w:rPr>
                <w:rFonts w:hint="eastAsia" w:ascii="宋体" w:hAnsi="宋体"/>
                <w:szCs w:val="21"/>
                <w:highlight w:val="none"/>
              </w:rPr>
              <w:t>响应时间</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snapToGrid w:val="0"/>
              <w:ind w:firstLine="420"/>
              <w:jc w:val="center"/>
              <w:rPr>
                <w:rFonts w:hint="eastAsia" w:ascii="宋体" w:hAnsi="宋体" w:cs="宋体"/>
                <w:szCs w:val="21"/>
                <w:highlight w:val="none"/>
              </w:rPr>
            </w:pPr>
            <w:r>
              <w:rPr>
                <w:rFonts w:hint="eastAsia" w:ascii="宋体" w:hAnsi="宋体" w:cs="宋体"/>
                <w:szCs w:val="21"/>
                <w:highlight w:val="none"/>
              </w:rPr>
              <w:t>第二节</w:t>
            </w:r>
          </w:p>
          <w:p>
            <w:pPr>
              <w:widowControl/>
              <w:autoSpaceDE w:val="0"/>
              <w:autoSpaceDN w:val="0"/>
              <w:adjustRightInd w:val="0"/>
              <w:ind w:firstLine="440"/>
              <w:jc w:val="center"/>
              <w:rPr>
                <w:rFonts w:hint="eastAsia" w:ascii="华文楷体" w:hAnsi="华文楷体" w:eastAsia="华文楷体" w:cs="华文楷体"/>
                <w:kern w:val="0"/>
                <w:sz w:val="22"/>
                <w:szCs w:val="21"/>
                <w:highlight w:val="none"/>
              </w:rPr>
            </w:pPr>
            <w:r>
              <w:rPr>
                <w:rFonts w:hint="eastAsia" w:ascii="宋体" w:hAnsi="宋体" w:cs="宋体"/>
                <w:kern w:val="0"/>
                <w:sz w:val="22"/>
                <w:szCs w:val="21"/>
                <w:highlight w:val="none"/>
              </w:rPr>
              <w:t>第11.1款</w:t>
            </w:r>
          </w:p>
        </w:tc>
        <w:tc>
          <w:tcPr>
            <w:tcW w:w="2362" w:type="dxa"/>
            <w:vAlign w:val="center"/>
          </w:tcPr>
          <w:p>
            <w:pPr>
              <w:adjustRightInd w:val="0"/>
              <w:snapToGrid w:val="0"/>
              <w:ind w:firstLine="420"/>
              <w:rPr>
                <w:rFonts w:hint="eastAsia" w:ascii="宋体" w:hAnsi="宋体"/>
                <w:szCs w:val="21"/>
                <w:highlight w:val="none"/>
              </w:rPr>
            </w:pPr>
            <w:r>
              <w:rPr>
                <w:rFonts w:hint="eastAsia" w:ascii="宋体" w:hAnsi="宋体"/>
                <w:szCs w:val="21"/>
                <w:highlight w:val="none"/>
              </w:rPr>
              <w:t>其他应当保密的信息</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第12.2款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合同价款支付时间</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第13.2款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履约保证金不予退还的情形</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第13.3款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履约保证金退还时间及逾期退还的违约金</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第14.1（3）项</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运行监督、维修期限</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第14.1（5）项</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货物回收的约定</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第14.1（6）项</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乙方提供的其他服务</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第15.1款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修理、重作、更换相关具体规定</w:t>
            </w:r>
          </w:p>
        </w:tc>
        <w:tc>
          <w:tcPr>
            <w:tcW w:w="5954" w:type="dxa"/>
            <w:vAlign w:val="center"/>
          </w:tcPr>
          <w:p>
            <w:pPr>
              <w:adjustRightInd w:val="0"/>
              <w:snapToGrid w:val="0"/>
              <w:ind w:firstLine="420"/>
              <w:jc w:val="left"/>
              <w:rPr>
                <w:rFonts w:hint="eastAsia" w:ascii="宋体" w:hAnsi="宋体"/>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第15.2（2）项</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迟延交货赔偿费</w:t>
            </w:r>
          </w:p>
        </w:tc>
        <w:tc>
          <w:tcPr>
            <w:tcW w:w="5954" w:type="dxa"/>
            <w:vAlign w:val="center"/>
          </w:tcPr>
          <w:p>
            <w:pPr>
              <w:adjustRightInd w:val="0"/>
              <w:snapToGrid w:val="0"/>
              <w:ind w:firstLine="420"/>
              <w:jc w:val="left"/>
              <w:rPr>
                <w:rFonts w:hint="eastAsia" w:ascii="宋体" w:hAnsi="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第15.3款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逾期付款利息</w:t>
            </w:r>
          </w:p>
        </w:tc>
        <w:tc>
          <w:tcPr>
            <w:tcW w:w="5954" w:type="dxa"/>
            <w:vAlign w:val="center"/>
          </w:tcPr>
          <w:p>
            <w:pPr>
              <w:adjustRightInd w:val="0"/>
              <w:snapToGrid w:val="0"/>
              <w:ind w:firstLine="420"/>
              <w:jc w:val="left"/>
              <w:rPr>
                <w:rFonts w:hint="eastAsia" w:ascii="宋体" w:hAnsi="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872" w:type="dxa"/>
            <w:tcBorders>
              <w:bottom w:val="single" w:color="auto" w:sz="2" w:space="0"/>
              <w:right w:val="single" w:color="auto" w:sz="2" w:space="0"/>
            </w:tcBorders>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第15.4款</w:t>
            </w:r>
          </w:p>
        </w:tc>
        <w:tc>
          <w:tcPr>
            <w:tcW w:w="2362" w:type="dxa"/>
            <w:tcBorders>
              <w:left w:val="single" w:color="auto" w:sz="2" w:space="0"/>
              <w:bottom w:val="single" w:color="auto" w:sz="2" w:space="0"/>
              <w:right w:val="single" w:color="auto" w:sz="2" w:space="0"/>
            </w:tcBorders>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其他违约责任</w:t>
            </w:r>
          </w:p>
        </w:tc>
        <w:tc>
          <w:tcPr>
            <w:tcW w:w="5954" w:type="dxa"/>
            <w:tcBorders>
              <w:left w:val="single" w:color="auto" w:sz="2" w:space="0"/>
              <w:bottom w:val="single" w:color="auto" w:sz="2" w:space="0"/>
            </w:tcBorders>
            <w:vAlign w:val="center"/>
          </w:tcPr>
          <w:p>
            <w:pPr>
              <w:adjustRightInd w:val="0"/>
              <w:snapToGrid w:val="0"/>
              <w:ind w:firstLine="420"/>
              <w:jc w:val="left"/>
              <w:rPr>
                <w:rFonts w:hint="eastAsia" w:ascii="宋体" w:hAnsi="宋体"/>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872" w:type="dxa"/>
            <w:tcBorders>
              <w:top w:val="single" w:color="auto" w:sz="2" w:space="0"/>
              <w:right w:val="single" w:color="auto" w:sz="2" w:space="0"/>
            </w:tcBorders>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第19.2款</w:t>
            </w:r>
          </w:p>
        </w:tc>
        <w:tc>
          <w:tcPr>
            <w:tcW w:w="2362" w:type="dxa"/>
            <w:tcBorders>
              <w:top w:val="single" w:color="auto" w:sz="2" w:space="0"/>
              <w:left w:val="single" w:color="auto" w:sz="2" w:space="0"/>
              <w:right w:val="single" w:color="auto" w:sz="2" w:space="0"/>
            </w:tcBorders>
            <w:vAlign w:val="center"/>
          </w:tcPr>
          <w:p>
            <w:pPr>
              <w:adjustRightInd w:val="0"/>
              <w:snapToGrid w:val="0"/>
              <w:ind w:firstLine="420"/>
              <w:jc w:val="left"/>
              <w:rPr>
                <w:rFonts w:hint="eastAsia" w:ascii="宋体" w:hAnsi="宋体"/>
                <w:szCs w:val="21"/>
                <w:highlight w:val="none"/>
              </w:rPr>
            </w:pPr>
            <w:r>
              <w:rPr>
                <w:rFonts w:hint="eastAsia" w:ascii="宋体" w:hAnsi="宋体"/>
                <w:szCs w:val="21"/>
                <w:highlight w:val="none"/>
              </w:rPr>
              <w:t>解决争议的方法</w:t>
            </w:r>
          </w:p>
        </w:tc>
        <w:tc>
          <w:tcPr>
            <w:tcW w:w="5954" w:type="dxa"/>
            <w:tcBorders>
              <w:top w:val="single" w:color="auto" w:sz="2" w:space="0"/>
              <w:left w:val="single" w:color="auto" w:sz="2" w:space="0"/>
            </w:tcBorders>
            <w:vAlign w:val="center"/>
          </w:tcPr>
          <w:p>
            <w:pPr>
              <w:autoSpaceDE w:val="0"/>
              <w:autoSpaceDN w:val="0"/>
              <w:adjustRightInd w:val="0"/>
              <w:snapToGrid w:val="0"/>
              <w:ind w:firstLine="420"/>
              <w:jc w:val="left"/>
              <w:rPr>
                <w:rFonts w:hint="eastAsia" w:ascii="宋体" w:hAnsi="宋体" w:cs="宋体"/>
                <w:iCs/>
                <w:szCs w:val="21"/>
                <w:highlight w:val="none"/>
              </w:rPr>
            </w:pPr>
            <w:r>
              <w:rPr>
                <w:rFonts w:hint="eastAsia" w:ascii="宋体" w:hAnsi="宋体" w:cs="宋体"/>
                <w:iCs/>
                <w:szCs w:val="21"/>
                <w:highlight w:val="none"/>
              </w:rPr>
              <w:t>因本合同及合同有关事项发生的争议，按下列第</w:t>
            </w:r>
            <w:r>
              <w:rPr>
                <w:rFonts w:hint="eastAsia" w:ascii="宋体" w:hAnsi="宋体" w:cs="宋体"/>
                <w:iCs/>
                <w:szCs w:val="21"/>
                <w:highlight w:val="none"/>
                <w:u w:val="single"/>
              </w:rPr>
              <w:t xml:space="preserve">   </w:t>
            </w:r>
            <w:r>
              <w:rPr>
                <w:rFonts w:hint="eastAsia" w:ascii="宋体" w:hAnsi="宋体" w:cs="宋体"/>
                <w:iCs/>
                <w:szCs w:val="21"/>
                <w:highlight w:val="none"/>
              </w:rPr>
              <w:t>种方式解决：</w:t>
            </w:r>
          </w:p>
          <w:p>
            <w:pPr>
              <w:autoSpaceDE w:val="0"/>
              <w:autoSpaceDN w:val="0"/>
              <w:adjustRightInd w:val="0"/>
              <w:snapToGrid w:val="0"/>
              <w:ind w:firstLine="420"/>
              <w:jc w:val="left"/>
              <w:rPr>
                <w:rFonts w:hint="eastAsia" w:ascii="宋体" w:hAnsi="宋体" w:cs="宋体"/>
                <w:iCs/>
                <w:szCs w:val="21"/>
                <w:highlight w:val="none"/>
              </w:rPr>
            </w:pPr>
            <w:r>
              <w:rPr>
                <w:rFonts w:hint="eastAsia" w:ascii="宋体" w:hAnsi="宋体" w:cs="宋体"/>
                <w:iCs/>
                <w:szCs w:val="21"/>
                <w:highlight w:val="none"/>
              </w:rPr>
              <w:t>（1）向</w:t>
            </w:r>
            <w:r>
              <w:rPr>
                <w:rFonts w:hint="eastAsia" w:ascii="宋体" w:hAnsi="宋体" w:cs="宋体"/>
                <w:iCs/>
                <w:szCs w:val="21"/>
                <w:highlight w:val="none"/>
                <w:u w:val="single"/>
              </w:rPr>
              <w:t xml:space="preserve">     </w:t>
            </w:r>
            <w:r>
              <w:rPr>
                <w:rFonts w:hint="eastAsia" w:ascii="宋体" w:hAnsi="宋体" w:cs="宋体"/>
                <w:iCs/>
                <w:szCs w:val="21"/>
                <w:highlight w:val="none"/>
              </w:rPr>
              <w:t>仲裁委员会申请仲裁，仲裁地点为</w:t>
            </w:r>
            <w:r>
              <w:rPr>
                <w:rFonts w:hint="eastAsia" w:ascii="宋体" w:hAnsi="宋体" w:cs="宋体"/>
                <w:iCs/>
                <w:szCs w:val="21"/>
                <w:highlight w:val="none"/>
                <w:u w:val="single"/>
              </w:rPr>
              <w:t xml:space="preserve">       </w:t>
            </w:r>
            <w:r>
              <w:rPr>
                <w:rFonts w:hint="eastAsia" w:ascii="宋体" w:hAnsi="宋体" w:cs="宋体"/>
                <w:iCs/>
                <w:szCs w:val="21"/>
                <w:highlight w:val="none"/>
              </w:rPr>
              <w:t>；</w:t>
            </w:r>
          </w:p>
          <w:p>
            <w:pPr>
              <w:adjustRightInd w:val="0"/>
              <w:snapToGrid w:val="0"/>
              <w:ind w:firstLine="420"/>
              <w:jc w:val="left"/>
              <w:rPr>
                <w:rFonts w:hint="eastAsia" w:ascii="宋体" w:hAnsi="宋体"/>
                <w:szCs w:val="21"/>
                <w:highlight w:val="none"/>
                <w:u w:val="single"/>
              </w:rPr>
            </w:pPr>
            <w:r>
              <w:rPr>
                <w:rFonts w:hint="eastAsia" w:ascii="宋体" w:hAnsi="宋体" w:cs="宋体"/>
                <w:iCs/>
                <w:szCs w:val="21"/>
                <w:highlight w:val="none"/>
              </w:rPr>
              <w:t>（2）向</w:t>
            </w:r>
            <w:r>
              <w:rPr>
                <w:rFonts w:hint="eastAsia" w:ascii="宋体" w:hAnsi="宋体" w:cs="宋体"/>
                <w:iCs/>
                <w:szCs w:val="21"/>
                <w:highlight w:val="none"/>
                <w:u w:val="single"/>
              </w:rPr>
              <w:t xml:space="preserve">                    </w:t>
            </w:r>
            <w:r>
              <w:rPr>
                <w:rFonts w:hint="eastAsia" w:ascii="宋体" w:hAnsi="宋体" w:cs="宋体"/>
                <w:iCs/>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1087" w:hRule="atLeast"/>
        </w:trPr>
        <w:tc>
          <w:tcPr>
            <w:tcW w:w="1872" w:type="dxa"/>
            <w:vAlign w:val="center"/>
          </w:tcPr>
          <w:p>
            <w:pPr>
              <w:adjustRightInd w:val="0"/>
              <w:snapToGrid w:val="0"/>
              <w:ind w:firstLine="420"/>
              <w:jc w:val="center"/>
              <w:rPr>
                <w:rFonts w:hint="eastAsia" w:ascii="宋体" w:hAnsi="宋体"/>
                <w:szCs w:val="21"/>
                <w:highlight w:val="none"/>
              </w:rPr>
            </w:pPr>
            <w:r>
              <w:rPr>
                <w:rFonts w:hint="eastAsia" w:ascii="宋体" w:hAnsi="宋体"/>
                <w:szCs w:val="21"/>
                <w:highlight w:val="none"/>
              </w:rPr>
              <w:t>第二节</w:t>
            </w:r>
          </w:p>
          <w:p>
            <w:pPr>
              <w:adjustRightInd w:val="0"/>
              <w:snapToGrid w:val="0"/>
              <w:ind w:firstLine="420"/>
              <w:jc w:val="center"/>
              <w:rPr>
                <w:rFonts w:hint="eastAsia" w:ascii="宋体" w:hAnsi="宋体"/>
                <w:szCs w:val="21"/>
                <w:highlight w:val="none"/>
              </w:rPr>
            </w:pPr>
            <w:r>
              <w:rPr>
                <w:rFonts w:hint="eastAsia" w:ascii="宋体" w:hAnsi="宋体"/>
                <w:szCs w:val="21"/>
                <w:highlight w:val="none"/>
              </w:rPr>
              <w:t>第23.1款</w:t>
            </w:r>
          </w:p>
        </w:tc>
        <w:tc>
          <w:tcPr>
            <w:tcW w:w="2362" w:type="dxa"/>
            <w:vAlign w:val="center"/>
          </w:tcPr>
          <w:p>
            <w:pPr>
              <w:adjustRightInd w:val="0"/>
              <w:snapToGrid w:val="0"/>
              <w:ind w:firstLine="420"/>
              <w:jc w:val="left"/>
              <w:rPr>
                <w:rFonts w:hint="eastAsia" w:ascii="宋体" w:hAnsi="宋体"/>
                <w:szCs w:val="21"/>
                <w:highlight w:val="none"/>
              </w:rPr>
            </w:pPr>
            <w:r>
              <w:rPr>
                <w:rFonts w:hint="eastAsia" w:ascii="宋体" w:hAnsi="宋体"/>
                <w:bCs/>
                <w:szCs w:val="21"/>
                <w:highlight w:val="none"/>
              </w:rPr>
              <w:t>其他专用条款</w:t>
            </w:r>
          </w:p>
        </w:tc>
        <w:tc>
          <w:tcPr>
            <w:tcW w:w="5954" w:type="dxa"/>
            <w:vAlign w:val="center"/>
          </w:tcPr>
          <w:p>
            <w:pPr>
              <w:adjustRightInd w:val="0"/>
              <w:snapToGrid w:val="0"/>
              <w:ind w:firstLine="420"/>
              <w:jc w:val="left"/>
              <w:rPr>
                <w:rFonts w:hint="eastAsia" w:ascii="宋体" w:hAnsi="宋体"/>
                <w:szCs w:val="21"/>
                <w:highlight w:val="none"/>
              </w:rPr>
            </w:pPr>
          </w:p>
        </w:tc>
      </w:tr>
    </w:tbl>
    <w:p>
      <w:pPr>
        <w:widowControl/>
        <w:ind w:firstLine="420"/>
        <w:jc w:val="left"/>
        <w:rPr>
          <w:rFonts w:ascii="宋体" w:hAnsi="Courier New" w:cs="Courier New"/>
          <w:szCs w:val="21"/>
          <w:highlight w:val="none"/>
        </w:rPr>
      </w:pPr>
    </w:p>
    <w:p>
      <w:pPr>
        <w:widowControl/>
        <w:ind w:firstLine="0" w:firstLineChars="0"/>
        <w:jc w:val="left"/>
        <w:rPr>
          <w:rFonts w:ascii="宋体" w:hAnsi="Courier New" w:cs="Courier New"/>
          <w:szCs w:val="21"/>
          <w:highlight w:val="none"/>
        </w:rPr>
      </w:pPr>
      <w:r>
        <w:rPr>
          <w:rFonts w:ascii="宋体" w:hAnsi="Courier New" w:cs="Courier New"/>
          <w:szCs w:val="21"/>
          <w:highlight w:val="none"/>
        </w:rPr>
        <w:br w:type="page"/>
      </w:r>
    </w:p>
    <w:p>
      <w:pPr>
        <w:ind w:firstLine="0" w:firstLineChars="0"/>
        <w:rPr>
          <w:highlight w:val="none"/>
        </w:rPr>
      </w:pPr>
      <w:bookmarkStart w:id="249" w:name="_Hlk92701478"/>
    </w:p>
    <w:bookmarkEnd w:id="249"/>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ind w:firstLine="0" w:firstLineChars="0"/>
        <w:rPr>
          <w:highlight w:val="none"/>
        </w:rPr>
      </w:pPr>
    </w:p>
    <w:p>
      <w:pPr>
        <w:pStyle w:val="46"/>
        <w:ind w:left="0" w:leftChars="0" w:right="0" w:rightChars="0" w:firstLine="0" w:firstLineChars="0"/>
        <w:jc w:val="center"/>
        <w:rPr>
          <w:highlight w:val="none"/>
        </w:rPr>
      </w:pPr>
      <w:bookmarkStart w:id="250" w:name="_Toc91512288"/>
      <w:bookmarkStart w:id="251" w:name="_Toc352700448"/>
      <w:bookmarkStart w:id="252" w:name="_Toc352700352"/>
      <w:r>
        <w:rPr>
          <w:rFonts w:hint="eastAsia"/>
          <w:highlight w:val="none"/>
        </w:rPr>
        <w:t>第六章　投标文件格式</w:t>
      </w:r>
      <w:bookmarkEnd w:id="250"/>
      <w:bookmarkEnd w:id="251"/>
      <w:bookmarkEnd w:id="252"/>
    </w:p>
    <w:p>
      <w:pPr>
        <w:pStyle w:val="27"/>
        <w:ind w:firstLine="0" w:firstLineChars="0"/>
        <w:rPr>
          <w:rFonts w:hint="eastAsia" w:hAnsi="宋体"/>
          <w:b/>
          <w:sz w:val="32"/>
          <w:szCs w:val="32"/>
          <w:highlight w:val="none"/>
        </w:rPr>
      </w:pPr>
      <w:r>
        <w:rPr>
          <w:rFonts w:hAnsi="宋体"/>
          <w:highlight w:val="none"/>
        </w:rPr>
        <w:br w:type="page"/>
      </w:r>
      <w:r>
        <w:rPr>
          <w:rFonts w:hAnsi="宋体"/>
          <w:highlight w:val="none"/>
        </w:rPr>
        <w:t xml:space="preserve"> </w:t>
      </w:r>
      <w:r>
        <w:rPr>
          <w:rFonts w:hint="eastAsia" w:hAnsi="宋体"/>
          <w:b/>
          <w:sz w:val="32"/>
          <w:szCs w:val="32"/>
          <w:highlight w:val="none"/>
        </w:rPr>
        <w:t>一、资格文件</w:t>
      </w:r>
    </w:p>
    <w:p>
      <w:pPr>
        <w:tabs>
          <w:tab w:val="left" w:pos="3402"/>
        </w:tabs>
        <w:spacing w:line="320" w:lineRule="exact"/>
        <w:ind w:firstLine="0" w:firstLineChars="0"/>
        <w:jc w:val="left"/>
        <w:rPr>
          <w:rFonts w:hint="eastAsia" w:ascii="仿宋_GB2312" w:hAnsi="Adobe 仿宋 Std R" w:eastAsia="仿宋_GB2312"/>
          <w:b/>
          <w:spacing w:val="10"/>
          <w:sz w:val="32"/>
          <w:szCs w:val="32"/>
          <w:highlight w:val="none"/>
        </w:rPr>
      </w:pPr>
    </w:p>
    <w:p>
      <w:pPr>
        <w:tabs>
          <w:tab w:val="left" w:pos="3402"/>
        </w:tabs>
        <w:spacing w:line="240" w:lineRule="auto"/>
        <w:ind w:firstLine="602" w:firstLineChars="0"/>
        <w:jc w:val="center"/>
        <w:rPr>
          <w:rFonts w:hint="eastAsia" w:ascii="仿宋_GB2312" w:hAnsi="Adobe 仿宋 Std R" w:eastAsia="仿宋_GB2312"/>
          <w:b/>
          <w:spacing w:val="10"/>
          <w:sz w:val="32"/>
          <w:szCs w:val="32"/>
          <w:highlight w:val="none"/>
        </w:rPr>
      </w:pPr>
      <w:r>
        <w:rPr>
          <w:rFonts w:hint="eastAsia" w:ascii="仿宋_GB2312" w:hAnsi="Adobe 仿宋 Std R" w:eastAsia="仿宋_GB2312"/>
          <w:b/>
          <w:spacing w:val="10"/>
          <w:sz w:val="32"/>
          <w:szCs w:val="32"/>
          <w:highlight w:val="none"/>
        </w:rPr>
        <w:t>投标人具备参加政府采购活动条件的承诺书</w:t>
      </w:r>
      <w:r>
        <w:rPr>
          <w:rFonts w:hint="eastAsia" w:ascii="仿宋_GB2312" w:hAnsi="Adobe 仿宋 Std R" w:eastAsia="仿宋_GB2312" w:cs="黑体"/>
          <w:bCs/>
          <w:sz w:val="24"/>
          <w:highlight w:val="none"/>
        </w:rPr>
        <w:t>(格式)</w:t>
      </w:r>
    </w:p>
    <w:p>
      <w:pPr>
        <w:tabs>
          <w:tab w:val="left" w:pos="3402"/>
        </w:tabs>
        <w:spacing w:line="240" w:lineRule="auto"/>
        <w:ind w:firstLine="0" w:firstLineChars="0"/>
        <w:jc w:val="left"/>
        <w:rPr>
          <w:rFonts w:hint="eastAsia" w:ascii="仿宋_GB2312" w:hAnsi="仿宋" w:eastAsia="仿宋_GB2312"/>
          <w:b/>
          <w:spacing w:val="10"/>
          <w:szCs w:val="21"/>
          <w:highlight w:val="none"/>
        </w:rPr>
      </w:pPr>
    </w:p>
    <w:p>
      <w:pPr>
        <w:spacing w:line="520" w:lineRule="exact"/>
        <w:ind w:firstLine="0" w:firstLineChars="0"/>
        <w:rPr>
          <w:rFonts w:hint="eastAsia" w:ascii="宋体" w:hAnsi="宋体"/>
          <w:bCs/>
          <w:szCs w:val="22"/>
          <w:highlight w:val="none"/>
        </w:rPr>
      </w:pPr>
      <w:r>
        <w:rPr>
          <w:rFonts w:hint="eastAsia" w:ascii="宋体" w:hAnsi="宋体"/>
          <w:bCs/>
          <w:szCs w:val="22"/>
          <w:highlight w:val="none"/>
        </w:rPr>
        <w:t>钦州市政府采购中心：</w:t>
      </w:r>
    </w:p>
    <w:p>
      <w:pPr>
        <w:spacing w:line="520" w:lineRule="exact"/>
        <w:ind w:firstLine="420" w:firstLineChars="0"/>
        <w:rPr>
          <w:rFonts w:hint="eastAsia" w:ascii="宋体" w:hAnsi="宋体"/>
          <w:bCs/>
          <w:szCs w:val="22"/>
          <w:highlight w:val="none"/>
        </w:rPr>
      </w:pPr>
      <w:r>
        <w:rPr>
          <w:rFonts w:hint="eastAsia" w:ascii="宋体" w:hAnsi="宋体"/>
          <w:bCs/>
          <w:szCs w:val="22"/>
          <w:highlight w:val="none"/>
        </w:rPr>
        <w:t>根据《中华人民共和国政府采购法》实施条例第十七条的规定，现郑重承诺：</w:t>
      </w:r>
    </w:p>
    <w:p>
      <w:pPr>
        <w:spacing w:line="520" w:lineRule="exact"/>
        <w:ind w:firstLine="420" w:firstLineChars="0"/>
        <w:rPr>
          <w:rFonts w:hint="eastAsia" w:ascii="宋体" w:hAnsi="宋体"/>
          <w:bCs/>
          <w:szCs w:val="22"/>
          <w:highlight w:val="none"/>
        </w:rPr>
      </w:pPr>
      <w:r>
        <w:rPr>
          <w:rFonts w:ascii="宋体" w:hAnsi="宋体"/>
          <w:bCs/>
          <w:szCs w:val="22"/>
          <w:highlight w:val="none"/>
          <w:u w:val="single"/>
        </w:rPr>
        <w:t>(</w:t>
      </w:r>
      <w:r>
        <w:rPr>
          <w:rFonts w:hint="eastAsia" w:ascii="宋体" w:hAnsi="宋体"/>
          <w:bCs/>
          <w:szCs w:val="22"/>
          <w:highlight w:val="none"/>
          <w:u w:val="single"/>
        </w:rPr>
        <w:t>投标人名称)</w:t>
      </w:r>
      <w:r>
        <w:rPr>
          <w:rFonts w:hint="eastAsia" w:ascii="宋体" w:hAnsi="宋体"/>
          <w:bCs/>
          <w:szCs w:val="22"/>
          <w:highlight w:val="none"/>
        </w:rPr>
        <w:t>具有良好的商业信誉和健全的财务会计制度，具有履行合同所必需的设备和专业技术能力，有依法缴纳税收和社会保障资金的良好记录。</w:t>
      </w:r>
    </w:p>
    <w:p>
      <w:pPr>
        <w:spacing w:line="520" w:lineRule="exact"/>
        <w:ind w:firstLine="420" w:firstLineChars="0"/>
        <w:rPr>
          <w:rFonts w:hint="eastAsia" w:ascii="宋体" w:hAnsi="宋体"/>
          <w:bCs/>
          <w:szCs w:val="22"/>
          <w:highlight w:val="none"/>
        </w:rPr>
      </w:pPr>
      <w:r>
        <w:rPr>
          <w:rFonts w:hint="eastAsia" w:ascii="宋体" w:hAnsi="宋体"/>
          <w:bCs/>
          <w:szCs w:val="22"/>
          <w:highlight w:val="none"/>
        </w:rPr>
        <w:t>本单位对上述承诺内容事项真实性负责，如有虚假，由我单位承担相关法律责任。</w:t>
      </w:r>
    </w:p>
    <w:p>
      <w:pPr>
        <w:spacing w:line="520" w:lineRule="exact"/>
        <w:ind w:firstLine="420" w:firstLineChars="0"/>
        <w:rPr>
          <w:rFonts w:hint="eastAsia" w:ascii="宋体" w:hAnsi="宋体"/>
          <w:bCs/>
          <w:szCs w:val="22"/>
          <w:highlight w:val="none"/>
        </w:rPr>
      </w:pPr>
      <w:r>
        <w:rPr>
          <w:rFonts w:hint="eastAsia" w:ascii="宋体" w:hAnsi="宋体"/>
          <w:bCs/>
          <w:szCs w:val="22"/>
          <w:highlight w:val="none"/>
        </w:rPr>
        <w:t>特此承诺。</w:t>
      </w:r>
    </w:p>
    <w:p>
      <w:pPr>
        <w:spacing w:line="240" w:lineRule="auto"/>
        <w:ind w:firstLine="420" w:firstLineChars="0"/>
        <w:rPr>
          <w:rFonts w:hint="eastAsia" w:ascii="宋体" w:hAnsi="宋体"/>
          <w:bCs/>
          <w:szCs w:val="22"/>
          <w:highlight w:val="none"/>
        </w:rPr>
      </w:pPr>
    </w:p>
    <w:p>
      <w:pPr>
        <w:spacing w:line="240" w:lineRule="auto"/>
        <w:ind w:firstLine="420" w:firstLineChars="0"/>
        <w:rPr>
          <w:rFonts w:hint="eastAsia" w:ascii="宋体" w:hAnsi="宋体"/>
          <w:bCs/>
          <w:szCs w:val="22"/>
          <w:highlight w:val="none"/>
        </w:rPr>
      </w:pPr>
    </w:p>
    <w:p>
      <w:pPr>
        <w:spacing w:line="240" w:lineRule="auto"/>
        <w:ind w:firstLine="420" w:firstLineChars="0"/>
        <w:rPr>
          <w:rFonts w:hint="eastAsia" w:ascii="宋体" w:hAnsi="宋体"/>
          <w:bCs/>
          <w:szCs w:val="22"/>
          <w:highlight w:val="none"/>
        </w:rPr>
      </w:pPr>
    </w:p>
    <w:p>
      <w:pPr>
        <w:spacing w:line="440" w:lineRule="exact"/>
        <w:ind w:right="1050" w:rightChars="500" w:firstLine="5250" w:firstLineChars="2500"/>
        <w:jc w:val="left"/>
        <w:rPr>
          <w:rFonts w:hint="eastAsia" w:ascii="宋体" w:hAnsi="宋体"/>
          <w:bCs/>
          <w:highlight w:val="none"/>
        </w:rPr>
      </w:pPr>
      <w:r>
        <w:rPr>
          <w:rFonts w:hint="eastAsia" w:ascii="宋体" w:hAnsi="宋体"/>
          <w:bCs/>
          <w:szCs w:val="22"/>
          <w:highlight w:val="none"/>
        </w:rPr>
        <w:t xml:space="preserve"> </w:t>
      </w:r>
      <w:r>
        <w:rPr>
          <w:rFonts w:ascii="宋体" w:hAnsi="宋体"/>
          <w:bCs/>
          <w:szCs w:val="22"/>
          <w:highlight w:val="none"/>
        </w:rPr>
        <w:t xml:space="preserve">   </w:t>
      </w:r>
      <w:r>
        <w:rPr>
          <w:rFonts w:hint="eastAsia" w:ascii="宋体" w:hAnsi="宋体"/>
          <w:bCs/>
          <w:highlight w:val="none"/>
        </w:rPr>
        <w:t>投标人（盖章）：</w:t>
      </w:r>
      <w:r>
        <w:rPr>
          <w:rFonts w:hint="eastAsia" w:ascii="宋体" w:hAnsi="宋体"/>
          <w:bCs/>
          <w:highlight w:val="none"/>
          <w:u w:val="single"/>
        </w:rPr>
        <w:t xml:space="preserve">  </w:t>
      </w:r>
      <w:r>
        <w:rPr>
          <w:rFonts w:ascii="宋体" w:hAnsi="宋体"/>
          <w:bCs/>
          <w:highlight w:val="none"/>
          <w:u w:val="single"/>
        </w:rPr>
        <w:t xml:space="preserve">  </w:t>
      </w:r>
      <w:r>
        <w:rPr>
          <w:rFonts w:hint="eastAsia" w:ascii="宋体" w:hAnsi="宋体"/>
          <w:bCs/>
          <w:highlight w:val="none"/>
          <w:u w:val="single"/>
        </w:rPr>
        <w:t xml:space="preserve">     </w:t>
      </w:r>
      <w:r>
        <w:rPr>
          <w:rFonts w:ascii="宋体" w:hAnsi="宋体"/>
          <w:bCs/>
          <w:highlight w:val="none"/>
          <w:u w:val="single"/>
        </w:rPr>
        <w:t xml:space="preserve"> </w:t>
      </w:r>
      <w:r>
        <w:rPr>
          <w:rFonts w:hint="eastAsia" w:ascii="宋体" w:hAnsi="宋体"/>
          <w:bCs/>
          <w:highlight w:val="none"/>
          <w:u w:val="single"/>
        </w:rPr>
        <w:t xml:space="preserve">  </w:t>
      </w:r>
    </w:p>
    <w:p>
      <w:pPr>
        <w:spacing w:line="440" w:lineRule="exact"/>
        <w:ind w:right="420" w:firstLine="0" w:firstLineChars="0"/>
        <w:jc w:val="center"/>
        <w:rPr>
          <w:rFonts w:hint="eastAsia" w:ascii="宋体" w:hAnsi="宋体"/>
          <w:bCs/>
          <w:highlight w:val="none"/>
        </w:rPr>
      </w:pPr>
      <w:r>
        <w:rPr>
          <w:rFonts w:hint="eastAsia" w:ascii="宋体" w:hAnsi="宋体"/>
          <w:bCs/>
          <w:highlight w:val="none"/>
        </w:rPr>
        <w:t xml:space="preserve"> </w:t>
      </w:r>
      <w:r>
        <w:rPr>
          <w:rFonts w:ascii="宋体" w:hAnsi="宋体"/>
          <w:bCs/>
          <w:highlight w:val="none"/>
        </w:rPr>
        <w:t xml:space="preserve">                                              </w:t>
      </w:r>
      <w:r>
        <w:rPr>
          <w:rFonts w:hint="eastAsia" w:ascii="宋体" w:hAnsi="宋体"/>
          <w:bCs/>
          <w:highlight w:val="none"/>
        </w:rPr>
        <w:t>日期：</w:t>
      </w:r>
      <w:r>
        <w:rPr>
          <w:rFonts w:hint="eastAsia" w:ascii="宋体" w:hAnsi="宋体"/>
          <w:bCs/>
          <w:highlight w:val="none"/>
          <w:u w:val="single"/>
        </w:rPr>
        <w:t xml:space="preserve">       </w:t>
      </w:r>
      <w:r>
        <w:rPr>
          <w:rFonts w:hint="eastAsia" w:ascii="宋体" w:hAnsi="宋体"/>
          <w:bCs/>
          <w:highlight w:val="none"/>
        </w:rPr>
        <w:t>年</w:t>
      </w:r>
      <w:r>
        <w:rPr>
          <w:rFonts w:hint="eastAsia" w:ascii="宋体" w:hAnsi="宋体"/>
          <w:bCs/>
          <w:highlight w:val="none"/>
          <w:u w:val="single"/>
        </w:rPr>
        <w:t xml:space="preserve">    </w:t>
      </w:r>
      <w:r>
        <w:rPr>
          <w:rFonts w:hint="eastAsia" w:ascii="宋体" w:hAnsi="宋体"/>
          <w:bCs/>
          <w:highlight w:val="none"/>
        </w:rPr>
        <w:t>月</w:t>
      </w:r>
      <w:r>
        <w:rPr>
          <w:rFonts w:hint="eastAsia" w:ascii="宋体" w:hAnsi="宋体"/>
          <w:bCs/>
          <w:highlight w:val="none"/>
          <w:u w:val="single"/>
        </w:rPr>
        <w:t xml:space="preserve">    </w:t>
      </w:r>
      <w:r>
        <w:rPr>
          <w:rFonts w:hint="eastAsia" w:ascii="宋体" w:hAnsi="宋体"/>
          <w:bCs/>
          <w:highlight w:val="none"/>
        </w:rPr>
        <w:t>日</w:t>
      </w:r>
    </w:p>
    <w:p>
      <w:pPr>
        <w:ind w:firstLine="0" w:firstLineChars="0"/>
        <w:rPr>
          <w:highlight w:val="none"/>
        </w:rPr>
      </w:pPr>
    </w:p>
    <w:p>
      <w:pPr>
        <w:ind w:firstLine="0" w:firstLineChars="0"/>
        <w:rPr>
          <w:highlight w:val="none"/>
        </w:rPr>
      </w:pPr>
    </w:p>
    <w:p>
      <w:pPr>
        <w:ind w:firstLine="0" w:firstLineChars="0"/>
        <w:rPr>
          <w:highlight w:val="none"/>
        </w:rPr>
      </w:pPr>
    </w:p>
    <w:p>
      <w:pPr>
        <w:tabs>
          <w:tab w:val="left" w:pos="3402"/>
        </w:tabs>
        <w:ind w:firstLine="683"/>
        <w:jc w:val="center"/>
        <w:rPr>
          <w:rFonts w:hint="eastAsia" w:ascii="仿宋_GB2312" w:hAnsi="仿宋" w:eastAsia="仿宋_GB2312"/>
          <w:b/>
          <w:spacing w:val="10"/>
          <w:sz w:val="28"/>
          <w:szCs w:val="28"/>
          <w:highlight w:val="none"/>
        </w:rPr>
      </w:pPr>
      <w:r>
        <w:rPr>
          <w:rFonts w:hint="eastAsia" w:ascii="仿宋_GB2312" w:hAnsi="仿宋" w:eastAsia="仿宋_GB2312"/>
          <w:b/>
          <w:spacing w:val="10"/>
          <w:sz w:val="32"/>
          <w:szCs w:val="32"/>
          <w:highlight w:val="none"/>
        </w:rPr>
        <w:t>无重大违法记录的书面声明</w:t>
      </w:r>
      <w:r>
        <w:rPr>
          <w:rFonts w:hint="eastAsia" w:ascii="仿宋_GB2312" w:hAnsi="仿宋" w:eastAsia="仿宋_GB2312"/>
          <w:bCs/>
          <w:spacing w:val="10"/>
          <w:sz w:val="24"/>
          <w:highlight w:val="none"/>
        </w:rPr>
        <w:t>（格式）</w:t>
      </w:r>
    </w:p>
    <w:p>
      <w:pPr>
        <w:tabs>
          <w:tab w:val="left" w:pos="3402"/>
        </w:tabs>
        <w:ind w:firstLine="0" w:firstLineChars="0"/>
        <w:jc w:val="left"/>
        <w:rPr>
          <w:rFonts w:hint="eastAsia" w:ascii="仿宋_GB2312" w:hAnsi="仿宋" w:eastAsia="仿宋_GB2312"/>
          <w:b/>
          <w:spacing w:val="10"/>
          <w:szCs w:val="21"/>
          <w:highlight w:val="none"/>
        </w:rPr>
      </w:pPr>
    </w:p>
    <w:p>
      <w:pPr>
        <w:spacing w:line="440" w:lineRule="exact"/>
        <w:ind w:firstLine="0" w:firstLineChars="0"/>
        <w:rPr>
          <w:rFonts w:hint="eastAsia" w:ascii="宋体" w:hAnsi="宋体"/>
          <w:bCs/>
          <w:highlight w:val="none"/>
        </w:rPr>
      </w:pPr>
      <w:r>
        <w:rPr>
          <w:rFonts w:hint="eastAsia" w:ascii="宋体" w:hAnsi="宋体"/>
          <w:bCs/>
          <w:highlight w:val="none"/>
        </w:rPr>
        <w:t>钦州市政府采购中心：</w:t>
      </w:r>
    </w:p>
    <w:p>
      <w:pPr>
        <w:spacing w:line="440" w:lineRule="exact"/>
        <w:ind w:firstLine="420"/>
        <w:rPr>
          <w:rFonts w:hint="eastAsia" w:ascii="宋体" w:hAnsi="宋体"/>
          <w:bCs/>
          <w:highlight w:val="none"/>
        </w:rPr>
      </w:pPr>
      <w:r>
        <w:rPr>
          <w:rFonts w:hint="eastAsia" w:ascii="宋体" w:hAnsi="宋体"/>
          <w:bCs/>
          <w:highlight w:val="none"/>
        </w:rPr>
        <w:t>根据《中华人民共和国政府采购法实施条例》第十七条第一款第(四</w:t>
      </w:r>
      <w:r>
        <w:rPr>
          <w:rFonts w:ascii="宋体" w:hAnsi="宋体"/>
          <w:bCs/>
          <w:highlight w:val="none"/>
        </w:rPr>
        <w:t>）</w:t>
      </w:r>
      <w:r>
        <w:rPr>
          <w:rFonts w:hint="eastAsia" w:ascii="宋体" w:hAnsi="宋体"/>
          <w:bCs/>
          <w:highlight w:val="none"/>
        </w:rPr>
        <w:t>项的规定，</w:t>
      </w:r>
      <w:r>
        <w:rPr>
          <w:rFonts w:hint="eastAsia" w:ascii="宋体" w:hAnsi="宋体"/>
          <w:bCs/>
          <w:highlight w:val="none"/>
          <w:u w:val="single"/>
        </w:rPr>
        <w:t>（投标人名称）</w:t>
      </w:r>
      <w:r>
        <w:rPr>
          <w:rFonts w:hint="eastAsia" w:ascii="宋体" w:hAnsi="宋体"/>
          <w:bCs/>
          <w:highlight w:val="none"/>
        </w:rPr>
        <w:t>郑重声明：</w:t>
      </w:r>
    </w:p>
    <w:p>
      <w:pPr>
        <w:spacing w:line="440" w:lineRule="exact"/>
        <w:ind w:firstLine="420"/>
        <w:rPr>
          <w:rFonts w:hint="eastAsia" w:ascii="宋体" w:hAnsi="宋体"/>
          <w:bCs/>
          <w:highlight w:val="none"/>
        </w:rPr>
      </w:pPr>
      <w:r>
        <w:rPr>
          <w:rFonts w:ascii="宋体" w:hAnsi="宋体"/>
          <w:bCs/>
          <w:highlight w:val="none"/>
          <w:u w:val="single"/>
        </w:rPr>
        <w:t>(</w:t>
      </w:r>
      <w:r>
        <w:rPr>
          <w:rFonts w:hint="eastAsia" w:ascii="宋体" w:hAnsi="宋体"/>
          <w:bCs/>
          <w:highlight w:val="none"/>
          <w:u w:val="single"/>
        </w:rPr>
        <w:t>投标人名称)</w:t>
      </w:r>
      <w:r>
        <w:rPr>
          <w:rFonts w:hint="eastAsia" w:ascii="宋体" w:hAnsi="宋体"/>
          <w:bCs/>
          <w:highlight w:val="none"/>
        </w:rPr>
        <w:t>在参加本次政府采购活动前3年内在经营活动中没有重大违法记录（</w:t>
      </w:r>
      <w:r>
        <w:rPr>
          <w:rFonts w:hint="eastAsia" w:ascii="宋体" w:hAnsi="宋体"/>
          <w:bCs/>
          <w:highlight w:val="none"/>
          <w:u w:val="single"/>
        </w:rPr>
        <w:t>即因违法经营受到刑事处罚或者责令停产停业、吊销许可证或者执照、较大数额罚款等行政处罚的行为</w:t>
      </w:r>
      <w:r>
        <w:rPr>
          <w:rFonts w:hint="eastAsia" w:ascii="宋体" w:hAnsi="宋体"/>
          <w:bCs/>
          <w:highlight w:val="none"/>
        </w:rPr>
        <w:t>）。</w:t>
      </w:r>
    </w:p>
    <w:p>
      <w:pPr>
        <w:spacing w:line="440" w:lineRule="exact"/>
        <w:ind w:firstLine="420"/>
        <w:rPr>
          <w:rFonts w:hint="eastAsia" w:ascii="宋体" w:hAnsi="宋体"/>
          <w:bCs/>
          <w:highlight w:val="none"/>
        </w:rPr>
      </w:pPr>
      <w:r>
        <w:rPr>
          <w:rFonts w:hint="eastAsia" w:ascii="宋体" w:hAnsi="宋体"/>
          <w:bCs/>
          <w:highlight w:val="none"/>
        </w:rPr>
        <w:t>本单位对上述声明内容事项真实性负责，如有虚假，由我单位承担相关法律责任。</w:t>
      </w:r>
    </w:p>
    <w:p>
      <w:pPr>
        <w:ind w:firstLine="420"/>
        <w:rPr>
          <w:rFonts w:hint="eastAsia" w:ascii="宋体" w:hAnsi="宋体"/>
          <w:bCs/>
          <w:highlight w:val="none"/>
        </w:rPr>
      </w:pPr>
      <w:r>
        <w:rPr>
          <w:rFonts w:hint="eastAsia" w:ascii="宋体" w:hAnsi="宋体"/>
          <w:bCs/>
          <w:highlight w:val="none"/>
        </w:rPr>
        <w:t>特此声明。</w:t>
      </w:r>
    </w:p>
    <w:p>
      <w:pPr>
        <w:ind w:firstLine="420"/>
        <w:rPr>
          <w:rFonts w:hint="eastAsia" w:ascii="宋体" w:hAnsi="宋体"/>
          <w:bCs/>
          <w:highlight w:val="none"/>
        </w:rPr>
      </w:pPr>
    </w:p>
    <w:p>
      <w:pPr>
        <w:ind w:firstLine="420"/>
        <w:rPr>
          <w:rFonts w:hint="eastAsia" w:ascii="宋体" w:hAnsi="宋体"/>
          <w:bCs/>
          <w:highlight w:val="none"/>
        </w:rPr>
      </w:pPr>
    </w:p>
    <w:p>
      <w:pPr>
        <w:ind w:firstLine="420"/>
        <w:rPr>
          <w:rFonts w:hint="eastAsia" w:ascii="宋体" w:hAnsi="宋体"/>
          <w:bCs/>
          <w:highlight w:val="none"/>
        </w:rPr>
      </w:pPr>
    </w:p>
    <w:p>
      <w:pPr>
        <w:ind w:right="1050" w:rightChars="500" w:firstLine="4819" w:firstLineChars="2295"/>
        <w:jc w:val="left"/>
        <w:rPr>
          <w:rFonts w:hint="eastAsia" w:ascii="宋体" w:hAnsi="宋体"/>
          <w:bCs/>
          <w:highlight w:val="none"/>
        </w:rPr>
      </w:pPr>
      <w:r>
        <w:rPr>
          <w:rFonts w:hint="eastAsia" w:ascii="宋体" w:hAnsi="宋体"/>
          <w:bCs/>
          <w:highlight w:val="none"/>
        </w:rPr>
        <w:t xml:space="preserve"> </w:t>
      </w:r>
      <w:r>
        <w:rPr>
          <w:rFonts w:ascii="宋体" w:hAnsi="宋体"/>
          <w:bCs/>
          <w:highlight w:val="none"/>
        </w:rPr>
        <w:t xml:space="preserve">          </w:t>
      </w:r>
      <w:r>
        <w:rPr>
          <w:rFonts w:hint="eastAsia" w:ascii="宋体" w:hAnsi="宋体"/>
          <w:bCs/>
          <w:highlight w:val="none"/>
        </w:rPr>
        <w:t>投标人（盖章）：</w:t>
      </w:r>
      <w:r>
        <w:rPr>
          <w:rFonts w:hint="eastAsia" w:ascii="宋体" w:hAnsi="宋体"/>
          <w:bCs/>
          <w:highlight w:val="none"/>
          <w:u w:val="single"/>
        </w:rPr>
        <w:t xml:space="preserve">          </w:t>
      </w:r>
      <w:r>
        <w:rPr>
          <w:rFonts w:ascii="宋体" w:hAnsi="宋体"/>
          <w:bCs/>
          <w:highlight w:val="none"/>
          <w:u w:val="single"/>
        </w:rPr>
        <w:t xml:space="preserve"> </w:t>
      </w:r>
    </w:p>
    <w:p>
      <w:pPr>
        <w:ind w:right="1050" w:rightChars="500" w:firstLine="420"/>
        <w:jc w:val="right"/>
        <w:rPr>
          <w:rFonts w:hint="eastAsia" w:ascii="宋体" w:hAnsi="宋体"/>
          <w:bCs/>
          <w:highlight w:val="none"/>
        </w:rPr>
      </w:pPr>
      <w:r>
        <w:rPr>
          <w:rFonts w:hint="eastAsia" w:ascii="宋体" w:hAnsi="宋体"/>
          <w:bCs/>
          <w:highlight w:val="none"/>
        </w:rPr>
        <w:t>日期：</w:t>
      </w:r>
      <w:bookmarkStart w:id="253" w:name="_Hlk112336125"/>
      <w:r>
        <w:rPr>
          <w:rFonts w:hint="eastAsia" w:ascii="宋体" w:hAnsi="宋体"/>
          <w:bCs/>
          <w:highlight w:val="none"/>
          <w:u w:val="single"/>
        </w:rPr>
        <w:t xml:space="preserve">      </w:t>
      </w:r>
      <w:r>
        <w:rPr>
          <w:rFonts w:hint="eastAsia" w:ascii="宋体" w:hAnsi="宋体"/>
          <w:bCs/>
          <w:highlight w:val="none"/>
        </w:rPr>
        <w:t>年</w:t>
      </w:r>
      <w:r>
        <w:rPr>
          <w:rFonts w:hint="eastAsia" w:ascii="宋体" w:hAnsi="宋体"/>
          <w:bCs/>
          <w:highlight w:val="none"/>
          <w:u w:val="single"/>
        </w:rPr>
        <w:t xml:space="preserve">    </w:t>
      </w:r>
      <w:r>
        <w:rPr>
          <w:rFonts w:hint="eastAsia" w:ascii="宋体" w:hAnsi="宋体"/>
          <w:bCs/>
          <w:highlight w:val="none"/>
        </w:rPr>
        <w:t>月</w:t>
      </w:r>
      <w:r>
        <w:rPr>
          <w:rFonts w:hint="eastAsia" w:ascii="宋体" w:hAnsi="宋体"/>
          <w:bCs/>
          <w:highlight w:val="none"/>
          <w:u w:val="single"/>
        </w:rPr>
        <w:t xml:space="preserve">    </w:t>
      </w:r>
      <w:r>
        <w:rPr>
          <w:rFonts w:hint="eastAsia" w:ascii="宋体" w:hAnsi="宋体"/>
          <w:bCs/>
          <w:highlight w:val="none"/>
        </w:rPr>
        <w:t>日</w:t>
      </w:r>
      <w:bookmarkEnd w:id="253"/>
    </w:p>
    <w:p>
      <w:pPr>
        <w:snapToGrid w:val="0"/>
        <w:spacing w:before="156" w:beforeLines="50" w:after="50" w:line="360" w:lineRule="exact"/>
        <w:ind w:firstLine="0" w:firstLineChars="0"/>
        <w:jc w:val="left"/>
        <w:rPr>
          <w:rFonts w:hint="eastAsia" w:ascii="宋体" w:hAnsi="宋体"/>
          <w:b/>
          <w:sz w:val="32"/>
          <w:szCs w:val="32"/>
          <w:highlight w:val="none"/>
        </w:rPr>
      </w:pPr>
      <w:r>
        <w:rPr>
          <w:rFonts w:ascii="宋体" w:hAnsi="宋体"/>
          <w:b/>
          <w:sz w:val="32"/>
          <w:szCs w:val="32"/>
          <w:highlight w:val="none"/>
        </w:rPr>
        <w:br w:type="page"/>
      </w:r>
      <w:r>
        <w:rPr>
          <w:rFonts w:hint="eastAsia" w:ascii="宋体" w:hAnsi="宋体"/>
          <w:b/>
          <w:sz w:val="32"/>
          <w:szCs w:val="32"/>
          <w:highlight w:val="none"/>
        </w:rPr>
        <w:t>二、资信技术文件</w:t>
      </w:r>
    </w:p>
    <w:p>
      <w:pPr>
        <w:snapToGrid w:val="0"/>
        <w:spacing w:before="156" w:beforeLines="50" w:after="50" w:line="360" w:lineRule="exact"/>
        <w:ind w:firstLine="0" w:firstLineChars="0"/>
        <w:jc w:val="center"/>
        <w:rPr>
          <w:rFonts w:hint="eastAsia" w:ascii="仿宋_GB2312" w:hAnsi="宋体" w:eastAsia="仿宋_GB2312"/>
          <w:b/>
          <w:sz w:val="28"/>
          <w:szCs w:val="28"/>
          <w:highlight w:val="none"/>
        </w:rPr>
      </w:pPr>
      <w:r>
        <w:rPr>
          <w:rFonts w:hint="eastAsia" w:ascii="仿宋_GB2312" w:hAnsi="宋体" w:eastAsia="仿宋_GB2312"/>
          <w:b/>
          <w:sz w:val="28"/>
          <w:szCs w:val="28"/>
          <w:highlight w:val="none"/>
        </w:rPr>
        <w:t>投 标 函</w:t>
      </w:r>
      <w:r>
        <w:rPr>
          <w:rFonts w:hint="eastAsia" w:ascii="仿宋_GB2312" w:hAnsi="宋体" w:eastAsia="仿宋_GB2312"/>
          <w:bCs/>
          <w:sz w:val="24"/>
          <w:highlight w:val="none"/>
        </w:rPr>
        <w:t>（格式）</w:t>
      </w:r>
    </w:p>
    <w:p>
      <w:pPr>
        <w:ind w:firstLine="0" w:firstLineChars="0"/>
        <w:rPr>
          <w:rFonts w:hint="eastAsia" w:ascii="宋体" w:hAnsi="宋体"/>
          <w:szCs w:val="21"/>
          <w:highlight w:val="none"/>
        </w:rPr>
      </w:pPr>
      <w:r>
        <w:rPr>
          <w:rFonts w:hint="eastAsia" w:ascii="宋体" w:hAnsi="宋体"/>
          <w:szCs w:val="21"/>
          <w:highlight w:val="none"/>
        </w:rPr>
        <w:t>致：钦州市政府采购中心：</w:t>
      </w:r>
    </w:p>
    <w:p>
      <w:pPr>
        <w:ind w:firstLine="0" w:firstLineChars="0"/>
        <w:rPr>
          <w:rFonts w:hint="eastAsia" w:ascii="宋体" w:hAnsi="宋体"/>
          <w:szCs w:val="21"/>
          <w:highlight w:val="none"/>
        </w:rPr>
      </w:pPr>
    </w:p>
    <w:p>
      <w:pPr>
        <w:ind w:firstLine="0" w:firstLineChars="0"/>
        <w:jc w:val="left"/>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根据贵方为</w:t>
      </w:r>
      <w:r>
        <w:rPr>
          <w:rFonts w:hint="eastAsia" w:ascii="宋体" w:hAnsi="宋体"/>
          <w:szCs w:val="21"/>
          <w:highlight w:val="none"/>
          <w:u w:val="single"/>
        </w:rPr>
        <w:t xml:space="preserve">   （项目名称）</w:t>
      </w:r>
      <w:r>
        <w:rPr>
          <w:rFonts w:ascii="宋体" w:hAnsi="宋体"/>
          <w:szCs w:val="21"/>
          <w:highlight w:val="none"/>
          <w:u w:val="single"/>
        </w:rPr>
        <w:t xml:space="preserve">   </w:t>
      </w:r>
      <w:r>
        <w:rPr>
          <w:rFonts w:hint="eastAsia" w:ascii="宋体" w:hAnsi="宋体"/>
          <w:szCs w:val="21"/>
          <w:highlight w:val="none"/>
        </w:rPr>
        <w:t>招标文件</w:t>
      </w:r>
      <w:r>
        <w:rPr>
          <w:rFonts w:hint="eastAsia" w:ascii="宋体" w:hAnsi="宋体"/>
          <w:szCs w:val="21"/>
          <w:highlight w:val="none"/>
          <w:u w:val="single"/>
        </w:rPr>
        <w:t xml:space="preserve"> （项目编号及分标号）</w:t>
      </w:r>
      <w:r>
        <w:rPr>
          <w:rFonts w:ascii="宋体" w:hAnsi="宋体"/>
          <w:szCs w:val="21"/>
          <w:highlight w:val="none"/>
          <w:u w:val="single"/>
        </w:rPr>
        <w:t xml:space="preserve"> </w:t>
      </w:r>
      <w:r>
        <w:rPr>
          <w:rFonts w:hint="eastAsia" w:ascii="宋体" w:hAnsi="宋体"/>
          <w:szCs w:val="21"/>
          <w:highlight w:val="none"/>
        </w:rPr>
        <w:t>，</w:t>
      </w:r>
      <w:bookmarkStart w:id="254" w:name="_Hlk92702218"/>
      <w:r>
        <w:rPr>
          <w:rFonts w:hint="eastAsia" w:ascii="宋体" w:hAnsi="宋体"/>
          <w:szCs w:val="21"/>
          <w:highlight w:val="none"/>
        </w:rPr>
        <w:t>我方</w:t>
      </w:r>
      <w:r>
        <w:rPr>
          <w:rFonts w:hint="eastAsia" w:ascii="宋体" w:hAnsi="宋体"/>
          <w:szCs w:val="21"/>
          <w:highlight w:val="none"/>
          <w:u w:val="single"/>
        </w:rPr>
        <w:t xml:space="preserve">  （投标人名称）  </w:t>
      </w:r>
      <w:r>
        <w:rPr>
          <w:rFonts w:hint="eastAsia" w:ascii="宋体" w:hAnsi="宋体"/>
          <w:szCs w:val="21"/>
          <w:highlight w:val="none"/>
        </w:rPr>
        <w:t>经正式授权代表</w:t>
      </w:r>
      <w:r>
        <w:rPr>
          <w:rFonts w:hint="eastAsia" w:ascii="宋体" w:hAnsi="宋体"/>
          <w:szCs w:val="21"/>
          <w:highlight w:val="none"/>
          <w:u w:val="single"/>
        </w:rPr>
        <w:t xml:space="preserve">   （被授权人）   </w:t>
      </w:r>
      <w:r>
        <w:rPr>
          <w:rFonts w:hint="eastAsia" w:ascii="宋体" w:hAnsi="宋体"/>
          <w:szCs w:val="21"/>
          <w:highlight w:val="none"/>
        </w:rPr>
        <w:t>提交</w:t>
      </w:r>
      <w:bookmarkEnd w:id="254"/>
      <w:r>
        <w:rPr>
          <w:rFonts w:hint="eastAsia" w:ascii="宋体" w:hAnsi="宋体"/>
          <w:szCs w:val="21"/>
          <w:highlight w:val="none"/>
        </w:rPr>
        <w:t>投标文件：</w:t>
      </w:r>
    </w:p>
    <w:p>
      <w:pPr>
        <w:ind w:firstLine="0" w:firstLineChars="0"/>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据此函，投标人承诺：</w:t>
      </w:r>
    </w:p>
    <w:p>
      <w:pPr>
        <w:snapToGrid w:val="0"/>
        <w:spacing w:line="360" w:lineRule="exact"/>
        <w:ind w:firstLine="420"/>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我方已详细审阅招标文件（包括澄清或者修改文件），已经了解我方对于招标文件、采购过程、采购结果有依法进行询问、质疑、投诉的权利及相关渠道和要求。</w:t>
      </w:r>
    </w:p>
    <w:p>
      <w:pPr>
        <w:snapToGrid w:val="0"/>
        <w:spacing w:line="360" w:lineRule="exact"/>
        <w:ind w:firstLine="420"/>
        <w:rPr>
          <w:rFonts w:hint="eastAsia" w:ascii="宋体" w:hAnsi="宋体"/>
          <w:szCs w:val="21"/>
          <w:highlight w:val="none"/>
        </w:rPr>
      </w:pPr>
      <w:r>
        <w:rPr>
          <w:rFonts w:hint="eastAsia" w:ascii="宋体" w:hAnsi="宋体"/>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rPr>
          <w:rFonts w:hint="eastAsia" w:ascii="宋体" w:hAnsi="宋体"/>
          <w:szCs w:val="21"/>
          <w:highlight w:val="none"/>
        </w:rPr>
      </w:pPr>
      <w:r>
        <w:rPr>
          <w:rFonts w:ascii="宋体" w:hAnsi="宋体"/>
          <w:szCs w:val="21"/>
          <w:highlight w:val="none"/>
        </w:rPr>
        <w:t>3.</w:t>
      </w:r>
      <w:r>
        <w:rPr>
          <w:rFonts w:hint="eastAsia" w:ascii="宋体" w:hAnsi="宋体"/>
          <w:szCs w:val="21"/>
          <w:highlight w:val="none"/>
        </w:rPr>
        <w:t>我方在投标之前已经与贵方进行了充分的沟通，完全理解并接受招标文件的各项规定和要求，对招标文件的合理性、合法性不再有异议。</w:t>
      </w:r>
    </w:p>
    <w:p>
      <w:pPr>
        <w:snapToGrid w:val="0"/>
        <w:spacing w:line="360" w:lineRule="exact"/>
        <w:ind w:firstLine="420"/>
        <w:rPr>
          <w:rFonts w:hint="eastAsia" w:ascii="宋体" w:hAnsi="宋体"/>
          <w:szCs w:val="21"/>
          <w:highlight w:val="none"/>
        </w:rPr>
      </w:pPr>
      <w:r>
        <w:rPr>
          <w:rFonts w:ascii="宋体" w:hAnsi="宋体"/>
          <w:szCs w:val="21"/>
          <w:highlight w:val="none"/>
        </w:rPr>
        <w:t>4.</w:t>
      </w:r>
      <w:r>
        <w:rPr>
          <w:rFonts w:hint="eastAsia" w:ascii="宋体" w:hAnsi="宋体"/>
          <w:szCs w:val="21"/>
          <w:highlight w:val="none"/>
        </w:rPr>
        <w:t>我方同意在开标日期起遵循本投标文件，并在投标有效期9</w:t>
      </w:r>
      <w:r>
        <w:rPr>
          <w:rFonts w:ascii="宋体" w:hAnsi="宋体"/>
          <w:szCs w:val="21"/>
          <w:highlight w:val="none"/>
        </w:rPr>
        <w:t>0</w:t>
      </w:r>
      <w:r>
        <w:rPr>
          <w:rFonts w:hint="eastAsia" w:ascii="宋体" w:hAnsi="宋体"/>
          <w:szCs w:val="21"/>
          <w:highlight w:val="none"/>
        </w:rPr>
        <w:t>天内均具有约束力。</w:t>
      </w:r>
    </w:p>
    <w:p>
      <w:pPr>
        <w:ind w:firstLine="0" w:firstLineChars="0"/>
        <w:rPr>
          <w:rFonts w:hint="eastAsia" w:ascii="宋体" w:hAnsi="宋体"/>
          <w:szCs w:val="21"/>
          <w:highlight w:val="none"/>
        </w:rPr>
      </w:pPr>
      <w:r>
        <w:rPr>
          <w:rFonts w:ascii="宋体" w:hAnsi="宋体"/>
          <w:szCs w:val="21"/>
          <w:highlight w:val="none"/>
        </w:rPr>
        <w:tab/>
      </w:r>
      <w:r>
        <w:rPr>
          <w:rFonts w:ascii="宋体" w:hAnsi="宋体"/>
          <w:szCs w:val="21"/>
          <w:highlight w:val="none"/>
        </w:rPr>
        <w:t>5</w:t>
      </w:r>
      <w:r>
        <w:rPr>
          <w:rFonts w:hint="eastAsia" w:ascii="宋体" w:hAnsi="宋体"/>
          <w:szCs w:val="21"/>
          <w:highlight w:val="none"/>
        </w:rPr>
        <w:t>.我方承诺具备《中华人民共和国政府采购法》中规定的参加政府采购活动供应商应当具备的条件。</w:t>
      </w:r>
    </w:p>
    <w:p>
      <w:pPr>
        <w:ind w:firstLine="0" w:firstLineChars="0"/>
        <w:rPr>
          <w:rFonts w:hint="eastAsia" w:ascii="宋体" w:hAnsi="宋体"/>
          <w:szCs w:val="21"/>
          <w:highlight w:val="none"/>
        </w:rPr>
      </w:pPr>
      <w:r>
        <w:rPr>
          <w:rFonts w:ascii="宋体" w:hAnsi="宋体"/>
          <w:szCs w:val="21"/>
          <w:highlight w:val="none"/>
        </w:rPr>
        <w:tab/>
      </w:r>
      <w:r>
        <w:rPr>
          <w:rFonts w:ascii="宋体" w:hAnsi="宋体"/>
          <w:szCs w:val="21"/>
          <w:highlight w:val="none"/>
        </w:rPr>
        <w:t>6</w:t>
      </w:r>
      <w:r>
        <w:rPr>
          <w:rFonts w:hint="eastAsia" w:ascii="宋体" w:hAnsi="宋体"/>
          <w:szCs w:val="21"/>
          <w:highlight w:val="none"/>
        </w:rPr>
        <w:t>.我方根据招标文件的规定，承担完成合同的责任和义务。</w:t>
      </w:r>
    </w:p>
    <w:p>
      <w:pPr>
        <w:ind w:firstLine="0" w:firstLineChars="0"/>
        <w:rPr>
          <w:rFonts w:hint="eastAsia" w:ascii="宋体" w:hAnsi="宋体"/>
          <w:szCs w:val="21"/>
          <w:highlight w:val="none"/>
        </w:rPr>
      </w:pPr>
      <w:r>
        <w:rPr>
          <w:rFonts w:ascii="宋体" w:hAnsi="宋体"/>
          <w:szCs w:val="21"/>
          <w:highlight w:val="none"/>
        </w:rPr>
        <w:tab/>
      </w:r>
      <w:r>
        <w:rPr>
          <w:rFonts w:ascii="宋体" w:hAnsi="宋体"/>
          <w:szCs w:val="21"/>
          <w:highlight w:val="none"/>
        </w:rPr>
        <w:t>7</w:t>
      </w:r>
      <w:r>
        <w:rPr>
          <w:rFonts w:hint="eastAsia" w:ascii="宋体" w:hAnsi="宋体"/>
          <w:szCs w:val="21"/>
          <w:highlight w:val="none"/>
        </w:rPr>
        <w:t>.如果在投标截止时间后的投标有效期内撤回投标或者有其他违约行为，我方的投标保证金可被贵方全部没收。</w:t>
      </w:r>
    </w:p>
    <w:p>
      <w:pPr>
        <w:ind w:firstLine="0" w:firstLineChars="0"/>
        <w:rPr>
          <w:rFonts w:hint="eastAsia" w:ascii="宋体" w:hAnsi="宋体"/>
          <w:szCs w:val="21"/>
          <w:highlight w:val="none"/>
        </w:rPr>
      </w:pPr>
      <w:r>
        <w:rPr>
          <w:rFonts w:ascii="宋体" w:hAnsi="宋体"/>
          <w:szCs w:val="21"/>
          <w:highlight w:val="none"/>
        </w:rPr>
        <w:tab/>
      </w:r>
      <w:r>
        <w:rPr>
          <w:rFonts w:ascii="宋体" w:hAnsi="宋体"/>
          <w:szCs w:val="21"/>
          <w:highlight w:val="none"/>
        </w:rPr>
        <w:t>8</w:t>
      </w:r>
      <w:r>
        <w:rPr>
          <w:rFonts w:hint="eastAsia" w:ascii="宋体" w:hAnsi="宋体"/>
          <w:szCs w:val="21"/>
          <w:highlight w:val="none"/>
        </w:rPr>
        <w:t>.同意向贵方提供贵方可能要求的与本投标有关的人员、数据和资料。</w:t>
      </w:r>
    </w:p>
    <w:p>
      <w:pPr>
        <w:ind w:firstLine="0" w:firstLineChars="0"/>
        <w:rPr>
          <w:rFonts w:hint="eastAsia" w:ascii="宋体" w:hAnsi="宋体"/>
          <w:szCs w:val="21"/>
          <w:highlight w:val="none"/>
        </w:rPr>
      </w:pPr>
      <w:r>
        <w:rPr>
          <w:rFonts w:ascii="宋体" w:hAnsi="宋体"/>
          <w:szCs w:val="21"/>
          <w:highlight w:val="none"/>
        </w:rPr>
        <w:tab/>
      </w:r>
      <w:r>
        <w:rPr>
          <w:rFonts w:ascii="宋体" w:hAnsi="宋体"/>
          <w:szCs w:val="21"/>
          <w:highlight w:val="none"/>
        </w:rPr>
        <w:t>9</w:t>
      </w:r>
      <w:r>
        <w:rPr>
          <w:rFonts w:hint="eastAsia" w:ascii="宋体" w:hAnsi="宋体"/>
          <w:szCs w:val="21"/>
          <w:highlight w:val="none"/>
        </w:rPr>
        <w:t>.我方完全理解贵方不一定要接受最低报价的投标人为中标人。</w:t>
      </w:r>
    </w:p>
    <w:p>
      <w:pPr>
        <w:ind w:firstLine="424" w:firstLineChars="202"/>
        <w:rPr>
          <w:rFonts w:hint="eastAsia" w:ascii="宋体" w:hAnsi="宋体"/>
          <w:szCs w:val="21"/>
          <w:highlight w:val="none"/>
        </w:rPr>
      </w:pPr>
      <w:r>
        <w:rPr>
          <w:rFonts w:ascii="宋体" w:hAnsi="宋体"/>
          <w:szCs w:val="21"/>
          <w:highlight w:val="none"/>
        </w:rPr>
        <w:t>10.</w:t>
      </w:r>
      <w:r>
        <w:rPr>
          <w:rFonts w:hint="eastAsia" w:ascii="宋体" w:hAnsi="宋体"/>
          <w:szCs w:val="21"/>
          <w:highlight w:val="none"/>
        </w:rPr>
        <w:t>我方向贵方提交的所有投标文件、资料都是准确的和真实的。</w:t>
      </w:r>
    </w:p>
    <w:p>
      <w:pPr>
        <w:ind w:firstLine="0" w:firstLineChars="0"/>
        <w:rPr>
          <w:rFonts w:hint="eastAsia" w:ascii="宋体" w:hAnsi="宋体"/>
          <w:szCs w:val="21"/>
          <w:highlight w:val="none"/>
        </w:rPr>
      </w:pPr>
    </w:p>
    <w:p>
      <w:pPr>
        <w:ind w:firstLine="426" w:firstLineChars="0"/>
        <w:rPr>
          <w:rFonts w:hint="eastAsia" w:ascii="宋体" w:hAnsi="宋体"/>
          <w:szCs w:val="21"/>
          <w:highlight w:val="none"/>
        </w:rPr>
      </w:pPr>
      <w:r>
        <w:rPr>
          <w:rFonts w:hint="eastAsia" w:ascii="宋体" w:hAnsi="宋体"/>
          <w:szCs w:val="21"/>
          <w:highlight w:val="none"/>
        </w:rPr>
        <w:t>与我公司有关的正式通讯方式：</w:t>
      </w:r>
    </w:p>
    <w:p>
      <w:pPr>
        <w:ind w:firstLine="0" w:firstLineChars="0"/>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地址：</w:t>
      </w:r>
      <w:r>
        <w:rPr>
          <w:rFonts w:hint="eastAsia" w:ascii="宋体" w:hAnsi="宋体"/>
          <w:szCs w:val="21"/>
          <w:highlight w:val="none"/>
          <w:u w:val="single"/>
        </w:rPr>
        <w:t xml:space="preserve">                                   </w:t>
      </w:r>
    </w:p>
    <w:p>
      <w:pPr>
        <w:ind w:firstLine="0" w:firstLineChars="0"/>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邮政编码：</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ind w:firstLine="0" w:firstLineChars="0"/>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电话、电报、传真或电传：</w:t>
      </w:r>
      <w:r>
        <w:rPr>
          <w:rFonts w:hint="eastAsia" w:ascii="宋体" w:hAnsi="宋体"/>
          <w:szCs w:val="21"/>
          <w:highlight w:val="none"/>
          <w:u w:val="single"/>
        </w:rPr>
        <w:t xml:space="preserve">                 </w:t>
      </w:r>
    </w:p>
    <w:p>
      <w:pPr>
        <w:ind w:firstLine="0" w:firstLineChars="0"/>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开户名称：</w:t>
      </w:r>
      <w:r>
        <w:rPr>
          <w:rFonts w:hint="eastAsia" w:ascii="宋体" w:hAnsi="宋体"/>
          <w:szCs w:val="21"/>
          <w:highlight w:val="none"/>
          <w:u w:val="single"/>
        </w:rPr>
        <w:t xml:space="preserve">                               </w:t>
      </w:r>
    </w:p>
    <w:p>
      <w:pPr>
        <w:ind w:firstLine="0" w:firstLineChars="0"/>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开户银行：</w:t>
      </w:r>
      <w:r>
        <w:rPr>
          <w:rFonts w:hint="eastAsia" w:ascii="宋体" w:hAnsi="宋体"/>
          <w:szCs w:val="21"/>
          <w:highlight w:val="none"/>
          <w:u w:val="single"/>
        </w:rPr>
        <w:t xml:space="preserve">                               </w:t>
      </w:r>
    </w:p>
    <w:p>
      <w:pPr>
        <w:ind w:firstLine="0" w:firstLineChars="0"/>
        <w:rPr>
          <w:rFonts w:hint="eastAsia" w:ascii="宋体" w:hAnsi="宋体"/>
          <w:szCs w:val="21"/>
          <w:highlight w:val="none"/>
          <w:u w:val="single"/>
        </w:rPr>
      </w:pPr>
      <w:r>
        <w:rPr>
          <w:rFonts w:ascii="宋体" w:hAnsi="宋体"/>
          <w:szCs w:val="21"/>
          <w:highlight w:val="none"/>
        </w:rPr>
        <w:tab/>
      </w:r>
      <w:r>
        <w:rPr>
          <w:rFonts w:hint="eastAsia" w:ascii="宋体" w:hAnsi="宋体"/>
          <w:szCs w:val="21"/>
          <w:highlight w:val="none"/>
        </w:rPr>
        <w:t>账    号：</w:t>
      </w:r>
      <w:r>
        <w:rPr>
          <w:rFonts w:hint="eastAsia" w:ascii="宋体" w:hAnsi="宋体"/>
          <w:szCs w:val="21"/>
          <w:highlight w:val="none"/>
          <w:u w:val="single"/>
        </w:rPr>
        <w:t xml:space="preserve">                               </w:t>
      </w:r>
    </w:p>
    <w:p>
      <w:pPr>
        <w:ind w:firstLine="0" w:firstLineChars="0"/>
        <w:rPr>
          <w:rFonts w:hint="eastAsia" w:ascii="宋体" w:hAnsi="宋体"/>
          <w:szCs w:val="21"/>
          <w:highlight w:val="none"/>
        </w:rPr>
      </w:pPr>
    </w:p>
    <w:p>
      <w:pPr>
        <w:ind w:firstLine="0" w:firstLineChars="0"/>
        <w:rPr>
          <w:rFonts w:hint="eastAsia" w:ascii="宋体" w:hAnsi="宋体"/>
          <w:szCs w:val="21"/>
          <w:highlight w:val="none"/>
        </w:rPr>
      </w:pPr>
    </w:p>
    <w:p>
      <w:pPr>
        <w:ind w:firstLine="0" w:firstLineChars="0"/>
        <w:rPr>
          <w:rFonts w:hint="eastAsia" w:ascii="宋体" w:hAnsi="宋体"/>
          <w:szCs w:val="21"/>
          <w:highlight w:val="none"/>
        </w:rPr>
      </w:pPr>
    </w:p>
    <w:p>
      <w:pPr>
        <w:ind w:firstLine="0" w:firstLineChars="0"/>
        <w:rPr>
          <w:rFonts w:hint="eastAsia" w:ascii="宋体" w:hAnsi="宋体"/>
          <w:szCs w:val="21"/>
          <w:highlight w:val="none"/>
          <w:u w:val="single"/>
        </w:rPr>
      </w:pPr>
      <w:r>
        <w:rPr>
          <w:rFonts w:ascii="宋体" w:hAnsi="宋体"/>
          <w:szCs w:val="21"/>
          <w:highlight w:val="none"/>
        </w:rPr>
        <w:tab/>
      </w:r>
      <w:r>
        <w:rPr>
          <w:rFonts w:ascii="宋体" w:hAnsi="宋体"/>
          <w:szCs w:val="21"/>
          <w:highlight w:val="none"/>
        </w:rPr>
        <w:t xml:space="preserve">                                                    </w:t>
      </w:r>
      <w:r>
        <w:rPr>
          <w:rFonts w:hint="eastAsia" w:ascii="宋体" w:hAnsi="宋体"/>
          <w:szCs w:val="21"/>
          <w:highlight w:val="none"/>
        </w:rPr>
        <w:t>投标人（盖章）：</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ind w:firstLine="0" w:firstLineChars="0"/>
        <w:rPr>
          <w:rFonts w:hint="eastAsia" w:ascii="宋体" w:hAnsi="宋体"/>
          <w:szCs w:val="21"/>
          <w:highlight w:val="none"/>
        </w:rPr>
      </w:pPr>
      <w:r>
        <w:rPr>
          <w:rFonts w:ascii="宋体" w:hAnsi="宋体"/>
          <w:szCs w:val="21"/>
          <w:highlight w:val="none"/>
        </w:rPr>
        <w:tab/>
      </w:r>
      <w:r>
        <w:rPr>
          <w:rFonts w:ascii="宋体" w:hAnsi="宋体"/>
          <w:szCs w:val="21"/>
          <w:highlight w:val="none"/>
        </w:rPr>
        <w:t xml:space="preserve">                                                    </w:t>
      </w:r>
      <w:r>
        <w:rPr>
          <w:rFonts w:hint="eastAsia" w:ascii="宋体" w:hAnsi="宋体"/>
          <w:szCs w:val="21"/>
          <w:highlight w:val="none"/>
        </w:rPr>
        <w:t>日期：</w:t>
      </w:r>
      <w:r>
        <w:rPr>
          <w:rFonts w:hint="eastAsia" w:ascii="宋体" w:hAnsi="宋体"/>
          <w:bCs/>
          <w:highlight w:val="none"/>
          <w:u w:val="single"/>
        </w:rPr>
        <w:t xml:space="preserve">    </w:t>
      </w:r>
      <w:r>
        <w:rPr>
          <w:rFonts w:ascii="宋体" w:hAnsi="宋体"/>
          <w:bCs/>
          <w:highlight w:val="none"/>
          <w:u w:val="single"/>
        </w:rPr>
        <w:t xml:space="preserve">  </w:t>
      </w:r>
      <w:r>
        <w:rPr>
          <w:rFonts w:hint="eastAsia" w:ascii="宋体" w:hAnsi="宋体"/>
          <w:bCs/>
          <w:highlight w:val="none"/>
          <w:u w:val="single"/>
        </w:rPr>
        <w:t xml:space="preserve">  </w:t>
      </w:r>
      <w:r>
        <w:rPr>
          <w:rFonts w:hint="eastAsia" w:ascii="宋体" w:hAnsi="宋体"/>
          <w:bCs/>
          <w:highlight w:val="none"/>
        </w:rPr>
        <w:t>年</w:t>
      </w:r>
      <w:r>
        <w:rPr>
          <w:rFonts w:hint="eastAsia" w:ascii="宋体" w:hAnsi="宋体"/>
          <w:bCs/>
          <w:highlight w:val="none"/>
          <w:u w:val="single"/>
        </w:rPr>
        <w:t xml:space="preserve">    </w:t>
      </w:r>
      <w:r>
        <w:rPr>
          <w:rFonts w:hint="eastAsia" w:ascii="宋体" w:hAnsi="宋体"/>
          <w:bCs/>
          <w:highlight w:val="none"/>
        </w:rPr>
        <w:t>月</w:t>
      </w:r>
      <w:r>
        <w:rPr>
          <w:rFonts w:hint="eastAsia" w:ascii="宋体" w:hAnsi="宋体"/>
          <w:bCs/>
          <w:highlight w:val="none"/>
          <w:u w:val="single"/>
        </w:rPr>
        <w:t xml:space="preserve">    </w:t>
      </w:r>
      <w:r>
        <w:rPr>
          <w:rFonts w:hint="eastAsia" w:ascii="宋体" w:hAnsi="宋体"/>
          <w:bCs/>
          <w:highlight w:val="none"/>
        </w:rPr>
        <w:t>日</w:t>
      </w:r>
    </w:p>
    <w:p>
      <w:pPr>
        <w:ind w:firstLine="0" w:firstLineChars="0"/>
        <w:rPr>
          <w:highlight w:val="none"/>
        </w:rPr>
      </w:pPr>
    </w:p>
    <w:p>
      <w:pPr>
        <w:tabs>
          <w:tab w:val="left" w:pos="3870"/>
          <w:tab w:val="left" w:pos="4085"/>
        </w:tabs>
        <w:snapToGrid w:val="0"/>
        <w:spacing w:line="600" w:lineRule="exact"/>
        <w:ind w:firstLine="0" w:firstLineChars="0"/>
        <w:jc w:val="center"/>
        <w:rPr>
          <w:rFonts w:hint="eastAsia" w:ascii="仿宋_GB2312" w:hAnsi="宋体" w:eastAsia="仿宋_GB2312"/>
          <w:b/>
          <w:sz w:val="28"/>
          <w:szCs w:val="28"/>
          <w:highlight w:val="none"/>
        </w:rPr>
      </w:pPr>
      <w:bookmarkStart w:id="255" w:name="_Hlk92702580"/>
      <w:r>
        <w:rPr>
          <w:rFonts w:hint="eastAsia" w:ascii="仿宋_GB2312" w:hAnsi="宋体" w:eastAsia="仿宋_GB2312"/>
          <w:b/>
          <w:sz w:val="32"/>
          <w:szCs w:val="32"/>
          <w:highlight w:val="none"/>
        </w:rPr>
        <w:t>授权委托书</w:t>
      </w:r>
      <w:r>
        <w:rPr>
          <w:rFonts w:hint="eastAsia" w:ascii="仿宋_GB2312" w:hAnsi="宋体" w:eastAsia="仿宋_GB2312"/>
          <w:bCs/>
          <w:sz w:val="24"/>
          <w:highlight w:val="none"/>
        </w:rPr>
        <w:t>（格式）</w:t>
      </w:r>
    </w:p>
    <w:p>
      <w:pPr>
        <w:snapToGrid w:val="0"/>
        <w:spacing w:before="156" w:beforeLines="50" w:after="50"/>
        <w:ind w:firstLine="0" w:firstLineChars="0"/>
        <w:rPr>
          <w:rFonts w:hint="eastAsia" w:ascii="宋体" w:hAnsi="宋体"/>
          <w:b/>
          <w:bCs/>
          <w:szCs w:val="21"/>
          <w:highlight w:val="none"/>
        </w:rPr>
      </w:pPr>
      <w:r>
        <w:rPr>
          <w:rFonts w:hint="eastAsia" w:ascii="宋体" w:hAnsi="宋体"/>
          <w:bCs/>
          <w:szCs w:val="21"/>
          <w:highlight w:val="none"/>
        </w:rPr>
        <w:t>致：</w:t>
      </w:r>
      <w:r>
        <w:rPr>
          <w:rFonts w:hint="eastAsia"/>
          <w:highlight w:val="none"/>
        </w:rPr>
        <w:t>钦州市政府采购中心</w:t>
      </w:r>
    </w:p>
    <w:p>
      <w:pPr>
        <w:snapToGrid w:val="0"/>
        <w:spacing w:before="156" w:beforeLines="50" w:after="50"/>
        <w:ind w:firstLine="420"/>
        <w:rPr>
          <w:rFonts w:hint="eastAsia" w:ascii="宋体" w:hAnsi="宋体"/>
          <w:szCs w:val="21"/>
          <w:highlight w:val="none"/>
        </w:rPr>
      </w:pPr>
      <w:r>
        <w:rPr>
          <w:rFonts w:hint="eastAsia" w:ascii="宋体" w:hAnsi="宋体"/>
          <w:szCs w:val="21"/>
          <w:highlight w:val="none"/>
        </w:rPr>
        <w:t>我</w:t>
      </w:r>
      <w:r>
        <w:rPr>
          <w:rFonts w:hint="eastAsia" w:ascii="宋体" w:hAnsi="宋体"/>
          <w:szCs w:val="21"/>
          <w:highlight w:val="none"/>
          <w:u w:val="single"/>
        </w:rPr>
        <w:t>（姓名）</w:t>
      </w:r>
      <w:r>
        <w:rPr>
          <w:rFonts w:hint="eastAsia" w:ascii="宋体" w:hAnsi="宋体"/>
          <w:szCs w:val="21"/>
          <w:highlight w:val="none"/>
        </w:rPr>
        <w:t>系</w:t>
      </w:r>
      <w:r>
        <w:rPr>
          <w:rFonts w:hint="eastAsia" w:ascii="宋体" w:hAnsi="宋体"/>
          <w:szCs w:val="21"/>
          <w:highlight w:val="none"/>
          <w:u w:val="single"/>
        </w:rPr>
        <w:t>（投标人名称）</w:t>
      </w:r>
      <w:r>
        <w:rPr>
          <w:rFonts w:hint="eastAsia" w:ascii="宋体" w:hAnsi="宋体"/>
          <w:szCs w:val="21"/>
          <w:highlight w:val="none"/>
        </w:rPr>
        <w:t>的法定代表人，现授权委托本单位在职职工</w:t>
      </w:r>
      <w:r>
        <w:rPr>
          <w:rFonts w:hint="eastAsia" w:ascii="宋体" w:hAnsi="宋体"/>
          <w:szCs w:val="21"/>
          <w:highlight w:val="none"/>
          <w:u w:val="single"/>
        </w:rPr>
        <w:t>（姓名）</w:t>
      </w:r>
      <w:r>
        <w:rPr>
          <w:rFonts w:hint="eastAsia" w:ascii="宋体" w:hAnsi="宋体"/>
          <w:szCs w:val="21"/>
          <w:highlight w:val="none"/>
        </w:rPr>
        <w:t>以我方的名义参加</w:t>
      </w:r>
      <w:r>
        <w:rPr>
          <w:rFonts w:hint="eastAsia" w:ascii="宋体" w:hAnsi="宋体"/>
          <w:szCs w:val="21"/>
          <w:highlight w:val="none"/>
          <w:u w:val="single"/>
        </w:rPr>
        <w:t>（项目名称/项目编号）</w:t>
      </w:r>
      <w:r>
        <w:rPr>
          <w:rFonts w:hint="eastAsia" w:ascii="宋体" w:hAnsi="宋体"/>
          <w:szCs w:val="21"/>
          <w:highlight w:val="none"/>
        </w:rPr>
        <w:t>的投标活动，并代表我方全权办理针对上述项目的投标、开标、评标、签约等具体事务和签署相关文件。</w:t>
      </w:r>
    </w:p>
    <w:p>
      <w:pPr>
        <w:snapToGrid w:val="0"/>
        <w:spacing w:before="156" w:beforeLines="50" w:after="50"/>
        <w:ind w:firstLine="420"/>
        <w:rPr>
          <w:rFonts w:hint="eastAsia" w:ascii="宋体" w:hAnsi="宋体"/>
          <w:szCs w:val="21"/>
          <w:highlight w:val="none"/>
        </w:rPr>
      </w:pPr>
      <w:r>
        <w:rPr>
          <w:rFonts w:hint="eastAsia" w:ascii="宋体" w:hAnsi="宋体"/>
          <w:szCs w:val="21"/>
          <w:highlight w:val="none"/>
        </w:rPr>
        <w:t>我方对被授权人的签名事项负全部责任。</w:t>
      </w:r>
    </w:p>
    <w:p>
      <w:pPr>
        <w:snapToGrid w:val="0"/>
        <w:spacing w:before="156" w:beforeLines="50" w:after="50"/>
        <w:ind w:firstLine="420"/>
        <w:rPr>
          <w:rFonts w:hint="eastAsia" w:ascii="宋体" w:hAnsi="宋体"/>
          <w:szCs w:val="21"/>
          <w:highlight w:val="none"/>
        </w:rPr>
      </w:pPr>
      <w:r>
        <w:rPr>
          <w:rFonts w:hint="eastAsia" w:ascii="宋体" w:hAnsi="宋体"/>
          <w:szCs w:val="21"/>
          <w:highlight w:val="none"/>
          <w:u w:val="single"/>
        </w:rPr>
        <w:t>在撤销授权的书面通知以前，本授权书一直有效</w:t>
      </w:r>
      <w:r>
        <w:rPr>
          <w:rFonts w:hint="eastAsia" w:ascii="宋体" w:hAnsi="宋体"/>
          <w:szCs w:val="21"/>
          <w:highlight w:val="none"/>
        </w:rPr>
        <w:t>。被授权人在授权书有效期内签署的所有文件不因授权的撤销而失效。</w:t>
      </w:r>
    </w:p>
    <w:p>
      <w:pPr>
        <w:snapToGrid w:val="0"/>
        <w:spacing w:before="156" w:beforeLines="50" w:after="50"/>
        <w:ind w:firstLine="420"/>
        <w:rPr>
          <w:rFonts w:hint="eastAsia" w:ascii="宋体" w:hAnsi="宋体"/>
          <w:szCs w:val="21"/>
          <w:highlight w:val="none"/>
        </w:rPr>
      </w:pPr>
      <w:r>
        <w:rPr>
          <w:rFonts w:hint="eastAsia" w:ascii="宋体" w:hAnsi="宋体"/>
          <w:szCs w:val="21"/>
          <w:highlight w:val="none"/>
        </w:rPr>
        <w:t>被授权人无转委托权，特此委托。</w:t>
      </w:r>
    </w:p>
    <w:p>
      <w:pPr>
        <w:snapToGrid w:val="0"/>
        <w:spacing w:before="156" w:beforeLines="50" w:after="50" w:line="300" w:lineRule="exact"/>
        <w:ind w:firstLine="525" w:firstLineChars="250"/>
        <w:rPr>
          <w:rFonts w:hint="eastAsia" w:ascii="宋体" w:hAnsi="宋体"/>
          <w:szCs w:val="21"/>
          <w:highlight w:val="none"/>
        </w:rPr>
      </w:pPr>
    </w:p>
    <w:p>
      <w:pPr>
        <w:snapToGrid w:val="0"/>
        <w:spacing w:before="156" w:beforeLines="50" w:after="50" w:line="300" w:lineRule="exact"/>
        <w:ind w:firstLine="420"/>
        <w:rPr>
          <w:rFonts w:hint="eastAsia" w:ascii="宋体" w:hAnsi="宋体"/>
          <w:szCs w:val="21"/>
          <w:highlight w:val="none"/>
        </w:rPr>
      </w:pPr>
      <w:r>
        <w:rPr>
          <w:rFonts w:hint="eastAsia" w:ascii="宋体" w:hAnsi="宋体"/>
          <w:szCs w:val="21"/>
          <w:highlight w:val="none"/>
        </w:rPr>
        <w:t>所在部门职务：</w:t>
      </w:r>
      <w:r>
        <w:rPr>
          <w:rFonts w:hint="eastAsia" w:ascii="宋体" w:hAnsi="宋体"/>
          <w:szCs w:val="21"/>
          <w:highlight w:val="none"/>
          <w:u w:val="single"/>
        </w:rPr>
        <w:t xml:space="preserve">                        </w:t>
      </w:r>
    </w:p>
    <w:p>
      <w:pPr>
        <w:snapToGrid w:val="0"/>
        <w:spacing w:before="156" w:beforeLines="50" w:after="50" w:line="300" w:lineRule="exact"/>
        <w:ind w:firstLine="420"/>
        <w:rPr>
          <w:rFonts w:hint="eastAsia" w:ascii="宋体" w:hAnsi="宋体"/>
          <w:szCs w:val="21"/>
          <w:highlight w:val="none"/>
          <w:u w:val="single"/>
        </w:rPr>
      </w:pPr>
      <w:r>
        <w:rPr>
          <w:rFonts w:hint="eastAsia" w:ascii="宋体" w:hAnsi="宋体"/>
          <w:szCs w:val="21"/>
          <w:highlight w:val="none"/>
        </w:rPr>
        <w:t>职务：</w:t>
      </w:r>
      <w:r>
        <w:rPr>
          <w:rFonts w:hint="eastAsia" w:ascii="宋体" w:hAnsi="宋体"/>
          <w:szCs w:val="21"/>
          <w:highlight w:val="none"/>
          <w:u w:val="single"/>
        </w:rPr>
        <w:t xml:space="preserve">                                </w:t>
      </w:r>
    </w:p>
    <w:p>
      <w:pPr>
        <w:snapToGrid w:val="0"/>
        <w:spacing w:before="156" w:beforeLines="50" w:after="50" w:line="300" w:lineRule="exact"/>
        <w:ind w:firstLine="420"/>
        <w:rPr>
          <w:rFonts w:hint="eastAsia" w:ascii="宋体" w:hAnsi="宋体"/>
          <w:szCs w:val="21"/>
          <w:highlight w:val="none"/>
        </w:rPr>
      </w:pPr>
      <w:r>
        <w:rPr>
          <w:rFonts w:hint="eastAsia" w:ascii="宋体" w:hAnsi="宋体"/>
          <w:szCs w:val="21"/>
          <w:highlight w:val="none"/>
        </w:rPr>
        <w:t>被授权人身份证号码：</w:t>
      </w:r>
      <w:r>
        <w:rPr>
          <w:rFonts w:hint="eastAsia" w:ascii="宋体" w:hAnsi="宋体"/>
          <w:szCs w:val="21"/>
          <w:highlight w:val="none"/>
          <w:u w:val="single"/>
        </w:rPr>
        <w:t xml:space="preserve">                  </w:t>
      </w:r>
    </w:p>
    <w:p>
      <w:pPr>
        <w:snapToGrid w:val="0"/>
        <w:spacing w:before="156" w:beforeLines="50" w:after="50" w:line="300" w:lineRule="exact"/>
        <w:ind w:firstLine="420"/>
        <w:rPr>
          <w:rFonts w:hint="eastAsia" w:hAnsi="宋体"/>
          <w:highlight w:val="none"/>
        </w:rPr>
      </w:pPr>
      <w:r>
        <w:rPr>
          <w:rFonts w:hint="eastAsia" w:hAnsi="宋体"/>
          <w:highlight w:val="none"/>
        </w:rPr>
        <w:t>附：委托代理人身份证(正反面</w:t>
      </w:r>
      <w:r>
        <w:rPr>
          <w:rFonts w:hAnsi="宋体"/>
          <w:highlight w:val="none"/>
        </w:rPr>
        <w:t>)</w:t>
      </w:r>
    </w:p>
    <w:p>
      <w:pPr>
        <w:ind w:left="420" w:firstLine="0" w:firstLineChars="0"/>
        <w:rPr>
          <w:rFonts w:hint="eastAsia" w:ascii="宋体" w:hAnsi="宋体"/>
          <w:highlight w:val="none"/>
        </w:rPr>
      </w:pPr>
    </w:p>
    <w:p>
      <w:pPr>
        <w:ind w:left="420" w:firstLine="0" w:firstLineChars="0"/>
        <w:rPr>
          <w:rFonts w:hint="eastAsia" w:ascii="宋体" w:hAnsi="宋体"/>
          <w:highlight w:val="none"/>
        </w:rPr>
      </w:pPr>
    </w:p>
    <w:p>
      <w:pPr>
        <w:ind w:left="420" w:firstLine="0" w:firstLineChars="0"/>
        <w:rPr>
          <w:rFonts w:hint="eastAsia" w:ascii="宋体" w:hAnsi="宋体"/>
          <w:highlight w:val="none"/>
        </w:rPr>
      </w:pPr>
    </w:p>
    <w:p>
      <w:pPr>
        <w:snapToGrid w:val="0"/>
        <w:spacing w:before="156" w:beforeLines="50" w:after="50" w:line="200" w:lineRule="exact"/>
        <w:ind w:firstLine="4620" w:firstLineChars="2200"/>
        <w:rPr>
          <w:rFonts w:hint="eastAsia" w:ascii="宋体" w:hAnsi="宋体"/>
          <w:szCs w:val="21"/>
          <w:highlight w:val="none"/>
          <w:u w:val="single"/>
        </w:rPr>
      </w:pPr>
      <w:r>
        <w:rPr>
          <w:rFonts w:hint="eastAsia" w:ascii="宋体" w:hAnsi="宋体"/>
          <w:szCs w:val="21"/>
          <w:highlight w:val="none"/>
        </w:rPr>
        <w:t xml:space="preserve">       投标人（盖章）：</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spacing w:before="156" w:beforeLines="50" w:after="50" w:line="200" w:lineRule="exact"/>
        <w:ind w:firstLine="5355" w:firstLineChars="2550"/>
        <w:rPr>
          <w:rFonts w:hint="eastAsia" w:ascii="宋体" w:hAnsi="宋体"/>
          <w:szCs w:val="21"/>
          <w:highlight w:val="none"/>
        </w:rPr>
      </w:pPr>
      <w:r>
        <w:rPr>
          <w:rFonts w:hint="eastAsia" w:ascii="宋体" w:hAnsi="宋体"/>
          <w:szCs w:val="21"/>
          <w:highlight w:val="none"/>
        </w:rPr>
        <w:t>法定代表人签名：</w:t>
      </w:r>
      <w:r>
        <w:rPr>
          <w:rFonts w:hint="eastAsia" w:ascii="宋体" w:hAnsi="宋体"/>
          <w:szCs w:val="21"/>
          <w:highlight w:val="none"/>
          <w:u w:val="single"/>
        </w:rPr>
        <w:t xml:space="preserve">                   </w:t>
      </w:r>
    </w:p>
    <w:p>
      <w:pPr>
        <w:snapToGrid w:val="0"/>
        <w:spacing w:before="156" w:beforeLines="50" w:after="50" w:line="200" w:lineRule="exact"/>
        <w:ind w:firstLine="5355" w:firstLineChars="255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日</w:t>
      </w:r>
    </w:p>
    <w:bookmarkEnd w:id="255"/>
    <w:p>
      <w:pPr>
        <w:spacing w:line="360" w:lineRule="exact"/>
        <w:ind w:firstLine="0" w:firstLineChars="0"/>
        <w:rPr>
          <w:highlight w:val="none"/>
        </w:rPr>
      </w:pPr>
      <w:r>
        <w:rPr>
          <w:highlight w:val="none"/>
        </w:rPr>
        <w:br w:type="page"/>
      </w:r>
    </w:p>
    <w:p>
      <w:pPr>
        <w:snapToGrid w:val="0"/>
        <w:spacing w:before="156" w:beforeLines="50" w:after="50" w:line="360" w:lineRule="exact"/>
        <w:ind w:firstLine="0" w:firstLineChars="0"/>
        <w:jc w:val="center"/>
        <w:rPr>
          <w:rFonts w:ascii="仿宋_GB2312" w:eastAsia="仿宋_GB2312"/>
          <w:b/>
          <w:sz w:val="28"/>
          <w:szCs w:val="28"/>
          <w:highlight w:val="none"/>
        </w:rPr>
      </w:pPr>
      <w:bookmarkStart w:id="256" w:name="_Hlk92702799"/>
      <w:r>
        <w:rPr>
          <w:rFonts w:hint="eastAsia" w:ascii="仿宋_GB2312" w:hAnsi="宋体" w:eastAsia="仿宋_GB2312"/>
          <w:b/>
          <w:sz w:val="32"/>
          <w:szCs w:val="32"/>
          <w:highlight w:val="none"/>
        </w:rPr>
        <w:t>商务响应</w:t>
      </w:r>
      <w:r>
        <w:rPr>
          <w:rFonts w:hint="eastAsia" w:ascii="仿宋_GB2312" w:eastAsia="仿宋_GB2312"/>
          <w:b/>
          <w:sz w:val="32"/>
          <w:szCs w:val="32"/>
          <w:highlight w:val="none"/>
        </w:rPr>
        <w:t>表</w:t>
      </w:r>
      <w:bookmarkStart w:id="257" w:name="_Hlk111728555"/>
      <w:r>
        <w:rPr>
          <w:rFonts w:hint="eastAsia" w:ascii="仿宋_GB2312" w:eastAsia="仿宋_GB2312"/>
          <w:bCs/>
          <w:sz w:val="24"/>
          <w:highlight w:val="none"/>
        </w:rPr>
        <w:t>（格式）</w:t>
      </w:r>
      <w:bookmarkEnd w:id="257"/>
    </w:p>
    <w:p>
      <w:pPr>
        <w:ind w:firstLine="0" w:firstLineChars="0"/>
        <w:rPr>
          <w:highlight w:val="none"/>
        </w:rPr>
      </w:pPr>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34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highlight w:val="none"/>
              </w:rPr>
            </w:pPr>
            <w:r>
              <w:rPr>
                <w:rFonts w:hint="eastAsia" w:ascii="宋体" w:hAnsi="宋体"/>
                <w:b/>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highlight w:val="none"/>
              </w:rPr>
            </w:pPr>
            <w:r>
              <w:rPr>
                <w:rFonts w:hint="eastAsia" w:ascii="宋体" w:hAnsi="宋体"/>
                <w:b/>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highlight w:val="none"/>
              </w:rPr>
            </w:pPr>
            <w:r>
              <w:rPr>
                <w:rFonts w:hint="eastAsia" w:ascii="宋体" w:hAnsi="宋体"/>
                <w:b/>
                <w:szCs w:val="21"/>
                <w:highlight w:val="none"/>
              </w:rPr>
              <w:t>是否响应</w:t>
            </w: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b/>
                <w:szCs w:val="21"/>
                <w:highlight w:val="none"/>
              </w:rPr>
            </w:pPr>
            <w:r>
              <w:rPr>
                <w:rFonts w:hint="eastAsia" w:ascii="宋体" w:hAnsi="宋体"/>
                <w:b/>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r>
              <w:rPr>
                <w:rFonts w:hint="eastAsia" w:ascii="宋体" w:hAnsi="宋体"/>
                <w:szCs w:val="21"/>
                <w:highlight w:val="none"/>
              </w:rPr>
              <w:t>质保期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r>
              <w:rPr>
                <w:rFonts w:hint="eastAsia" w:ascii="宋体" w:hAnsi="宋体"/>
                <w:szCs w:val="21"/>
                <w:highlight w:val="none"/>
              </w:rPr>
              <w:t>运维技术服务要求</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r>
              <w:rPr>
                <w:rFonts w:hint="eastAsia" w:ascii="宋体" w:hAnsi="宋体"/>
                <w:szCs w:val="21"/>
                <w:highlight w:val="none"/>
              </w:rPr>
              <w:t>交货时间及地点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firstLine="0" w:firstLineChars="0"/>
              <w:jc w:val="center"/>
              <w:rPr>
                <w:rFonts w:hint="eastAsia" w:ascii="宋体" w:hAnsi="宋体"/>
                <w:szCs w:val="21"/>
                <w:highlight w:val="none"/>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firstLine="0" w:firstLineChars="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r>
              <w:rPr>
                <w:rFonts w:hint="eastAsia" w:ascii="宋体" w:hAnsi="宋体"/>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firstLine="0" w:firstLineChars="0"/>
              <w:jc w:val="center"/>
              <w:rPr>
                <w:rFonts w:hint="eastAsia"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r>
              <w:rPr>
                <w:rFonts w:hint="eastAsia" w:ascii="宋体" w:hAnsi="宋体"/>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c>
          <w:tcPr>
            <w:tcW w:w="344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firstLine="0" w:firstLineChars="0"/>
              <w:jc w:val="center"/>
              <w:rPr>
                <w:rFonts w:hint="eastAsia" w:ascii="宋体" w:hAnsi="宋体"/>
                <w:szCs w:val="21"/>
                <w:highlight w:val="none"/>
              </w:rPr>
            </w:pPr>
          </w:p>
        </w:tc>
      </w:tr>
    </w:tbl>
    <w:p>
      <w:pPr>
        <w:tabs>
          <w:tab w:val="left" w:pos="3870"/>
          <w:tab w:val="left" w:pos="4085"/>
        </w:tabs>
        <w:snapToGrid w:val="0"/>
        <w:spacing w:line="360" w:lineRule="exact"/>
        <w:ind w:firstLine="0" w:firstLineChars="0"/>
        <w:rPr>
          <w:rFonts w:hint="eastAsia" w:ascii="宋体" w:hAnsi="宋体"/>
          <w:b/>
          <w:szCs w:val="21"/>
          <w:highlight w:val="none"/>
        </w:rPr>
      </w:pPr>
    </w:p>
    <w:p>
      <w:pPr>
        <w:tabs>
          <w:tab w:val="left" w:pos="3870"/>
          <w:tab w:val="left" w:pos="4085"/>
        </w:tabs>
        <w:snapToGrid w:val="0"/>
        <w:spacing w:line="360" w:lineRule="exact"/>
        <w:ind w:firstLine="0" w:firstLineChars="0"/>
        <w:rPr>
          <w:rFonts w:hint="eastAsia" w:ascii="宋体" w:hAnsi="宋体"/>
          <w:b/>
          <w:szCs w:val="21"/>
          <w:highlight w:val="none"/>
        </w:rPr>
      </w:pPr>
    </w:p>
    <w:p>
      <w:pPr>
        <w:snapToGrid w:val="0"/>
        <w:spacing w:before="50" w:after="50" w:line="350" w:lineRule="exact"/>
        <w:ind w:right="-817" w:rightChars="-389" w:firstLine="0" w:firstLineChars="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投标人（盖章）：</w:t>
      </w:r>
      <w:r>
        <w:rPr>
          <w:rFonts w:hint="eastAsia" w:ascii="宋体" w:hAnsi="宋体"/>
          <w:szCs w:val="21"/>
          <w:highlight w:val="none"/>
          <w:u w:val="single"/>
        </w:rPr>
        <w:t xml:space="preserve">           </w:t>
      </w:r>
    </w:p>
    <w:p>
      <w:pPr>
        <w:snapToGrid w:val="0"/>
        <w:spacing w:before="50" w:after="50" w:line="350" w:lineRule="exact"/>
        <w:ind w:right="-817" w:rightChars="-389" w:firstLine="0" w:firstLineChars="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日</w:t>
      </w:r>
    </w:p>
    <w:bookmarkEnd w:id="256"/>
    <w:p>
      <w:pPr>
        <w:snapToGrid w:val="0"/>
        <w:spacing w:line="360" w:lineRule="exact"/>
        <w:ind w:firstLine="0" w:firstLineChars="0"/>
        <w:rPr>
          <w:rFonts w:hint="eastAsia" w:ascii="宋体" w:hAnsi="宋体"/>
          <w:b/>
          <w:szCs w:val="21"/>
          <w:highlight w:val="none"/>
        </w:rPr>
      </w:pPr>
    </w:p>
    <w:p>
      <w:pPr>
        <w:snapToGrid w:val="0"/>
        <w:spacing w:line="700" w:lineRule="exact"/>
        <w:ind w:firstLine="0" w:firstLineChars="0"/>
        <w:jc w:val="center"/>
        <w:rPr>
          <w:rFonts w:hint="eastAsia" w:ascii="宋体" w:hAnsi="宋体"/>
          <w:b/>
          <w:sz w:val="32"/>
          <w:szCs w:val="32"/>
          <w:highlight w:val="none"/>
        </w:rPr>
      </w:pPr>
      <w:r>
        <w:rPr>
          <w:rFonts w:hint="eastAsia" w:ascii="仿宋_GB2312" w:hAnsi="宋体" w:eastAsia="仿宋_GB2312"/>
          <w:b/>
          <w:sz w:val="32"/>
          <w:szCs w:val="32"/>
          <w:highlight w:val="none"/>
        </w:rPr>
        <w:t>技术响应表</w:t>
      </w:r>
      <w:bookmarkStart w:id="258" w:name="_Hlk111728645"/>
      <w:r>
        <w:rPr>
          <w:rFonts w:hint="eastAsia" w:ascii="仿宋_GB2312" w:eastAsia="仿宋_GB2312"/>
          <w:bCs/>
          <w:sz w:val="24"/>
          <w:highlight w:val="none"/>
        </w:rPr>
        <w:t>（格式）</w:t>
      </w:r>
      <w:bookmarkEnd w:id="258"/>
    </w:p>
    <w:p>
      <w:pPr>
        <w:snapToGrid w:val="0"/>
        <w:spacing w:line="160" w:lineRule="exact"/>
        <w:ind w:firstLine="0" w:firstLineChars="0"/>
        <w:jc w:val="center"/>
        <w:rPr>
          <w:rFonts w:hint="eastAsia" w:ascii="宋体" w:hAnsi="宋体"/>
          <w:b/>
          <w:szCs w:val="21"/>
          <w:highlight w:val="none"/>
        </w:rPr>
      </w:pP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3"/>
        <w:gridCol w:w="1735"/>
        <w:gridCol w:w="1815"/>
        <w:gridCol w:w="3600"/>
        <w:gridCol w:w="15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1283" w:type="dxa"/>
            <w:vMerge w:val="restart"/>
            <w:tcBorders>
              <w:top w:val="single" w:color="auto" w:sz="4" w:space="0"/>
              <w:left w:val="single" w:color="auto" w:sz="4" w:space="0"/>
              <w:right w:val="single" w:color="auto" w:sz="4" w:space="0"/>
            </w:tcBorders>
            <w:vAlign w:val="center"/>
          </w:tcPr>
          <w:p>
            <w:pPr>
              <w:ind w:firstLine="0" w:firstLineChars="0"/>
              <w:jc w:val="center"/>
              <w:rPr>
                <w:highlight w:val="none"/>
              </w:rPr>
            </w:pPr>
            <w:r>
              <w:rPr>
                <w:rFonts w:hint="eastAsia"/>
                <w:highlight w:val="none"/>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ind w:firstLine="0" w:firstLineChars="0"/>
              <w:jc w:val="center"/>
              <w:rPr>
                <w:highlight w:val="none"/>
              </w:rPr>
            </w:pPr>
            <w:r>
              <w:rPr>
                <w:rFonts w:hint="eastAsia"/>
                <w:highlight w:val="none"/>
              </w:rPr>
              <w:t>招标文件要求</w:t>
            </w:r>
          </w:p>
        </w:tc>
        <w:tc>
          <w:tcPr>
            <w:tcW w:w="3600" w:type="dxa"/>
            <w:vMerge w:val="restart"/>
            <w:tcBorders>
              <w:top w:val="single" w:color="auto" w:sz="4" w:space="0"/>
              <w:left w:val="single" w:color="auto" w:sz="4" w:space="0"/>
              <w:right w:val="single" w:color="auto" w:sz="4" w:space="0"/>
            </w:tcBorders>
            <w:vAlign w:val="center"/>
          </w:tcPr>
          <w:p>
            <w:pPr>
              <w:ind w:firstLine="23" w:firstLineChars="11"/>
              <w:jc w:val="center"/>
              <w:rPr>
                <w:highlight w:val="none"/>
              </w:rPr>
            </w:pPr>
            <w:r>
              <w:rPr>
                <w:rFonts w:hint="eastAsia"/>
                <w:highlight w:val="none"/>
              </w:rPr>
              <w:t>投标文件响应</w:t>
            </w:r>
          </w:p>
        </w:tc>
        <w:tc>
          <w:tcPr>
            <w:tcW w:w="1570"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center"/>
              <w:rPr>
                <w:highlight w:val="none"/>
              </w:rPr>
            </w:pPr>
            <w:r>
              <w:rPr>
                <w:rFonts w:hint="eastAsia"/>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4" w:hRule="exact"/>
          <w:jc w:val="center"/>
        </w:trPr>
        <w:tc>
          <w:tcPr>
            <w:tcW w:w="1283" w:type="dxa"/>
            <w:vMerge w:val="continue"/>
            <w:tcBorders>
              <w:left w:val="single" w:color="auto" w:sz="4" w:space="0"/>
              <w:bottom w:val="single" w:color="auto" w:sz="4" w:space="0"/>
              <w:right w:val="single" w:color="auto" w:sz="4" w:space="0"/>
            </w:tcBorders>
            <w:vAlign w:val="center"/>
          </w:tcPr>
          <w:p>
            <w:pPr>
              <w:pStyle w:val="27"/>
              <w:snapToGrid w:val="0"/>
              <w:spacing w:line="360" w:lineRule="exact"/>
              <w:ind w:firstLine="0" w:firstLineChars="0"/>
              <w:jc w:val="center"/>
              <w:outlineLvl w:val="0"/>
              <w:rPr>
                <w:rFonts w:hint="eastAsia" w:hAnsi="宋体"/>
                <w:highlight w:val="none"/>
              </w:rPr>
            </w:pPr>
          </w:p>
        </w:tc>
        <w:tc>
          <w:tcPr>
            <w:tcW w:w="17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highlight w:val="none"/>
              </w:rPr>
            </w:pPr>
            <w:r>
              <w:rPr>
                <w:rFonts w:hint="eastAsia"/>
                <w:highlight w:val="none"/>
              </w:rPr>
              <w:t>标的名称</w:t>
            </w:r>
          </w:p>
        </w:tc>
        <w:tc>
          <w:tcPr>
            <w:tcW w:w="181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highlight w:val="none"/>
              </w:rPr>
            </w:pPr>
            <w:r>
              <w:rPr>
                <w:rFonts w:hint="eastAsia"/>
                <w:highlight w:val="none"/>
              </w:rPr>
              <w:t>招标要求</w:t>
            </w:r>
          </w:p>
        </w:tc>
        <w:tc>
          <w:tcPr>
            <w:tcW w:w="3600" w:type="dxa"/>
            <w:vMerge w:val="continue"/>
            <w:tcBorders>
              <w:left w:val="single" w:color="auto" w:sz="4" w:space="0"/>
              <w:bottom w:val="single" w:color="auto" w:sz="4" w:space="0"/>
              <w:right w:val="single" w:color="auto" w:sz="4" w:space="0"/>
            </w:tcBorders>
            <w:vAlign w:val="center"/>
          </w:tcPr>
          <w:p>
            <w:pPr>
              <w:ind w:firstLine="0" w:firstLineChars="0"/>
              <w:jc w:val="center"/>
              <w:rPr>
                <w:highlight w:val="none"/>
              </w:rPr>
            </w:pPr>
          </w:p>
        </w:tc>
        <w:tc>
          <w:tcPr>
            <w:tcW w:w="15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highlight w:val="none"/>
              </w:rPr>
            </w:pPr>
            <w:r>
              <w:rPr>
                <w:rFonts w:hint="eastAsia"/>
                <w:highlight w:val="none"/>
              </w:rPr>
              <w:t>1</w:t>
            </w:r>
          </w:p>
        </w:tc>
        <w:tc>
          <w:tcPr>
            <w:tcW w:w="1735" w:type="dxa"/>
            <w:tcBorders>
              <w:top w:val="single" w:color="auto" w:sz="4" w:space="0"/>
              <w:left w:val="single" w:color="auto" w:sz="4" w:space="0"/>
              <w:bottom w:val="single" w:color="auto" w:sz="4" w:space="0"/>
              <w:right w:val="single" w:color="auto" w:sz="4" w:space="0"/>
            </w:tcBorders>
            <w:vAlign w:val="center"/>
          </w:tcPr>
          <w:p>
            <w:pPr>
              <w:ind w:right="-15" w:rightChars="-7" w:firstLine="0" w:firstLineChars="0"/>
              <w:jc w:val="center"/>
              <w:rPr>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pPr>
              <w:ind w:left="-2" w:leftChars="-1" w:firstLine="0" w:firstLineChars="0"/>
              <w:jc w:val="center"/>
              <w:rPr>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ind w:left="-2" w:leftChars="-1" w:firstLine="0" w:firstLineChars="0"/>
              <w:jc w:val="center"/>
              <w:rPr>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highlight w:val="none"/>
              </w:rPr>
            </w:pPr>
            <w:r>
              <w:rPr>
                <w:rFonts w:hint="eastAsia"/>
                <w:highlight w:val="none"/>
              </w:rPr>
              <w:t>2</w:t>
            </w:r>
          </w:p>
        </w:tc>
        <w:tc>
          <w:tcPr>
            <w:tcW w:w="1735"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right="-15" w:rightChars="-7" w:firstLine="0" w:firstLineChars="0"/>
              <w:jc w:val="center"/>
              <w:outlineLvl w:val="0"/>
              <w:rPr>
                <w:rFonts w:hint="eastAsia" w:ascii="仿宋_GB2312" w:hAnsi="宋体" w:eastAsia="仿宋_GB2312"/>
                <w:sz w:val="24"/>
                <w:szCs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firstLine="0" w:firstLineChars="0"/>
              <w:jc w:val="center"/>
              <w:outlineLvl w:val="0"/>
              <w:rPr>
                <w:rFonts w:hint="eastAsia" w:ascii="仿宋_GB2312" w:hAnsi="宋体" w:eastAsia="仿宋_GB2312"/>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firstLine="0" w:firstLineChars="0"/>
              <w:jc w:val="center"/>
              <w:outlineLvl w:val="0"/>
              <w:rPr>
                <w:rFonts w:hint="eastAsia" w:ascii="仿宋_GB2312" w:hAnsi="宋体" w:eastAsia="仿宋_GB2312"/>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highlight w:val="none"/>
              </w:rPr>
            </w:pPr>
            <w:r>
              <w:rPr>
                <w:rFonts w:hint="eastAsia"/>
                <w:highlight w:val="none"/>
              </w:rPr>
              <w:t>3</w:t>
            </w:r>
          </w:p>
        </w:tc>
        <w:tc>
          <w:tcPr>
            <w:tcW w:w="1735"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right="-15" w:rightChars="-7" w:firstLine="0" w:firstLineChars="0"/>
              <w:jc w:val="center"/>
              <w:outlineLvl w:val="0"/>
              <w:rPr>
                <w:rFonts w:hint="eastAsia" w:ascii="仿宋_GB2312" w:hAnsi="宋体" w:eastAsia="仿宋_GB2312"/>
                <w:sz w:val="24"/>
                <w:szCs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firstLine="0" w:firstLineChars="0"/>
              <w:jc w:val="center"/>
              <w:outlineLvl w:val="0"/>
              <w:rPr>
                <w:rFonts w:hint="eastAsia" w:ascii="仿宋_GB2312" w:hAnsi="宋体" w:eastAsia="仿宋_GB2312"/>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firstLine="0" w:firstLineChars="0"/>
              <w:jc w:val="center"/>
              <w:outlineLvl w:val="0"/>
              <w:rPr>
                <w:rFonts w:hint="eastAsia" w:ascii="仿宋_GB2312" w:hAnsi="宋体" w:eastAsia="仿宋_GB2312"/>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128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highlight w:val="none"/>
              </w:rPr>
            </w:pPr>
            <w:r>
              <w:rPr>
                <w:rFonts w:hint="eastAsia"/>
                <w:highlight w:val="none"/>
              </w:rPr>
              <w:t>…</w:t>
            </w:r>
          </w:p>
        </w:tc>
        <w:tc>
          <w:tcPr>
            <w:tcW w:w="1735"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right="-15" w:rightChars="-7" w:firstLine="0" w:firstLineChars="0"/>
              <w:jc w:val="center"/>
              <w:outlineLvl w:val="0"/>
              <w:rPr>
                <w:rFonts w:hint="eastAsia" w:ascii="仿宋_GB2312" w:hAnsi="宋体" w:eastAsia="仿宋_GB2312"/>
                <w:sz w:val="24"/>
                <w:szCs w:val="24"/>
                <w:highlight w:val="none"/>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firstLine="0" w:firstLineChars="0"/>
              <w:jc w:val="center"/>
              <w:outlineLvl w:val="0"/>
              <w:rPr>
                <w:rFonts w:hint="eastAsia" w:ascii="仿宋_GB2312" w:hAnsi="宋体" w:eastAsia="仿宋_GB2312"/>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pStyle w:val="27"/>
              <w:snapToGrid w:val="0"/>
              <w:spacing w:line="320" w:lineRule="exact"/>
              <w:ind w:firstLine="0" w:firstLineChars="0"/>
              <w:jc w:val="center"/>
              <w:outlineLvl w:val="0"/>
              <w:rPr>
                <w:rFonts w:hint="eastAsia" w:ascii="仿宋_GB2312" w:hAnsi="宋体" w:eastAsia="仿宋_GB2312"/>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center"/>
              <w:rPr>
                <w:rFonts w:hint="eastAsia" w:ascii="宋体" w:hAnsi="宋体"/>
                <w:szCs w:val="21"/>
                <w:highlight w:val="none"/>
              </w:rPr>
            </w:pPr>
          </w:p>
        </w:tc>
      </w:tr>
    </w:tbl>
    <w:p>
      <w:pPr>
        <w:pStyle w:val="18"/>
        <w:spacing w:line="380" w:lineRule="exact"/>
        <w:ind w:firstLine="0" w:firstLineChars="0"/>
        <w:rPr>
          <w:sz w:val="21"/>
          <w:szCs w:val="21"/>
          <w:highlight w:val="none"/>
        </w:rPr>
      </w:pPr>
      <w:r>
        <w:rPr>
          <w:rFonts w:hint="eastAsia"/>
          <w:sz w:val="21"/>
          <w:szCs w:val="21"/>
          <w:highlight w:val="none"/>
        </w:rPr>
        <w:t>注：</w:t>
      </w:r>
      <w:r>
        <w:rPr>
          <w:rFonts w:hint="eastAsia"/>
          <w:b w:val="0"/>
          <w:bCs w:val="0"/>
          <w:sz w:val="21"/>
          <w:szCs w:val="21"/>
          <w:highlight w:val="none"/>
        </w:rPr>
        <w:t>投标人应根据投标设备的性能指标、对照招标文件要求在“偏离情况”栏注明“正偏离”、“负偏离”或“无偏离”。投标技术规格与招标要求相同的为无偏离，投标技术规格高于招标要求的为正偏离，低于招标要求的为负偏离。</w:t>
      </w:r>
    </w:p>
    <w:p>
      <w:pPr>
        <w:pStyle w:val="18"/>
        <w:spacing w:line="360" w:lineRule="exact"/>
        <w:ind w:firstLine="0" w:firstLineChars="0"/>
        <w:rPr>
          <w:sz w:val="21"/>
          <w:szCs w:val="21"/>
          <w:highlight w:val="none"/>
        </w:rPr>
      </w:pPr>
    </w:p>
    <w:p>
      <w:pPr>
        <w:pStyle w:val="18"/>
        <w:spacing w:line="360" w:lineRule="exact"/>
        <w:ind w:firstLine="0" w:firstLineChars="0"/>
        <w:rPr>
          <w:rFonts w:hint="eastAsia" w:ascii="宋体" w:hAnsi="宋体"/>
          <w:b w:val="0"/>
          <w:sz w:val="21"/>
          <w:szCs w:val="21"/>
          <w:highlight w:val="none"/>
        </w:rPr>
      </w:pPr>
    </w:p>
    <w:p>
      <w:pPr>
        <w:snapToGrid w:val="0"/>
        <w:spacing w:before="50" w:after="50" w:line="350" w:lineRule="exact"/>
        <w:ind w:right="-817" w:rightChars="-389" w:firstLine="0" w:firstLineChars="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投标人（盖章）：</w:t>
      </w:r>
      <w:r>
        <w:rPr>
          <w:rFonts w:hint="eastAsia" w:ascii="宋体" w:hAnsi="宋体"/>
          <w:szCs w:val="21"/>
          <w:highlight w:val="none"/>
          <w:u w:val="single"/>
        </w:rPr>
        <w:t xml:space="preserve">           </w:t>
      </w:r>
    </w:p>
    <w:p>
      <w:pPr>
        <w:spacing w:line="380" w:lineRule="atLeast"/>
        <w:ind w:firstLine="0" w:firstLineChars="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日期：</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autoSpaceDE w:val="0"/>
        <w:autoSpaceDN w:val="0"/>
        <w:adjustRightInd w:val="0"/>
        <w:ind w:firstLine="420"/>
        <w:jc w:val="center"/>
        <w:rPr>
          <w:rFonts w:hint="eastAsia" w:ascii="宋体" w:hAnsi="宋体"/>
          <w:szCs w:val="21"/>
          <w:highlight w:val="none"/>
        </w:rPr>
      </w:pPr>
      <w:r>
        <w:rPr>
          <w:rFonts w:ascii="宋体" w:hAnsi="宋体"/>
          <w:szCs w:val="21"/>
          <w:highlight w:val="none"/>
        </w:rPr>
        <w:br w:type="page"/>
      </w:r>
    </w:p>
    <w:p>
      <w:pPr>
        <w:autoSpaceDE w:val="0"/>
        <w:autoSpaceDN w:val="0"/>
        <w:adjustRightInd w:val="0"/>
        <w:ind w:firstLine="562"/>
        <w:jc w:val="center"/>
        <w:rPr>
          <w:rFonts w:hint="eastAsia" w:ascii="宋体" w:hAnsi="宋体"/>
          <w:b/>
          <w:sz w:val="28"/>
          <w:szCs w:val="28"/>
          <w:highlight w:val="none"/>
        </w:rPr>
      </w:pPr>
      <w:r>
        <w:rPr>
          <w:rFonts w:hint="eastAsia" w:ascii="宋体" w:hAnsi="宋体"/>
          <w:b/>
          <w:sz w:val="28"/>
          <w:szCs w:val="28"/>
          <w:highlight w:val="none"/>
        </w:rPr>
        <w:t>服务人员配置表</w:t>
      </w:r>
      <w:r>
        <w:rPr>
          <w:rFonts w:hint="eastAsia" w:ascii="仿宋" w:hAnsi="仿宋" w:eastAsia="仿宋"/>
          <w:sz w:val="24"/>
          <w:highlight w:val="none"/>
        </w:rPr>
        <w:t>(格式</w:t>
      </w:r>
      <w:r>
        <w:rPr>
          <w:rFonts w:ascii="仿宋" w:hAnsi="仿宋" w:eastAsia="仿宋"/>
          <w:sz w:val="24"/>
          <w:highlight w:val="none"/>
        </w:rPr>
        <w:t>)</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42"/>
        <w:gridCol w:w="2835"/>
        <w:gridCol w:w="1417"/>
        <w:gridCol w:w="141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51" w:type="dxa"/>
            <w:vAlign w:val="center"/>
          </w:tcPr>
          <w:p>
            <w:pPr>
              <w:autoSpaceDE w:val="0"/>
              <w:autoSpaceDN w:val="0"/>
              <w:adjustRightInd w:val="0"/>
              <w:ind w:firstLine="0" w:firstLineChars="0"/>
              <w:jc w:val="center"/>
              <w:rPr>
                <w:rFonts w:hint="eastAsia" w:ascii="宋体" w:hAnsi="宋体"/>
                <w:highlight w:val="none"/>
                <w:lang w:val="zh-CN"/>
              </w:rPr>
            </w:pPr>
            <w:r>
              <w:rPr>
                <w:rFonts w:hint="eastAsia" w:ascii="宋体" w:hAnsi="宋体"/>
                <w:highlight w:val="none"/>
                <w:lang w:val="zh-CN"/>
              </w:rPr>
              <w:t>序号</w:t>
            </w:r>
          </w:p>
        </w:tc>
        <w:tc>
          <w:tcPr>
            <w:tcW w:w="1642" w:type="dxa"/>
            <w:vAlign w:val="center"/>
          </w:tcPr>
          <w:p>
            <w:pPr>
              <w:autoSpaceDE w:val="0"/>
              <w:autoSpaceDN w:val="0"/>
              <w:adjustRightInd w:val="0"/>
              <w:ind w:firstLine="0" w:firstLineChars="0"/>
              <w:jc w:val="center"/>
              <w:rPr>
                <w:rFonts w:hint="eastAsia" w:ascii="宋体" w:hAnsi="宋体"/>
                <w:highlight w:val="none"/>
                <w:lang w:val="zh-CN"/>
              </w:rPr>
            </w:pPr>
            <w:r>
              <w:rPr>
                <w:rFonts w:hint="eastAsia" w:ascii="宋体" w:hAnsi="宋体"/>
                <w:highlight w:val="none"/>
                <w:lang w:val="zh-CN"/>
              </w:rPr>
              <w:t>姓名</w:t>
            </w:r>
          </w:p>
        </w:tc>
        <w:tc>
          <w:tcPr>
            <w:tcW w:w="2835" w:type="dxa"/>
            <w:vAlign w:val="center"/>
          </w:tcPr>
          <w:p>
            <w:pPr>
              <w:autoSpaceDE w:val="0"/>
              <w:autoSpaceDN w:val="0"/>
              <w:adjustRightInd w:val="0"/>
              <w:ind w:firstLine="0" w:firstLineChars="0"/>
              <w:jc w:val="center"/>
              <w:rPr>
                <w:rFonts w:hint="eastAsia" w:ascii="宋体" w:hAnsi="宋体"/>
                <w:highlight w:val="none"/>
              </w:rPr>
            </w:pPr>
            <w:r>
              <w:rPr>
                <w:rFonts w:hint="eastAsia" w:ascii="宋体" w:hAnsi="宋体"/>
                <w:highlight w:val="none"/>
              </w:rPr>
              <w:t>身份证号码</w:t>
            </w:r>
          </w:p>
        </w:tc>
        <w:tc>
          <w:tcPr>
            <w:tcW w:w="1417" w:type="dxa"/>
            <w:vAlign w:val="center"/>
          </w:tcPr>
          <w:p>
            <w:pPr>
              <w:autoSpaceDE w:val="0"/>
              <w:autoSpaceDN w:val="0"/>
              <w:adjustRightInd w:val="0"/>
              <w:ind w:firstLine="0" w:firstLineChars="0"/>
              <w:jc w:val="center"/>
              <w:rPr>
                <w:rFonts w:hint="eastAsia" w:ascii="宋体" w:hAnsi="宋体"/>
                <w:highlight w:val="none"/>
                <w:lang w:val="zh-CN"/>
              </w:rPr>
            </w:pPr>
            <w:r>
              <w:rPr>
                <w:rFonts w:hint="eastAsia" w:ascii="宋体" w:hAnsi="宋体"/>
                <w:highlight w:val="none"/>
                <w:lang w:val="zh-CN"/>
              </w:rPr>
              <w:t>岗位</w:t>
            </w:r>
          </w:p>
        </w:tc>
        <w:tc>
          <w:tcPr>
            <w:tcW w:w="1418" w:type="dxa"/>
            <w:vAlign w:val="center"/>
          </w:tcPr>
          <w:p>
            <w:pPr>
              <w:autoSpaceDE w:val="0"/>
              <w:autoSpaceDN w:val="0"/>
              <w:adjustRightInd w:val="0"/>
              <w:ind w:firstLine="0" w:firstLineChars="0"/>
              <w:jc w:val="center"/>
              <w:rPr>
                <w:rFonts w:hint="eastAsia" w:ascii="宋体" w:hAnsi="宋体"/>
                <w:highlight w:val="none"/>
                <w:lang w:val="zh-CN"/>
              </w:rPr>
            </w:pPr>
            <w:r>
              <w:rPr>
                <w:rFonts w:hint="eastAsia" w:ascii="宋体" w:hAnsi="宋体"/>
                <w:highlight w:val="none"/>
                <w:lang w:val="zh-CN"/>
              </w:rPr>
              <w:t>专业</w:t>
            </w:r>
          </w:p>
        </w:tc>
        <w:tc>
          <w:tcPr>
            <w:tcW w:w="1641" w:type="dxa"/>
            <w:vAlign w:val="center"/>
          </w:tcPr>
          <w:p>
            <w:pPr>
              <w:autoSpaceDE w:val="0"/>
              <w:autoSpaceDN w:val="0"/>
              <w:adjustRightInd w:val="0"/>
              <w:ind w:firstLine="0" w:firstLineChars="0"/>
              <w:jc w:val="center"/>
              <w:rPr>
                <w:rFonts w:hint="eastAsia" w:ascii="宋体" w:hAnsi="宋体"/>
                <w:highlight w:val="none"/>
                <w:lang w:val="zh-CN"/>
              </w:rPr>
            </w:pPr>
            <w:r>
              <w:rPr>
                <w:rFonts w:hint="eastAsia" w:ascii="宋体" w:hAnsi="宋体"/>
                <w:highlight w:val="none"/>
                <w:lang w:val="zh-CN"/>
              </w:rPr>
              <w:t>执业资格/职称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highlight w:val="none"/>
                <w:lang w:val="zh-CN"/>
              </w:rPr>
            </w:pPr>
            <w:r>
              <w:rPr>
                <w:rFonts w:hint="eastAsia" w:ascii="宋体" w:hAnsi="宋体"/>
                <w:highlight w:val="none"/>
                <w:lang w:val="zh-CN"/>
              </w:rPr>
              <w:t>1</w:t>
            </w:r>
          </w:p>
        </w:tc>
        <w:tc>
          <w:tcPr>
            <w:tcW w:w="1642" w:type="dxa"/>
            <w:vAlign w:val="center"/>
          </w:tcPr>
          <w:p>
            <w:pPr>
              <w:autoSpaceDE w:val="0"/>
              <w:autoSpaceDN w:val="0"/>
              <w:adjustRightInd w:val="0"/>
              <w:ind w:firstLine="420"/>
              <w:rPr>
                <w:rFonts w:hint="eastAsia" w:ascii="宋体" w:hAnsi="宋体"/>
                <w:highlight w:val="none"/>
                <w:lang w:val="zh-CN"/>
              </w:rPr>
            </w:pPr>
          </w:p>
        </w:tc>
        <w:tc>
          <w:tcPr>
            <w:tcW w:w="2835" w:type="dxa"/>
          </w:tcPr>
          <w:p>
            <w:pPr>
              <w:autoSpaceDE w:val="0"/>
              <w:autoSpaceDN w:val="0"/>
              <w:adjustRightInd w:val="0"/>
              <w:ind w:firstLine="420"/>
              <w:rPr>
                <w:rFonts w:hint="eastAsia" w:ascii="宋体" w:hAnsi="宋体"/>
                <w:highlight w:val="none"/>
                <w:lang w:val="zh-CN"/>
              </w:rPr>
            </w:pPr>
          </w:p>
        </w:tc>
        <w:tc>
          <w:tcPr>
            <w:tcW w:w="1417" w:type="dxa"/>
          </w:tcPr>
          <w:p>
            <w:pPr>
              <w:autoSpaceDE w:val="0"/>
              <w:autoSpaceDN w:val="0"/>
              <w:adjustRightInd w:val="0"/>
              <w:ind w:firstLine="420"/>
              <w:rPr>
                <w:rFonts w:hint="eastAsia" w:ascii="宋体" w:hAnsi="宋体"/>
                <w:highlight w:val="none"/>
                <w:lang w:val="zh-CN"/>
              </w:rPr>
            </w:pPr>
          </w:p>
        </w:tc>
        <w:tc>
          <w:tcPr>
            <w:tcW w:w="1418" w:type="dxa"/>
          </w:tcPr>
          <w:p>
            <w:pPr>
              <w:autoSpaceDE w:val="0"/>
              <w:autoSpaceDN w:val="0"/>
              <w:adjustRightInd w:val="0"/>
              <w:ind w:firstLine="420"/>
              <w:rPr>
                <w:rFonts w:hint="eastAsia" w:ascii="宋体" w:hAnsi="宋体"/>
                <w:highlight w:val="none"/>
                <w:lang w:val="zh-CN"/>
              </w:rPr>
            </w:pPr>
          </w:p>
        </w:tc>
        <w:tc>
          <w:tcPr>
            <w:tcW w:w="1641" w:type="dxa"/>
          </w:tcPr>
          <w:p>
            <w:pPr>
              <w:autoSpaceDE w:val="0"/>
              <w:autoSpaceDN w:val="0"/>
              <w:adjustRightInd w:val="0"/>
              <w:ind w:firstLine="420"/>
              <w:rPr>
                <w:rFonts w:hint="eastAsia"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highlight w:val="none"/>
                <w:lang w:val="zh-CN"/>
              </w:rPr>
            </w:pPr>
            <w:r>
              <w:rPr>
                <w:rFonts w:hint="eastAsia" w:ascii="宋体" w:hAnsi="宋体"/>
                <w:highlight w:val="none"/>
                <w:lang w:val="zh-CN"/>
              </w:rPr>
              <w:t>2</w:t>
            </w:r>
          </w:p>
        </w:tc>
        <w:tc>
          <w:tcPr>
            <w:tcW w:w="1642" w:type="dxa"/>
            <w:vAlign w:val="center"/>
          </w:tcPr>
          <w:p>
            <w:pPr>
              <w:autoSpaceDE w:val="0"/>
              <w:autoSpaceDN w:val="0"/>
              <w:adjustRightInd w:val="0"/>
              <w:ind w:firstLine="420"/>
              <w:rPr>
                <w:rFonts w:hint="eastAsia" w:ascii="宋体" w:hAnsi="宋体"/>
                <w:highlight w:val="none"/>
                <w:lang w:val="zh-CN"/>
              </w:rPr>
            </w:pPr>
          </w:p>
        </w:tc>
        <w:tc>
          <w:tcPr>
            <w:tcW w:w="2835" w:type="dxa"/>
          </w:tcPr>
          <w:p>
            <w:pPr>
              <w:autoSpaceDE w:val="0"/>
              <w:autoSpaceDN w:val="0"/>
              <w:adjustRightInd w:val="0"/>
              <w:ind w:firstLine="420"/>
              <w:rPr>
                <w:rFonts w:hint="eastAsia" w:ascii="宋体" w:hAnsi="宋体"/>
                <w:highlight w:val="none"/>
                <w:lang w:val="zh-CN"/>
              </w:rPr>
            </w:pPr>
          </w:p>
        </w:tc>
        <w:tc>
          <w:tcPr>
            <w:tcW w:w="1417" w:type="dxa"/>
          </w:tcPr>
          <w:p>
            <w:pPr>
              <w:autoSpaceDE w:val="0"/>
              <w:autoSpaceDN w:val="0"/>
              <w:adjustRightInd w:val="0"/>
              <w:ind w:firstLine="420"/>
              <w:rPr>
                <w:rFonts w:hint="eastAsia" w:ascii="宋体" w:hAnsi="宋体"/>
                <w:highlight w:val="none"/>
                <w:lang w:val="zh-CN"/>
              </w:rPr>
            </w:pPr>
          </w:p>
        </w:tc>
        <w:tc>
          <w:tcPr>
            <w:tcW w:w="1418" w:type="dxa"/>
          </w:tcPr>
          <w:p>
            <w:pPr>
              <w:autoSpaceDE w:val="0"/>
              <w:autoSpaceDN w:val="0"/>
              <w:adjustRightInd w:val="0"/>
              <w:ind w:firstLine="420"/>
              <w:rPr>
                <w:rFonts w:hint="eastAsia" w:ascii="宋体" w:hAnsi="宋体"/>
                <w:highlight w:val="none"/>
                <w:lang w:val="zh-CN"/>
              </w:rPr>
            </w:pPr>
          </w:p>
        </w:tc>
        <w:tc>
          <w:tcPr>
            <w:tcW w:w="1641" w:type="dxa"/>
          </w:tcPr>
          <w:p>
            <w:pPr>
              <w:autoSpaceDE w:val="0"/>
              <w:autoSpaceDN w:val="0"/>
              <w:adjustRightInd w:val="0"/>
              <w:ind w:firstLine="420"/>
              <w:rPr>
                <w:rFonts w:hint="eastAsia"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highlight w:val="none"/>
                <w:lang w:val="zh-CN"/>
              </w:rPr>
            </w:pPr>
            <w:r>
              <w:rPr>
                <w:rFonts w:hint="eastAsia" w:ascii="宋体" w:hAnsi="宋体"/>
                <w:highlight w:val="none"/>
                <w:lang w:val="zh-CN"/>
              </w:rPr>
              <w:t>3</w:t>
            </w:r>
          </w:p>
        </w:tc>
        <w:tc>
          <w:tcPr>
            <w:tcW w:w="1642" w:type="dxa"/>
            <w:vAlign w:val="center"/>
          </w:tcPr>
          <w:p>
            <w:pPr>
              <w:autoSpaceDE w:val="0"/>
              <w:autoSpaceDN w:val="0"/>
              <w:adjustRightInd w:val="0"/>
              <w:ind w:firstLine="420"/>
              <w:rPr>
                <w:rFonts w:hint="eastAsia" w:ascii="宋体" w:hAnsi="宋体"/>
                <w:highlight w:val="none"/>
                <w:lang w:val="zh-CN"/>
              </w:rPr>
            </w:pPr>
          </w:p>
        </w:tc>
        <w:tc>
          <w:tcPr>
            <w:tcW w:w="2835" w:type="dxa"/>
          </w:tcPr>
          <w:p>
            <w:pPr>
              <w:autoSpaceDE w:val="0"/>
              <w:autoSpaceDN w:val="0"/>
              <w:adjustRightInd w:val="0"/>
              <w:ind w:firstLine="420"/>
              <w:rPr>
                <w:rFonts w:hint="eastAsia" w:ascii="宋体" w:hAnsi="宋体"/>
                <w:highlight w:val="none"/>
                <w:lang w:val="zh-CN"/>
              </w:rPr>
            </w:pPr>
          </w:p>
        </w:tc>
        <w:tc>
          <w:tcPr>
            <w:tcW w:w="1417" w:type="dxa"/>
          </w:tcPr>
          <w:p>
            <w:pPr>
              <w:autoSpaceDE w:val="0"/>
              <w:autoSpaceDN w:val="0"/>
              <w:adjustRightInd w:val="0"/>
              <w:ind w:firstLine="420"/>
              <w:rPr>
                <w:rFonts w:hint="eastAsia" w:ascii="宋体" w:hAnsi="宋体"/>
                <w:highlight w:val="none"/>
                <w:lang w:val="zh-CN"/>
              </w:rPr>
            </w:pPr>
          </w:p>
        </w:tc>
        <w:tc>
          <w:tcPr>
            <w:tcW w:w="1418" w:type="dxa"/>
          </w:tcPr>
          <w:p>
            <w:pPr>
              <w:autoSpaceDE w:val="0"/>
              <w:autoSpaceDN w:val="0"/>
              <w:adjustRightInd w:val="0"/>
              <w:ind w:firstLine="420"/>
              <w:rPr>
                <w:rFonts w:hint="eastAsia" w:ascii="宋体" w:hAnsi="宋体"/>
                <w:highlight w:val="none"/>
                <w:lang w:val="zh-CN"/>
              </w:rPr>
            </w:pPr>
          </w:p>
        </w:tc>
        <w:tc>
          <w:tcPr>
            <w:tcW w:w="1641" w:type="dxa"/>
          </w:tcPr>
          <w:p>
            <w:pPr>
              <w:autoSpaceDE w:val="0"/>
              <w:autoSpaceDN w:val="0"/>
              <w:adjustRightInd w:val="0"/>
              <w:ind w:firstLine="420"/>
              <w:rPr>
                <w:rFonts w:hint="eastAsia" w:ascii="宋体" w:hAnsi="宋体"/>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vAlign w:val="center"/>
          </w:tcPr>
          <w:p>
            <w:pPr>
              <w:autoSpaceDE w:val="0"/>
              <w:autoSpaceDN w:val="0"/>
              <w:adjustRightInd w:val="0"/>
              <w:ind w:firstLine="35" w:firstLineChars="17"/>
              <w:jc w:val="center"/>
              <w:rPr>
                <w:rFonts w:hint="eastAsia" w:ascii="宋体" w:hAnsi="宋体"/>
                <w:highlight w:val="none"/>
                <w:lang w:val="zh-CN"/>
              </w:rPr>
            </w:pPr>
            <w:r>
              <w:rPr>
                <w:rFonts w:hint="eastAsia" w:ascii="宋体" w:hAnsi="宋体"/>
                <w:highlight w:val="none"/>
                <w:lang w:val="zh-CN"/>
              </w:rPr>
              <w:t>…</w:t>
            </w:r>
          </w:p>
        </w:tc>
        <w:tc>
          <w:tcPr>
            <w:tcW w:w="1642" w:type="dxa"/>
          </w:tcPr>
          <w:p>
            <w:pPr>
              <w:autoSpaceDE w:val="0"/>
              <w:autoSpaceDN w:val="0"/>
              <w:adjustRightInd w:val="0"/>
              <w:ind w:firstLine="420"/>
              <w:rPr>
                <w:rFonts w:hint="eastAsia" w:ascii="宋体" w:hAnsi="宋体"/>
                <w:highlight w:val="none"/>
                <w:lang w:val="zh-CN"/>
              </w:rPr>
            </w:pPr>
          </w:p>
        </w:tc>
        <w:tc>
          <w:tcPr>
            <w:tcW w:w="2835" w:type="dxa"/>
          </w:tcPr>
          <w:p>
            <w:pPr>
              <w:autoSpaceDE w:val="0"/>
              <w:autoSpaceDN w:val="0"/>
              <w:adjustRightInd w:val="0"/>
              <w:ind w:firstLine="420"/>
              <w:rPr>
                <w:rFonts w:hint="eastAsia" w:ascii="宋体" w:hAnsi="宋体"/>
                <w:highlight w:val="none"/>
                <w:lang w:val="zh-CN"/>
              </w:rPr>
            </w:pPr>
          </w:p>
        </w:tc>
        <w:tc>
          <w:tcPr>
            <w:tcW w:w="1417" w:type="dxa"/>
          </w:tcPr>
          <w:p>
            <w:pPr>
              <w:autoSpaceDE w:val="0"/>
              <w:autoSpaceDN w:val="0"/>
              <w:adjustRightInd w:val="0"/>
              <w:ind w:firstLine="420"/>
              <w:rPr>
                <w:rFonts w:hint="eastAsia" w:ascii="宋体" w:hAnsi="宋体"/>
                <w:highlight w:val="none"/>
                <w:lang w:val="zh-CN"/>
              </w:rPr>
            </w:pPr>
          </w:p>
        </w:tc>
        <w:tc>
          <w:tcPr>
            <w:tcW w:w="1418" w:type="dxa"/>
          </w:tcPr>
          <w:p>
            <w:pPr>
              <w:autoSpaceDE w:val="0"/>
              <w:autoSpaceDN w:val="0"/>
              <w:adjustRightInd w:val="0"/>
              <w:ind w:firstLine="420"/>
              <w:rPr>
                <w:rFonts w:hint="eastAsia" w:ascii="宋体" w:hAnsi="宋体"/>
                <w:highlight w:val="none"/>
                <w:lang w:val="zh-CN"/>
              </w:rPr>
            </w:pPr>
          </w:p>
        </w:tc>
        <w:tc>
          <w:tcPr>
            <w:tcW w:w="1641" w:type="dxa"/>
          </w:tcPr>
          <w:p>
            <w:pPr>
              <w:autoSpaceDE w:val="0"/>
              <w:autoSpaceDN w:val="0"/>
              <w:adjustRightInd w:val="0"/>
              <w:ind w:firstLine="420"/>
              <w:rPr>
                <w:rFonts w:hint="eastAsia" w:ascii="宋体" w:hAnsi="宋体"/>
                <w:highlight w:val="none"/>
                <w:lang w:val="zh-CN"/>
              </w:rPr>
            </w:pPr>
          </w:p>
        </w:tc>
      </w:tr>
    </w:tbl>
    <w:p>
      <w:pPr>
        <w:snapToGrid w:val="0"/>
        <w:spacing w:before="50" w:after="50"/>
        <w:ind w:right="-817" w:rightChars="-389" w:firstLine="0" w:firstLineChars="0"/>
        <w:rPr>
          <w:rFonts w:hint="eastAsia" w:ascii="宋体" w:hAnsi="宋体"/>
          <w:bCs/>
          <w:highlight w:val="none"/>
        </w:rPr>
      </w:pPr>
      <w:r>
        <w:rPr>
          <w:rFonts w:hint="eastAsia" w:ascii="宋体" w:hAnsi="宋体"/>
          <w:bCs/>
          <w:highlight w:val="none"/>
          <w:lang w:val="zh-CN"/>
        </w:rPr>
        <w:t>注:应</w:t>
      </w:r>
      <w:r>
        <w:rPr>
          <w:rFonts w:hint="eastAsia" w:ascii="宋体" w:hAnsi="宋体"/>
          <w:bCs/>
          <w:highlight w:val="none"/>
        </w:rPr>
        <w:t>提供所配置人员姓名、身份证、岗位、学历证书、培训证书、相关工作经验证明材料(合同)。</w:t>
      </w:r>
    </w:p>
    <w:p>
      <w:pPr>
        <w:ind w:firstLine="420"/>
        <w:rPr>
          <w:highlight w:val="none"/>
        </w:rPr>
      </w:pPr>
    </w:p>
    <w:p>
      <w:pPr>
        <w:ind w:firstLine="420"/>
        <w:rPr>
          <w:highlight w:val="none"/>
        </w:rPr>
      </w:pPr>
    </w:p>
    <w:p>
      <w:pPr>
        <w:ind w:left="6019" w:leftChars="2866" w:right="592" w:rightChars="282" w:firstLine="75" w:firstLineChars="36"/>
        <w:jc w:val="left"/>
        <w:rPr>
          <w:rFonts w:hint="eastAsia" w:ascii="宋体" w:hAnsi="宋体"/>
          <w:bCs/>
          <w:highlight w:val="none"/>
        </w:rPr>
      </w:pPr>
      <w:r>
        <w:rPr>
          <w:rFonts w:hint="eastAsia" w:ascii="宋体" w:hAnsi="宋体"/>
          <w:bCs/>
          <w:highlight w:val="none"/>
        </w:rPr>
        <w:t>投标人（盖章）：</w:t>
      </w:r>
      <w:r>
        <w:rPr>
          <w:rFonts w:hint="eastAsia" w:ascii="宋体" w:hAnsi="宋体"/>
          <w:bCs/>
          <w:szCs w:val="21"/>
          <w:highlight w:val="none"/>
          <w:u w:val="single"/>
        </w:rPr>
        <w:t xml:space="preserve">    </w:t>
      </w:r>
      <w:r>
        <w:rPr>
          <w:rFonts w:ascii="宋体" w:hAnsi="宋体"/>
          <w:bCs/>
          <w:szCs w:val="21"/>
          <w:highlight w:val="none"/>
          <w:u w:val="single"/>
        </w:rPr>
        <w:t xml:space="preserve"> </w:t>
      </w:r>
      <w:r>
        <w:rPr>
          <w:rFonts w:hint="eastAsia" w:ascii="宋体" w:hAnsi="宋体"/>
          <w:bCs/>
          <w:szCs w:val="21"/>
          <w:highlight w:val="none"/>
          <w:u w:val="single"/>
        </w:rPr>
        <w:t xml:space="preserve">     </w:t>
      </w:r>
    </w:p>
    <w:p>
      <w:pPr>
        <w:snapToGrid w:val="0"/>
        <w:spacing w:before="50" w:after="50" w:line="350" w:lineRule="exact"/>
        <w:ind w:right="-817" w:rightChars="-389" w:firstLine="6090" w:firstLineChars="2900"/>
        <w:jc w:val="left"/>
        <w:rPr>
          <w:rFonts w:hint="eastAsia" w:ascii="宋体" w:hAnsi="宋体"/>
          <w:bCs/>
          <w:highlight w:val="none"/>
        </w:rPr>
      </w:pPr>
      <w:r>
        <w:rPr>
          <w:rFonts w:hint="eastAsia" w:ascii="宋体" w:hAnsi="宋体"/>
          <w:bCs/>
          <w:highlight w:val="none"/>
        </w:rPr>
        <w:t>日期：</w:t>
      </w:r>
      <w:r>
        <w:rPr>
          <w:rFonts w:hint="eastAsia" w:ascii="宋体" w:hAnsi="宋体"/>
          <w:bCs/>
          <w:szCs w:val="21"/>
          <w:highlight w:val="none"/>
          <w:u w:val="single"/>
        </w:rPr>
        <w:t xml:space="preserve">       </w:t>
      </w:r>
      <w:r>
        <w:rPr>
          <w:rFonts w:hint="eastAsia" w:ascii="宋体" w:hAnsi="宋体"/>
          <w:bCs/>
          <w:highlight w:val="none"/>
        </w:rPr>
        <w:t>年</w:t>
      </w:r>
      <w:r>
        <w:rPr>
          <w:rFonts w:hint="eastAsia" w:ascii="宋体" w:hAnsi="宋体"/>
          <w:bCs/>
          <w:szCs w:val="21"/>
          <w:highlight w:val="none"/>
          <w:u w:val="single"/>
        </w:rPr>
        <w:t xml:space="preserve">   </w:t>
      </w:r>
      <w:r>
        <w:rPr>
          <w:rFonts w:hint="eastAsia" w:ascii="宋体" w:hAnsi="宋体"/>
          <w:bCs/>
          <w:highlight w:val="none"/>
        </w:rPr>
        <w:t>月</w:t>
      </w:r>
      <w:r>
        <w:rPr>
          <w:rFonts w:hint="eastAsia" w:ascii="宋体" w:hAnsi="宋体"/>
          <w:bCs/>
          <w:szCs w:val="21"/>
          <w:highlight w:val="none"/>
          <w:u w:val="single"/>
        </w:rPr>
        <w:t xml:space="preserve">   </w:t>
      </w:r>
      <w:r>
        <w:rPr>
          <w:rFonts w:hint="eastAsia" w:ascii="宋体" w:hAnsi="宋体"/>
          <w:bCs/>
          <w:highlight w:val="none"/>
        </w:rPr>
        <w:t>日</w:t>
      </w:r>
    </w:p>
    <w:p>
      <w:pPr>
        <w:spacing w:line="440" w:lineRule="exact"/>
        <w:ind w:left="-177" w:leftChars="-200" w:hanging="243" w:hangingChars="116"/>
        <w:jc w:val="center"/>
        <w:rPr>
          <w:rFonts w:hint="eastAsia" w:ascii="仿宋_GB2312" w:hAnsi="宋体" w:eastAsia="仿宋_GB2312"/>
          <w:b/>
          <w:sz w:val="32"/>
          <w:szCs w:val="32"/>
          <w:highlight w:val="none"/>
        </w:rPr>
      </w:pPr>
      <w:r>
        <w:rPr>
          <w:rFonts w:hint="eastAsia" w:ascii="宋体" w:hAnsi="宋体"/>
          <w:bCs/>
          <w:highlight w:val="none"/>
        </w:rPr>
        <w:br w:type="page"/>
      </w:r>
      <w:r>
        <w:rPr>
          <w:rFonts w:hint="eastAsia" w:ascii="仿宋_GB2312" w:hAnsi="宋体" w:eastAsia="仿宋_GB2312"/>
          <w:b/>
          <w:sz w:val="32"/>
          <w:szCs w:val="32"/>
          <w:highlight w:val="none"/>
        </w:rPr>
        <w:t>中小企业声明函</w:t>
      </w:r>
      <w:r>
        <w:rPr>
          <w:rFonts w:hint="eastAsia" w:ascii="仿宋_GB2312" w:eastAsia="仿宋_GB2312"/>
          <w:bCs/>
          <w:sz w:val="24"/>
          <w:highlight w:val="none"/>
        </w:rPr>
        <w:t>（格式）</w:t>
      </w:r>
    </w:p>
    <w:p>
      <w:pPr>
        <w:spacing w:line="440" w:lineRule="exact"/>
        <w:ind w:left="2" w:hanging="2" w:firstLineChars="0"/>
        <w:jc w:val="left"/>
        <w:rPr>
          <w:rFonts w:hint="eastAsia" w:ascii="仿宋_GB2312" w:hAnsi="宋体" w:eastAsia="仿宋_GB2312"/>
          <w:b/>
          <w:szCs w:val="21"/>
          <w:highlight w:val="none"/>
        </w:rPr>
      </w:pPr>
    </w:p>
    <w:p>
      <w:pPr>
        <w:spacing w:line="600" w:lineRule="exact"/>
        <w:ind w:firstLine="294" w:firstLineChars="140"/>
        <w:jc w:val="left"/>
        <w:rPr>
          <w:rFonts w:hint="eastAsia" w:ascii="宋体" w:hAnsi="宋体"/>
          <w:bCs/>
          <w:szCs w:val="21"/>
          <w:highlight w:val="none"/>
        </w:rPr>
      </w:pPr>
      <w:bookmarkStart w:id="259" w:name="_Hlk94193902"/>
      <w:r>
        <w:rPr>
          <w:rFonts w:hint="eastAsia" w:ascii="宋体" w:hAnsi="宋体"/>
          <w:bCs/>
          <w:szCs w:val="21"/>
          <w:highlight w:val="none"/>
        </w:rPr>
        <w:t>本公司郑重声明，根据</w:t>
      </w:r>
      <w:bookmarkStart w:id="260" w:name="_Hlk82091685"/>
      <w:r>
        <w:rPr>
          <w:rFonts w:ascii="宋体" w:hAnsi="宋体"/>
          <w:bCs/>
          <w:szCs w:val="21"/>
          <w:highlight w:val="none"/>
        </w:rPr>
        <w:fldChar w:fldCharType="begin"/>
      </w:r>
      <w:r>
        <w:rPr>
          <w:rFonts w:ascii="宋体" w:hAnsi="宋体"/>
          <w:bCs/>
          <w:szCs w:val="21"/>
          <w:highlight w:val="none"/>
        </w:rPr>
        <w:instrText xml:space="preserve"> </w:instrText>
      </w:r>
      <w:r>
        <w:rPr>
          <w:rFonts w:hint="eastAsia" w:ascii="宋体" w:hAnsi="宋体"/>
          <w:bCs/>
          <w:szCs w:val="21"/>
          <w:highlight w:val="none"/>
        </w:rPr>
        <w:instrText xml:space="preserve">HYPERLINK "http://www.gov.cn/zhengce/zhengceku/2020-12/29/content_5574611.htm"</w:instrText>
      </w:r>
      <w:r>
        <w:rPr>
          <w:rFonts w:ascii="宋体" w:hAnsi="宋体"/>
          <w:bCs/>
          <w:szCs w:val="21"/>
          <w:highlight w:val="none"/>
        </w:rPr>
        <w:instrText xml:space="preserve"> </w:instrText>
      </w:r>
      <w:r>
        <w:rPr>
          <w:rFonts w:ascii="宋体" w:hAnsi="宋体"/>
          <w:bCs/>
          <w:szCs w:val="21"/>
          <w:highlight w:val="none"/>
        </w:rPr>
        <w:fldChar w:fldCharType="separate"/>
      </w:r>
      <w:r>
        <w:rPr>
          <w:rStyle w:val="58"/>
          <w:rFonts w:hint="eastAsia" w:ascii="宋体" w:hAnsi="宋体"/>
          <w:bCs/>
          <w:color w:val="auto"/>
          <w:szCs w:val="21"/>
          <w:highlight w:val="none"/>
          <w:u w:val="none"/>
        </w:rPr>
        <w:t>《政府采购促进中小企业发展管理办法》</w:t>
      </w:r>
      <w:bookmarkStart w:id="261" w:name="_Hlk60836554"/>
      <w:r>
        <w:rPr>
          <w:rStyle w:val="58"/>
          <w:rFonts w:hint="eastAsia" w:ascii="宋体" w:hAnsi="宋体"/>
          <w:bCs/>
          <w:color w:val="auto"/>
          <w:szCs w:val="21"/>
          <w:highlight w:val="none"/>
          <w:u w:val="none"/>
        </w:rPr>
        <w:t>（财库﹝2020﹞46号）</w:t>
      </w:r>
      <w:bookmarkEnd w:id="260"/>
      <w:bookmarkEnd w:id="261"/>
      <w:r>
        <w:rPr>
          <w:rFonts w:ascii="宋体" w:hAnsi="宋体"/>
          <w:bCs/>
          <w:szCs w:val="21"/>
          <w:highlight w:val="none"/>
        </w:rPr>
        <w:fldChar w:fldCharType="end"/>
      </w:r>
      <w:r>
        <w:rPr>
          <w:rFonts w:hint="eastAsia" w:ascii="宋体" w:hAnsi="宋体"/>
          <w:bCs/>
          <w:szCs w:val="21"/>
          <w:highlight w:val="none"/>
        </w:rPr>
        <w:t>的规定，本公司参加</w:t>
      </w:r>
      <w:bookmarkStart w:id="262" w:name="_Hlk82091228"/>
      <w:r>
        <w:rPr>
          <w:rFonts w:hint="eastAsia" w:ascii="宋体" w:hAnsi="宋体"/>
          <w:bCs/>
          <w:szCs w:val="21"/>
          <w:highlight w:val="none"/>
        </w:rPr>
        <w:t>（</w:t>
      </w:r>
      <w:r>
        <w:rPr>
          <w:rFonts w:hint="eastAsia" w:ascii="宋体" w:hAnsi="宋体"/>
          <w:bCs/>
          <w:szCs w:val="21"/>
          <w:highlight w:val="none"/>
          <w:u w:val="single"/>
        </w:rPr>
        <w:t>单位名称</w:t>
      </w:r>
      <w:r>
        <w:rPr>
          <w:rFonts w:hint="eastAsia" w:ascii="宋体" w:hAnsi="宋体"/>
          <w:bCs/>
          <w:szCs w:val="21"/>
          <w:highlight w:val="none"/>
        </w:rPr>
        <w:t>）的（</w:t>
      </w:r>
      <w:r>
        <w:rPr>
          <w:rFonts w:hint="eastAsia" w:ascii="宋体" w:hAnsi="宋体"/>
          <w:bCs/>
          <w:szCs w:val="21"/>
          <w:highlight w:val="none"/>
          <w:u w:val="single"/>
        </w:rPr>
        <w:t>项目名称</w:t>
      </w:r>
      <w:r>
        <w:rPr>
          <w:rFonts w:hint="eastAsia" w:ascii="宋体" w:hAnsi="宋体"/>
          <w:bCs/>
          <w:szCs w:val="21"/>
          <w:highlight w:val="none"/>
        </w:rPr>
        <w:t>）</w:t>
      </w:r>
      <w:bookmarkEnd w:id="262"/>
      <w:r>
        <w:rPr>
          <w:rFonts w:hint="eastAsia" w:ascii="宋体" w:hAnsi="宋体"/>
          <w:bCs/>
          <w:szCs w:val="21"/>
          <w:highlight w:val="none"/>
        </w:rPr>
        <w:t>采购活动，提供的货物全部由符合政策要求的中小企业制造。相关企业的具体情况如下：</w:t>
      </w:r>
    </w:p>
    <w:p>
      <w:pPr>
        <w:spacing w:line="600" w:lineRule="exact"/>
        <w:ind w:firstLine="294" w:firstLineChars="140"/>
        <w:jc w:val="left"/>
        <w:rPr>
          <w:rFonts w:hint="eastAsia" w:ascii="宋体" w:hAnsi="宋体"/>
          <w:bCs/>
          <w:szCs w:val="21"/>
          <w:highlight w:val="none"/>
        </w:rPr>
      </w:pPr>
      <w:r>
        <w:rPr>
          <w:rFonts w:hint="eastAsia" w:ascii="宋体" w:hAnsi="宋体"/>
          <w:bCs/>
          <w:szCs w:val="21"/>
          <w:highlight w:val="none"/>
        </w:rPr>
        <w:t>1.</w:t>
      </w:r>
      <w:bookmarkStart w:id="263" w:name="_Hlk60836996"/>
      <w:r>
        <w:rPr>
          <w:rFonts w:hint="eastAsia" w:ascii="宋体" w:hAnsi="宋体"/>
          <w:bCs/>
          <w:szCs w:val="21"/>
          <w:highlight w:val="none"/>
        </w:rPr>
        <w:t>（</w:t>
      </w:r>
      <w:r>
        <w:rPr>
          <w:rFonts w:hint="eastAsia" w:ascii="宋体" w:hAnsi="宋体"/>
          <w:bCs/>
          <w:szCs w:val="21"/>
          <w:highlight w:val="none"/>
          <w:u w:val="single"/>
        </w:rPr>
        <w:t>标的名称</w:t>
      </w:r>
      <w:r>
        <w:rPr>
          <w:rFonts w:hint="eastAsia" w:ascii="宋体" w:hAnsi="宋体"/>
          <w:bCs/>
          <w:szCs w:val="21"/>
          <w:highlight w:val="none"/>
        </w:rPr>
        <w:t>），属于（</w:t>
      </w:r>
      <w:r>
        <w:rPr>
          <w:rFonts w:hint="eastAsia" w:ascii="宋体" w:hAnsi="宋体"/>
          <w:bCs/>
          <w:szCs w:val="21"/>
          <w:highlight w:val="none"/>
          <w:u w:val="single"/>
        </w:rPr>
        <w:t>采购文件中明确的所属行业</w:t>
      </w:r>
      <w:r>
        <w:rPr>
          <w:rFonts w:hint="eastAsia" w:ascii="宋体" w:hAnsi="宋体"/>
          <w:bCs/>
          <w:szCs w:val="21"/>
          <w:highlight w:val="none"/>
        </w:rPr>
        <w:t>）行业；制造商为（</w:t>
      </w:r>
      <w:r>
        <w:rPr>
          <w:rFonts w:hint="eastAsia" w:ascii="宋体" w:hAnsi="宋体"/>
          <w:bCs/>
          <w:szCs w:val="21"/>
          <w:highlight w:val="none"/>
          <w:u w:val="single"/>
        </w:rPr>
        <w:t>企业名称</w:t>
      </w:r>
      <w:r>
        <w:rPr>
          <w:rFonts w:hint="eastAsia" w:ascii="宋体" w:hAnsi="宋体"/>
          <w:bCs/>
          <w:szCs w:val="21"/>
          <w:highlight w:val="none"/>
        </w:rPr>
        <w:t>），从业人员人，营业收入为万元，资产总额为万元，属于（</w:t>
      </w:r>
      <w:r>
        <w:rPr>
          <w:rFonts w:hint="eastAsia" w:ascii="宋体" w:hAnsi="宋体"/>
          <w:bCs/>
          <w:szCs w:val="21"/>
          <w:highlight w:val="none"/>
          <w:u w:val="single"/>
        </w:rPr>
        <w:t>中型企业、小型企业、微型企业</w:t>
      </w:r>
      <w:r>
        <w:rPr>
          <w:rFonts w:hint="eastAsia" w:ascii="宋体" w:hAnsi="宋体"/>
          <w:bCs/>
          <w:szCs w:val="21"/>
          <w:highlight w:val="none"/>
        </w:rPr>
        <w:t>）；</w:t>
      </w:r>
      <w:bookmarkEnd w:id="263"/>
    </w:p>
    <w:p>
      <w:pPr>
        <w:spacing w:line="600" w:lineRule="exact"/>
        <w:ind w:firstLine="294" w:firstLineChars="140"/>
        <w:jc w:val="left"/>
        <w:rPr>
          <w:rFonts w:hint="eastAsia" w:ascii="宋体" w:hAnsi="宋体"/>
          <w:bCs/>
          <w:szCs w:val="21"/>
          <w:highlight w:val="none"/>
        </w:rPr>
      </w:pPr>
      <w:r>
        <w:rPr>
          <w:rFonts w:hint="eastAsia" w:ascii="宋体" w:hAnsi="宋体"/>
          <w:bCs/>
          <w:szCs w:val="21"/>
          <w:highlight w:val="none"/>
        </w:rPr>
        <w:t>2.（</w:t>
      </w:r>
      <w:r>
        <w:rPr>
          <w:rFonts w:hint="eastAsia" w:ascii="宋体" w:hAnsi="宋体"/>
          <w:bCs/>
          <w:szCs w:val="21"/>
          <w:highlight w:val="none"/>
          <w:u w:val="single"/>
        </w:rPr>
        <w:t>标的名称</w:t>
      </w:r>
      <w:r>
        <w:rPr>
          <w:rFonts w:hint="eastAsia" w:ascii="宋体" w:hAnsi="宋体"/>
          <w:bCs/>
          <w:szCs w:val="21"/>
          <w:highlight w:val="none"/>
        </w:rPr>
        <w:t>），属于（</w:t>
      </w:r>
      <w:r>
        <w:rPr>
          <w:rFonts w:hint="eastAsia" w:ascii="宋体" w:hAnsi="宋体"/>
          <w:bCs/>
          <w:szCs w:val="21"/>
          <w:highlight w:val="none"/>
          <w:u w:val="single"/>
        </w:rPr>
        <w:t>采购文件中明确的所属行业</w:t>
      </w:r>
      <w:r>
        <w:rPr>
          <w:rFonts w:hint="eastAsia" w:ascii="宋体" w:hAnsi="宋体"/>
          <w:bCs/>
          <w:szCs w:val="21"/>
          <w:highlight w:val="none"/>
        </w:rPr>
        <w:t>）行业；制造商为（</w:t>
      </w:r>
      <w:r>
        <w:rPr>
          <w:rFonts w:hint="eastAsia" w:ascii="宋体" w:hAnsi="宋体"/>
          <w:bCs/>
          <w:szCs w:val="21"/>
          <w:highlight w:val="none"/>
          <w:u w:val="single"/>
        </w:rPr>
        <w:t>企业名称</w:t>
      </w:r>
      <w:r>
        <w:rPr>
          <w:rFonts w:hint="eastAsia" w:ascii="宋体" w:hAnsi="宋体"/>
          <w:bCs/>
          <w:szCs w:val="21"/>
          <w:highlight w:val="none"/>
        </w:rPr>
        <w:t>），从业人员人，营业收入为万元，资产总额为万元，属于（</w:t>
      </w:r>
      <w:r>
        <w:rPr>
          <w:rFonts w:hint="eastAsia" w:ascii="宋体" w:hAnsi="宋体"/>
          <w:bCs/>
          <w:szCs w:val="21"/>
          <w:highlight w:val="none"/>
          <w:u w:val="single"/>
        </w:rPr>
        <w:t>中型企业、小型企业、微型企业</w:t>
      </w:r>
      <w:r>
        <w:rPr>
          <w:rFonts w:hint="eastAsia" w:ascii="宋体" w:hAnsi="宋体"/>
          <w:bCs/>
          <w:szCs w:val="21"/>
          <w:highlight w:val="none"/>
        </w:rPr>
        <w:t>）；</w:t>
      </w:r>
    </w:p>
    <w:p>
      <w:pPr>
        <w:spacing w:line="600" w:lineRule="exact"/>
        <w:ind w:firstLine="294" w:firstLineChars="140"/>
        <w:jc w:val="left"/>
        <w:rPr>
          <w:rFonts w:hint="eastAsia" w:ascii="宋体" w:hAnsi="宋体"/>
          <w:bCs/>
          <w:szCs w:val="21"/>
          <w:highlight w:val="none"/>
        </w:rPr>
      </w:pPr>
      <w:r>
        <w:rPr>
          <w:rFonts w:hint="eastAsia" w:ascii="宋体" w:hAnsi="宋体"/>
          <w:bCs/>
          <w:szCs w:val="21"/>
          <w:highlight w:val="none"/>
        </w:rPr>
        <w:t>……</w:t>
      </w:r>
    </w:p>
    <w:p>
      <w:pPr>
        <w:spacing w:line="600" w:lineRule="exact"/>
        <w:ind w:firstLine="294" w:firstLineChars="140"/>
        <w:jc w:val="left"/>
        <w:rPr>
          <w:rFonts w:hint="eastAsia" w:ascii="宋体" w:hAnsi="宋体"/>
          <w:bCs/>
          <w:szCs w:val="21"/>
          <w:highlight w:val="none"/>
        </w:rPr>
      </w:pPr>
      <w:r>
        <w:rPr>
          <w:rFonts w:hint="eastAsia" w:ascii="宋体" w:hAnsi="宋体"/>
          <w:bCs/>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bCs/>
          <w:szCs w:val="21"/>
          <w:highlight w:val="none"/>
        </w:rPr>
      </w:pPr>
      <w:r>
        <w:rPr>
          <w:rFonts w:hint="eastAsia" w:ascii="宋体" w:hAnsi="宋体"/>
          <w:bCs/>
          <w:szCs w:val="21"/>
          <w:highlight w:val="none"/>
        </w:rPr>
        <w:t>本企业对上述声明内容的真实性负责。如有虚假，将依法承担相应责任。</w:t>
      </w:r>
    </w:p>
    <w:p>
      <w:pPr>
        <w:ind w:firstLine="0" w:firstLineChars="0"/>
        <w:rPr>
          <w:szCs w:val="21"/>
          <w:highlight w:val="none"/>
        </w:rPr>
      </w:pPr>
    </w:p>
    <w:p>
      <w:pPr>
        <w:ind w:firstLine="0" w:firstLineChars="0"/>
        <w:rPr>
          <w:szCs w:val="21"/>
          <w:highlight w:val="none"/>
        </w:rPr>
      </w:pPr>
    </w:p>
    <w:p>
      <w:pPr>
        <w:ind w:firstLine="0" w:firstLineChars="0"/>
        <w:rPr>
          <w:szCs w:val="21"/>
          <w:highlight w:val="none"/>
        </w:rPr>
      </w:pPr>
    </w:p>
    <w:p>
      <w:pPr>
        <w:spacing w:line="440" w:lineRule="exact"/>
        <w:ind w:firstLine="5250" w:firstLineChars="2500"/>
        <w:jc w:val="left"/>
        <w:rPr>
          <w:rFonts w:hint="eastAsia" w:ascii="宋体" w:hAnsi="宋体"/>
          <w:bCs/>
          <w:szCs w:val="21"/>
          <w:highlight w:val="none"/>
        </w:rPr>
      </w:pPr>
      <w:r>
        <w:rPr>
          <w:rFonts w:hint="eastAsia" w:ascii="宋体" w:hAnsi="宋体"/>
          <w:bCs/>
          <w:szCs w:val="21"/>
          <w:highlight w:val="none"/>
        </w:rPr>
        <w:t>企业名称（盖章）：</w:t>
      </w:r>
      <w:r>
        <w:rPr>
          <w:rFonts w:hint="eastAsia" w:hAnsi="宋体"/>
          <w:szCs w:val="21"/>
          <w:highlight w:val="none"/>
          <w:u w:val="single"/>
        </w:rPr>
        <w:t xml:space="preserve"> </w:t>
      </w:r>
      <w:r>
        <w:rPr>
          <w:rFonts w:hAnsi="宋体"/>
          <w:szCs w:val="21"/>
          <w:highlight w:val="none"/>
          <w:u w:val="single"/>
        </w:rPr>
        <w:t xml:space="preserve">              </w:t>
      </w:r>
    </w:p>
    <w:p>
      <w:pPr>
        <w:spacing w:line="440" w:lineRule="exact"/>
        <w:ind w:firstLine="5250" w:firstLineChars="2500"/>
        <w:jc w:val="left"/>
        <w:rPr>
          <w:rFonts w:hint="eastAsia" w:ascii="宋体" w:hAnsi="宋体"/>
          <w:bCs/>
          <w:szCs w:val="21"/>
          <w:highlight w:val="none"/>
        </w:rPr>
      </w:pPr>
      <w:r>
        <w:rPr>
          <w:rFonts w:hint="eastAsia" w:ascii="宋体" w:hAnsi="宋体"/>
          <w:bCs/>
          <w:szCs w:val="21"/>
          <w:highlight w:val="none"/>
        </w:rPr>
        <w:t>日 期：</w:t>
      </w:r>
      <w:r>
        <w:rPr>
          <w:rFonts w:hint="eastAsia" w:hAnsi="宋体"/>
          <w:szCs w:val="21"/>
          <w:highlight w:val="none"/>
          <w:u w:val="single"/>
        </w:rPr>
        <w:t xml:space="preserve"> </w:t>
      </w:r>
      <w:r>
        <w:rPr>
          <w:rFonts w:hAnsi="宋体"/>
          <w:szCs w:val="21"/>
          <w:highlight w:val="none"/>
          <w:u w:val="single"/>
        </w:rPr>
        <w:t xml:space="preserve">                        </w:t>
      </w:r>
    </w:p>
    <w:bookmarkEnd w:id="259"/>
    <w:p>
      <w:pPr>
        <w:ind w:firstLine="0" w:firstLineChars="0"/>
        <w:rPr>
          <w:szCs w:val="21"/>
          <w:highlight w:val="none"/>
        </w:rPr>
      </w:pPr>
    </w:p>
    <w:p>
      <w:pPr>
        <w:ind w:firstLine="0" w:firstLineChars="0"/>
        <w:rPr>
          <w:szCs w:val="21"/>
          <w:highlight w:val="none"/>
        </w:rPr>
      </w:pPr>
    </w:p>
    <w:p>
      <w:pPr>
        <w:ind w:firstLine="0" w:firstLineChars="0"/>
        <w:rPr>
          <w:szCs w:val="21"/>
          <w:highlight w:val="none"/>
        </w:rPr>
      </w:pPr>
    </w:p>
    <w:p>
      <w:pPr>
        <w:ind w:firstLine="0" w:firstLineChars="0"/>
        <w:rPr>
          <w:szCs w:val="21"/>
          <w:highlight w:val="none"/>
        </w:rPr>
      </w:pPr>
    </w:p>
    <w:p>
      <w:pPr>
        <w:ind w:firstLine="0" w:firstLineChars="0"/>
        <w:rPr>
          <w:szCs w:val="21"/>
          <w:highlight w:val="none"/>
        </w:rPr>
      </w:pPr>
    </w:p>
    <w:p>
      <w:pPr>
        <w:spacing w:line="320" w:lineRule="exact"/>
        <w:ind w:firstLine="0" w:firstLineChars="0"/>
        <w:rPr>
          <w:szCs w:val="21"/>
          <w:highlight w:val="none"/>
        </w:rPr>
      </w:pPr>
    </w:p>
    <w:p>
      <w:pPr>
        <w:spacing w:line="320" w:lineRule="exact"/>
        <w:ind w:firstLine="0" w:firstLineChars="0"/>
        <w:rPr>
          <w:szCs w:val="21"/>
          <w:highlight w:val="none"/>
        </w:rPr>
      </w:pPr>
    </w:p>
    <w:p>
      <w:pPr>
        <w:spacing w:line="320" w:lineRule="exact"/>
        <w:ind w:firstLine="0" w:firstLineChars="0"/>
        <w:rPr>
          <w:szCs w:val="21"/>
          <w:highlight w:val="none"/>
        </w:rPr>
      </w:pPr>
    </w:p>
    <w:p>
      <w:pPr>
        <w:spacing w:line="320" w:lineRule="exact"/>
        <w:ind w:firstLine="0" w:firstLineChars="0"/>
        <w:rPr>
          <w:szCs w:val="21"/>
          <w:highlight w:val="none"/>
        </w:rPr>
      </w:pPr>
    </w:p>
    <w:p>
      <w:pPr>
        <w:spacing w:line="320" w:lineRule="exact"/>
        <w:ind w:firstLine="0" w:firstLineChars="0"/>
        <w:rPr>
          <w:szCs w:val="21"/>
          <w:highlight w:val="none"/>
        </w:rPr>
      </w:pPr>
    </w:p>
    <w:p>
      <w:pPr>
        <w:spacing w:line="320" w:lineRule="exact"/>
        <w:ind w:left="420" w:firstLine="0" w:firstLineChars="0"/>
        <w:rPr>
          <w:rFonts w:hint="eastAsia" w:ascii="宋体" w:hAnsi="宋体"/>
          <w:sz w:val="18"/>
          <w:szCs w:val="18"/>
          <w:highlight w:val="none"/>
        </w:rPr>
      </w:pPr>
      <w:bookmarkStart w:id="264" w:name="_Hlk82091879"/>
      <w:r>
        <w:rPr>
          <w:rFonts w:ascii="宋体" w:hAnsi="宋体"/>
          <w:sz w:val="18"/>
          <w:szCs w:val="18"/>
          <w:highlight w:val="none"/>
        </w:rPr>
        <w:fldChar w:fldCharType="begin"/>
      </w:r>
      <w:r>
        <w:rPr>
          <w:rFonts w:ascii="宋体" w:hAnsi="宋体"/>
          <w:sz w:val="18"/>
          <w:szCs w:val="18"/>
          <w:highlight w:val="none"/>
        </w:rPr>
        <w:instrText xml:space="preserve">EQ \* jc2 \* hps9 \o\ad(\s\up 8(——),从)</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8(——),业)</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8(——),人)</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8(——),员)</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8(——),营)</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8(——),业)</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8(——),收)</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8(——),入)</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8(——),资)</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8(——),产)</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8(——),总)</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8(——),额)</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8(——),填)</w:instrText>
      </w:r>
      <w:r>
        <w:rPr>
          <w:rFonts w:ascii="宋体" w:hAnsi="宋体"/>
          <w:sz w:val="18"/>
          <w:szCs w:val="18"/>
          <w:highlight w:val="none"/>
        </w:rPr>
        <w:fldChar w:fldCharType="end"/>
      </w:r>
      <w:r>
        <w:rPr>
          <w:rFonts w:ascii="宋体" w:hAnsi="宋体"/>
          <w:sz w:val="18"/>
          <w:szCs w:val="18"/>
          <w:highlight w:val="none"/>
        </w:rPr>
        <w:fldChar w:fldCharType="begin"/>
      </w:r>
      <w:r>
        <w:rPr>
          <w:rFonts w:ascii="宋体" w:hAnsi="宋体"/>
          <w:sz w:val="18"/>
          <w:szCs w:val="18"/>
          <w:highlight w:val="none"/>
        </w:rPr>
        <w:instrText xml:space="preserve">EQ \* jc2 \* hps9 \o\ad(\s\up 8(——),报)</w:instrText>
      </w:r>
      <w:r>
        <w:rPr>
          <w:rFonts w:ascii="宋体" w:hAnsi="宋体"/>
          <w:sz w:val="18"/>
          <w:szCs w:val="18"/>
          <w:highlight w:val="none"/>
        </w:rPr>
        <w:fldChar w:fldCharType="end"/>
      </w:r>
      <w:bookmarkEnd w:id="264"/>
      <w:r>
        <w:rPr>
          <w:rFonts w:hint="eastAsia" w:ascii="宋体" w:hAnsi="宋体"/>
          <w:sz w:val="18"/>
          <w:szCs w:val="18"/>
          <w:highlight w:val="none"/>
        </w:rPr>
        <w:t>上一年度数据，无上一年度数据的新成立企业可不填报。</w:t>
      </w:r>
    </w:p>
    <w:tbl>
      <w:tblPr>
        <w:tblStyle w:val="49"/>
        <w:tblW w:w="0" w:type="auto"/>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spacing w:line="240" w:lineRule="auto"/>
              <w:ind w:firstLine="0" w:firstLineChars="0"/>
              <w:jc w:val="center"/>
              <w:rPr>
                <w:rFonts w:ascii="Helvetica" w:hAnsi="Helvetica" w:cs="Helvetica"/>
                <w:b/>
                <w:bCs/>
                <w:kern w:val="0"/>
                <w:szCs w:val="21"/>
                <w:highlight w:val="none"/>
              </w:rPr>
            </w:pPr>
            <w:r>
              <w:rPr>
                <w:rFonts w:ascii="Helvetica" w:hAnsi="Helvetica" w:cs="Helvetica"/>
                <w:b/>
                <w:bCs/>
                <w:kern w:val="0"/>
                <w:szCs w:val="21"/>
                <w:highlight w:val="none"/>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b/>
                <w:bCs/>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b/>
                <w:bCs/>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b/>
                <w:bCs/>
                <w:kern w:val="0"/>
                <w:sz w:val="18"/>
                <w:szCs w:val="18"/>
                <w:highlight w:val="none"/>
              </w:rPr>
              <w:t>计量</w:t>
            </w:r>
          </w:p>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b/>
                <w:bCs/>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b/>
                <w:bCs/>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b/>
                <w:bCs/>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b/>
                <w:bCs/>
                <w:kern w:val="0"/>
                <w:sz w:val="18"/>
                <w:szCs w:val="18"/>
                <w:highlight w:val="none"/>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b/>
                <w:bCs/>
                <w:kern w:val="0"/>
                <w:sz w:val="18"/>
                <w:szCs w:val="18"/>
                <w:highlight w:val="none"/>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工业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交通运输业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仓储业*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信息传输业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Y＜500</w:t>
            </w:r>
          </w:p>
        </w:tc>
      </w:tr>
      <w:tr>
        <w:tblPrEx>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Z＜100</w:t>
            </w:r>
          </w:p>
        </w:tc>
      </w:tr>
      <w:tr>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其他未列明行业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ind w:firstLine="0" w:firstLineChars="0"/>
              <w:jc w:val="center"/>
              <w:rPr>
                <w:rFonts w:ascii="Helvetica" w:hAnsi="Helvetica" w:cs="Helvetica"/>
                <w:kern w:val="0"/>
                <w:sz w:val="18"/>
                <w:szCs w:val="18"/>
                <w:highlight w:val="none"/>
              </w:rPr>
            </w:pPr>
            <w:r>
              <w:rPr>
                <w:rFonts w:ascii="Helvetica" w:hAnsi="Helvetica" w:cs="Helvetica"/>
                <w:kern w:val="0"/>
                <w:sz w:val="18"/>
                <w:szCs w:val="18"/>
                <w:highlight w:val="none"/>
              </w:rPr>
              <w:t>X＜10</w:t>
            </w:r>
          </w:p>
        </w:tc>
      </w:tr>
    </w:tbl>
    <w:p>
      <w:pPr>
        <w:widowControl/>
        <w:shd w:val="clear" w:color="auto" w:fill="FFFFFF"/>
        <w:spacing w:line="360" w:lineRule="atLeast"/>
        <w:ind w:firstLine="0" w:firstLineChars="0"/>
        <w:jc w:val="left"/>
        <w:rPr>
          <w:rFonts w:ascii="Helvetica" w:hAnsi="Helvetica" w:cs="Helvetica"/>
          <w:kern w:val="0"/>
          <w:sz w:val="18"/>
          <w:szCs w:val="18"/>
          <w:highlight w:val="none"/>
        </w:rPr>
      </w:pPr>
      <w:r>
        <w:rPr>
          <w:rFonts w:ascii="Helvetica" w:hAnsi="Helvetica" w:cs="Helvetica"/>
          <w:kern w:val="0"/>
          <w:sz w:val="18"/>
          <w:szCs w:val="18"/>
          <w:highlight w:val="none"/>
        </w:rPr>
        <w:t>说明：</w:t>
      </w:r>
    </w:p>
    <w:p>
      <w:pPr>
        <w:widowControl/>
        <w:shd w:val="clear" w:color="auto" w:fill="FFFFFF"/>
        <w:spacing w:line="360" w:lineRule="atLeast"/>
        <w:ind w:firstLine="480" w:firstLineChars="0"/>
        <w:jc w:val="left"/>
        <w:rPr>
          <w:rFonts w:ascii="Helvetica" w:hAnsi="Helvetica" w:cs="Helvetica"/>
          <w:kern w:val="0"/>
          <w:sz w:val="18"/>
          <w:szCs w:val="18"/>
          <w:highlight w:val="none"/>
        </w:rPr>
      </w:pPr>
      <w:r>
        <w:rPr>
          <w:rFonts w:ascii="Helvetica" w:hAnsi="Helvetica" w:cs="Helvetica"/>
          <w:kern w:val="0"/>
          <w:sz w:val="18"/>
          <w:szCs w:val="18"/>
          <w:highlight w:val="none"/>
        </w:rPr>
        <w:t>1.大型、中型和小型企业须同时满足所列指标的下限，否则下划一档；微型企业只须满足所列指标中的一项即可。</w:t>
      </w:r>
    </w:p>
    <w:p>
      <w:pPr>
        <w:widowControl/>
        <w:shd w:val="clear" w:color="auto" w:fill="FFFFFF"/>
        <w:spacing w:line="360" w:lineRule="atLeast"/>
        <w:ind w:firstLine="480" w:firstLineChars="0"/>
        <w:jc w:val="left"/>
        <w:rPr>
          <w:rFonts w:ascii="Helvetica" w:hAnsi="Helvetica" w:cs="Helvetica"/>
          <w:kern w:val="0"/>
          <w:sz w:val="18"/>
          <w:szCs w:val="18"/>
          <w:highlight w:val="none"/>
        </w:rPr>
      </w:pPr>
      <w:r>
        <w:rPr>
          <w:rFonts w:ascii="Helvetica" w:hAnsi="Helvetica" w:cs="Helvetica"/>
          <w:kern w:val="0"/>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w:t>
      </w:r>
      <w:r>
        <w:rPr>
          <w:highlight w:val="none"/>
        </w:rPr>
        <w:fldChar w:fldCharType="begin"/>
      </w:r>
      <w:r>
        <w:rPr>
          <w:highlight w:val="none"/>
        </w:rPr>
        <w:instrText xml:space="preserve"> HYPERLINK "https://baike.baidu.com/item/%E5%A4%9A%E5%BC%8F%E8%81%94%E8%BF%90/3342240?fromModule=lemma_inlink" \t "_blank" </w:instrText>
      </w:r>
      <w:r>
        <w:rPr>
          <w:highlight w:val="none"/>
        </w:rPr>
        <w:fldChar w:fldCharType="separate"/>
      </w:r>
      <w:r>
        <w:rPr>
          <w:rFonts w:ascii="Helvetica" w:hAnsi="Helvetica" w:cs="Helvetica"/>
          <w:kern w:val="0"/>
          <w:sz w:val="18"/>
          <w:szCs w:val="18"/>
          <w:highlight w:val="none"/>
          <w:u w:val="single"/>
        </w:rPr>
        <w:t>多式联运</w:t>
      </w:r>
      <w:r>
        <w:rPr>
          <w:rFonts w:ascii="Helvetica" w:hAnsi="Helvetica" w:cs="Helvetica"/>
          <w:kern w:val="0"/>
          <w:sz w:val="18"/>
          <w:szCs w:val="18"/>
          <w:highlight w:val="none"/>
          <w:u w:val="single"/>
        </w:rPr>
        <w:fldChar w:fldCharType="end"/>
      </w:r>
      <w:r>
        <w:rPr>
          <w:rFonts w:ascii="Helvetica" w:hAnsi="Helvetica" w:cs="Helvetica"/>
          <w:kern w:val="0"/>
          <w:sz w:val="18"/>
          <w:szCs w:val="18"/>
          <w:highlight w:val="none"/>
        </w:rPr>
        <w:t>和运输代理业、</w:t>
      </w:r>
      <w:r>
        <w:rPr>
          <w:highlight w:val="none"/>
        </w:rPr>
        <w:fldChar w:fldCharType="begin"/>
      </w:r>
      <w:r>
        <w:rPr>
          <w:highlight w:val="none"/>
        </w:rPr>
        <w:instrText xml:space="preserve"> HYPERLINK "https://baike.baidu.com/item/%E8%A3%85%E5%8D%B8%E6%90%AC%E8%BF%90/6511400?fromModule=lemma_inlink" \t "_blank" </w:instrText>
      </w:r>
      <w:r>
        <w:rPr>
          <w:highlight w:val="none"/>
        </w:rPr>
        <w:fldChar w:fldCharType="separate"/>
      </w:r>
      <w:r>
        <w:rPr>
          <w:rFonts w:ascii="Helvetica" w:hAnsi="Helvetica" w:cs="Helvetica"/>
          <w:kern w:val="0"/>
          <w:sz w:val="18"/>
          <w:szCs w:val="18"/>
          <w:highlight w:val="none"/>
          <w:u w:val="single"/>
        </w:rPr>
        <w:t>装卸搬运</w:t>
      </w:r>
      <w:r>
        <w:rPr>
          <w:rFonts w:ascii="Helvetica" w:hAnsi="Helvetica" w:cs="Helvetica"/>
          <w:kern w:val="0"/>
          <w:sz w:val="18"/>
          <w:szCs w:val="18"/>
          <w:highlight w:val="none"/>
          <w:u w:val="single"/>
        </w:rPr>
        <w:fldChar w:fldCharType="end"/>
      </w:r>
      <w:r>
        <w:rPr>
          <w:rFonts w:ascii="Helvetica" w:hAnsi="Helvetica" w:cs="Helvetica"/>
          <w:kern w:val="0"/>
          <w:sz w:val="18"/>
          <w:szCs w:val="18"/>
          <w:highlight w:val="none"/>
        </w:rPr>
        <w:t>，不包括铁路运输业；</w:t>
      </w:r>
      <w:r>
        <w:rPr>
          <w:highlight w:val="none"/>
        </w:rPr>
        <w:fldChar w:fldCharType="begin"/>
      </w:r>
      <w:r>
        <w:rPr>
          <w:highlight w:val="none"/>
        </w:rPr>
        <w:instrText xml:space="preserve"> HYPERLINK "https://baike.baidu.com/item/%E4%BB%93%E5%82%A8%E4%B8%9A/3487863?fromModule=lemma_inlink" \t "_blank" </w:instrText>
      </w:r>
      <w:r>
        <w:rPr>
          <w:highlight w:val="none"/>
        </w:rPr>
        <w:fldChar w:fldCharType="separate"/>
      </w:r>
      <w:r>
        <w:rPr>
          <w:rFonts w:ascii="Helvetica" w:hAnsi="Helvetica" w:cs="Helvetica"/>
          <w:kern w:val="0"/>
          <w:sz w:val="18"/>
          <w:szCs w:val="18"/>
          <w:highlight w:val="none"/>
          <w:u w:val="single"/>
        </w:rPr>
        <w:t>仓储业</w:t>
      </w:r>
      <w:r>
        <w:rPr>
          <w:rFonts w:ascii="Helvetica" w:hAnsi="Helvetica" w:cs="Helvetica"/>
          <w:kern w:val="0"/>
          <w:sz w:val="18"/>
          <w:szCs w:val="18"/>
          <w:highlight w:val="none"/>
          <w:u w:val="single"/>
        </w:rPr>
        <w:fldChar w:fldCharType="end"/>
      </w:r>
      <w:r>
        <w:rPr>
          <w:rFonts w:ascii="Helvetica" w:hAnsi="Helvetica" w:cs="Helvetica"/>
          <w:kern w:val="0"/>
          <w:sz w:val="18"/>
          <w:szCs w:val="18"/>
          <w:highlight w:val="none"/>
        </w:rPr>
        <w:t>包括通用仓储，低温仓储，危险品仓储，谷物、棉花等农产品仓储，中药材仓储和其他仓储业;</w:t>
      </w:r>
      <w:r>
        <w:rPr>
          <w:highlight w:val="none"/>
        </w:rPr>
        <w:fldChar w:fldCharType="begin"/>
      </w:r>
      <w:r>
        <w:rPr>
          <w:highlight w:val="none"/>
        </w:rPr>
        <w:instrText xml:space="preserve"> HYPERLINK "https://baike.baidu.com/item/%E4%BF%A1%E6%81%AF%E4%BC%A0%E8%BE%93%E4%B8%9A/61331990?fromModule=lemma_inlink" \t "_blank" </w:instrText>
      </w:r>
      <w:r>
        <w:rPr>
          <w:highlight w:val="none"/>
        </w:rPr>
        <w:fldChar w:fldCharType="separate"/>
      </w:r>
      <w:r>
        <w:rPr>
          <w:rFonts w:ascii="Helvetica" w:hAnsi="Helvetica" w:cs="Helvetica"/>
          <w:kern w:val="0"/>
          <w:sz w:val="18"/>
          <w:szCs w:val="18"/>
          <w:highlight w:val="none"/>
          <w:u w:val="single"/>
        </w:rPr>
        <w:t>信息传输业</w:t>
      </w:r>
      <w:r>
        <w:rPr>
          <w:rFonts w:ascii="Helvetica" w:hAnsi="Helvetica" w:cs="Helvetica"/>
          <w:kern w:val="0"/>
          <w:sz w:val="18"/>
          <w:szCs w:val="18"/>
          <w:highlight w:val="none"/>
          <w:u w:val="single"/>
        </w:rPr>
        <w:fldChar w:fldCharType="end"/>
      </w:r>
      <w:r>
        <w:rPr>
          <w:rFonts w:ascii="Helvetica" w:hAnsi="Helvetica" w:cs="Helvetica"/>
          <w:kern w:val="0"/>
          <w:sz w:val="18"/>
          <w:szCs w:val="18"/>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firstLineChars="0"/>
        <w:jc w:val="left"/>
        <w:rPr>
          <w:rFonts w:ascii="Helvetica" w:hAnsi="Helvetica" w:cs="Helvetica"/>
          <w:kern w:val="0"/>
          <w:sz w:val="18"/>
          <w:szCs w:val="18"/>
          <w:highlight w:val="none"/>
        </w:rPr>
      </w:pPr>
      <w:r>
        <w:rPr>
          <w:rFonts w:ascii="Helvetica" w:hAnsi="Helvetica" w:cs="Helvetica"/>
          <w:kern w:val="0"/>
          <w:sz w:val="18"/>
          <w:szCs w:val="18"/>
          <w:highlight w:val="none"/>
        </w:rPr>
        <w:t>3.企业划分指标以现行</w:t>
      </w:r>
      <w:r>
        <w:rPr>
          <w:highlight w:val="none"/>
        </w:rPr>
        <w:fldChar w:fldCharType="begin"/>
      </w:r>
      <w:r>
        <w:rPr>
          <w:highlight w:val="none"/>
        </w:rPr>
        <w:instrText xml:space="preserve"> HYPERLINK "https://baike.baidu.com/item/%E7%BB%9F%E8%AE%A1%E5%88%B6%E5%BA%A6/917165?fromModule=lemma_inlink" \t "_blank" </w:instrText>
      </w:r>
      <w:r>
        <w:rPr>
          <w:highlight w:val="none"/>
        </w:rPr>
        <w:fldChar w:fldCharType="separate"/>
      </w:r>
      <w:r>
        <w:rPr>
          <w:rFonts w:ascii="Helvetica" w:hAnsi="Helvetica" w:cs="Helvetica"/>
          <w:kern w:val="0"/>
          <w:sz w:val="18"/>
          <w:szCs w:val="18"/>
          <w:highlight w:val="none"/>
          <w:u w:val="single"/>
        </w:rPr>
        <w:t>统计制度</w:t>
      </w:r>
      <w:r>
        <w:rPr>
          <w:rFonts w:ascii="Helvetica" w:hAnsi="Helvetica" w:cs="Helvetica"/>
          <w:kern w:val="0"/>
          <w:sz w:val="18"/>
          <w:szCs w:val="18"/>
          <w:highlight w:val="none"/>
          <w:u w:val="single"/>
        </w:rPr>
        <w:fldChar w:fldCharType="end"/>
      </w:r>
      <w:r>
        <w:rPr>
          <w:rFonts w:ascii="Helvetica" w:hAnsi="Helvetica" w:cs="Helvetica"/>
          <w:kern w:val="0"/>
          <w:sz w:val="18"/>
          <w:szCs w:val="18"/>
          <w:highlight w:val="none"/>
        </w:rPr>
        <w:t>为准。（1）从业人员，是指期末从业人员数，没有期末从业人员数的，采用全年平均人员数代替。（2）</w:t>
      </w:r>
      <w:r>
        <w:rPr>
          <w:highlight w:val="none"/>
        </w:rPr>
        <w:fldChar w:fldCharType="begin"/>
      </w:r>
      <w:r>
        <w:rPr>
          <w:highlight w:val="none"/>
        </w:rPr>
        <w:instrText xml:space="preserve"> HYPERLINK "https://baike.baidu.com/item/%E8%90%A5%E4%B8%9A%E6%94%B6%E5%85%A5/5099832?fromModule=lemma_inlink" \t "_blank" </w:instrText>
      </w:r>
      <w:r>
        <w:rPr>
          <w:highlight w:val="none"/>
        </w:rPr>
        <w:fldChar w:fldCharType="separate"/>
      </w:r>
      <w:r>
        <w:rPr>
          <w:rFonts w:ascii="Helvetica" w:hAnsi="Helvetica" w:cs="Helvetica"/>
          <w:kern w:val="0"/>
          <w:sz w:val="18"/>
          <w:szCs w:val="18"/>
          <w:highlight w:val="none"/>
          <w:u w:val="single"/>
        </w:rPr>
        <w:t>营业收入</w:t>
      </w:r>
      <w:r>
        <w:rPr>
          <w:rFonts w:ascii="Helvetica" w:hAnsi="Helvetica" w:cs="Helvetica"/>
          <w:kern w:val="0"/>
          <w:sz w:val="18"/>
          <w:szCs w:val="18"/>
          <w:highlight w:val="none"/>
          <w:u w:val="single"/>
        </w:rPr>
        <w:fldChar w:fldCharType="end"/>
      </w:r>
      <w:r>
        <w:rPr>
          <w:rFonts w:ascii="Helvetica" w:hAnsi="Helvetica" w:cs="Helvetica"/>
          <w:kern w:val="0"/>
          <w:sz w:val="18"/>
          <w:szCs w:val="18"/>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highlight w:val="none"/>
        </w:rPr>
        <w:fldChar w:fldCharType="begin"/>
      </w:r>
      <w:r>
        <w:rPr>
          <w:highlight w:val="none"/>
        </w:rPr>
        <w:instrText xml:space="preserve"> HYPERLINK "https://baike.baidu.com/item/%E8%B5%84%E4%BA%A7%E6%80%BB%E9%A2%9D/716517?fromModule=lemma_inlink" \t "_blank" </w:instrText>
      </w:r>
      <w:r>
        <w:rPr>
          <w:highlight w:val="none"/>
        </w:rPr>
        <w:fldChar w:fldCharType="separate"/>
      </w:r>
      <w:r>
        <w:rPr>
          <w:rFonts w:ascii="Helvetica" w:hAnsi="Helvetica" w:cs="Helvetica"/>
          <w:kern w:val="0"/>
          <w:sz w:val="18"/>
          <w:szCs w:val="18"/>
          <w:highlight w:val="none"/>
          <w:u w:val="single"/>
        </w:rPr>
        <w:t>资产总额</w:t>
      </w:r>
      <w:r>
        <w:rPr>
          <w:rFonts w:ascii="Helvetica" w:hAnsi="Helvetica" w:cs="Helvetica"/>
          <w:kern w:val="0"/>
          <w:sz w:val="18"/>
          <w:szCs w:val="18"/>
          <w:highlight w:val="none"/>
          <w:u w:val="single"/>
        </w:rPr>
        <w:fldChar w:fldCharType="end"/>
      </w:r>
      <w:r>
        <w:rPr>
          <w:rFonts w:ascii="Helvetica" w:hAnsi="Helvetica" w:cs="Helvetica"/>
          <w:kern w:val="0"/>
          <w:sz w:val="18"/>
          <w:szCs w:val="18"/>
          <w:highlight w:val="none"/>
        </w:rPr>
        <w:t>，采用资产总计代替。</w:t>
      </w:r>
    </w:p>
    <w:p>
      <w:pPr>
        <w:ind w:firstLine="0" w:firstLineChars="0"/>
        <w:rPr>
          <w:highlight w:val="none"/>
        </w:rPr>
      </w:pPr>
      <w:r>
        <w:rPr>
          <w:highlight w:val="none"/>
        </w:rPr>
        <w:br w:type="page"/>
      </w:r>
    </w:p>
    <w:p>
      <w:pPr>
        <w:spacing w:line="440" w:lineRule="exact"/>
        <w:ind w:firstLine="0" w:firstLineChars="0"/>
        <w:jc w:val="center"/>
        <w:rPr>
          <w:rFonts w:hint="eastAsia" w:ascii="仿宋_GB2312" w:hAnsi="宋体" w:eastAsia="仿宋_GB2312" w:cs="Courier New"/>
          <w:b/>
          <w:kern w:val="0"/>
          <w:sz w:val="32"/>
          <w:szCs w:val="32"/>
          <w:highlight w:val="none"/>
        </w:rPr>
      </w:pPr>
      <w:r>
        <w:rPr>
          <w:rFonts w:hint="eastAsia" w:ascii="仿宋_GB2312" w:hAnsi="宋体" w:eastAsia="仿宋_GB2312" w:cs="Courier New"/>
          <w:b/>
          <w:kern w:val="0"/>
          <w:sz w:val="32"/>
          <w:szCs w:val="32"/>
          <w:highlight w:val="none"/>
        </w:rPr>
        <w:t>残疾人福利性单位声明函</w:t>
      </w:r>
      <w:r>
        <w:rPr>
          <w:rFonts w:hint="eastAsia" w:ascii="仿宋_GB2312" w:eastAsia="仿宋_GB2312"/>
          <w:bCs/>
          <w:sz w:val="24"/>
          <w:highlight w:val="none"/>
        </w:rPr>
        <w:t>（格式）</w:t>
      </w:r>
    </w:p>
    <w:p>
      <w:pPr>
        <w:ind w:firstLine="0" w:firstLineChars="0"/>
        <w:rPr>
          <w:highlight w:val="none"/>
        </w:rPr>
      </w:pPr>
    </w:p>
    <w:p>
      <w:pPr>
        <w:spacing w:line="660" w:lineRule="exact"/>
        <w:ind w:firstLine="420"/>
        <w:rPr>
          <w:rFonts w:hint="eastAsia" w:ascii="宋体" w:hAnsi="宋体" w:cs="Courier New"/>
          <w:kern w:val="0"/>
          <w:szCs w:val="21"/>
          <w:highlight w:val="none"/>
        </w:rPr>
      </w:pPr>
      <w:bookmarkStart w:id="265" w:name="_Hlk94193952"/>
      <w:r>
        <w:rPr>
          <w:rFonts w:hint="eastAsia" w:ascii="宋体" w:hAnsi="宋体" w:cs="Courier New"/>
          <w:kern w:val="0"/>
          <w:szCs w:val="21"/>
          <w:highlight w:val="none"/>
        </w:rPr>
        <w:t>本单位郑重声明，根据</w:t>
      </w:r>
      <w:bookmarkStart w:id="266" w:name="_Hlk82091361"/>
      <w:r>
        <w:rPr>
          <w:rFonts w:hint="eastAsia" w:ascii="宋体" w:hAnsi="宋体" w:cs="Courier New"/>
          <w:kern w:val="0"/>
          <w:szCs w:val="21"/>
          <w:highlight w:val="none"/>
        </w:rPr>
        <w:t>《</w:t>
      </w:r>
      <w:r>
        <w:rPr>
          <w:highlight w:val="none"/>
        </w:rPr>
        <w:fldChar w:fldCharType="begin"/>
      </w:r>
      <w:r>
        <w:rPr>
          <w:highlight w:val="none"/>
        </w:rPr>
        <w:instrText xml:space="preserve"> HYPERLINK "http://www.mof.gov.cn/gp/xxgkml/gks/201709/t20170901_2689542.htm" </w:instrText>
      </w:r>
      <w:r>
        <w:rPr>
          <w:highlight w:val="none"/>
        </w:rPr>
        <w:fldChar w:fldCharType="separate"/>
      </w:r>
      <w:r>
        <w:rPr>
          <w:rFonts w:hint="eastAsia" w:ascii="宋体" w:hAnsi="Courier New" w:cs="Courier New"/>
          <w:kern w:val="0"/>
          <w:szCs w:val="21"/>
          <w:highlight w:val="none"/>
        </w:rPr>
        <w:t>财政部 民政部 中国残疾人联合会关于促进残疾人就业政府采购政策的通知》（财库〔2017〕141号）</w:t>
      </w:r>
      <w:r>
        <w:rPr>
          <w:rFonts w:hint="eastAsia" w:ascii="宋体" w:hAnsi="Courier New" w:cs="Courier New"/>
          <w:kern w:val="0"/>
          <w:szCs w:val="21"/>
          <w:highlight w:val="none"/>
        </w:rPr>
        <w:fldChar w:fldCharType="end"/>
      </w:r>
      <w:bookmarkEnd w:id="266"/>
      <w:r>
        <w:rPr>
          <w:rFonts w:hint="eastAsia" w:ascii="宋体" w:hAnsi="宋体" w:cs="Courier New"/>
          <w:kern w:val="0"/>
          <w:szCs w:val="21"/>
          <w:highlight w:val="none"/>
        </w:rPr>
        <w:t>的规定，本单位为符合条件的残疾人福利性单位，且本单位参加（</w:t>
      </w:r>
      <w:r>
        <w:rPr>
          <w:rFonts w:hint="eastAsia" w:ascii="宋体" w:hAnsi="宋体" w:cs="Courier New"/>
          <w:kern w:val="0"/>
          <w:szCs w:val="21"/>
          <w:highlight w:val="none"/>
          <w:u w:val="single"/>
        </w:rPr>
        <w:t>单位名称</w:t>
      </w:r>
      <w:r>
        <w:rPr>
          <w:rFonts w:hint="eastAsia" w:ascii="宋体" w:hAnsi="宋体" w:cs="Courier New"/>
          <w:kern w:val="0"/>
          <w:szCs w:val="21"/>
          <w:highlight w:val="none"/>
        </w:rPr>
        <w:t>）的（</w:t>
      </w:r>
      <w:r>
        <w:rPr>
          <w:rFonts w:hint="eastAsia" w:ascii="宋体" w:hAnsi="宋体" w:cs="Courier New"/>
          <w:kern w:val="0"/>
          <w:szCs w:val="21"/>
          <w:highlight w:val="none"/>
          <w:u w:val="single"/>
        </w:rPr>
        <w:t>项目名称</w:t>
      </w:r>
      <w:r>
        <w:rPr>
          <w:rFonts w:hint="eastAsia" w:ascii="宋体" w:hAnsi="宋体" w:cs="Courier New"/>
          <w:kern w:val="0"/>
          <w:szCs w:val="21"/>
          <w:highlight w:val="none"/>
        </w:rPr>
        <w:t>）采购活动提供本单位制造的货物，或者提供其他残疾人福利性单位（</w:t>
      </w:r>
      <w:r>
        <w:rPr>
          <w:rFonts w:hint="eastAsia" w:ascii="宋体" w:hAnsi="宋体" w:cs="Courier New"/>
          <w:kern w:val="0"/>
          <w:szCs w:val="21"/>
          <w:highlight w:val="none"/>
          <w:u w:val="single"/>
        </w:rPr>
        <w:t>请填写具体单位名称</w:t>
      </w:r>
      <w:r>
        <w:rPr>
          <w:rFonts w:hint="eastAsia" w:ascii="宋体" w:hAnsi="宋体" w:cs="Courier New"/>
          <w:kern w:val="0"/>
          <w:szCs w:val="21"/>
          <w:highlight w:val="none"/>
        </w:rPr>
        <w:t>）制造的货物（不包括使用非残疾人福利性单位注册商标的货物）。</w:t>
      </w:r>
    </w:p>
    <w:p>
      <w:pPr>
        <w:spacing w:line="660" w:lineRule="exact"/>
        <w:ind w:firstLine="420"/>
        <w:rPr>
          <w:rFonts w:hint="eastAsia" w:ascii="宋体" w:hAnsi="宋体" w:cs="Courier New"/>
          <w:kern w:val="0"/>
          <w:szCs w:val="21"/>
          <w:highlight w:val="none"/>
        </w:rPr>
      </w:pPr>
      <w:r>
        <w:rPr>
          <w:rFonts w:hint="eastAsia" w:ascii="宋体" w:hAnsi="宋体" w:cs="Courier New"/>
          <w:kern w:val="0"/>
          <w:szCs w:val="21"/>
          <w:highlight w:val="none"/>
        </w:rPr>
        <w:t>本单位对上述声明的真实性负责。如有虚假，将依法承担相应责任。</w:t>
      </w:r>
    </w:p>
    <w:p>
      <w:pPr>
        <w:ind w:firstLine="0" w:firstLineChars="0"/>
        <w:rPr>
          <w:szCs w:val="21"/>
          <w:highlight w:val="none"/>
        </w:rPr>
      </w:pPr>
    </w:p>
    <w:p>
      <w:pPr>
        <w:ind w:firstLine="0" w:firstLineChars="0"/>
        <w:rPr>
          <w:szCs w:val="21"/>
          <w:highlight w:val="none"/>
        </w:rPr>
      </w:pPr>
    </w:p>
    <w:p>
      <w:pPr>
        <w:ind w:firstLine="0" w:firstLineChars="0"/>
        <w:rPr>
          <w:szCs w:val="21"/>
          <w:highlight w:val="none"/>
        </w:rPr>
      </w:pPr>
    </w:p>
    <w:p>
      <w:pPr>
        <w:spacing w:line="440" w:lineRule="exact"/>
        <w:ind w:firstLine="5250" w:firstLineChars="2500"/>
        <w:rPr>
          <w:rFonts w:hint="eastAsia" w:ascii="宋体" w:hAnsi="宋体" w:cs="Courier New"/>
          <w:kern w:val="0"/>
          <w:szCs w:val="21"/>
          <w:highlight w:val="none"/>
        </w:rPr>
      </w:pPr>
      <w:r>
        <w:rPr>
          <w:rFonts w:hint="eastAsia" w:ascii="宋体" w:hAnsi="宋体" w:cs="Courier New"/>
          <w:kern w:val="0"/>
          <w:szCs w:val="21"/>
          <w:highlight w:val="none"/>
        </w:rPr>
        <w:t>单位名称（盖章）：</w:t>
      </w:r>
      <w:r>
        <w:rPr>
          <w:rFonts w:hint="eastAsia" w:ascii="宋体" w:hAnsi="宋体" w:cs="Courier New"/>
          <w:szCs w:val="21"/>
          <w:highlight w:val="none"/>
          <w:u w:val="single"/>
        </w:rPr>
        <w:t xml:space="preserve"> </w:t>
      </w:r>
      <w:r>
        <w:rPr>
          <w:rFonts w:ascii="宋体" w:hAnsi="宋体" w:cs="Courier New"/>
          <w:szCs w:val="21"/>
          <w:highlight w:val="none"/>
          <w:u w:val="single"/>
        </w:rPr>
        <w:t xml:space="preserve">             </w:t>
      </w:r>
    </w:p>
    <w:p>
      <w:pPr>
        <w:spacing w:line="440" w:lineRule="exact"/>
        <w:ind w:firstLine="5250" w:firstLineChars="2500"/>
        <w:rPr>
          <w:rFonts w:hint="eastAsia" w:ascii="宋体" w:hAnsi="宋体" w:cs="Courier New"/>
          <w:szCs w:val="21"/>
          <w:highlight w:val="none"/>
          <w:u w:val="single"/>
        </w:rPr>
      </w:pPr>
      <w:r>
        <w:rPr>
          <w:rFonts w:hint="eastAsia" w:ascii="宋体" w:hAnsi="宋体" w:cs="Courier New"/>
          <w:kern w:val="0"/>
          <w:szCs w:val="21"/>
          <w:highlight w:val="none"/>
        </w:rPr>
        <w:t>日  期：</w:t>
      </w:r>
      <w:r>
        <w:rPr>
          <w:rFonts w:hint="eastAsia" w:ascii="宋体" w:hAnsi="宋体" w:cs="Courier New"/>
          <w:szCs w:val="21"/>
          <w:highlight w:val="none"/>
          <w:u w:val="single"/>
        </w:rPr>
        <w:t xml:space="preserve"> </w:t>
      </w:r>
      <w:r>
        <w:rPr>
          <w:rFonts w:ascii="宋体" w:hAnsi="宋体" w:cs="Courier New"/>
          <w:szCs w:val="21"/>
          <w:highlight w:val="none"/>
          <w:u w:val="single"/>
        </w:rPr>
        <w:t xml:space="preserve">                       </w:t>
      </w:r>
    </w:p>
    <w:bookmarkEnd w:id="265"/>
    <w:p>
      <w:pPr>
        <w:spacing w:line="440" w:lineRule="exact"/>
        <w:ind w:firstLine="4000" w:firstLineChars="1905"/>
        <w:rPr>
          <w:rFonts w:hint="eastAsia" w:ascii="宋体" w:hAnsi="宋体"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360" w:lineRule="exact"/>
        <w:ind w:firstLine="0" w:firstLineChars="0"/>
        <w:jc w:val="left"/>
        <w:rPr>
          <w:rFonts w:ascii="宋体" w:hAnsi="Courier New" w:cs="Courier New"/>
          <w:szCs w:val="21"/>
          <w:highlight w:val="none"/>
          <w:u w:val="single"/>
        </w:rPr>
      </w:pPr>
    </w:p>
    <w:p>
      <w:pPr>
        <w:spacing w:line="260" w:lineRule="exact"/>
        <w:ind w:firstLine="0" w:firstLineChars="0"/>
        <w:jc w:val="left"/>
        <w:rPr>
          <w:rFonts w:ascii="宋体" w:hAnsi="Courier New" w:cs="Courier New"/>
          <w:sz w:val="18"/>
          <w:szCs w:val="18"/>
          <w:highlight w:val="none"/>
          <w:u w:val="single"/>
        </w:rPr>
      </w:pPr>
      <w:r>
        <w:rPr>
          <w:rFonts w:hint="eastAsia" w:ascii="宋体" w:hAnsi="Courier New" w:cs="Courier New"/>
          <w:sz w:val="18"/>
          <w:szCs w:val="18"/>
          <w:highlight w:val="none"/>
          <w:u w:val="single"/>
        </w:rPr>
        <w:t xml:space="preserve"> </w:t>
      </w:r>
      <w:r>
        <w:rPr>
          <w:rFonts w:ascii="宋体" w:hAnsi="Courier New" w:cs="Courier New"/>
          <w:sz w:val="18"/>
          <w:szCs w:val="18"/>
          <w:highlight w:val="none"/>
          <w:u w:val="single"/>
        </w:rPr>
        <w:t xml:space="preserve">                       </w:t>
      </w:r>
    </w:p>
    <w:p>
      <w:pPr>
        <w:spacing w:line="260" w:lineRule="exact"/>
        <w:ind w:firstLine="0" w:firstLineChars="0"/>
        <w:jc w:val="left"/>
        <w:rPr>
          <w:rFonts w:ascii="宋体" w:hAnsi="Courier New" w:cs="Courier New"/>
          <w:sz w:val="18"/>
          <w:szCs w:val="18"/>
          <w:highlight w:val="none"/>
          <w:u w:val="single"/>
        </w:rPr>
      </w:pPr>
      <w:r>
        <w:rPr>
          <w:highlight w:val="none"/>
        </w:rPr>
        <w:fldChar w:fldCharType="begin"/>
      </w:r>
      <w:r>
        <w:rPr>
          <w:highlight w:val="none"/>
        </w:rPr>
        <w:instrText xml:space="preserve"> HYPERLINK "http://www.ccgp.gov.cn/zcfg/mof/201709/t20170904_8787205.htm" </w:instrText>
      </w:r>
      <w:r>
        <w:rPr>
          <w:highlight w:val="none"/>
        </w:rPr>
        <w:fldChar w:fldCharType="separate"/>
      </w:r>
      <w:r>
        <w:rPr>
          <w:rFonts w:hint="eastAsia" w:ascii="宋体" w:hAnsi="Courier New" w:cs="Courier New"/>
          <w:sz w:val="18"/>
          <w:szCs w:val="18"/>
          <w:highlight w:val="none"/>
          <w:u w:val="single"/>
        </w:rPr>
        <w:t>《财政部 民政部 中国残疾人联</w:t>
      </w:r>
      <w:bookmarkStart w:id="267" w:name="_Hlt94193982"/>
      <w:bookmarkStart w:id="268" w:name="_Hlt94193983"/>
      <w:r>
        <w:rPr>
          <w:rFonts w:hint="eastAsia" w:ascii="宋体" w:hAnsi="Courier New" w:cs="Courier New"/>
          <w:sz w:val="18"/>
          <w:szCs w:val="18"/>
          <w:highlight w:val="none"/>
          <w:u w:val="single"/>
        </w:rPr>
        <w:t>合</w:t>
      </w:r>
      <w:bookmarkEnd w:id="267"/>
      <w:bookmarkEnd w:id="268"/>
      <w:r>
        <w:rPr>
          <w:rFonts w:hint="eastAsia" w:ascii="宋体" w:hAnsi="Courier New" w:cs="Courier New"/>
          <w:sz w:val="18"/>
          <w:szCs w:val="18"/>
          <w:highlight w:val="none"/>
          <w:u w:val="single"/>
        </w:rPr>
        <w:t>会关于促进残疾人就业政府采购政策的通知》（财库〔2017〕141号）</w:t>
      </w:r>
      <w:r>
        <w:rPr>
          <w:rFonts w:hint="eastAsia" w:ascii="宋体" w:hAnsi="Courier New" w:cs="Courier New"/>
          <w:sz w:val="18"/>
          <w:szCs w:val="18"/>
          <w:highlight w:val="none"/>
          <w:u w:val="single"/>
        </w:rPr>
        <w:fldChar w:fldCharType="end"/>
      </w:r>
    </w:p>
    <w:p>
      <w:pPr>
        <w:snapToGrid w:val="0"/>
        <w:spacing w:before="50" w:after="50" w:line="360" w:lineRule="exact"/>
        <w:ind w:right="-817" w:rightChars="-389" w:firstLine="0" w:firstLineChars="0"/>
        <w:rPr>
          <w:rFonts w:hint="eastAsia" w:ascii="宋体" w:hAnsi="宋体"/>
          <w:b/>
          <w:bCs/>
          <w:sz w:val="32"/>
          <w:szCs w:val="32"/>
          <w:highlight w:val="none"/>
        </w:rPr>
      </w:pPr>
      <w:r>
        <w:rPr>
          <w:rFonts w:ascii="宋体" w:hAnsi="宋体"/>
          <w:szCs w:val="21"/>
          <w:highlight w:val="none"/>
        </w:rPr>
        <w:br w:type="page"/>
      </w:r>
      <w:r>
        <w:rPr>
          <w:rFonts w:hint="eastAsia" w:ascii="宋体" w:hAnsi="宋体"/>
          <w:b/>
          <w:bCs/>
          <w:sz w:val="32"/>
          <w:szCs w:val="32"/>
          <w:highlight w:val="none"/>
        </w:rPr>
        <w:t>三、报价文件</w:t>
      </w:r>
    </w:p>
    <w:p>
      <w:pPr>
        <w:ind w:firstLine="0" w:firstLineChars="0"/>
        <w:rPr>
          <w:highlight w:val="none"/>
        </w:rPr>
      </w:pPr>
    </w:p>
    <w:p>
      <w:pPr>
        <w:snapToGrid w:val="0"/>
        <w:spacing w:before="50" w:after="50" w:line="360" w:lineRule="exact"/>
        <w:ind w:firstLine="0" w:firstLineChars="0"/>
        <w:jc w:val="center"/>
        <w:rPr>
          <w:rFonts w:hint="eastAsia" w:ascii="仿宋_GB2312" w:hAnsi="宋体" w:eastAsia="仿宋_GB2312"/>
          <w:b/>
          <w:sz w:val="28"/>
          <w:szCs w:val="28"/>
          <w:highlight w:val="none"/>
        </w:rPr>
      </w:pPr>
      <w:r>
        <w:rPr>
          <w:rFonts w:hint="eastAsia" w:ascii="仿宋_GB2312" w:hAnsi="宋体" w:eastAsia="仿宋_GB2312"/>
          <w:b/>
          <w:sz w:val="32"/>
          <w:szCs w:val="32"/>
          <w:highlight w:val="none"/>
        </w:rPr>
        <w:t>开标一览表</w:t>
      </w:r>
      <w:bookmarkStart w:id="269" w:name="_Hlk111729075"/>
      <w:r>
        <w:rPr>
          <w:rFonts w:hint="eastAsia" w:ascii="仿宋_GB2312" w:eastAsia="仿宋_GB2312"/>
          <w:bCs/>
          <w:sz w:val="24"/>
          <w:highlight w:val="none"/>
        </w:rPr>
        <w:t>（格式）</w:t>
      </w:r>
      <w:bookmarkEnd w:id="269"/>
    </w:p>
    <w:p>
      <w:pPr>
        <w:snapToGrid w:val="0"/>
        <w:spacing w:before="50" w:after="50"/>
        <w:ind w:firstLine="420"/>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p>
    <w:p>
      <w:pPr>
        <w:snapToGrid w:val="0"/>
        <w:spacing w:before="50" w:after="50"/>
        <w:ind w:firstLine="0" w:firstLineChars="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项目编号：</w:t>
      </w:r>
      <w:r>
        <w:rPr>
          <w:rFonts w:hint="eastAsia" w:ascii="宋体" w:hAnsi="宋体"/>
          <w:szCs w:val="21"/>
          <w:highlight w:val="none"/>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0" w:firstLineChars="0"/>
              <w:jc w:val="center"/>
              <w:rPr>
                <w:rFonts w:hint="eastAsia" w:ascii="宋体" w:hAnsi="宋体"/>
                <w:szCs w:val="21"/>
                <w:highlight w:val="none"/>
              </w:rPr>
            </w:pPr>
            <w:r>
              <w:rPr>
                <w:rFonts w:hint="eastAsia" w:ascii="宋体" w:hAnsi="宋体"/>
                <w:szCs w:val="21"/>
                <w:highlight w:val="none"/>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19" w:firstLineChars="10"/>
              <w:jc w:val="left"/>
              <w:rPr>
                <w:rFonts w:hint="eastAsia" w:ascii="宋体" w:hAnsi="宋体"/>
                <w:bCs/>
                <w:szCs w:val="21"/>
                <w:highlight w:val="none"/>
                <w:u w:val="single"/>
              </w:rPr>
            </w:pPr>
            <w:r>
              <w:rPr>
                <w:rFonts w:hint="eastAsia" w:ascii="宋体" w:hAnsi="宋体" w:cs="Courier New"/>
                <w:spacing w:val="-6"/>
                <w:szCs w:val="21"/>
                <w:highlight w:val="none"/>
              </w:rPr>
              <w:t>人民币大写：</w:t>
            </w:r>
            <w:r>
              <w:rPr>
                <w:rFonts w:hint="eastAsia" w:ascii="宋体" w:hAnsi="宋体" w:cs="Courier New"/>
                <w:spacing w:val="-6"/>
                <w:szCs w:val="21"/>
                <w:highlight w:val="none"/>
                <w:u w:val="single"/>
              </w:rPr>
              <w:t xml:space="preserve">                  </w:t>
            </w:r>
            <w:r>
              <w:rPr>
                <w:rFonts w:ascii="宋体" w:hAnsi="宋体" w:cs="Courier New"/>
                <w:spacing w:val="-6"/>
                <w:szCs w:val="21"/>
                <w:highlight w:val="none"/>
                <w:u w:val="single"/>
              </w:rPr>
              <w:t xml:space="preserve">                             </w:t>
            </w:r>
            <w:r>
              <w:rPr>
                <w:rFonts w:hint="eastAsia" w:ascii="宋体" w:hAnsi="宋体" w:cs="Courier New"/>
                <w:spacing w:val="-6"/>
                <w:szCs w:val="21"/>
                <w:highlight w:val="none"/>
                <w:u w:val="single"/>
              </w:rPr>
              <w:t xml:space="preserve">    </w:t>
            </w:r>
            <w:r>
              <w:rPr>
                <w:rFonts w:ascii="宋体" w:hAnsi="宋体" w:cs="Courier New"/>
                <w:spacing w:val="-6"/>
                <w:szCs w:val="21"/>
                <w:highlight w:val="none"/>
                <w:u w:val="single"/>
              </w:rPr>
              <w:t xml:space="preserve">   </w:t>
            </w:r>
            <w:r>
              <w:rPr>
                <w:rFonts w:hint="eastAsia" w:ascii="宋体" w:hAnsi="宋体" w:cs="Courier New"/>
                <w:spacing w:val="-6"/>
                <w:szCs w:val="21"/>
                <w:highlight w:val="none"/>
              </w:rPr>
              <w:t>（￥</w:t>
            </w:r>
            <w:r>
              <w:rPr>
                <w:rFonts w:hint="eastAsia" w:ascii="宋体" w:hAnsi="宋体" w:cs="Courier New"/>
                <w:spacing w:val="-6"/>
                <w:szCs w:val="21"/>
                <w:highlight w:val="none"/>
                <w:u w:val="single"/>
              </w:rPr>
              <w:t xml:space="preserve">                 元</w:t>
            </w:r>
            <w:r>
              <w:rPr>
                <w:rFonts w:hint="eastAsia" w:ascii="宋体" w:hAnsi="宋体" w:cs="Courier New"/>
                <w:spacing w:val="-6"/>
                <w:szCs w:val="21"/>
                <w:highlight w:val="none"/>
              </w:rPr>
              <w:t>）</w:t>
            </w:r>
          </w:p>
        </w:tc>
      </w:tr>
    </w:tbl>
    <w:p>
      <w:pPr>
        <w:snapToGrid w:val="0"/>
        <w:spacing w:before="50" w:after="50"/>
        <w:ind w:left="105" w:leftChars="50" w:firstLine="315" w:firstLineChars="150"/>
        <w:jc w:val="left"/>
        <w:rPr>
          <w:rFonts w:hint="eastAsia" w:ascii="宋体" w:hAnsi="宋体"/>
          <w:szCs w:val="21"/>
          <w:highlight w:val="none"/>
        </w:rPr>
      </w:pPr>
      <w:r>
        <w:rPr>
          <w:rFonts w:hint="eastAsia" w:ascii="宋体" w:hAnsi="宋体"/>
          <w:szCs w:val="21"/>
          <w:highlight w:val="none"/>
        </w:rPr>
        <w:t>1.所有价格均用人民币表示，单位为元，精确到个数位。</w:t>
      </w:r>
    </w:p>
    <w:p>
      <w:pPr>
        <w:snapToGrid w:val="0"/>
        <w:spacing w:before="50" w:after="50"/>
        <w:ind w:left="105" w:leftChars="50" w:firstLine="315" w:firstLineChars="150"/>
        <w:jc w:val="left"/>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报价一经涂改，应在涂改处加盖公章或者由法定代表人或授权委托人签名或盖章，否则视为无效投标文件。</w:t>
      </w:r>
    </w:p>
    <w:p>
      <w:pPr>
        <w:snapToGrid w:val="0"/>
        <w:spacing w:before="50" w:after="50"/>
        <w:ind w:firstLine="420"/>
        <w:rPr>
          <w:rFonts w:hint="eastAsia" w:ascii="宋体" w:hAnsi="宋体"/>
          <w:szCs w:val="21"/>
          <w:highlight w:val="none"/>
        </w:rPr>
      </w:pPr>
      <w:bookmarkStart w:id="270" w:name="_Hlk90908484"/>
      <w:r>
        <w:rPr>
          <w:rFonts w:ascii="宋体" w:hAnsi="宋体"/>
          <w:szCs w:val="21"/>
          <w:highlight w:val="none"/>
        </w:rPr>
        <w:t>3</w:t>
      </w:r>
      <w:r>
        <w:rPr>
          <w:rFonts w:hint="eastAsia" w:ascii="宋体" w:hAnsi="宋体"/>
          <w:szCs w:val="21"/>
          <w:highlight w:val="none"/>
        </w:rPr>
        <w:t>.</w:t>
      </w:r>
      <w:r>
        <w:rPr>
          <w:rFonts w:hint="eastAsia" w:ascii="宋体" w:hAnsi="宋体"/>
          <w:bCs/>
          <w:szCs w:val="21"/>
          <w:highlight w:val="none"/>
        </w:rPr>
        <w:t>投标报价应包括设备及零配件、备品备件、材料、消耗品的采购和运输（装卸、吊装），项目安装、调试、检测、工具、调试及验收、现场卫生清理、水电费、土建改造、售后服务、培训、税金、利润、项目所需的物资、外设、线缆、管材、埋管及完成全部设备安装和服务应有的环保、文明施工、安全施工、风险费、责任等费用总和。</w:t>
      </w:r>
    </w:p>
    <w:bookmarkEnd w:id="270"/>
    <w:p>
      <w:pPr>
        <w:snapToGrid w:val="0"/>
        <w:spacing w:before="50" w:after="50" w:line="350" w:lineRule="exact"/>
        <w:ind w:right="-817" w:rightChars="-389" w:firstLine="0" w:firstLineChars="0"/>
        <w:rPr>
          <w:rFonts w:hint="eastAsia" w:ascii="宋体" w:hAnsi="宋体"/>
          <w:szCs w:val="21"/>
          <w:highlight w:val="none"/>
        </w:rPr>
      </w:pPr>
    </w:p>
    <w:p>
      <w:pPr>
        <w:snapToGrid w:val="0"/>
        <w:spacing w:before="50" w:after="50" w:line="350" w:lineRule="exact"/>
        <w:ind w:right="-817" w:rightChars="-389" w:firstLine="0" w:firstLineChars="0"/>
        <w:rPr>
          <w:rFonts w:hint="eastAsia" w:ascii="宋体" w:hAnsi="宋体"/>
          <w:szCs w:val="21"/>
          <w:highlight w:val="none"/>
        </w:rPr>
      </w:pPr>
    </w:p>
    <w:p>
      <w:pPr>
        <w:snapToGrid w:val="0"/>
        <w:spacing w:before="50" w:after="50" w:line="350" w:lineRule="exact"/>
        <w:ind w:right="-817" w:rightChars="-389" w:firstLine="4189" w:firstLineChars="1995"/>
        <w:rPr>
          <w:rFonts w:hint="eastAsia" w:ascii="宋体" w:hAnsi="宋体"/>
          <w:szCs w:val="21"/>
          <w:highlight w:val="none"/>
        </w:rPr>
      </w:pPr>
      <w:r>
        <w:rPr>
          <w:rFonts w:hint="eastAsia" w:ascii="宋体" w:hAnsi="宋体"/>
          <w:szCs w:val="21"/>
          <w:highlight w:val="none"/>
        </w:rPr>
        <w:t>法定代表人或授权代表（签名）：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snapToGrid w:val="0"/>
        <w:spacing w:before="50" w:after="50" w:line="350" w:lineRule="exact"/>
        <w:ind w:right="-817" w:rightChars="-389" w:firstLine="3465" w:firstLineChars="165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投标人（盖章）：</w:t>
      </w:r>
      <w:r>
        <w:rPr>
          <w:rFonts w:hint="eastAsia" w:ascii="宋体" w:hAnsi="宋体"/>
          <w:szCs w:val="21"/>
          <w:highlight w:val="none"/>
          <w:u w:val="single"/>
        </w:rPr>
        <w:t xml:space="preserve">                        </w:t>
      </w:r>
    </w:p>
    <w:p>
      <w:pPr>
        <w:snapToGrid w:val="0"/>
        <w:spacing w:before="50" w:after="50" w:line="350" w:lineRule="exact"/>
        <w:ind w:right="-817" w:rightChars="-389" w:firstLine="3255" w:firstLineChars="155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 xml:space="preserve"> 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snapToGrid w:val="0"/>
        <w:spacing w:before="50" w:after="50" w:line="350" w:lineRule="exact"/>
        <w:ind w:right="-817" w:rightChars="-389" w:firstLine="0" w:firstLineChars="0"/>
        <w:rPr>
          <w:rFonts w:hint="eastAsia" w:ascii="宋体" w:hAnsi="宋体"/>
          <w:szCs w:val="21"/>
          <w:highlight w:val="none"/>
        </w:rPr>
      </w:pPr>
      <w:r>
        <w:rPr>
          <w:rFonts w:ascii="宋体" w:hAnsi="宋体"/>
          <w:szCs w:val="21"/>
          <w:highlight w:val="none"/>
        </w:rPr>
        <w:br w:type="page"/>
      </w:r>
    </w:p>
    <w:p>
      <w:pPr>
        <w:ind w:firstLine="0" w:firstLineChars="0"/>
        <w:jc w:val="center"/>
        <w:rPr>
          <w:rFonts w:ascii="仿宋_GB2312" w:eastAsia="仿宋_GB2312"/>
          <w:b/>
          <w:bCs/>
          <w:sz w:val="28"/>
          <w:szCs w:val="28"/>
          <w:highlight w:val="none"/>
        </w:rPr>
      </w:pPr>
      <w:r>
        <w:rPr>
          <w:rFonts w:hint="eastAsia" w:ascii="仿宋_GB2312" w:eastAsia="仿宋_GB2312"/>
          <w:b/>
          <w:bCs/>
          <w:sz w:val="32"/>
          <w:szCs w:val="32"/>
          <w:highlight w:val="none"/>
        </w:rPr>
        <w:t>报价明细表</w:t>
      </w:r>
      <w:r>
        <w:rPr>
          <w:rFonts w:hint="eastAsia" w:ascii="仿宋_GB2312" w:eastAsia="仿宋_GB2312"/>
          <w:bCs/>
          <w:sz w:val="24"/>
          <w:highlight w:val="none"/>
        </w:rPr>
        <w:t>（格式）</w:t>
      </w:r>
    </w:p>
    <w:p>
      <w:pPr>
        <w:ind w:firstLine="199" w:firstLineChars="95"/>
        <w:jc w:val="left"/>
        <w:rPr>
          <w:rFonts w:hint="eastAsia" w:ascii="宋体" w:hAnsi="宋体"/>
          <w:szCs w:val="21"/>
          <w:highlight w:val="none"/>
        </w:rPr>
      </w:pPr>
      <w:r>
        <w:rPr>
          <w:rFonts w:hint="eastAsia" w:ascii="宋体" w:hAnsi="宋体"/>
          <w:szCs w:val="21"/>
          <w:highlight w:val="none"/>
        </w:rPr>
        <w:t>项目编号：</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p>
      <w:pPr>
        <w:ind w:firstLine="210" w:firstLineChars="100"/>
        <w:jc w:val="left"/>
        <w:rPr>
          <w:rFonts w:hint="eastAsia" w:ascii="宋体" w:hAnsi="宋体"/>
          <w:szCs w:val="21"/>
          <w:highlight w:val="none"/>
          <w:u w:val="single"/>
        </w:rPr>
      </w:pPr>
      <w:r>
        <w:rPr>
          <w:rFonts w:hint="eastAsia" w:ascii="宋体" w:hAnsi="宋体"/>
          <w:szCs w:val="21"/>
          <w:highlight w:val="none"/>
        </w:rPr>
        <w:t>项目名称：</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ind w:firstLine="0" w:firstLineChars="0"/>
              <w:jc w:val="center"/>
              <w:rPr>
                <w:rFonts w:hint="eastAsia" w:ascii="宋体" w:hAnsi="宋体" w:cs="Courier New"/>
                <w:szCs w:val="21"/>
                <w:highlight w:val="none"/>
              </w:rPr>
            </w:pPr>
            <w:bookmarkStart w:id="271" w:name="_Hlk97823529"/>
            <w:r>
              <w:rPr>
                <w:rFonts w:hint="eastAsia" w:ascii="宋体" w:hAnsi="宋体" w:cs="Courier New"/>
                <w:szCs w:val="21"/>
                <w:highlight w:val="none"/>
              </w:rPr>
              <w:t>序号</w:t>
            </w:r>
          </w:p>
        </w:tc>
        <w:tc>
          <w:tcPr>
            <w:tcW w:w="1145"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highlight w:val="none"/>
              </w:rPr>
            </w:pPr>
            <w:r>
              <w:rPr>
                <w:rFonts w:hint="eastAsia" w:ascii="宋体" w:hAnsi="宋体"/>
                <w:szCs w:val="21"/>
                <w:highlight w:val="none"/>
              </w:rPr>
              <w:t>货物名称</w:t>
            </w:r>
          </w:p>
        </w:tc>
        <w:tc>
          <w:tcPr>
            <w:tcW w:w="699"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highlight w:val="none"/>
              </w:rPr>
            </w:pPr>
            <w:r>
              <w:rPr>
                <w:rFonts w:hint="eastAsia" w:ascii="宋体" w:hAnsi="宋体"/>
                <w:szCs w:val="21"/>
                <w:highlight w:val="none"/>
              </w:rPr>
              <w:t>品牌</w:t>
            </w:r>
          </w:p>
        </w:tc>
        <w:tc>
          <w:tcPr>
            <w:tcW w:w="710"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highlight w:val="none"/>
              </w:rPr>
            </w:pPr>
            <w:r>
              <w:rPr>
                <w:rFonts w:hint="eastAsia" w:ascii="宋体" w:hAnsi="宋体"/>
                <w:szCs w:val="21"/>
                <w:highlight w:val="none"/>
              </w:rPr>
              <w:t>型号</w:t>
            </w:r>
          </w:p>
        </w:tc>
        <w:tc>
          <w:tcPr>
            <w:tcW w:w="709"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highlight w:val="none"/>
              </w:rPr>
            </w:pPr>
            <w:r>
              <w:rPr>
                <w:rFonts w:hint="eastAsia" w:ascii="宋体" w:hAnsi="宋体"/>
                <w:szCs w:val="21"/>
                <w:highlight w:val="none"/>
              </w:rPr>
              <w:t>产地</w:t>
            </w:r>
          </w:p>
        </w:tc>
        <w:tc>
          <w:tcPr>
            <w:tcW w:w="170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highlight w:val="none"/>
              </w:rPr>
            </w:pPr>
            <w:r>
              <w:rPr>
                <w:rFonts w:hint="eastAsia" w:ascii="宋体" w:hAnsi="宋体"/>
                <w:szCs w:val="21"/>
                <w:highlight w:val="none"/>
              </w:rPr>
              <w:t>技术参数及性能（规格）</w:t>
            </w:r>
          </w:p>
        </w:tc>
        <w:tc>
          <w:tcPr>
            <w:tcW w:w="170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highlight w:val="none"/>
              </w:rPr>
            </w:pPr>
            <w:r>
              <w:rPr>
                <w:rFonts w:hint="eastAsia" w:ascii="宋体" w:hAnsi="宋体"/>
                <w:szCs w:val="21"/>
                <w:highlight w:val="none"/>
              </w:rPr>
              <w:t>数量、单位</w:t>
            </w:r>
            <w:r>
              <w:rPr>
                <w:rFonts w:hint="eastAsia" w:hAnsi="宋体"/>
                <w:highlight w:val="none"/>
              </w:rPr>
              <w:t>①</w:t>
            </w:r>
          </w:p>
        </w:tc>
        <w:tc>
          <w:tcPr>
            <w:tcW w:w="852" w:type="dxa"/>
            <w:tcBorders>
              <w:bottom w:val="single" w:color="auto" w:sz="4" w:space="0"/>
            </w:tcBorders>
            <w:vAlign w:val="center"/>
          </w:tcPr>
          <w:p>
            <w:pPr>
              <w:tabs>
                <w:tab w:val="left" w:pos="180"/>
                <w:tab w:val="left" w:pos="1620"/>
              </w:tabs>
              <w:spacing w:line="300" w:lineRule="exact"/>
              <w:ind w:firstLine="0" w:firstLineChars="0"/>
              <w:jc w:val="center"/>
              <w:rPr>
                <w:rFonts w:hint="eastAsia" w:ascii="宋体" w:hAnsi="宋体"/>
                <w:szCs w:val="21"/>
                <w:highlight w:val="none"/>
              </w:rPr>
            </w:pPr>
            <w:r>
              <w:rPr>
                <w:rFonts w:hint="eastAsia" w:ascii="宋体" w:hAnsi="宋体"/>
                <w:szCs w:val="21"/>
                <w:highlight w:val="none"/>
              </w:rPr>
              <w:t>单价</w:t>
            </w:r>
            <w:r>
              <w:rPr>
                <w:rFonts w:hint="eastAsia" w:hAnsi="宋体"/>
                <w:highlight w:val="none"/>
              </w:rPr>
              <w:t>②</w:t>
            </w:r>
          </w:p>
        </w:tc>
        <w:tc>
          <w:tcPr>
            <w:tcW w:w="1348" w:type="dxa"/>
            <w:tcBorders>
              <w:bottom w:val="single" w:color="auto" w:sz="4" w:space="0"/>
            </w:tcBorders>
            <w:vAlign w:val="center"/>
          </w:tcPr>
          <w:p>
            <w:pPr>
              <w:spacing w:line="300" w:lineRule="exact"/>
              <w:ind w:firstLine="0" w:firstLineChars="0"/>
              <w:jc w:val="center"/>
              <w:rPr>
                <w:rFonts w:hint="eastAsia" w:ascii="宋体" w:hAnsi="宋体" w:cs="Courier New"/>
                <w:szCs w:val="21"/>
                <w:highlight w:val="none"/>
              </w:rPr>
            </w:pPr>
            <w:r>
              <w:rPr>
                <w:rFonts w:hint="eastAsia" w:ascii="宋体" w:hAnsi="宋体" w:cs="Courier New"/>
                <w:szCs w:val="21"/>
                <w:highlight w:val="none"/>
              </w:rPr>
              <w:t>单项合价</w:t>
            </w:r>
          </w:p>
          <w:p>
            <w:pPr>
              <w:spacing w:line="300" w:lineRule="exact"/>
              <w:ind w:firstLine="0" w:firstLineChars="0"/>
              <w:jc w:val="center"/>
              <w:rPr>
                <w:rFonts w:hint="eastAsia" w:ascii="宋体" w:hAnsi="宋体" w:cs="Courier New"/>
                <w:szCs w:val="21"/>
                <w:highlight w:val="none"/>
              </w:rPr>
            </w:pPr>
            <w:r>
              <w:rPr>
                <w:rFonts w:hint="eastAsia" w:ascii="宋体" w:hAnsi="宋体" w:cs="Courier New"/>
                <w:szCs w:val="21"/>
                <w:highlight w:val="none"/>
              </w:rPr>
              <w:t>③</w:t>
            </w:r>
            <w:r>
              <w:rPr>
                <w:rFonts w:ascii="宋体" w:hAnsi="宋体" w:cs="Courier New"/>
                <w:szCs w:val="21"/>
                <w:highlight w:val="none"/>
              </w:rPr>
              <w:t>=</w:t>
            </w:r>
            <w:r>
              <w:rPr>
                <w:rFonts w:hint="eastAsia" w:ascii="宋体" w:hAnsi="宋体" w:cs="Courier New"/>
                <w:szCs w:val="21"/>
                <w:highlight w:val="none"/>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firstLine="0" w:firstLineChars="0"/>
              <w:jc w:val="center"/>
              <w:rPr>
                <w:rFonts w:hint="eastAsia" w:ascii="宋体" w:hAnsi="宋体"/>
                <w:sz w:val="24"/>
                <w:highlight w:val="none"/>
              </w:rPr>
            </w:pPr>
            <w:r>
              <w:rPr>
                <w:rFonts w:hint="eastAsia" w:ascii="宋体" w:hAnsi="宋体"/>
                <w:sz w:val="24"/>
                <w:highlight w:val="none"/>
              </w:rPr>
              <w:t>1</w:t>
            </w:r>
          </w:p>
        </w:tc>
        <w:tc>
          <w:tcPr>
            <w:tcW w:w="1145" w:type="dxa"/>
            <w:vAlign w:val="center"/>
          </w:tcPr>
          <w:p>
            <w:pPr>
              <w:spacing w:line="440" w:lineRule="exact"/>
              <w:ind w:firstLine="0" w:firstLineChars="0"/>
              <w:jc w:val="center"/>
              <w:rPr>
                <w:rFonts w:hint="eastAsia" w:ascii="宋体" w:hAnsi="宋体"/>
                <w:highlight w:val="none"/>
              </w:rPr>
            </w:pPr>
          </w:p>
        </w:tc>
        <w:tc>
          <w:tcPr>
            <w:tcW w:w="699" w:type="dxa"/>
            <w:vAlign w:val="center"/>
          </w:tcPr>
          <w:p>
            <w:pPr>
              <w:spacing w:line="440" w:lineRule="exact"/>
              <w:ind w:firstLine="0" w:firstLineChars="0"/>
              <w:jc w:val="center"/>
              <w:rPr>
                <w:rFonts w:hint="eastAsia" w:ascii="宋体" w:hAnsi="宋体"/>
                <w:highlight w:val="none"/>
              </w:rPr>
            </w:pPr>
          </w:p>
        </w:tc>
        <w:tc>
          <w:tcPr>
            <w:tcW w:w="710" w:type="dxa"/>
            <w:vAlign w:val="center"/>
          </w:tcPr>
          <w:p>
            <w:pPr>
              <w:spacing w:line="440" w:lineRule="exact"/>
              <w:ind w:firstLine="0" w:firstLineChars="0"/>
              <w:jc w:val="center"/>
              <w:rPr>
                <w:rFonts w:hint="eastAsia" w:ascii="宋体" w:hAnsi="宋体"/>
                <w:highlight w:val="none"/>
              </w:rPr>
            </w:pPr>
          </w:p>
        </w:tc>
        <w:tc>
          <w:tcPr>
            <w:tcW w:w="709" w:type="dxa"/>
            <w:vAlign w:val="center"/>
          </w:tcPr>
          <w:p>
            <w:pPr>
              <w:spacing w:line="440" w:lineRule="exact"/>
              <w:ind w:firstLine="0" w:firstLineChars="0"/>
              <w:jc w:val="center"/>
              <w:rPr>
                <w:rFonts w:hint="eastAsia" w:ascii="宋体" w:hAnsi="宋体"/>
                <w:highlight w:val="none"/>
              </w:rPr>
            </w:pPr>
          </w:p>
        </w:tc>
        <w:tc>
          <w:tcPr>
            <w:tcW w:w="1702" w:type="dxa"/>
            <w:vAlign w:val="center"/>
          </w:tcPr>
          <w:p>
            <w:pPr>
              <w:spacing w:line="440" w:lineRule="exact"/>
              <w:ind w:firstLine="0" w:firstLineChars="0"/>
              <w:jc w:val="center"/>
              <w:rPr>
                <w:rFonts w:hint="eastAsia" w:ascii="宋体" w:hAnsi="宋体"/>
                <w:highlight w:val="none"/>
              </w:rPr>
            </w:pPr>
          </w:p>
        </w:tc>
        <w:tc>
          <w:tcPr>
            <w:tcW w:w="1702" w:type="dxa"/>
            <w:vAlign w:val="center"/>
          </w:tcPr>
          <w:p>
            <w:pPr>
              <w:spacing w:line="440" w:lineRule="exact"/>
              <w:ind w:firstLine="0" w:firstLineChars="0"/>
              <w:jc w:val="center"/>
              <w:rPr>
                <w:rFonts w:hint="eastAsia" w:ascii="宋体" w:hAnsi="宋体"/>
                <w:highlight w:val="none"/>
              </w:rPr>
            </w:pPr>
          </w:p>
        </w:tc>
        <w:tc>
          <w:tcPr>
            <w:tcW w:w="852" w:type="dxa"/>
            <w:vAlign w:val="center"/>
          </w:tcPr>
          <w:p>
            <w:pPr>
              <w:spacing w:line="440" w:lineRule="exact"/>
              <w:ind w:firstLine="0" w:firstLineChars="0"/>
              <w:jc w:val="center"/>
              <w:rPr>
                <w:rFonts w:hint="eastAsia" w:ascii="宋体" w:hAnsi="宋体"/>
                <w:highlight w:val="none"/>
              </w:rPr>
            </w:pPr>
          </w:p>
        </w:tc>
        <w:tc>
          <w:tcPr>
            <w:tcW w:w="1348" w:type="dxa"/>
            <w:vAlign w:val="center"/>
          </w:tcPr>
          <w:p>
            <w:pPr>
              <w:spacing w:line="440" w:lineRule="exact"/>
              <w:ind w:firstLine="0" w:firstLineChars="0"/>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highlight w:val="none"/>
              </w:rPr>
            </w:pPr>
            <w:r>
              <w:rPr>
                <w:rFonts w:hint="eastAsia" w:ascii="宋体" w:hAnsi="宋体"/>
                <w:sz w:val="24"/>
                <w:highlight w:val="none"/>
              </w:rPr>
              <w:t>2</w:t>
            </w:r>
          </w:p>
        </w:tc>
        <w:tc>
          <w:tcPr>
            <w:tcW w:w="1145" w:type="dxa"/>
            <w:vAlign w:val="center"/>
          </w:tcPr>
          <w:p>
            <w:pPr>
              <w:spacing w:line="440" w:lineRule="exact"/>
              <w:ind w:firstLine="0" w:firstLineChars="0"/>
              <w:jc w:val="center"/>
              <w:rPr>
                <w:rFonts w:hint="eastAsia" w:ascii="宋体" w:hAnsi="宋体"/>
                <w:highlight w:val="none"/>
              </w:rPr>
            </w:pPr>
          </w:p>
        </w:tc>
        <w:tc>
          <w:tcPr>
            <w:tcW w:w="699" w:type="dxa"/>
            <w:vAlign w:val="center"/>
          </w:tcPr>
          <w:p>
            <w:pPr>
              <w:spacing w:line="440" w:lineRule="exact"/>
              <w:ind w:firstLine="0" w:firstLineChars="0"/>
              <w:jc w:val="center"/>
              <w:rPr>
                <w:rFonts w:hint="eastAsia" w:ascii="宋体" w:hAnsi="宋体"/>
                <w:highlight w:val="none"/>
              </w:rPr>
            </w:pPr>
          </w:p>
        </w:tc>
        <w:tc>
          <w:tcPr>
            <w:tcW w:w="710" w:type="dxa"/>
            <w:vAlign w:val="center"/>
          </w:tcPr>
          <w:p>
            <w:pPr>
              <w:spacing w:line="440" w:lineRule="exact"/>
              <w:ind w:firstLine="0" w:firstLineChars="0"/>
              <w:jc w:val="center"/>
              <w:rPr>
                <w:rFonts w:hint="eastAsia" w:ascii="宋体" w:hAnsi="宋体"/>
                <w:highlight w:val="none"/>
              </w:rPr>
            </w:pPr>
          </w:p>
        </w:tc>
        <w:tc>
          <w:tcPr>
            <w:tcW w:w="709" w:type="dxa"/>
            <w:vAlign w:val="center"/>
          </w:tcPr>
          <w:p>
            <w:pPr>
              <w:spacing w:line="440" w:lineRule="exact"/>
              <w:ind w:firstLine="0" w:firstLineChars="0"/>
              <w:jc w:val="center"/>
              <w:rPr>
                <w:rFonts w:hint="eastAsia" w:ascii="宋体" w:hAnsi="宋体"/>
                <w:highlight w:val="none"/>
              </w:rPr>
            </w:pPr>
          </w:p>
        </w:tc>
        <w:tc>
          <w:tcPr>
            <w:tcW w:w="1702" w:type="dxa"/>
            <w:vAlign w:val="center"/>
          </w:tcPr>
          <w:p>
            <w:pPr>
              <w:spacing w:line="440" w:lineRule="exact"/>
              <w:ind w:firstLine="0" w:firstLineChars="0"/>
              <w:jc w:val="center"/>
              <w:rPr>
                <w:rFonts w:hint="eastAsia" w:ascii="宋体" w:hAnsi="宋体"/>
                <w:highlight w:val="none"/>
              </w:rPr>
            </w:pPr>
          </w:p>
        </w:tc>
        <w:tc>
          <w:tcPr>
            <w:tcW w:w="1702" w:type="dxa"/>
            <w:vAlign w:val="center"/>
          </w:tcPr>
          <w:p>
            <w:pPr>
              <w:spacing w:line="440" w:lineRule="exact"/>
              <w:ind w:firstLine="0" w:firstLineChars="0"/>
              <w:jc w:val="center"/>
              <w:rPr>
                <w:rFonts w:hint="eastAsia" w:ascii="宋体" w:hAnsi="宋体"/>
                <w:highlight w:val="none"/>
              </w:rPr>
            </w:pPr>
          </w:p>
        </w:tc>
        <w:tc>
          <w:tcPr>
            <w:tcW w:w="852" w:type="dxa"/>
            <w:vAlign w:val="center"/>
          </w:tcPr>
          <w:p>
            <w:pPr>
              <w:spacing w:line="440" w:lineRule="exact"/>
              <w:ind w:firstLine="0" w:firstLineChars="0"/>
              <w:jc w:val="center"/>
              <w:rPr>
                <w:rFonts w:hint="eastAsia" w:ascii="宋体" w:hAnsi="宋体"/>
                <w:highlight w:val="none"/>
              </w:rPr>
            </w:pPr>
          </w:p>
        </w:tc>
        <w:tc>
          <w:tcPr>
            <w:tcW w:w="1348" w:type="dxa"/>
            <w:vAlign w:val="center"/>
          </w:tcPr>
          <w:p>
            <w:pPr>
              <w:spacing w:line="440" w:lineRule="exact"/>
              <w:ind w:firstLine="0" w:firstLineChars="0"/>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highlight w:val="none"/>
              </w:rPr>
            </w:pPr>
            <w:r>
              <w:rPr>
                <w:rFonts w:hint="eastAsia" w:ascii="宋体" w:hAnsi="宋体"/>
                <w:sz w:val="24"/>
                <w:highlight w:val="none"/>
              </w:rPr>
              <w:t>3</w:t>
            </w:r>
          </w:p>
        </w:tc>
        <w:tc>
          <w:tcPr>
            <w:tcW w:w="1145" w:type="dxa"/>
            <w:vAlign w:val="center"/>
          </w:tcPr>
          <w:p>
            <w:pPr>
              <w:spacing w:line="440" w:lineRule="exact"/>
              <w:ind w:firstLine="0" w:firstLineChars="0"/>
              <w:jc w:val="center"/>
              <w:rPr>
                <w:rFonts w:hint="eastAsia" w:ascii="宋体" w:hAnsi="宋体"/>
                <w:highlight w:val="none"/>
              </w:rPr>
            </w:pPr>
          </w:p>
        </w:tc>
        <w:tc>
          <w:tcPr>
            <w:tcW w:w="699" w:type="dxa"/>
            <w:vAlign w:val="center"/>
          </w:tcPr>
          <w:p>
            <w:pPr>
              <w:spacing w:line="440" w:lineRule="exact"/>
              <w:ind w:firstLine="0" w:firstLineChars="0"/>
              <w:jc w:val="center"/>
              <w:rPr>
                <w:rFonts w:hint="eastAsia" w:ascii="宋体" w:hAnsi="宋体"/>
                <w:highlight w:val="none"/>
              </w:rPr>
            </w:pPr>
          </w:p>
        </w:tc>
        <w:tc>
          <w:tcPr>
            <w:tcW w:w="710" w:type="dxa"/>
            <w:vAlign w:val="center"/>
          </w:tcPr>
          <w:p>
            <w:pPr>
              <w:spacing w:line="440" w:lineRule="exact"/>
              <w:ind w:firstLine="0" w:firstLineChars="0"/>
              <w:jc w:val="center"/>
              <w:rPr>
                <w:rFonts w:hint="eastAsia" w:ascii="宋体" w:hAnsi="宋体"/>
                <w:highlight w:val="none"/>
              </w:rPr>
            </w:pPr>
          </w:p>
        </w:tc>
        <w:tc>
          <w:tcPr>
            <w:tcW w:w="709" w:type="dxa"/>
            <w:vAlign w:val="center"/>
          </w:tcPr>
          <w:p>
            <w:pPr>
              <w:spacing w:line="440" w:lineRule="exact"/>
              <w:ind w:firstLine="0" w:firstLineChars="0"/>
              <w:jc w:val="center"/>
              <w:rPr>
                <w:rFonts w:hint="eastAsia" w:ascii="宋体" w:hAnsi="宋体"/>
                <w:highlight w:val="none"/>
              </w:rPr>
            </w:pPr>
          </w:p>
        </w:tc>
        <w:tc>
          <w:tcPr>
            <w:tcW w:w="1702" w:type="dxa"/>
            <w:vAlign w:val="center"/>
          </w:tcPr>
          <w:p>
            <w:pPr>
              <w:spacing w:line="440" w:lineRule="exact"/>
              <w:ind w:firstLine="0" w:firstLineChars="0"/>
              <w:jc w:val="center"/>
              <w:rPr>
                <w:rFonts w:hint="eastAsia" w:ascii="宋体" w:hAnsi="宋体"/>
                <w:highlight w:val="none"/>
              </w:rPr>
            </w:pPr>
          </w:p>
        </w:tc>
        <w:tc>
          <w:tcPr>
            <w:tcW w:w="1702" w:type="dxa"/>
            <w:vAlign w:val="center"/>
          </w:tcPr>
          <w:p>
            <w:pPr>
              <w:spacing w:line="440" w:lineRule="exact"/>
              <w:ind w:firstLine="0" w:firstLineChars="0"/>
              <w:jc w:val="center"/>
              <w:rPr>
                <w:rFonts w:hint="eastAsia" w:ascii="宋体" w:hAnsi="宋体"/>
                <w:highlight w:val="none"/>
              </w:rPr>
            </w:pPr>
          </w:p>
        </w:tc>
        <w:tc>
          <w:tcPr>
            <w:tcW w:w="852" w:type="dxa"/>
            <w:vAlign w:val="center"/>
          </w:tcPr>
          <w:p>
            <w:pPr>
              <w:spacing w:line="440" w:lineRule="exact"/>
              <w:ind w:firstLine="0" w:firstLineChars="0"/>
              <w:jc w:val="center"/>
              <w:rPr>
                <w:rFonts w:hint="eastAsia" w:ascii="宋体" w:hAnsi="宋体"/>
                <w:highlight w:val="none"/>
              </w:rPr>
            </w:pPr>
          </w:p>
        </w:tc>
        <w:tc>
          <w:tcPr>
            <w:tcW w:w="1348" w:type="dxa"/>
            <w:vAlign w:val="center"/>
          </w:tcPr>
          <w:p>
            <w:pPr>
              <w:spacing w:line="440" w:lineRule="exact"/>
              <w:ind w:firstLine="0" w:firstLineChars="0"/>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firstLine="0" w:firstLineChars="0"/>
              <w:jc w:val="center"/>
              <w:rPr>
                <w:rFonts w:hint="eastAsia" w:ascii="宋体" w:hAnsi="宋体"/>
                <w:sz w:val="24"/>
                <w:highlight w:val="none"/>
              </w:rPr>
            </w:pPr>
            <w:r>
              <w:rPr>
                <w:rFonts w:ascii="宋体" w:hAnsi="宋体"/>
                <w:sz w:val="24"/>
                <w:highlight w:val="none"/>
              </w:rPr>
              <w:t>…</w:t>
            </w:r>
          </w:p>
        </w:tc>
        <w:tc>
          <w:tcPr>
            <w:tcW w:w="1145" w:type="dxa"/>
            <w:vAlign w:val="center"/>
          </w:tcPr>
          <w:p>
            <w:pPr>
              <w:spacing w:line="440" w:lineRule="exact"/>
              <w:ind w:firstLine="0" w:firstLineChars="0"/>
              <w:jc w:val="center"/>
              <w:rPr>
                <w:rFonts w:hint="eastAsia" w:ascii="宋体" w:hAnsi="宋体"/>
                <w:highlight w:val="none"/>
              </w:rPr>
            </w:pPr>
          </w:p>
        </w:tc>
        <w:tc>
          <w:tcPr>
            <w:tcW w:w="699" w:type="dxa"/>
            <w:vAlign w:val="center"/>
          </w:tcPr>
          <w:p>
            <w:pPr>
              <w:spacing w:line="440" w:lineRule="exact"/>
              <w:ind w:firstLine="0" w:firstLineChars="0"/>
              <w:jc w:val="center"/>
              <w:rPr>
                <w:rFonts w:hint="eastAsia" w:ascii="宋体" w:hAnsi="宋体"/>
                <w:highlight w:val="none"/>
              </w:rPr>
            </w:pPr>
          </w:p>
        </w:tc>
        <w:tc>
          <w:tcPr>
            <w:tcW w:w="710" w:type="dxa"/>
            <w:vAlign w:val="center"/>
          </w:tcPr>
          <w:p>
            <w:pPr>
              <w:spacing w:line="440" w:lineRule="exact"/>
              <w:ind w:firstLine="0" w:firstLineChars="0"/>
              <w:jc w:val="center"/>
              <w:rPr>
                <w:rFonts w:hint="eastAsia" w:ascii="宋体" w:hAnsi="宋体"/>
                <w:highlight w:val="none"/>
              </w:rPr>
            </w:pPr>
          </w:p>
        </w:tc>
        <w:tc>
          <w:tcPr>
            <w:tcW w:w="709" w:type="dxa"/>
            <w:vAlign w:val="center"/>
          </w:tcPr>
          <w:p>
            <w:pPr>
              <w:spacing w:line="440" w:lineRule="exact"/>
              <w:ind w:firstLine="0" w:firstLineChars="0"/>
              <w:jc w:val="center"/>
              <w:rPr>
                <w:rFonts w:hint="eastAsia" w:ascii="宋体" w:hAnsi="宋体"/>
                <w:highlight w:val="none"/>
              </w:rPr>
            </w:pPr>
          </w:p>
        </w:tc>
        <w:tc>
          <w:tcPr>
            <w:tcW w:w="1702" w:type="dxa"/>
            <w:vAlign w:val="center"/>
          </w:tcPr>
          <w:p>
            <w:pPr>
              <w:spacing w:line="440" w:lineRule="exact"/>
              <w:ind w:firstLine="0" w:firstLineChars="0"/>
              <w:jc w:val="center"/>
              <w:rPr>
                <w:rFonts w:hint="eastAsia" w:ascii="宋体" w:hAnsi="宋体"/>
                <w:highlight w:val="none"/>
              </w:rPr>
            </w:pPr>
          </w:p>
        </w:tc>
        <w:tc>
          <w:tcPr>
            <w:tcW w:w="1702" w:type="dxa"/>
            <w:vAlign w:val="center"/>
          </w:tcPr>
          <w:p>
            <w:pPr>
              <w:spacing w:line="440" w:lineRule="exact"/>
              <w:ind w:firstLine="0" w:firstLineChars="0"/>
              <w:jc w:val="center"/>
              <w:rPr>
                <w:rFonts w:hint="eastAsia" w:ascii="宋体" w:hAnsi="宋体"/>
                <w:highlight w:val="none"/>
              </w:rPr>
            </w:pPr>
          </w:p>
        </w:tc>
        <w:tc>
          <w:tcPr>
            <w:tcW w:w="852" w:type="dxa"/>
            <w:vAlign w:val="center"/>
          </w:tcPr>
          <w:p>
            <w:pPr>
              <w:spacing w:line="440" w:lineRule="exact"/>
              <w:ind w:firstLine="0" w:firstLineChars="0"/>
              <w:jc w:val="center"/>
              <w:rPr>
                <w:rFonts w:hint="eastAsia" w:ascii="宋体" w:hAnsi="宋体"/>
                <w:highlight w:val="none"/>
              </w:rPr>
            </w:pPr>
          </w:p>
        </w:tc>
        <w:tc>
          <w:tcPr>
            <w:tcW w:w="1348" w:type="dxa"/>
            <w:vAlign w:val="center"/>
          </w:tcPr>
          <w:p>
            <w:pPr>
              <w:spacing w:line="440" w:lineRule="exact"/>
              <w:ind w:firstLine="0" w:firstLineChars="0"/>
              <w:jc w:val="center"/>
              <w:rPr>
                <w:rFonts w:hint="eastAsia" w:ascii="宋体" w:hAns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pPr>
              <w:spacing w:line="440" w:lineRule="exact"/>
              <w:ind w:firstLine="27" w:firstLineChars="14"/>
              <w:rPr>
                <w:rFonts w:hint="eastAsia" w:ascii="宋体" w:hAnsi="宋体" w:cs="Courier New"/>
                <w:spacing w:val="-6"/>
                <w:szCs w:val="21"/>
                <w:highlight w:val="none"/>
              </w:rPr>
            </w:pPr>
            <w:r>
              <w:rPr>
                <w:rFonts w:hint="eastAsia" w:ascii="宋体" w:hAnsi="宋体" w:cs="Courier New"/>
                <w:spacing w:val="-6"/>
                <w:szCs w:val="21"/>
                <w:highlight w:val="none"/>
              </w:rPr>
              <w:t>总报价（人民币大写）：</w:t>
            </w:r>
            <w:r>
              <w:rPr>
                <w:rFonts w:hint="eastAsia" w:ascii="宋体" w:hAnsi="宋体" w:cs="Courier New"/>
                <w:spacing w:val="-6"/>
                <w:szCs w:val="21"/>
                <w:highlight w:val="none"/>
                <w:u w:val="single"/>
              </w:rPr>
              <w:t xml:space="preserve">                                       </w:t>
            </w:r>
            <w:r>
              <w:rPr>
                <w:rFonts w:hint="eastAsia" w:ascii="宋体" w:hAnsi="宋体" w:cs="Courier New"/>
                <w:spacing w:val="-6"/>
                <w:szCs w:val="21"/>
                <w:highlight w:val="none"/>
              </w:rPr>
              <w:t>（￥</w:t>
            </w:r>
            <w:r>
              <w:rPr>
                <w:rFonts w:hint="eastAsia" w:ascii="宋体" w:hAnsi="宋体" w:cs="Courier New"/>
                <w:spacing w:val="-6"/>
                <w:szCs w:val="21"/>
                <w:highlight w:val="none"/>
                <w:u w:val="single"/>
              </w:rPr>
              <w:t xml:space="preserve">                       元</w:t>
            </w:r>
            <w:r>
              <w:rPr>
                <w:rFonts w:hint="eastAsia" w:ascii="宋体" w:hAnsi="宋体" w:cs="Courier New"/>
                <w:spacing w:val="-6"/>
                <w:szCs w:val="21"/>
                <w:highlight w:val="none"/>
              </w:rPr>
              <w:t>）</w:t>
            </w:r>
          </w:p>
        </w:tc>
      </w:tr>
      <w:bookmarkEnd w:id="271"/>
    </w:tbl>
    <w:p>
      <w:pPr>
        <w:spacing w:line="440" w:lineRule="exact"/>
        <w:ind w:firstLine="420"/>
        <w:rPr>
          <w:rFonts w:hint="eastAsia" w:ascii="宋体" w:hAnsi="宋体"/>
          <w:szCs w:val="21"/>
          <w:highlight w:val="none"/>
        </w:rPr>
      </w:pPr>
      <w:r>
        <w:rPr>
          <w:rFonts w:hint="eastAsia" w:ascii="宋体" w:hAnsi="宋体"/>
          <w:szCs w:val="21"/>
          <w:highlight w:val="none"/>
        </w:rPr>
        <w:t>注：1.所有价格均用人民币表示，单位为元，精确到个数位。</w:t>
      </w:r>
    </w:p>
    <w:p>
      <w:pPr>
        <w:spacing w:line="440" w:lineRule="exact"/>
        <w:ind w:firstLine="0" w:firstLineChars="0"/>
        <w:rPr>
          <w:rFonts w:ascii="宋体" w:hAnsi="Courier New" w:cs="Courier New"/>
          <w:szCs w:val="21"/>
          <w:highlight w:val="none"/>
        </w:rPr>
      </w:pPr>
      <w:r>
        <w:rPr>
          <w:rFonts w:hint="eastAsia" w:ascii="宋体" w:hAnsi="宋体"/>
          <w:szCs w:val="21"/>
          <w:highlight w:val="none"/>
        </w:rPr>
        <w:t xml:space="preserve">    </w:t>
      </w:r>
      <w:r>
        <w:rPr>
          <w:rFonts w:hint="eastAsia" w:ascii="宋体" w:hAnsi="宋体"/>
          <w:bCs/>
          <w:szCs w:val="21"/>
          <w:highlight w:val="none"/>
        </w:rPr>
        <w:t>2.投标报价应包含货物、货物标准附件、备品备件、专用工具、设备安装辅材、施工辅材、包装、运输、装卸、保险等各种费用以及安装、调试、验收、税金、售后服务、技术培训费、更新升级、软件费及其他所有成本费用；如出现参数不满足或由于供应商原因造成品质不满足合同要求，采购人有权要求更换设备，不增加任何费用。</w:t>
      </w:r>
    </w:p>
    <w:p>
      <w:pPr>
        <w:spacing w:before="50" w:after="50" w:line="360" w:lineRule="exact"/>
        <w:ind w:firstLine="420" w:firstLineChars="0"/>
        <w:rPr>
          <w:rFonts w:hint="eastAsia" w:ascii="宋体" w:hAnsi="宋体" w:cs="Courier New"/>
          <w:szCs w:val="21"/>
          <w:highlight w:val="none"/>
        </w:rPr>
      </w:pPr>
      <w:r>
        <w:rPr>
          <w:rFonts w:hint="eastAsia" w:ascii="宋体" w:hAnsi="Courier New" w:cs="Courier New"/>
          <w:szCs w:val="21"/>
          <w:highlight w:val="none"/>
        </w:rPr>
        <w:t>3</w:t>
      </w:r>
      <w:r>
        <w:rPr>
          <w:rFonts w:ascii="宋体" w:hAnsi="Courier New" w:cs="Courier New"/>
          <w:szCs w:val="21"/>
          <w:highlight w:val="none"/>
        </w:rPr>
        <w:t>.</w:t>
      </w:r>
      <w:r>
        <w:rPr>
          <w:rFonts w:hint="eastAsia" w:ascii="宋体" w:hAnsi="宋体" w:cs="Courier New"/>
          <w:szCs w:val="21"/>
          <w:highlight w:val="none"/>
        </w:rPr>
        <w:t>报价为全包价，以人民币为结算单位。在合同实施时，采购人将不予支付中标人没有列入的项目费用，并认为此项目的费用已包括在总报价中。采购人不再支付合同以外的其他费用。</w:t>
      </w:r>
    </w:p>
    <w:p>
      <w:pPr>
        <w:spacing w:line="240" w:lineRule="auto"/>
        <w:ind w:firstLine="0" w:firstLineChars="0"/>
        <w:rPr>
          <w:highlight w:val="none"/>
        </w:rPr>
      </w:pPr>
    </w:p>
    <w:p>
      <w:pPr>
        <w:ind w:firstLine="0" w:firstLineChars="0"/>
        <w:rPr>
          <w:highlight w:val="none"/>
        </w:rPr>
      </w:pPr>
    </w:p>
    <w:p>
      <w:pPr>
        <w:ind w:firstLine="0" w:firstLineChars="0"/>
        <w:rPr>
          <w:highlight w:val="none"/>
        </w:rPr>
      </w:pPr>
    </w:p>
    <w:p>
      <w:pPr>
        <w:snapToGrid w:val="0"/>
        <w:spacing w:before="50" w:after="50" w:line="350" w:lineRule="exact"/>
        <w:ind w:right="-817" w:rightChars="-389" w:firstLine="4189" w:firstLineChars="1995"/>
        <w:rPr>
          <w:rFonts w:hint="eastAsia" w:ascii="宋体" w:hAnsi="宋体"/>
          <w:szCs w:val="21"/>
          <w:highlight w:val="none"/>
        </w:rPr>
      </w:pPr>
      <w:r>
        <w:rPr>
          <w:rFonts w:hint="eastAsia" w:ascii="宋体" w:hAnsi="宋体"/>
          <w:szCs w:val="21"/>
          <w:highlight w:val="none"/>
        </w:rPr>
        <w:t>法定代表人或授权代表（签名）：</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p>
    <w:p>
      <w:pPr>
        <w:snapToGrid w:val="0"/>
        <w:spacing w:before="50" w:after="50" w:line="350" w:lineRule="exact"/>
        <w:ind w:right="-817" w:rightChars="-389" w:firstLine="3465" w:firstLineChars="165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投标人（盖章）：</w:t>
      </w:r>
      <w:r>
        <w:rPr>
          <w:rFonts w:hint="eastAsia" w:ascii="宋体" w:hAnsi="宋体"/>
          <w:szCs w:val="21"/>
          <w:highlight w:val="none"/>
          <w:u w:val="single"/>
        </w:rPr>
        <w:t xml:space="preserve">                        </w:t>
      </w:r>
    </w:p>
    <w:p>
      <w:pPr>
        <w:snapToGrid w:val="0"/>
        <w:spacing w:before="50" w:after="50" w:line="350" w:lineRule="exact"/>
        <w:ind w:right="-817" w:rightChars="-389" w:firstLine="3465" w:firstLineChars="1650"/>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ind w:firstLine="0" w:firstLineChars="0"/>
        <w:jc w:val="center"/>
        <w:rPr>
          <w:rFonts w:hint="eastAsia" w:ascii="宋体" w:hAnsi="宋体"/>
          <w:szCs w:val="21"/>
          <w:highlight w:val="none"/>
        </w:rPr>
      </w:pPr>
    </w:p>
    <w:sectPr>
      <w:headerReference r:id="rId11" w:type="default"/>
      <w:footerReference r:id="rId12" w:type="default"/>
      <w:pgSz w:w="11906" w:h="16838"/>
      <w:pgMar w:top="1246" w:right="991" w:bottom="1091" w:left="993"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Bosch Office Sans">
    <w:altName w:val="Constantia"/>
    <w:panose1 w:val="00000000000000000000"/>
    <w:charset w:val="00"/>
    <w:family w:val="auto"/>
    <w:pitch w:val="default"/>
    <w:sig w:usb0="00000000" w:usb1="00000000" w:usb2="00000000" w:usb3="00000000" w:csb0="00000001" w:csb1="00000000"/>
  </w:font>
  <w:font w:name="Constantia">
    <w:panose1 w:val="02030602050306030303"/>
    <w:charset w:val="00"/>
    <w:family w:val="auto"/>
    <w:pitch w:val="default"/>
    <w:sig w:usb0="A00002EF" w:usb1="4000204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fldChar w:fldCharType="begin"/>
    </w:r>
    <w:r>
      <w:instrText xml:space="preserve">PAGE   \* MERGEFORMAT</w:instrText>
    </w:r>
    <w:r>
      <w:fldChar w:fldCharType="separate"/>
    </w:r>
    <w:r>
      <w:rPr>
        <w:lang w:val="zh-CN"/>
      </w:rPr>
      <w:t>60</w:t>
    </w:r>
    <w:r>
      <w:fldChar w:fldCharType="end"/>
    </w:r>
  </w:p>
  <w:p>
    <w:pPr>
      <w:pStyle w:val="3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18" w:leftChars="-342" w:right="-874" w:rightChars="-416" w:firstLine="716" w:firstLineChars="398"/>
      <w:rPr>
        <w:sz w:val="18"/>
        <w:szCs w:val="18"/>
        <w:u w:val="single"/>
      </w:rPr>
    </w:pPr>
    <w:r>
      <w:rPr>
        <w:rFonts w:hint="eastAsia"/>
        <w:sz w:val="18"/>
        <w:szCs w:val="18"/>
        <w:u w:val="single"/>
      </w:rPr>
      <w:t xml:space="preserve">钦州市政府采购中心                     </w:t>
    </w:r>
    <w:r>
      <w:rPr>
        <w:rFonts w:hint="eastAsia"/>
        <w:sz w:val="18"/>
        <w:szCs w:val="18"/>
        <w:u w:val="single"/>
        <w:lang w:eastAsia="zh-CN"/>
      </w:rPr>
      <w:t>2025年浦北县义务教育中小学教学设备</w:t>
    </w:r>
    <w:r>
      <w:rPr>
        <w:rFonts w:hint="eastAsia"/>
        <w:sz w:val="18"/>
        <w:szCs w:val="18"/>
        <w:u w:val="single"/>
      </w:rPr>
      <w:t>(</w:t>
    </w:r>
    <w:r>
      <w:rPr>
        <w:rFonts w:hint="eastAsia"/>
        <w:sz w:val="18"/>
        <w:szCs w:val="18"/>
        <w:u w:val="single"/>
        <w:lang w:eastAsia="zh-CN"/>
      </w:rPr>
      <w:t>QZZC2025-G1-220230-QZSZ</w:t>
    </w:r>
    <w:r>
      <w:rPr>
        <w:rFonts w:hint="eastAsia"/>
        <w:sz w:val="18"/>
        <w:szCs w:val="18"/>
        <w:u w:val="single"/>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18" w:leftChars="-342" w:right="-874" w:rightChars="-416" w:firstLine="716" w:firstLineChars="398"/>
      <w:rPr>
        <w:sz w:val="18"/>
        <w:szCs w:val="18"/>
        <w:u w:val="single"/>
      </w:rPr>
    </w:pPr>
    <w:r>
      <w:rPr>
        <w:rFonts w:hint="eastAsia"/>
        <w:sz w:val="18"/>
        <w:szCs w:val="18"/>
        <w:u w:val="single"/>
      </w:rPr>
      <w:t xml:space="preserve">钦州市政府采购中心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eastAsia="zh-CN"/>
      </w:rPr>
      <w:t>2025年浦北县义务教育中小学教学设备</w:t>
    </w:r>
    <w:r>
      <w:rPr>
        <w:rFonts w:hint="eastAsia"/>
        <w:sz w:val="18"/>
        <w:szCs w:val="18"/>
        <w:u w:val="single"/>
      </w:rPr>
      <w:t>(</w:t>
    </w:r>
    <w:r>
      <w:rPr>
        <w:rFonts w:hint="eastAsia"/>
        <w:sz w:val="18"/>
        <w:szCs w:val="18"/>
        <w:u w:val="single"/>
        <w:lang w:eastAsia="zh-CN"/>
      </w:rPr>
      <w:t>QZZC2025-G1-220230-QZSZ</w:t>
    </w:r>
    <w:r>
      <w:rPr>
        <w:rFonts w:hint="eastAsia"/>
        <w:sz w:val="18"/>
        <w:szCs w:val="18"/>
        <w:u w:val="single"/>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6D62E"/>
    <w:multiLevelType w:val="singleLevel"/>
    <w:tmpl w:val="9576D62E"/>
    <w:lvl w:ilvl="0" w:tentative="0">
      <w:start w:val="7"/>
      <w:numFmt w:val="decimal"/>
      <w:lvlText w:val="%1."/>
      <w:lvlJc w:val="left"/>
      <w:pPr>
        <w:tabs>
          <w:tab w:val="left" w:pos="312"/>
        </w:tabs>
      </w:pPr>
    </w:lvl>
  </w:abstractNum>
  <w:abstractNum w:abstractNumId="1">
    <w:nsid w:val="95CFB210"/>
    <w:multiLevelType w:val="singleLevel"/>
    <w:tmpl w:val="95CFB210"/>
    <w:lvl w:ilvl="0" w:tentative="0">
      <w:start w:val="8"/>
      <w:numFmt w:val="chineseCounting"/>
      <w:suff w:val="nothing"/>
      <w:lvlText w:val="%1、"/>
      <w:lvlJc w:val="left"/>
      <w:rPr>
        <w:rFonts w:hint="eastAsia"/>
      </w:rPr>
    </w:lvl>
  </w:abstractNum>
  <w:abstractNum w:abstractNumId="2">
    <w:nsid w:val="ADB755BE"/>
    <w:multiLevelType w:val="singleLevel"/>
    <w:tmpl w:val="ADB755BE"/>
    <w:lvl w:ilvl="0" w:tentative="0">
      <w:start w:val="1"/>
      <w:numFmt w:val="decimal"/>
      <w:suff w:val="nothing"/>
      <w:lvlText w:val="（%1）"/>
      <w:lvlJc w:val="left"/>
    </w:lvl>
  </w:abstractNum>
  <w:abstractNum w:abstractNumId="3">
    <w:nsid w:val="B664137A"/>
    <w:multiLevelType w:val="singleLevel"/>
    <w:tmpl w:val="B664137A"/>
    <w:lvl w:ilvl="0" w:tentative="0">
      <w:start w:val="1"/>
      <w:numFmt w:val="decimal"/>
      <w:suff w:val="nothing"/>
      <w:lvlText w:val="%1、"/>
      <w:lvlJc w:val="left"/>
    </w:lvl>
  </w:abstractNum>
  <w:abstractNum w:abstractNumId="4">
    <w:nsid w:val="BF6BC116"/>
    <w:multiLevelType w:val="singleLevel"/>
    <w:tmpl w:val="BF6BC116"/>
    <w:lvl w:ilvl="0" w:tentative="0">
      <w:start w:val="16"/>
      <w:numFmt w:val="decimal"/>
      <w:suff w:val="space"/>
      <w:lvlText w:val="%1."/>
      <w:lvlJc w:val="left"/>
    </w:lvl>
  </w:abstractNum>
  <w:abstractNum w:abstractNumId="5">
    <w:nsid w:val="C905A7C8"/>
    <w:multiLevelType w:val="singleLevel"/>
    <w:tmpl w:val="C905A7C8"/>
    <w:lvl w:ilvl="0" w:tentative="0">
      <w:start w:val="1"/>
      <w:numFmt w:val="chineseCounting"/>
      <w:suff w:val="nothing"/>
      <w:lvlText w:val="%1、"/>
      <w:lvlJc w:val="left"/>
      <w:rPr>
        <w:rFonts w:hint="eastAsia"/>
      </w:rPr>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F274F28B"/>
    <w:multiLevelType w:val="singleLevel"/>
    <w:tmpl w:val="F274F28B"/>
    <w:lvl w:ilvl="0" w:tentative="0">
      <w:start w:val="1"/>
      <w:numFmt w:val="decimal"/>
      <w:suff w:val="nothing"/>
      <w:lvlText w:val="%1、"/>
      <w:lvlJc w:val="left"/>
    </w:lvl>
  </w:abstractNum>
  <w:abstractNum w:abstractNumId="10">
    <w:nsid w:val="14F4AE96"/>
    <w:multiLevelType w:val="singleLevel"/>
    <w:tmpl w:val="14F4AE96"/>
    <w:lvl w:ilvl="0" w:tentative="0">
      <w:start w:val="1"/>
      <w:numFmt w:val="decimal"/>
      <w:suff w:val="nothing"/>
      <w:lvlText w:val="%1、"/>
      <w:lvlJc w:val="left"/>
    </w:lvl>
  </w:abstractNum>
  <w:abstractNum w:abstractNumId="11">
    <w:nsid w:val="1E8C429A"/>
    <w:multiLevelType w:val="singleLevel"/>
    <w:tmpl w:val="1E8C429A"/>
    <w:lvl w:ilvl="0" w:tentative="0">
      <w:start w:val="6"/>
      <w:numFmt w:val="chineseCounting"/>
      <w:suff w:val="nothing"/>
      <w:lvlText w:val="%1、"/>
      <w:lvlJc w:val="left"/>
      <w:rPr>
        <w:rFonts w:hint="eastAsia"/>
      </w:rPr>
    </w:lvl>
  </w:abstractNum>
  <w:abstractNum w:abstractNumId="12">
    <w:nsid w:val="5264D200"/>
    <w:multiLevelType w:val="singleLevel"/>
    <w:tmpl w:val="5264D200"/>
    <w:lvl w:ilvl="0" w:tentative="0">
      <w:start w:val="2"/>
      <w:numFmt w:val="chineseCounting"/>
      <w:suff w:val="nothing"/>
      <w:lvlText w:val="（%1）"/>
      <w:lvlJc w:val="left"/>
      <w:rPr>
        <w:rFonts w:hint="eastAsia"/>
      </w:rPr>
    </w:lvl>
  </w:abstractNum>
  <w:abstractNum w:abstractNumId="13">
    <w:nsid w:val="529FA8DC"/>
    <w:multiLevelType w:val="multilevel"/>
    <w:tmpl w:val="529FA8DC"/>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4">
    <w:nsid w:val="67121609"/>
    <w:multiLevelType w:val="singleLevel"/>
    <w:tmpl w:val="67121609"/>
    <w:lvl w:ilvl="0" w:tentative="0">
      <w:start w:val="1"/>
      <w:numFmt w:val="decimal"/>
      <w:suff w:val="nothing"/>
      <w:lvlText w:val="%1、"/>
      <w:lvlJc w:val="left"/>
    </w:lvl>
  </w:abstractNum>
  <w:abstractNum w:abstractNumId="15">
    <w:nsid w:val="7A0F6431"/>
    <w:multiLevelType w:val="singleLevel"/>
    <w:tmpl w:val="7A0F6431"/>
    <w:lvl w:ilvl="0" w:tentative="0">
      <w:start w:val="1"/>
      <w:numFmt w:val="decimal"/>
      <w:suff w:val="space"/>
      <w:lvlText w:val="%1."/>
      <w:lvlJc w:val="left"/>
    </w:lvl>
  </w:abstractNum>
  <w:num w:numId="1">
    <w:abstractNumId w:val="0"/>
  </w:num>
  <w:num w:numId="2">
    <w:abstractNumId w:val="5"/>
  </w:num>
  <w:num w:numId="3">
    <w:abstractNumId w:val="11"/>
  </w:num>
  <w:num w:numId="4">
    <w:abstractNumId w:val="1"/>
  </w:num>
  <w:num w:numId="5">
    <w:abstractNumId w:val="13"/>
  </w:num>
  <w:num w:numId="6">
    <w:abstractNumId w:val="10"/>
  </w:num>
  <w:num w:numId="7">
    <w:abstractNumId w:val="2"/>
  </w:num>
  <w:num w:numId="8">
    <w:abstractNumId w:val="14"/>
  </w:num>
  <w:num w:numId="9">
    <w:abstractNumId w:val="3"/>
  </w:num>
  <w:num w:numId="10">
    <w:abstractNumId w:val="9"/>
  </w:num>
  <w:num w:numId="11">
    <w:abstractNumId w:val="12"/>
  </w:num>
  <w:num w:numId="12">
    <w:abstractNumId w:val="15"/>
  </w:num>
  <w:num w:numId="13">
    <w:abstractNumId w:val="7"/>
  </w:num>
  <w:num w:numId="14">
    <w:abstractNumId w:val="6"/>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BlN2NiOTlhNDE5MTIxYWEwOTIzN2ZmZjE3YjBhY2UifQ=="/>
    <w:docVar w:name="KSO_WPS_MARK_KEY" w:val="8b2e790f-301c-416b-a0c7-a7ea7cce6ec1"/>
  </w:docVars>
  <w:rsids>
    <w:rsidRoot w:val="00172A27"/>
    <w:rsid w:val="00001C41"/>
    <w:rsid w:val="00004B07"/>
    <w:rsid w:val="00012693"/>
    <w:rsid w:val="00013AAD"/>
    <w:rsid w:val="0001477A"/>
    <w:rsid w:val="000160E7"/>
    <w:rsid w:val="00016146"/>
    <w:rsid w:val="000165AA"/>
    <w:rsid w:val="00017C52"/>
    <w:rsid w:val="00017DBB"/>
    <w:rsid w:val="00020915"/>
    <w:rsid w:val="00020BB0"/>
    <w:rsid w:val="00024F7F"/>
    <w:rsid w:val="00025DCF"/>
    <w:rsid w:val="00026191"/>
    <w:rsid w:val="00026324"/>
    <w:rsid w:val="000275CA"/>
    <w:rsid w:val="000305C3"/>
    <w:rsid w:val="00033238"/>
    <w:rsid w:val="00035461"/>
    <w:rsid w:val="00036291"/>
    <w:rsid w:val="000370D2"/>
    <w:rsid w:val="00037506"/>
    <w:rsid w:val="00041F84"/>
    <w:rsid w:val="000426A5"/>
    <w:rsid w:val="00042B43"/>
    <w:rsid w:val="00043733"/>
    <w:rsid w:val="00044C2E"/>
    <w:rsid w:val="00044EA4"/>
    <w:rsid w:val="0004516D"/>
    <w:rsid w:val="00046EBA"/>
    <w:rsid w:val="000475DF"/>
    <w:rsid w:val="0005111A"/>
    <w:rsid w:val="0005232E"/>
    <w:rsid w:val="00052E87"/>
    <w:rsid w:val="00053871"/>
    <w:rsid w:val="0005478E"/>
    <w:rsid w:val="00054B3B"/>
    <w:rsid w:val="00054E52"/>
    <w:rsid w:val="000614D1"/>
    <w:rsid w:val="0006165C"/>
    <w:rsid w:val="00065472"/>
    <w:rsid w:val="00065951"/>
    <w:rsid w:val="00065FC9"/>
    <w:rsid w:val="000661F6"/>
    <w:rsid w:val="00066921"/>
    <w:rsid w:val="00066D8C"/>
    <w:rsid w:val="00067C4F"/>
    <w:rsid w:val="00071CFF"/>
    <w:rsid w:val="00073C68"/>
    <w:rsid w:val="00077520"/>
    <w:rsid w:val="00077995"/>
    <w:rsid w:val="0008019D"/>
    <w:rsid w:val="00080A21"/>
    <w:rsid w:val="000810CF"/>
    <w:rsid w:val="000813F7"/>
    <w:rsid w:val="00082608"/>
    <w:rsid w:val="000842AE"/>
    <w:rsid w:val="00086746"/>
    <w:rsid w:val="0009000E"/>
    <w:rsid w:val="00093F5D"/>
    <w:rsid w:val="000946C4"/>
    <w:rsid w:val="000975E8"/>
    <w:rsid w:val="00097FD6"/>
    <w:rsid w:val="000A2692"/>
    <w:rsid w:val="000A4349"/>
    <w:rsid w:val="000A780C"/>
    <w:rsid w:val="000B0DB5"/>
    <w:rsid w:val="000B1576"/>
    <w:rsid w:val="000B24A1"/>
    <w:rsid w:val="000B3B3E"/>
    <w:rsid w:val="000B3E41"/>
    <w:rsid w:val="000B49E6"/>
    <w:rsid w:val="000B53E8"/>
    <w:rsid w:val="000B54BA"/>
    <w:rsid w:val="000B5D4A"/>
    <w:rsid w:val="000B6457"/>
    <w:rsid w:val="000C1488"/>
    <w:rsid w:val="000C1553"/>
    <w:rsid w:val="000C233C"/>
    <w:rsid w:val="000C23CE"/>
    <w:rsid w:val="000C4366"/>
    <w:rsid w:val="000C5F92"/>
    <w:rsid w:val="000C65E8"/>
    <w:rsid w:val="000C6B4F"/>
    <w:rsid w:val="000D221E"/>
    <w:rsid w:val="000D228B"/>
    <w:rsid w:val="000D2BAD"/>
    <w:rsid w:val="000D3657"/>
    <w:rsid w:val="000D4AA8"/>
    <w:rsid w:val="000D5462"/>
    <w:rsid w:val="000D6065"/>
    <w:rsid w:val="000D65C5"/>
    <w:rsid w:val="000D7688"/>
    <w:rsid w:val="000E02B7"/>
    <w:rsid w:val="000E18B0"/>
    <w:rsid w:val="000E1DD3"/>
    <w:rsid w:val="000E4001"/>
    <w:rsid w:val="000E4EB6"/>
    <w:rsid w:val="000E7125"/>
    <w:rsid w:val="000F0060"/>
    <w:rsid w:val="000F2E5A"/>
    <w:rsid w:val="000F42FE"/>
    <w:rsid w:val="000F43CE"/>
    <w:rsid w:val="000F4584"/>
    <w:rsid w:val="000F4EB0"/>
    <w:rsid w:val="000F535C"/>
    <w:rsid w:val="000F54FC"/>
    <w:rsid w:val="000F6025"/>
    <w:rsid w:val="000F7212"/>
    <w:rsid w:val="000F74B2"/>
    <w:rsid w:val="00100C84"/>
    <w:rsid w:val="001043ED"/>
    <w:rsid w:val="00105711"/>
    <w:rsid w:val="00105AFE"/>
    <w:rsid w:val="0010791A"/>
    <w:rsid w:val="0011027F"/>
    <w:rsid w:val="00111624"/>
    <w:rsid w:val="0011292D"/>
    <w:rsid w:val="00113015"/>
    <w:rsid w:val="001136E4"/>
    <w:rsid w:val="00113A1D"/>
    <w:rsid w:val="00117AB3"/>
    <w:rsid w:val="00122CAF"/>
    <w:rsid w:val="00122E7D"/>
    <w:rsid w:val="00125838"/>
    <w:rsid w:val="00125CA9"/>
    <w:rsid w:val="00127B34"/>
    <w:rsid w:val="0013049E"/>
    <w:rsid w:val="001318FF"/>
    <w:rsid w:val="00131E98"/>
    <w:rsid w:val="00131EF8"/>
    <w:rsid w:val="001355F0"/>
    <w:rsid w:val="0013690F"/>
    <w:rsid w:val="00136CBE"/>
    <w:rsid w:val="00136D58"/>
    <w:rsid w:val="00140FD1"/>
    <w:rsid w:val="001413A7"/>
    <w:rsid w:val="00141669"/>
    <w:rsid w:val="001416F1"/>
    <w:rsid w:val="001433CB"/>
    <w:rsid w:val="00143F77"/>
    <w:rsid w:val="0014402F"/>
    <w:rsid w:val="00144FFC"/>
    <w:rsid w:val="00145365"/>
    <w:rsid w:val="001532BD"/>
    <w:rsid w:val="00154346"/>
    <w:rsid w:val="00154475"/>
    <w:rsid w:val="00156D9F"/>
    <w:rsid w:val="00156E77"/>
    <w:rsid w:val="00157098"/>
    <w:rsid w:val="00161EFD"/>
    <w:rsid w:val="00162625"/>
    <w:rsid w:val="00162CA7"/>
    <w:rsid w:val="00162DFA"/>
    <w:rsid w:val="001639E0"/>
    <w:rsid w:val="00164CF9"/>
    <w:rsid w:val="00166EEA"/>
    <w:rsid w:val="00167AB2"/>
    <w:rsid w:val="00170C99"/>
    <w:rsid w:val="00171EC6"/>
    <w:rsid w:val="00174BFF"/>
    <w:rsid w:val="001763E9"/>
    <w:rsid w:val="00177FDC"/>
    <w:rsid w:val="00180165"/>
    <w:rsid w:val="001801BC"/>
    <w:rsid w:val="001806CC"/>
    <w:rsid w:val="00181B01"/>
    <w:rsid w:val="00181B29"/>
    <w:rsid w:val="00182521"/>
    <w:rsid w:val="001831F8"/>
    <w:rsid w:val="00183AB6"/>
    <w:rsid w:val="001855F8"/>
    <w:rsid w:val="0018615E"/>
    <w:rsid w:val="001865CA"/>
    <w:rsid w:val="0018684F"/>
    <w:rsid w:val="001875F6"/>
    <w:rsid w:val="00190BDB"/>
    <w:rsid w:val="001927E7"/>
    <w:rsid w:val="001942DE"/>
    <w:rsid w:val="001947B6"/>
    <w:rsid w:val="0019480C"/>
    <w:rsid w:val="00194926"/>
    <w:rsid w:val="00195EA6"/>
    <w:rsid w:val="00197E07"/>
    <w:rsid w:val="001A68F7"/>
    <w:rsid w:val="001A77AB"/>
    <w:rsid w:val="001B15C8"/>
    <w:rsid w:val="001B1D7D"/>
    <w:rsid w:val="001B1F40"/>
    <w:rsid w:val="001B239E"/>
    <w:rsid w:val="001B293E"/>
    <w:rsid w:val="001B2A26"/>
    <w:rsid w:val="001B5B3B"/>
    <w:rsid w:val="001B7336"/>
    <w:rsid w:val="001B7830"/>
    <w:rsid w:val="001C037C"/>
    <w:rsid w:val="001C058B"/>
    <w:rsid w:val="001C0B9E"/>
    <w:rsid w:val="001C0E1B"/>
    <w:rsid w:val="001C19AE"/>
    <w:rsid w:val="001C2596"/>
    <w:rsid w:val="001C2900"/>
    <w:rsid w:val="001C2C83"/>
    <w:rsid w:val="001C3253"/>
    <w:rsid w:val="001C5C13"/>
    <w:rsid w:val="001C727E"/>
    <w:rsid w:val="001C7768"/>
    <w:rsid w:val="001D193D"/>
    <w:rsid w:val="001D19FF"/>
    <w:rsid w:val="001D1C2D"/>
    <w:rsid w:val="001D286E"/>
    <w:rsid w:val="001D2F07"/>
    <w:rsid w:val="001D3D0C"/>
    <w:rsid w:val="001D49EB"/>
    <w:rsid w:val="001D6825"/>
    <w:rsid w:val="001D7B0A"/>
    <w:rsid w:val="001E07E0"/>
    <w:rsid w:val="001E3E50"/>
    <w:rsid w:val="001E5882"/>
    <w:rsid w:val="001E60C2"/>
    <w:rsid w:val="001E7032"/>
    <w:rsid w:val="001F16CC"/>
    <w:rsid w:val="001F2483"/>
    <w:rsid w:val="001F3357"/>
    <w:rsid w:val="001F34E7"/>
    <w:rsid w:val="001F4F71"/>
    <w:rsid w:val="00200095"/>
    <w:rsid w:val="0020130C"/>
    <w:rsid w:val="002021E6"/>
    <w:rsid w:val="002025EF"/>
    <w:rsid w:val="002042E9"/>
    <w:rsid w:val="00204E5A"/>
    <w:rsid w:val="00206347"/>
    <w:rsid w:val="00210A09"/>
    <w:rsid w:val="00210C7B"/>
    <w:rsid w:val="002112FE"/>
    <w:rsid w:val="00211971"/>
    <w:rsid w:val="002119B2"/>
    <w:rsid w:val="0021337B"/>
    <w:rsid w:val="002136FF"/>
    <w:rsid w:val="00213FA3"/>
    <w:rsid w:val="00214437"/>
    <w:rsid w:val="002152E4"/>
    <w:rsid w:val="002155ED"/>
    <w:rsid w:val="00215EAA"/>
    <w:rsid w:val="0021665F"/>
    <w:rsid w:val="0021669A"/>
    <w:rsid w:val="00216960"/>
    <w:rsid w:val="002171B6"/>
    <w:rsid w:val="00217C83"/>
    <w:rsid w:val="00220AD9"/>
    <w:rsid w:val="00221F2F"/>
    <w:rsid w:val="0022355C"/>
    <w:rsid w:val="002249F3"/>
    <w:rsid w:val="0023157B"/>
    <w:rsid w:val="00231C4F"/>
    <w:rsid w:val="0023238C"/>
    <w:rsid w:val="002325A6"/>
    <w:rsid w:val="00232CE7"/>
    <w:rsid w:val="002352BE"/>
    <w:rsid w:val="00237FEE"/>
    <w:rsid w:val="002401F4"/>
    <w:rsid w:val="00240477"/>
    <w:rsid w:val="00240550"/>
    <w:rsid w:val="002405E2"/>
    <w:rsid w:val="00242B02"/>
    <w:rsid w:val="00246631"/>
    <w:rsid w:val="00251186"/>
    <w:rsid w:val="002524F2"/>
    <w:rsid w:val="0025319A"/>
    <w:rsid w:val="002539B4"/>
    <w:rsid w:val="002547A8"/>
    <w:rsid w:val="0025495B"/>
    <w:rsid w:val="00255DED"/>
    <w:rsid w:val="00255FF4"/>
    <w:rsid w:val="00257075"/>
    <w:rsid w:val="00260578"/>
    <w:rsid w:val="002606DA"/>
    <w:rsid w:val="00262137"/>
    <w:rsid w:val="00264176"/>
    <w:rsid w:val="00264911"/>
    <w:rsid w:val="00264A01"/>
    <w:rsid w:val="0026542D"/>
    <w:rsid w:val="00265DD3"/>
    <w:rsid w:val="0026796C"/>
    <w:rsid w:val="0027019C"/>
    <w:rsid w:val="00270826"/>
    <w:rsid w:val="002708D4"/>
    <w:rsid w:val="00272BDE"/>
    <w:rsid w:val="00273E33"/>
    <w:rsid w:val="00274901"/>
    <w:rsid w:val="0027578A"/>
    <w:rsid w:val="0027634E"/>
    <w:rsid w:val="0027643A"/>
    <w:rsid w:val="0028080A"/>
    <w:rsid w:val="002823A4"/>
    <w:rsid w:val="00282616"/>
    <w:rsid w:val="00282C9A"/>
    <w:rsid w:val="00284740"/>
    <w:rsid w:val="0029018D"/>
    <w:rsid w:val="00290D74"/>
    <w:rsid w:val="002948D3"/>
    <w:rsid w:val="002973C1"/>
    <w:rsid w:val="002A0CF3"/>
    <w:rsid w:val="002A1634"/>
    <w:rsid w:val="002A16F5"/>
    <w:rsid w:val="002A195A"/>
    <w:rsid w:val="002A3270"/>
    <w:rsid w:val="002A3CE6"/>
    <w:rsid w:val="002A5B6F"/>
    <w:rsid w:val="002A61B8"/>
    <w:rsid w:val="002A61ED"/>
    <w:rsid w:val="002A7AA6"/>
    <w:rsid w:val="002B3DF8"/>
    <w:rsid w:val="002B51EF"/>
    <w:rsid w:val="002B6F80"/>
    <w:rsid w:val="002B77EC"/>
    <w:rsid w:val="002B7ACD"/>
    <w:rsid w:val="002C0109"/>
    <w:rsid w:val="002C2854"/>
    <w:rsid w:val="002C3E10"/>
    <w:rsid w:val="002C559D"/>
    <w:rsid w:val="002C6888"/>
    <w:rsid w:val="002C7E62"/>
    <w:rsid w:val="002D1F26"/>
    <w:rsid w:val="002D215C"/>
    <w:rsid w:val="002D268A"/>
    <w:rsid w:val="002D26A0"/>
    <w:rsid w:val="002D38D1"/>
    <w:rsid w:val="002D4D41"/>
    <w:rsid w:val="002D6672"/>
    <w:rsid w:val="002D6C92"/>
    <w:rsid w:val="002D72AE"/>
    <w:rsid w:val="002E07B6"/>
    <w:rsid w:val="002E2DFB"/>
    <w:rsid w:val="002E65F0"/>
    <w:rsid w:val="002E6C59"/>
    <w:rsid w:val="002E76FF"/>
    <w:rsid w:val="002F1BA1"/>
    <w:rsid w:val="002F3BB1"/>
    <w:rsid w:val="002F65DB"/>
    <w:rsid w:val="002F7908"/>
    <w:rsid w:val="002F7E05"/>
    <w:rsid w:val="00300D4D"/>
    <w:rsid w:val="00301154"/>
    <w:rsid w:val="003016C8"/>
    <w:rsid w:val="00301F59"/>
    <w:rsid w:val="00302C49"/>
    <w:rsid w:val="00302CF9"/>
    <w:rsid w:val="00305BD2"/>
    <w:rsid w:val="00311D66"/>
    <w:rsid w:val="003142C3"/>
    <w:rsid w:val="00315175"/>
    <w:rsid w:val="00316C8B"/>
    <w:rsid w:val="00320028"/>
    <w:rsid w:val="003208FF"/>
    <w:rsid w:val="00321568"/>
    <w:rsid w:val="00321C9B"/>
    <w:rsid w:val="0032226C"/>
    <w:rsid w:val="003227D2"/>
    <w:rsid w:val="00323045"/>
    <w:rsid w:val="00323A89"/>
    <w:rsid w:val="00324D05"/>
    <w:rsid w:val="003259F5"/>
    <w:rsid w:val="00326145"/>
    <w:rsid w:val="003263A4"/>
    <w:rsid w:val="003264EC"/>
    <w:rsid w:val="003271F9"/>
    <w:rsid w:val="003272A0"/>
    <w:rsid w:val="0033094F"/>
    <w:rsid w:val="0033148B"/>
    <w:rsid w:val="003350EA"/>
    <w:rsid w:val="003364E3"/>
    <w:rsid w:val="00336DF8"/>
    <w:rsid w:val="00337770"/>
    <w:rsid w:val="00337BC9"/>
    <w:rsid w:val="00337E6F"/>
    <w:rsid w:val="003420EA"/>
    <w:rsid w:val="0034230C"/>
    <w:rsid w:val="003434D4"/>
    <w:rsid w:val="00343FD7"/>
    <w:rsid w:val="003445FF"/>
    <w:rsid w:val="003462C0"/>
    <w:rsid w:val="00346554"/>
    <w:rsid w:val="00347E76"/>
    <w:rsid w:val="0035124E"/>
    <w:rsid w:val="00351623"/>
    <w:rsid w:val="003518BE"/>
    <w:rsid w:val="00352A04"/>
    <w:rsid w:val="00352CF9"/>
    <w:rsid w:val="00354280"/>
    <w:rsid w:val="00356E75"/>
    <w:rsid w:val="00357509"/>
    <w:rsid w:val="0035794E"/>
    <w:rsid w:val="0036014D"/>
    <w:rsid w:val="00360E24"/>
    <w:rsid w:val="003615A5"/>
    <w:rsid w:val="00364015"/>
    <w:rsid w:val="00365FC6"/>
    <w:rsid w:val="00366B17"/>
    <w:rsid w:val="00366F3D"/>
    <w:rsid w:val="00367BA5"/>
    <w:rsid w:val="00370902"/>
    <w:rsid w:val="00371869"/>
    <w:rsid w:val="00371D43"/>
    <w:rsid w:val="00374871"/>
    <w:rsid w:val="00374D58"/>
    <w:rsid w:val="00375AEC"/>
    <w:rsid w:val="0038073D"/>
    <w:rsid w:val="00380EA9"/>
    <w:rsid w:val="00380FFA"/>
    <w:rsid w:val="003817AE"/>
    <w:rsid w:val="00386986"/>
    <w:rsid w:val="003874A3"/>
    <w:rsid w:val="00390BAF"/>
    <w:rsid w:val="00390DD8"/>
    <w:rsid w:val="00391680"/>
    <w:rsid w:val="00392F1E"/>
    <w:rsid w:val="0039501E"/>
    <w:rsid w:val="00397210"/>
    <w:rsid w:val="003975CE"/>
    <w:rsid w:val="003A0101"/>
    <w:rsid w:val="003A0915"/>
    <w:rsid w:val="003A42F7"/>
    <w:rsid w:val="003A4DAF"/>
    <w:rsid w:val="003A7B6F"/>
    <w:rsid w:val="003B0201"/>
    <w:rsid w:val="003B1502"/>
    <w:rsid w:val="003B1B76"/>
    <w:rsid w:val="003B2309"/>
    <w:rsid w:val="003B2C21"/>
    <w:rsid w:val="003B2C3A"/>
    <w:rsid w:val="003B33A7"/>
    <w:rsid w:val="003B3E3C"/>
    <w:rsid w:val="003B55D9"/>
    <w:rsid w:val="003B5822"/>
    <w:rsid w:val="003B5B92"/>
    <w:rsid w:val="003B6A99"/>
    <w:rsid w:val="003B7B24"/>
    <w:rsid w:val="003B7C00"/>
    <w:rsid w:val="003C1641"/>
    <w:rsid w:val="003C3157"/>
    <w:rsid w:val="003C430C"/>
    <w:rsid w:val="003C53A2"/>
    <w:rsid w:val="003C7446"/>
    <w:rsid w:val="003C7567"/>
    <w:rsid w:val="003D07F3"/>
    <w:rsid w:val="003D12A1"/>
    <w:rsid w:val="003D46B5"/>
    <w:rsid w:val="003D4CCB"/>
    <w:rsid w:val="003E0B5C"/>
    <w:rsid w:val="003E15B3"/>
    <w:rsid w:val="003E33B0"/>
    <w:rsid w:val="003E5074"/>
    <w:rsid w:val="003E53A6"/>
    <w:rsid w:val="003E5FCE"/>
    <w:rsid w:val="003E6402"/>
    <w:rsid w:val="003F09E7"/>
    <w:rsid w:val="003F0D7B"/>
    <w:rsid w:val="003F25E6"/>
    <w:rsid w:val="003F3B4E"/>
    <w:rsid w:val="003F4CE4"/>
    <w:rsid w:val="003F59AB"/>
    <w:rsid w:val="003F61EB"/>
    <w:rsid w:val="003F72EF"/>
    <w:rsid w:val="00400EE1"/>
    <w:rsid w:val="00404342"/>
    <w:rsid w:val="004048FF"/>
    <w:rsid w:val="00404E61"/>
    <w:rsid w:val="00404ED4"/>
    <w:rsid w:val="00405FCF"/>
    <w:rsid w:val="0040671E"/>
    <w:rsid w:val="004074DB"/>
    <w:rsid w:val="00411508"/>
    <w:rsid w:val="00413287"/>
    <w:rsid w:val="004145CB"/>
    <w:rsid w:val="00415C8B"/>
    <w:rsid w:val="00415D4D"/>
    <w:rsid w:val="00420384"/>
    <w:rsid w:val="00421836"/>
    <w:rsid w:val="0042242C"/>
    <w:rsid w:val="00422BDF"/>
    <w:rsid w:val="00423B38"/>
    <w:rsid w:val="00430651"/>
    <w:rsid w:val="00430768"/>
    <w:rsid w:val="00431DAB"/>
    <w:rsid w:val="004336F4"/>
    <w:rsid w:val="00434DE9"/>
    <w:rsid w:val="004358FB"/>
    <w:rsid w:val="00435FD1"/>
    <w:rsid w:val="00436B2B"/>
    <w:rsid w:val="004377E3"/>
    <w:rsid w:val="00437B17"/>
    <w:rsid w:val="0044440E"/>
    <w:rsid w:val="00444822"/>
    <w:rsid w:val="004450F6"/>
    <w:rsid w:val="0044527C"/>
    <w:rsid w:val="00446752"/>
    <w:rsid w:val="0045055B"/>
    <w:rsid w:val="004522E1"/>
    <w:rsid w:val="004523EC"/>
    <w:rsid w:val="00452CDB"/>
    <w:rsid w:val="00453BE2"/>
    <w:rsid w:val="004558BF"/>
    <w:rsid w:val="00455A03"/>
    <w:rsid w:val="004563C5"/>
    <w:rsid w:val="00457E93"/>
    <w:rsid w:val="00460493"/>
    <w:rsid w:val="00460591"/>
    <w:rsid w:val="0046180E"/>
    <w:rsid w:val="00462766"/>
    <w:rsid w:val="0046358C"/>
    <w:rsid w:val="00464A7D"/>
    <w:rsid w:val="00464AFC"/>
    <w:rsid w:val="00464F0D"/>
    <w:rsid w:val="004657CE"/>
    <w:rsid w:val="00466DA0"/>
    <w:rsid w:val="00467600"/>
    <w:rsid w:val="00467F86"/>
    <w:rsid w:val="00472321"/>
    <w:rsid w:val="00476EC0"/>
    <w:rsid w:val="004774C7"/>
    <w:rsid w:val="00480613"/>
    <w:rsid w:val="004806FD"/>
    <w:rsid w:val="00482331"/>
    <w:rsid w:val="00483AAD"/>
    <w:rsid w:val="00483B40"/>
    <w:rsid w:val="0048658D"/>
    <w:rsid w:val="00486726"/>
    <w:rsid w:val="00486880"/>
    <w:rsid w:val="004878D5"/>
    <w:rsid w:val="00487F18"/>
    <w:rsid w:val="00492C3B"/>
    <w:rsid w:val="004936ED"/>
    <w:rsid w:val="00496AF2"/>
    <w:rsid w:val="00496F67"/>
    <w:rsid w:val="00497FDB"/>
    <w:rsid w:val="004A0AE4"/>
    <w:rsid w:val="004A1466"/>
    <w:rsid w:val="004A36ED"/>
    <w:rsid w:val="004A3702"/>
    <w:rsid w:val="004A3BF2"/>
    <w:rsid w:val="004A44FE"/>
    <w:rsid w:val="004A4978"/>
    <w:rsid w:val="004A4C96"/>
    <w:rsid w:val="004A64E8"/>
    <w:rsid w:val="004A6F8C"/>
    <w:rsid w:val="004B0336"/>
    <w:rsid w:val="004B0B67"/>
    <w:rsid w:val="004B41CE"/>
    <w:rsid w:val="004B44A1"/>
    <w:rsid w:val="004B5442"/>
    <w:rsid w:val="004B56BE"/>
    <w:rsid w:val="004C05C5"/>
    <w:rsid w:val="004C3728"/>
    <w:rsid w:val="004C510E"/>
    <w:rsid w:val="004C591D"/>
    <w:rsid w:val="004C6BB2"/>
    <w:rsid w:val="004C70EF"/>
    <w:rsid w:val="004C71BC"/>
    <w:rsid w:val="004D039E"/>
    <w:rsid w:val="004D196C"/>
    <w:rsid w:val="004D2118"/>
    <w:rsid w:val="004D566B"/>
    <w:rsid w:val="004D66D9"/>
    <w:rsid w:val="004D725D"/>
    <w:rsid w:val="004D7335"/>
    <w:rsid w:val="004E0450"/>
    <w:rsid w:val="004E1985"/>
    <w:rsid w:val="004E405A"/>
    <w:rsid w:val="004E6A33"/>
    <w:rsid w:val="004E7F2D"/>
    <w:rsid w:val="004F0070"/>
    <w:rsid w:val="004F120E"/>
    <w:rsid w:val="004F1429"/>
    <w:rsid w:val="004F3B61"/>
    <w:rsid w:val="005007A3"/>
    <w:rsid w:val="005017B3"/>
    <w:rsid w:val="00501D4A"/>
    <w:rsid w:val="00502971"/>
    <w:rsid w:val="005037BD"/>
    <w:rsid w:val="005057DF"/>
    <w:rsid w:val="00507933"/>
    <w:rsid w:val="005101CB"/>
    <w:rsid w:val="00512AD1"/>
    <w:rsid w:val="005145E9"/>
    <w:rsid w:val="00516501"/>
    <w:rsid w:val="005168DD"/>
    <w:rsid w:val="005169E9"/>
    <w:rsid w:val="0051701D"/>
    <w:rsid w:val="0051748A"/>
    <w:rsid w:val="00517FD7"/>
    <w:rsid w:val="005202D0"/>
    <w:rsid w:val="005209E1"/>
    <w:rsid w:val="00520B3C"/>
    <w:rsid w:val="00521ADD"/>
    <w:rsid w:val="00522100"/>
    <w:rsid w:val="00522A3E"/>
    <w:rsid w:val="0052323E"/>
    <w:rsid w:val="00523A0A"/>
    <w:rsid w:val="00525699"/>
    <w:rsid w:val="00527064"/>
    <w:rsid w:val="005302A8"/>
    <w:rsid w:val="00531571"/>
    <w:rsid w:val="00531921"/>
    <w:rsid w:val="005326D3"/>
    <w:rsid w:val="00533779"/>
    <w:rsid w:val="005343BF"/>
    <w:rsid w:val="005355DD"/>
    <w:rsid w:val="00536DE6"/>
    <w:rsid w:val="0053748D"/>
    <w:rsid w:val="00537B64"/>
    <w:rsid w:val="005407B3"/>
    <w:rsid w:val="005407FE"/>
    <w:rsid w:val="005413FF"/>
    <w:rsid w:val="00541BFB"/>
    <w:rsid w:val="00541FF1"/>
    <w:rsid w:val="0054409A"/>
    <w:rsid w:val="0054480B"/>
    <w:rsid w:val="00545B99"/>
    <w:rsid w:val="00545E3C"/>
    <w:rsid w:val="00547CDF"/>
    <w:rsid w:val="00552BE3"/>
    <w:rsid w:val="00552C66"/>
    <w:rsid w:val="00555E7B"/>
    <w:rsid w:val="00556371"/>
    <w:rsid w:val="005565F1"/>
    <w:rsid w:val="00561141"/>
    <w:rsid w:val="005613D9"/>
    <w:rsid w:val="00561E54"/>
    <w:rsid w:val="00565E1C"/>
    <w:rsid w:val="00567EFD"/>
    <w:rsid w:val="00570009"/>
    <w:rsid w:val="00572C54"/>
    <w:rsid w:val="00572C7A"/>
    <w:rsid w:val="00573BB0"/>
    <w:rsid w:val="00573CC5"/>
    <w:rsid w:val="005748C0"/>
    <w:rsid w:val="0057770B"/>
    <w:rsid w:val="005819C3"/>
    <w:rsid w:val="00582AAF"/>
    <w:rsid w:val="00582F0D"/>
    <w:rsid w:val="0058617C"/>
    <w:rsid w:val="005863B2"/>
    <w:rsid w:val="00587565"/>
    <w:rsid w:val="005909EB"/>
    <w:rsid w:val="00590D61"/>
    <w:rsid w:val="00590EAC"/>
    <w:rsid w:val="00591BBD"/>
    <w:rsid w:val="005946EA"/>
    <w:rsid w:val="00595552"/>
    <w:rsid w:val="00597F72"/>
    <w:rsid w:val="005A0551"/>
    <w:rsid w:val="005A0688"/>
    <w:rsid w:val="005A0706"/>
    <w:rsid w:val="005A160A"/>
    <w:rsid w:val="005A1FB4"/>
    <w:rsid w:val="005A61AC"/>
    <w:rsid w:val="005A77E4"/>
    <w:rsid w:val="005B1AC6"/>
    <w:rsid w:val="005B2AD5"/>
    <w:rsid w:val="005B3017"/>
    <w:rsid w:val="005B43A2"/>
    <w:rsid w:val="005B5DC5"/>
    <w:rsid w:val="005B66F8"/>
    <w:rsid w:val="005B677A"/>
    <w:rsid w:val="005B75D3"/>
    <w:rsid w:val="005B7DF3"/>
    <w:rsid w:val="005C4508"/>
    <w:rsid w:val="005C4747"/>
    <w:rsid w:val="005C67AC"/>
    <w:rsid w:val="005C7239"/>
    <w:rsid w:val="005C7C63"/>
    <w:rsid w:val="005D09C6"/>
    <w:rsid w:val="005D1524"/>
    <w:rsid w:val="005D25A8"/>
    <w:rsid w:val="005D2C58"/>
    <w:rsid w:val="005D3751"/>
    <w:rsid w:val="005D4A1F"/>
    <w:rsid w:val="005D5F30"/>
    <w:rsid w:val="005D774B"/>
    <w:rsid w:val="005E07F7"/>
    <w:rsid w:val="005E17EC"/>
    <w:rsid w:val="005E190B"/>
    <w:rsid w:val="005E2C0C"/>
    <w:rsid w:val="005E3471"/>
    <w:rsid w:val="005E44CF"/>
    <w:rsid w:val="005E463C"/>
    <w:rsid w:val="005E50C6"/>
    <w:rsid w:val="005E57D1"/>
    <w:rsid w:val="005E64A1"/>
    <w:rsid w:val="005E7F98"/>
    <w:rsid w:val="005F0ECE"/>
    <w:rsid w:val="005F11A0"/>
    <w:rsid w:val="005F3B20"/>
    <w:rsid w:val="005F3EC4"/>
    <w:rsid w:val="005F4947"/>
    <w:rsid w:val="005F4A95"/>
    <w:rsid w:val="005F5646"/>
    <w:rsid w:val="005F60D5"/>
    <w:rsid w:val="005F61DE"/>
    <w:rsid w:val="005F66AC"/>
    <w:rsid w:val="005F74CE"/>
    <w:rsid w:val="005F7ADB"/>
    <w:rsid w:val="006004BF"/>
    <w:rsid w:val="006031EF"/>
    <w:rsid w:val="00603A06"/>
    <w:rsid w:val="00603B00"/>
    <w:rsid w:val="00603D99"/>
    <w:rsid w:val="0060551B"/>
    <w:rsid w:val="006064C0"/>
    <w:rsid w:val="00607546"/>
    <w:rsid w:val="00611D08"/>
    <w:rsid w:val="00612688"/>
    <w:rsid w:val="0061788C"/>
    <w:rsid w:val="00622DFF"/>
    <w:rsid w:val="00623F6D"/>
    <w:rsid w:val="00625863"/>
    <w:rsid w:val="00626A0C"/>
    <w:rsid w:val="00626AA2"/>
    <w:rsid w:val="00626AEB"/>
    <w:rsid w:val="00626C94"/>
    <w:rsid w:val="00626E79"/>
    <w:rsid w:val="00627F08"/>
    <w:rsid w:val="00630A5F"/>
    <w:rsid w:val="00630EE4"/>
    <w:rsid w:val="00632E23"/>
    <w:rsid w:val="006330C7"/>
    <w:rsid w:val="00635294"/>
    <w:rsid w:val="00635A2F"/>
    <w:rsid w:val="00636588"/>
    <w:rsid w:val="006375D8"/>
    <w:rsid w:val="00637BE9"/>
    <w:rsid w:val="00641FB9"/>
    <w:rsid w:val="00642F1C"/>
    <w:rsid w:val="006431A2"/>
    <w:rsid w:val="0064379D"/>
    <w:rsid w:val="00643CA5"/>
    <w:rsid w:val="00645EA6"/>
    <w:rsid w:val="0064604F"/>
    <w:rsid w:val="00646835"/>
    <w:rsid w:val="006473F6"/>
    <w:rsid w:val="00647EE1"/>
    <w:rsid w:val="00650F2E"/>
    <w:rsid w:val="00651715"/>
    <w:rsid w:val="00651FC3"/>
    <w:rsid w:val="006520D9"/>
    <w:rsid w:val="0065278A"/>
    <w:rsid w:val="00652C06"/>
    <w:rsid w:val="00653146"/>
    <w:rsid w:val="00653FA4"/>
    <w:rsid w:val="006557B4"/>
    <w:rsid w:val="00655ACB"/>
    <w:rsid w:val="00655B60"/>
    <w:rsid w:val="00655CF0"/>
    <w:rsid w:val="00656332"/>
    <w:rsid w:val="006566E4"/>
    <w:rsid w:val="006579CF"/>
    <w:rsid w:val="00660912"/>
    <w:rsid w:val="00660987"/>
    <w:rsid w:val="00660BC2"/>
    <w:rsid w:val="006661DE"/>
    <w:rsid w:val="00667F99"/>
    <w:rsid w:val="006703AD"/>
    <w:rsid w:val="0067106A"/>
    <w:rsid w:val="00671DCD"/>
    <w:rsid w:val="00672FCC"/>
    <w:rsid w:val="006730D4"/>
    <w:rsid w:val="00673409"/>
    <w:rsid w:val="00673515"/>
    <w:rsid w:val="00673CA7"/>
    <w:rsid w:val="0067408D"/>
    <w:rsid w:val="00674C93"/>
    <w:rsid w:val="00674F91"/>
    <w:rsid w:val="00675524"/>
    <w:rsid w:val="0067602F"/>
    <w:rsid w:val="006779BC"/>
    <w:rsid w:val="00677FCF"/>
    <w:rsid w:val="006801DB"/>
    <w:rsid w:val="00680DDD"/>
    <w:rsid w:val="006828DA"/>
    <w:rsid w:val="00682B6F"/>
    <w:rsid w:val="00682C48"/>
    <w:rsid w:val="00682C5D"/>
    <w:rsid w:val="006844E4"/>
    <w:rsid w:val="00687586"/>
    <w:rsid w:val="00690CEE"/>
    <w:rsid w:val="00691BAC"/>
    <w:rsid w:val="00692BA2"/>
    <w:rsid w:val="0069312F"/>
    <w:rsid w:val="006931F4"/>
    <w:rsid w:val="00693E26"/>
    <w:rsid w:val="0069404C"/>
    <w:rsid w:val="00694F8D"/>
    <w:rsid w:val="0069570B"/>
    <w:rsid w:val="006961F6"/>
    <w:rsid w:val="00696481"/>
    <w:rsid w:val="00697574"/>
    <w:rsid w:val="006A0434"/>
    <w:rsid w:val="006A06A2"/>
    <w:rsid w:val="006A1AC9"/>
    <w:rsid w:val="006A254A"/>
    <w:rsid w:val="006A2F8C"/>
    <w:rsid w:val="006A5800"/>
    <w:rsid w:val="006A647B"/>
    <w:rsid w:val="006A65D3"/>
    <w:rsid w:val="006A6712"/>
    <w:rsid w:val="006A6B0C"/>
    <w:rsid w:val="006A6F30"/>
    <w:rsid w:val="006A7306"/>
    <w:rsid w:val="006B0A53"/>
    <w:rsid w:val="006B2267"/>
    <w:rsid w:val="006B2D28"/>
    <w:rsid w:val="006B4983"/>
    <w:rsid w:val="006B4E61"/>
    <w:rsid w:val="006B5F01"/>
    <w:rsid w:val="006B6C13"/>
    <w:rsid w:val="006C0BA6"/>
    <w:rsid w:val="006C2716"/>
    <w:rsid w:val="006C27DA"/>
    <w:rsid w:val="006C29E7"/>
    <w:rsid w:val="006C3571"/>
    <w:rsid w:val="006C3717"/>
    <w:rsid w:val="006C47F3"/>
    <w:rsid w:val="006C543C"/>
    <w:rsid w:val="006C639F"/>
    <w:rsid w:val="006C657A"/>
    <w:rsid w:val="006C698B"/>
    <w:rsid w:val="006C6B72"/>
    <w:rsid w:val="006C7396"/>
    <w:rsid w:val="006C764F"/>
    <w:rsid w:val="006C7C3A"/>
    <w:rsid w:val="006C7D5D"/>
    <w:rsid w:val="006D0214"/>
    <w:rsid w:val="006D1064"/>
    <w:rsid w:val="006D13E1"/>
    <w:rsid w:val="006D1FBB"/>
    <w:rsid w:val="006D31DF"/>
    <w:rsid w:val="006D3701"/>
    <w:rsid w:val="006D3E96"/>
    <w:rsid w:val="006D4649"/>
    <w:rsid w:val="006D53BB"/>
    <w:rsid w:val="006D693E"/>
    <w:rsid w:val="006D6B04"/>
    <w:rsid w:val="006D7954"/>
    <w:rsid w:val="006E20D2"/>
    <w:rsid w:val="006E35CF"/>
    <w:rsid w:val="006E36AD"/>
    <w:rsid w:val="006E4CD4"/>
    <w:rsid w:val="006E6F05"/>
    <w:rsid w:val="006F3207"/>
    <w:rsid w:val="006F430E"/>
    <w:rsid w:val="006F46F5"/>
    <w:rsid w:val="006F65D4"/>
    <w:rsid w:val="006F7D7D"/>
    <w:rsid w:val="00700210"/>
    <w:rsid w:val="00700DBE"/>
    <w:rsid w:val="007014CD"/>
    <w:rsid w:val="00702635"/>
    <w:rsid w:val="00704A7B"/>
    <w:rsid w:val="007063B5"/>
    <w:rsid w:val="00707291"/>
    <w:rsid w:val="00707937"/>
    <w:rsid w:val="0071089E"/>
    <w:rsid w:val="00712E08"/>
    <w:rsid w:val="00713F52"/>
    <w:rsid w:val="00714351"/>
    <w:rsid w:val="0071521B"/>
    <w:rsid w:val="00716C52"/>
    <w:rsid w:val="0071756D"/>
    <w:rsid w:val="0072022A"/>
    <w:rsid w:val="00720854"/>
    <w:rsid w:val="00720B40"/>
    <w:rsid w:val="00721AC6"/>
    <w:rsid w:val="00721AF6"/>
    <w:rsid w:val="007222CD"/>
    <w:rsid w:val="007222F7"/>
    <w:rsid w:val="00722A24"/>
    <w:rsid w:val="0072313A"/>
    <w:rsid w:val="007240F9"/>
    <w:rsid w:val="00724910"/>
    <w:rsid w:val="00725E5D"/>
    <w:rsid w:val="0072618E"/>
    <w:rsid w:val="00731886"/>
    <w:rsid w:val="0073216C"/>
    <w:rsid w:val="007321AA"/>
    <w:rsid w:val="0073225D"/>
    <w:rsid w:val="00732FAE"/>
    <w:rsid w:val="0073311C"/>
    <w:rsid w:val="00734938"/>
    <w:rsid w:val="0073683B"/>
    <w:rsid w:val="0073737E"/>
    <w:rsid w:val="00737C15"/>
    <w:rsid w:val="0074089D"/>
    <w:rsid w:val="007414DF"/>
    <w:rsid w:val="00741F29"/>
    <w:rsid w:val="007424BC"/>
    <w:rsid w:val="00743E24"/>
    <w:rsid w:val="00745655"/>
    <w:rsid w:val="0074601E"/>
    <w:rsid w:val="007465AF"/>
    <w:rsid w:val="00746C61"/>
    <w:rsid w:val="00747202"/>
    <w:rsid w:val="0074781F"/>
    <w:rsid w:val="00750D09"/>
    <w:rsid w:val="00750DB6"/>
    <w:rsid w:val="00752F4E"/>
    <w:rsid w:val="00754188"/>
    <w:rsid w:val="00754C0C"/>
    <w:rsid w:val="00754D38"/>
    <w:rsid w:val="00757316"/>
    <w:rsid w:val="0075777B"/>
    <w:rsid w:val="00757B7E"/>
    <w:rsid w:val="00760CA4"/>
    <w:rsid w:val="00762657"/>
    <w:rsid w:val="0076375F"/>
    <w:rsid w:val="00764A5E"/>
    <w:rsid w:val="00764EF0"/>
    <w:rsid w:val="00765913"/>
    <w:rsid w:val="00765920"/>
    <w:rsid w:val="00767947"/>
    <w:rsid w:val="007708CF"/>
    <w:rsid w:val="00771BC7"/>
    <w:rsid w:val="00771F3D"/>
    <w:rsid w:val="00772742"/>
    <w:rsid w:val="00773221"/>
    <w:rsid w:val="0077332B"/>
    <w:rsid w:val="00773351"/>
    <w:rsid w:val="0077796C"/>
    <w:rsid w:val="0078215B"/>
    <w:rsid w:val="00782746"/>
    <w:rsid w:val="00784591"/>
    <w:rsid w:val="00784ECD"/>
    <w:rsid w:val="00785888"/>
    <w:rsid w:val="00786B33"/>
    <w:rsid w:val="0079353F"/>
    <w:rsid w:val="007943A2"/>
    <w:rsid w:val="007969A0"/>
    <w:rsid w:val="00796F59"/>
    <w:rsid w:val="007A143D"/>
    <w:rsid w:val="007A16D9"/>
    <w:rsid w:val="007A1FDE"/>
    <w:rsid w:val="007A2957"/>
    <w:rsid w:val="007A34E4"/>
    <w:rsid w:val="007A361B"/>
    <w:rsid w:val="007A4396"/>
    <w:rsid w:val="007A44DB"/>
    <w:rsid w:val="007A4733"/>
    <w:rsid w:val="007B1317"/>
    <w:rsid w:val="007B14FC"/>
    <w:rsid w:val="007B2BC3"/>
    <w:rsid w:val="007B3330"/>
    <w:rsid w:val="007B3F30"/>
    <w:rsid w:val="007B4ECA"/>
    <w:rsid w:val="007B5BD5"/>
    <w:rsid w:val="007C03A4"/>
    <w:rsid w:val="007C1AB6"/>
    <w:rsid w:val="007C1BB3"/>
    <w:rsid w:val="007C1E22"/>
    <w:rsid w:val="007C2F8A"/>
    <w:rsid w:val="007C43AD"/>
    <w:rsid w:val="007C4B33"/>
    <w:rsid w:val="007C512C"/>
    <w:rsid w:val="007C55F5"/>
    <w:rsid w:val="007C631A"/>
    <w:rsid w:val="007C6D0A"/>
    <w:rsid w:val="007C7094"/>
    <w:rsid w:val="007D2A30"/>
    <w:rsid w:val="007D3312"/>
    <w:rsid w:val="007D3A1F"/>
    <w:rsid w:val="007D4550"/>
    <w:rsid w:val="007D4F38"/>
    <w:rsid w:val="007D545E"/>
    <w:rsid w:val="007D64BA"/>
    <w:rsid w:val="007D6930"/>
    <w:rsid w:val="007D7EBF"/>
    <w:rsid w:val="007E18C2"/>
    <w:rsid w:val="007E3005"/>
    <w:rsid w:val="007E3C45"/>
    <w:rsid w:val="007E573F"/>
    <w:rsid w:val="007E6133"/>
    <w:rsid w:val="007F05CB"/>
    <w:rsid w:val="007F0919"/>
    <w:rsid w:val="007F0D35"/>
    <w:rsid w:val="007F24A5"/>
    <w:rsid w:val="007F27FB"/>
    <w:rsid w:val="007F3174"/>
    <w:rsid w:val="007F4269"/>
    <w:rsid w:val="007F45B1"/>
    <w:rsid w:val="007F5334"/>
    <w:rsid w:val="007F64AB"/>
    <w:rsid w:val="007F6B2E"/>
    <w:rsid w:val="00800E20"/>
    <w:rsid w:val="00801E2C"/>
    <w:rsid w:val="00801E3F"/>
    <w:rsid w:val="00801F3A"/>
    <w:rsid w:val="00801FA7"/>
    <w:rsid w:val="008041C6"/>
    <w:rsid w:val="00805A64"/>
    <w:rsid w:val="00805CE0"/>
    <w:rsid w:val="008062CF"/>
    <w:rsid w:val="008066A5"/>
    <w:rsid w:val="00806ED2"/>
    <w:rsid w:val="00807974"/>
    <w:rsid w:val="00807B59"/>
    <w:rsid w:val="00810279"/>
    <w:rsid w:val="00814337"/>
    <w:rsid w:val="00814E31"/>
    <w:rsid w:val="00814F49"/>
    <w:rsid w:val="00815EA8"/>
    <w:rsid w:val="00815FE6"/>
    <w:rsid w:val="00816A8C"/>
    <w:rsid w:val="0082245F"/>
    <w:rsid w:val="0082328F"/>
    <w:rsid w:val="008247D1"/>
    <w:rsid w:val="0082567A"/>
    <w:rsid w:val="00825CAB"/>
    <w:rsid w:val="0082759C"/>
    <w:rsid w:val="00827E8E"/>
    <w:rsid w:val="00827ED5"/>
    <w:rsid w:val="00830E11"/>
    <w:rsid w:val="00835645"/>
    <w:rsid w:val="00836BCE"/>
    <w:rsid w:val="008422A0"/>
    <w:rsid w:val="00843811"/>
    <w:rsid w:val="00843B43"/>
    <w:rsid w:val="0084652A"/>
    <w:rsid w:val="00847F07"/>
    <w:rsid w:val="00847F50"/>
    <w:rsid w:val="00847FFB"/>
    <w:rsid w:val="00850D3B"/>
    <w:rsid w:val="00851408"/>
    <w:rsid w:val="00851C18"/>
    <w:rsid w:val="00853D93"/>
    <w:rsid w:val="00853DFB"/>
    <w:rsid w:val="00854080"/>
    <w:rsid w:val="00854412"/>
    <w:rsid w:val="00854F2F"/>
    <w:rsid w:val="00855B0E"/>
    <w:rsid w:val="008561D0"/>
    <w:rsid w:val="00856D47"/>
    <w:rsid w:val="00861D12"/>
    <w:rsid w:val="00861E84"/>
    <w:rsid w:val="008624B8"/>
    <w:rsid w:val="008624BA"/>
    <w:rsid w:val="00862A60"/>
    <w:rsid w:val="00862EB5"/>
    <w:rsid w:val="0086387B"/>
    <w:rsid w:val="0086392B"/>
    <w:rsid w:val="00865A15"/>
    <w:rsid w:val="008665F5"/>
    <w:rsid w:val="00866633"/>
    <w:rsid w:val="00866CF3"/>
    <w:rsid w:val="008670DC"/>
    <w:rsid w:val="00871478"/>
    <w:rsid w:val="008718AF"/>
    <w:rsid w:val="00873D3B"/>
    <w:rsid w:val="00874327"/>
    <w:rsid w:val="0087499C"/>
    <w:rsid w:val="0087521C"/>
    <w:rsid w:val="008766CE"/>
    <w:rsid w:val="0088114B"/>
    <w:rsid w:val="00882290"/>
    <w:rsid w:val="00883735"/>
    <w:rsid w:val="0088406E"/>
    <w:rsid w:val="008858C2"/>
    <w:rsid w:val="008864CA"/>
    <w:rsid w:val="00891CB7"/>
    <w:rsid w:val="00894132"/>
    <w:rsid w:val="0089459F"/>
    <w:rsid w:val="00894EFA"/>
    <w:rsid w:val="008950E5"/>
    <w:rsid w:val="008951AC"/>
    <w:rsid w:val="00896322"/>
    <w:rsid w:val="0089748A"/>
    <w:rsid w:val="008A02E9"/>
    <w:rsid w:val="008A0EA2"/>
    <w:rsid w:val="008A28BC"/>
    <w:rsid w:val="008A3012"/>
    <w:rsid w:val="008A4413"/>
    <w:rsid w:val="008A5E7B"/>
    <w:rsid w:val="008A6BD4"/>
    <w:rsid w:val="008A6E9B"/>
    <w:rsid w:val="008B0016"/>
    <w:rsid w:val="008B0177"/>
    <w:rsid w:val="008B0F41"/>
    <w:rsid w:val="008B11CE"/>
    <w:rsid w:val="008B1D98"/>
    <w:rsid w:val="008B4BFA"/>
    <w:rsid w:val="008B5011"/>
    <w:rsid w:val="008B59DC"/>
    <w:rsid w:val="008B6F97"/>
    <w:rsid w:val="008C0D11"/>
    <w:rsid w:val="008C1A0A"/>
    <w:rsid w:val="008C2973"/>
    <w:rsid w:val="008C43F7"/>
    <w:rsid w:val="008C4F44"/>
    <w:rsid w:val="008C6774"/>
    <w:rsid w:val="008C6952"/>
    <w:rsid w:val="008C7364"/>
    <w:rsid w:val="008C7467"/>
    <w:rsid w:val="008D0D19"/>
    <w:rsid w:val="008D13F3"/>
    <w:rsid w:val="008D2FB5"/>
    <w:rsid w:val="008D36DB"/>
    <w:rsid w:val="008D5EA9"/>
    <w:rsid w:val="008D6AC6"/>
    <w:rsid w:val="008D7C94"/>
    <w:rsid w:val="008E2AB5"/>
    <w:rsid w:val="008E4BC0"/>
    <w:rsid w:val="008E6E9E"/>
    <w:rsid w:val="008E6F2A"/>
    <w:rsid w:val="008E7248"/>
    <w:rsid w:val="008E7569"/>
    <w:rsid w:val="008F087B"/>
    <w:rsid w:val="008F11D1"/>
    <w:rsid w:val="008F1D95"/>
    <w:rsid w:val="008F23DF"/>
    <w:rsid w:val="008F39A2"/>
    <w:rsid w:val="008F4AD9"/>
    <w:rsid w:val="008F53A8"/>
    <w:rsid w:val="008F612D"/>
    <w:rsid w:val="008F61A7"/>
    <w:rsid w:val="008F70D7"/>
    <w:rsid w:val="009002C4"/>
    <w:rsid w:val="00900989"/>
    <w:rsid w:val="0090187C"/>
    <w:rsid w:val="00904C20"/>
    <w:rsid w:val="00905291"/>
    <w:rsid w:val="00905DA4"/>
    <w:rsid w:val="00907A63"/>
    <w:rsid w:val="00911D9B"/>
    <w:rsid w:val="00912109"/>
    <w:rsid w:val="00912E26"/>
    <w:rsid w:val="00914890"/>
    <w:rsid w:val="00914A87"/>
    <w:rsid w:val="009166B8"/>
    <w:rsid w:val="00917739"/>
    <w:rsid w:val="00917E47"/>
    <w:rsid w:val="00920E06"/>
    <w:rsid w:val="00922715"/>
    <w:rsid w:val="009232BA"/>
    <w:rsid w:val="00923514"/>
    <w:rsid w:val="009243BE"/>
    <w:rsid w:val="00924A9C"/>
    <w:rsid w:val="009257BC"/>
    <w:rsid w:val="00925F4C"/>
    <w:rsid w:val="009262A5"/>
    <w:rsid w:val="0092748E"/>
    <w:rsid w:val="00927520"/>
    <w:rsid w:val="00927AC4"/>
    <w:rsid w:val="00930A0B"/>
    <w:rsid w:val="00931110"/>
    <w:rsid w:val="009339C5"/>
    <w:rsid w:val="009345F6"/>
    <w:rsid w:val="00934748"/>
    <w:rsid w:val="00934D66"/>
    <w:rsid w:val="00935C54"/>
    <w:rsid w:val="00942117"/>
    <w:rsid w:val="009452F9"/>
    <w:rsid w:val="009462B5"/>
    <w:rsid w:val="00947E82"/>
    <w:rsid w:val="00951216"/>
    <w:rsid w:val="0095205F"/>
    <w:rsid w:val="009540AF"/>
    <w:rsid w:val="00954F7A"/>
    <w:rsid w:val="00957543"/>
    <w:rsid w:val="00957C7C"/>
    <w:rsid w:val="00960ECB"/>
    <w:rsid w:val="009612C7"/>
    <w:rsid w:val="00961DDA"/>
    <w:rsid w:val="00962016"/>
    <w:rsid w:val="00962A54"/>
    <w:rsid w:val="00962BBC"/>
    <w:rsid w:val="00962CC0"/>
    <w:rsid w:val="00965808"/>
    <w:rsid w:val="00966127"/>
    <w:rsid w:val="009674C7"/>
    <w:rsid w:val="009701FC"/>
    <w:rsid w:val="009711DF"/>
    <w:rsid w:val="0097266A"/>
    <w:rsid w:val="00973494"/>
    <w:rsid w:val="00974D4E"/>
    <w:rsid w:val="00974ED6"/>
    <w:rsid w:val="00975593"/>
    <w:rsid w:val="00975A57"/>
    <w:rsid w:val="009777D6"/>
    <w:rsid w:val="009803C4"/>
    <w:rsid w:val="009805E9"/>
    <w:rsid w:val="0098068D"/>
    <w:rsid w:val="00981F6C"/>
    <w:rsid w:val="009831D0"/>
    <w:rsid w:val="00983991"/>
    <w:rsid w:val="009857AC"/>
    <w:rsid w:val="00992305"/>
    <w:rsid w:val="00992A7B"/>
    <w:rsid w:val="009942BA"/>
    <w:rsid w:val="00994DC8"/>
    <w:rsid w:val="009959B9"/>
    <w:rsid w:val="00995B6F"/>
    <w:rsid w:val="00995E53"/>
    <w:rsid w:val="009963C6"/>
    <w:rsid w:val="00996EB2"/>
    <w:rsid w:val="00996F0E"/>
    <w:rsid w:val="00996F74"/>
    <w:rsid w:val="009A05ED"/>
    <w:rsid w:val="009A1DEB"/>
    <w:rsid w:val="009A3035"/>
    <w:rsid w:val="009A4464"/>
    <w:rsid w:val="009A5655"/>
    <w:rsid w:val="009A6525"/>
    <w:rsid w:val="009A6841"/>
    <w:rsid w:val="009A71CB"/>
    <w:rsid w:val="009A78C5"/>
    <w:rsid w:val="009A7F71"/>
    <w:rsid w:val="009B16B4"/>
    <w:rsid w:val="009B2D8F"/>
    <w:rsid w:val="009B3174"/>
    <w:rsid w:val="009B3B9B"/>
    <w:rsid w:val="009B3C97"/>
    <w:rsid w:val="009B4821"/>
    <w:rsid w:val="009B484C"/>
    <w:rsid w:val="009B53AE"/>
    <w:rsid w:val="009B625E"/>
    <w:rsid w:val="009C0B50"/>
    <w:rsid w:val="009C1586"/>
    <w:rsid w:val="009C1619"/>
    <w:rsid w:val="009C3932"/>
    <w:rsid w:val="009C50D7"/>
    <w:rsid w:val="009C7041"/>
    <w:rsid w:val="009D044E"/>
    <w:rsid w:val="009D09E2"/>
    <w:rsid w:val="009D4ED3"/>
    <w:rsid w:val="009D54A4"/>
    <w:rsid w:val="009D57C5"/>
    <w:rsid w:val="009D6223"/>
    <w:rsid w:val="009D66CC"/>
    <w:rsid w:val="009E20B0"/>
    <w:rsid w:val="009E4094"/>
    <w:rsid w:val="009E42C3"/>
    <w:rsid w:val="009E4309"/>
    <w:rsid w:val="009E641F"/>
    <w:rsid w:val="009E689D"/>
    <w:rsid w:val="009E7638"/>
    <w:rsid w:val="009E7FF9"/>
    <w:rsid w:val="009F077E"/>
    <w:rsid w:val="009F2A8D"/>
    <w:rsid w:val="009F315D"/>
    <w:rsid w:val="009F3E31"/>
    <w:rsid w:val="009F4FB4"/>
    <w:rsid w:val="009F5BD0"/>
    <w:rsid w:val="009F5E7F"/>
    <w:rsid w:val="009F6992"/>
    <w:rsid w:val="009F726C"/>
    <w:rsid w:val="009F795B"/>
    <w:rsid w:val="009F7BD1"/>
    <w:rsid w:val="009F7EF5"/>
    <w:rsid w:val="00A00402"/>
    <w:rsid w:val="00A00C3E"/>
    <w:rsid w:val="00A01364"/>
    <w:rsid w:val="00A0163A"/>
    <w:rsid w:val="00A017F0"/>
    <w:rsid w:val="00A0184F"/>
    <w:rsid w:val="00A0201D"/>
    <w:rsid w:val="00A0404A"/>
    <w:rsid w:val="00A04967"/>
    <w:rsid w:val="00A06FF3"/>
    <w:rsid w:val="00A07FDD"/>
    <w:rsid w:val="00A10E17"/>
    <w:rsid w:val="00A11EA3"/>
    <w:rsid w:val="00A12672"/>
    <w:rsid w:val="00A12BF5"/>
    <w:rsid w:val="00A15629"/>
    <w:rsid w:val="00A15E0A"/>
    <w:rsid w:val="00A17464"/>
    <w:rsid w:val="00A201D0"/>
    <w:rsid w:val="00A2417B"/>
    <w:rsid w:val="00A26588"/>
    <w:rsid w:val="00A266A1"/>
    <w:rsid w:val="00A27489"/>
    <w:rsid w:val="00A2782E"/>
    <w:rsid w:val="00A3217E"/>
    <w:rsid w:val="00A330C6"/>
    <w:rsid w:val="00A3325B"/>
    <w:rsid w:val="00A3561A"/>
    <w:rsid w:val="00A41619"/>
    <w:rsid w:val="00A433C1"/>
    <w:rsid w:val="00A4366F"/>
    <w:rsid w:val="00A476D4"/>
    <w:rsid w:val="00A47F83"/>
    <w:rsid w:val="00A51977"/>
    <w:rsid w:val="00A524CB"/>
    <w:rsid w:val="00A524D1"/>
    <w:rsid w:val="00A52FB2"/>
    <w:rsid w:val="00A55012"/>
    <w:rsid w:val="00A551DA"/>
    <w:rsid w:val="00A55C51"/>
    <w:rsid w:val="00A56C84"/>
    <w:rsid w:val="00A56DC9"/>
    <w:rsid w:val="00A57F26"/>
    <w:rsid w:val="00A60FFF"/>
    <w:rsid w:val="00A62B1A"/>
    <w:rsid w:val="00A62F18"/>
    <w:rsid w:val="00A65EAA"/>
    <w:rsid w:val="00A669AF"/>
    <w:rsid w:val="00A70553"/>
    <w:rsid w:val="00A7158B"/>
    <w:rsid w:val="00A719A8"/>
    <w:rsid w:val="00A7275E"/>
    <w:rsid w:val="00A72F53"/>
    <w:rsid w:val="00A73FDE"/>
    <w:rsid w:val="00A74402"/>
    <w:rsid w:val="00A74622"/>
    <w:rsid w:val="00A75E7A"/>
    <w:rsid w:val="00A7722A"/>
    <w:rsid w:val="00A81D58"/>
    <w:rsid w:val="00A82B38"/>
    <w:rsid w:val="00A82D58"/>
    <w:rsid w:val="00A8324A"/>
    <w:rsid w:val="00A845C8"/>
    <w:rsid w:val="00A849FF"/>
    <w:rsid w:val="00A84F2F"/>
    <w:rsid w:val="00A90AAF"/>
    <w:rsid w:val="00A9195E"/>
    <w:rsid w:val="00A9201B"/>
    <w:rsid w:val="00A9280F"/>
    <w:rsid w:val="00A938C6"/>
    <w:rsid w:val="00A94026"/>
    <w:rsid w:val="00A94636"/>
    <w:rsid w:val="00A9777F"/>
    <w:rsid w:val="00AA0ED7"/>
    <w:rsid w:val="00AA17D2"/>
    <w:rsid w:val="00AA2ECC"/>
    <w:rsid w:val="00AA3320"/>
    <w:rsid w:val="00AA535B"/>
    <w:rsid w:val="00AA5AB7"/>
    <w:rsid w:val="00AA5F79"/>
    <w:rsid w:val="00AB161A"/>
    <w:rsid w:val="00AB3D6C"/>
    <w:rsid w:val="00AB6337"/>
    <w:rsid w:val="00AB6961"/>
    <w:rsid w:val="00AC105D"/>
    <w:rsid w:val="00AC1D65"/>
    <w:rsid w:val="00AC4269"/>
    <w:rsid w:val="00AC51DA"/>
    <w:rsid w:val="00AC5EEF"/>
    <w:rsid w:val="00AD1AC1"/>
    <w:rsid w:val="00AD1C79"/>
    <w:rsid w:val="00AD3599"/>
    <w:rsid w:val="00AD38CE"/>
    <w:rsid w:val="00AD398C"/>
    <w:rsid w:val="00AD4086"/>
    <w:rsid w:val="00AD47D5"/>
    <w:rsid w:val="00AD4BDB"/>
    <w:rsid w:val="00AD6B94"/>
    <w:rsid w:val="00AE01A4"/>
    <w:rsid w:val="00AE0D59"/>
    <w:rsid w:val="00AE2EDB"/>
    <w:rsid w:val="00AE394B"/>
    <w:rsid w:val="00AE3F0B"/>
    <w:rsid w:val="00AE4524"/>
    <w:rsid w:val="00AE4A35"/>
    <w:rsid w:val="00AF2285"/>
    <w:rsid w:val="00AF3D43"/>
    <w:rsid w:val="00AF4804"/>
    <w:rsid w:val="00AF4D25"/>
    <w:rsid w:val="00AF4D93"/>
    <w:rsid w:val="00B00896"/>
    <w:rsid w:val="00B01C38"/>
    <w:rsid w:val="00B033DC"/>
    <w:rsid w:val="00B03424"/>
    <w:rsid w:val="00B04A77"/>
    <w:rsid w:val="00B06BEE"/>
    <w:rsid w:val="00B06E17"/>
    <w:rsid w:val="00B119B0"/>
    <w:rsid w:val="00B12EFE"/>
    <w:rsid w:val="00B134A2"/>
    <w:rsid w:val="00B13EA2"/>
    <w:rsid w:val="00B17153"/>
    <w:rsid w:val="00B17AF6"/>
    <w:rsid w:val="00B200C1"/>
    <w:rsid w:val="00B204E2"/>
    <w:rsid w:val="00B2112F"/>
    <w:rsid w:val="00B22D1D"/>
    <w:rsid w:val="00B23118"/>
    <w:rsid w:val="00B23503"/>
    <w:rsid w:val="00B23F95"/>
    <w:rsid w:val="00B25221"/>
    <w:rsid w:val="00B255CB"/>
    <w:rsid w:val="00B27E55"/>
    <w:rsid w:val="00B30330"/>
    <w:rsid w:val="00B30948"/>
    <w:rsid w:val="00B30CF4"/>
    <w:rsid w:val="00B31E78"/>
    <w:rsid w:val="00B33A12"/>
    <w:rsid w:val="00B34EF4"/>
    <w:rsid w:val="00B35973"/>
    <w:rsid w:val="00B36684"/>
    <w:rsid w:val="00B37A87"/>
    <w:rsid w:val="00B37AE7"/>
    <w:rsid w:val="00B40C99"/>
    <w:rsid w:val="00B41479"/>
    <w:rsid w:val="00B4353D"/>
    <w:rsid w:val="00B43E3E"/>
    <w:rsid w:val="00B45B06"/>
    <w:rsid w:val="00B45D2B"/>
    <w:rsid w:val="00B462C0"/>
    <w:rsid w:val="00B4722D"/>
    <w:rsid w:val="00B5253E"/>
    <w:rsid w:val="00B52A25"/>
    <w:rsid w:val="00B53A92"/>
    <w:rsid w:val="00B54BE2"/>
    <w:rsid w:val="00B54DE7"/>
    <w:rsid w:val="00B569D2"/>
    <w:rsid w:val="00B61FB3"/>
    <w:rsid w:val="00B625FA"/>
    <w:rsid w:val="00B64E97"/>
    <w:rsid w:val="00B65F23"/>
    <w:rsid w:val="00B66628"/>
    <w:rsid w:val="00B6690D"/>
    <w:rsid w:val="00B66955"/>
    <w:rsid w:val="00B67705"/>
    <w:rsid w:val="00B7320D"/>
    <w:rsid w:val="00B7531C"/>
    <w:rsid w:val="00B76138"/>
    <w:rsid w:val="00B77481"/>
    <w:rsid w:val="00B77854"/>
    <w:rsid w:val="00B8103A"/>
    <w:rsid w:val="00B82215"/>
    <w:rsid w:val="00B82D20"/>
    <w:rsid w:val="00B83B4C"/>
    <w:rsid w:val="00B8427B"/>
    <w:rsid w:val="00B8583F"/>
    <w:rsid w:val="00B86221"/>
    <w:rsid w:val="00B87557"/>
    <w:rsid w:val="00B8772A"/>
    <w:rsid w:val="00B9157F"/>
    <w:rsid w:val="00B92B00"/>
    <w:rsid w:val="00B93F07"/>
    <w:rsid w:val="00B9520B"/>
    <w:rsid w:val="00B9676E"/>
    <w:rsid w:val="00B96AD1"/>
    <w:rsid w:val="00BA3C79"/>
    <w:rsid w:val="00BA4F13"/>
    <w:rsid w:val="00BA62A1"/>
    <w:rsid w:val="00BA7A29"/>
    <w:rsid w:val="00BA7A3F"/>
    <w:rsid w:val="00BB3DFA"/>
    <w:rsid w:val="00BB58D6"/>
    <w:rsid w:val="00BB664C"/>
    <w:rsid w:val="00BC085F"/>
    <w:rsid w:val="00BC0939"/>
    <w:rsid w:val="00BC120B"/>
    <w:rsid w:val="00BC15D2"/>
    <w:rsid w:val="00BC3169"/>
    <w:rsid w:val="00BC45B5"/>
    <w:rsid w:val="00BC45E3"/>
    <w:rsid w:val="00BC5E8D"/>
    <w:rsid w:val="00BC640A"/>
    <w:rsid w:val="00BC774E"/>
    <w:rsid w:val="00BD090D"/>
    <w:rsid w:val="00BD0B18"/>
    <w:rsid w:val="00BD0BCA"/>
    <w:rsid w:val="00BD11D1"/>
    <w:rsid w:val="00BD2133"/>
    <w:rsid w:val="00BD2FA5"/>
    <w:rsid w:val="00BD495A"/>
    <w:rsid w:val="00BD4C96"/>
    <w:rsid w:val="00BD4DB6"/>
    <w:rsid w:val="00BD603A"/>
    <w:rsid w:val="00BD6C5D"/>
    <w:rsid w:val="00BE0710"/>
    <w:rsid w:val="00BE0DBF"/>
    <w:rsid w:val="00BE2CB8"/>
    <w:rsid w:val="00BE2F1C"/>
    <w:rsid w:val="00BE30AA"/>
    <w:rsid w:val="00BE319A"/>
    <w:rsid w:val="00BE3736"/>
    <w:rsid w:val="00BE41E9"/>
    <w:rsid w:val="00BE4DC5"/>
    <w:rsid w:val="00BE5405"/>
    <w:rsid w:val="00BE6224"/>
    <w:rsid w:val="00BE696A"/>
    <w:rsid w:val="00BE6C2E"/>
    <w:rsid w:val="00BF0E2C"/>
    <w:rsid w:val="00BF24F0"/>
    <w:rsid w:val="00BF2702"/>
    <w:rsid w:val="00BF27C1"/>
    <w:rsid w:val="00BF37B1"/>
    <w:rsid w:val="00BF3D9B"/>
    <w:rsid w:val="00BF4F18"/>
    <w:rsid w:val="00BF5BC3"/>
    <w:rsid w:val="00BF7068"/>
    <w:rsid w:val="00C0396C"/>
    <w:rsid w:val="00C0537F"/>
    <w:rsid w:val="00C05500"/>
    <w:rsid w:val="00C06B2D"/>
    <w:rsid w:val="00C06F69"/>
    <w:rsid w:val="00C07E21"/>
    <w:rsid w:val="00C07F51"/>
    <w:rsid w:val="00C10269"/>
    <w:rsid w:val="00C10924"/>
    <w:rsid w:val="00C109DC"/>
    <w:rsid w:val="00C10B06"/>
    <w:rsid w:val="00C10BCE"/>
    <w:rsid w:val="00C11473"/>
    <w:rsid w:val="00C11D47"/>
    <w:rsid w:val="00C12E87"/>
    <w:rsid w:val="00C14C2F"/>
    <w:rsid w:val="00C14DDE"/>
    <w:rsid w:val="00C158DB"/>
    <w:rsid w:val="00C15D2C"/>
    <w:rsid w:val="00C16476"/>
    <w:rsid w:val="00C17749"/>
    <w:rsid w:val="00C202BB"/>
    <w:rsid w:val="00C2267F"/>
    <w:rsid w:val="00C2513E"/>
    <w:rsid w:val="00C2544E"/>
    <w:rsid w:val="00C26A07"/>
    <w:rsid w:val="00C27184"/>
    <w:rsid w:val="00C272F2"/>
    <w:rsid w:val="00C2763B"/>
    <w:rsid w:val="00C27FA4"/>
    <w:rsid w:val="00C304FD"/>
    <w:rsid w:val="00C31944"/>
    <w:rsid w:val="00C34778"/>
    <w:rsid w:val="00C35396"/>
    <w:rsid w:val="00C356D5"/>
    <w:rsid w:val="00C366EA"/>
    <w:rsid w:val="00C40B23"/>
    <w:rsid w:val="00C40C27"/>
    <w:rsid w:val="00C434E4"/>
    <w:rsid w:val="00C4459F"/>
    <w:rsid w:val="00C44743"/>
    <w:rsid w:val="00C44BC3"/>
    <w:rsid w:val="00C46DB8"/>
    <w:rsid w:val="00C46F57"/>
    <w:rsid w:val="00C51029"/>
    <w:rsid w:val="00C560D9"/>
    <w:rsid w:val="00C57125"/>
    <w:rsid w:val="00C57680"/>
    <w:rsid w:val="00C5771F"/>
    <w:rsid w:val="00C57933"/>
    <w:rsid w:val="00C57AC8"/>
    <w:rsid w:val="00C60D6E"/>
    <w:rsid w:val="00C62309"/>
    <w:rsid w:val="00C65689"/>
    <w:rsid w:val="00C677C7"/>
    <w:rsid w:val="00C7028C"/>
    <w:rsid w:val="00C70B61"/>
    <w:rsid w:val="00C71252"/>
    <w:rsid w:val="00C728A2"/>
    <w:rsid w:val="00C729A4"/>
    <w:rsid w:val="00C741EE"/>
    <w:rsid w:val="00C74AAE"/>
    <w:rsid w:val="00C74ECC"/>
    <w:rsid w:val="00C7527C"/>
    <w:rsid w:val="00C755F7"/>
    <w:rsid w:val="00C756FF"/>
    <w:rsid w:val="00C7670B"/>
    <w:rsid w:val="00C76CE3"/>
    <w:rsid w:val="00C76CE4"/>
    <w:rsid w:val="00C77812"/>
    <w:rsid w:val="00C80B84"/>
    <w:rsid w:val="00C80E8B"/>
    <w:rsid w:val="00C820D4"/>
    <w:rsid w:val="00C8274A"/>
    <w:rsid w:val="00C83A45"/>
    <w:rsid w:val="00C876A2"/>
    <w:rsid w:val="00C87EEE"/>
    <w:rsid w:val="00C91507"/>
    <w:rsid w:val="00C918CD"/>
    <w:rsid w:val="00C927EC"/>
    <w:rsid w:val="00C93523"/>
    <w:rsid w:val="00C96A25"/>
    <w:rsid w:val="00C96BD7"/>
    <w:rsid w:val="00C97B70"/>
    <w:rsid w:val="00CA0024"/>
    <w:rsid w:val="00CA0226"/>
    <w:rsid w:val="00CA057A"/>
    <w:rsid w:val="00CA1062"/>
    <w:rsid w:val="00CA23DA"/>
    <w:rsid w:val="00CA2616"/>
    <w:rsid w:val="00CA3C20"/>
    <w:rsid w:val="00CA5E18"/>
    <w:rsid w:val="00CA6123"/>
    <w:rsid w:val="00CA62D1"/>
    <w:rsid w:val="00CA6944"/>
    <w:rsid w:val="00CA7653"/>
    <w:rsid w:val="00CA796E"/>
    <w:rsid w:val="00CA7C69"/>
    <w:rsid w:val="00CB005D"/>
    <w:rsid w:val="00CB1079"/>
    <w:rsid w:val="00CB2710"/>
    <w:rsid w:val="00CB2803"/>
    <w:rsid w:val="00CB3049"/>
    <w:rsid w:val="00CB417D"/>
    <w:rsid w:val="00CB489A"/>
    <w:rsid w:val="00CB5476"/>
    <w:rsid w:val="00CB6033"/>
    <w:rsid w:val="00CB60D9"/>
    <w:rsid w:val="00CB6ED6"/>
    <w:rsid w:val="00CC0138"/>
    <w:rsid w:val="00CC043C"/>
    <w:rsid w:val="00CC054D"/>
    <w:rsid w:val="00CC215D"/>
    <w:rsid w:val="00CC2656"/>
    <w:rsid w:val="00CC4A4A"/>
    <w:rsid w:val="00CC5A0B"/>
    <w:rsid w:val="00CC71DF"/>
    <w:rsid w:val="00CC7E11"/>
    <w:rsid w:val="00CD0CAA"/>
    <w:rsid w:val="00CD3176"/>
    <w:rsid w:val="00CD3763"/>
    <w:rsid w:val="00CD4BD9"/>
    <w:rsid w:val="00CD65C8"/>
    <w:rsid w:val="00CD7930"/>
    <w:rsid w:val="00CE0E42"/>
    <w:rsid w:val="00CE2174"/>
    <w:rsid w:val="00CE2445"/>
    <w:rsid w:val="00CE34BC"/>
    <w:rsid w:val="00CE6465"/>
    <w:rsid w:val="00CF04FC"/>
    <w:rsid w:val="00CF330B"/>
    <w:rsid w:val="00CF4EBA"/>
    <w:rsid w:val="00CF54DD"/>
    <w:rsid w:val="00CF6EA1"/>
    <w:rsid w:val="00CF780B"/>
    <w:rsid w:val="00D002E8"/>
    <w:rsid w:val="00D019BA"/>
    <w:rsid w:val="00D01B04"/>
    <w:rsid w:val="00D01C69"/>
    <w:rsid w:val="00D02DD9"/>
    <w:rsid w:val="00D044AC"/>
    <w:rsid w:val="00D057B1"/>
    <w:rsid w:val="00D065E5"/>
    <w:rsid w:val="00D066C6"/>
    <w:rsid w:val="00D078AF"/>
    <w:rsid w:val="00D11A4F"/>
    <w:rsid w:val="00D11D21"/>
    <w:rsid w:val="00D121AD"/>
    <w:rsid w:val="00D12B43"/>
    <w:rsid w:val="00D14267"/>
    <w:rsid w:val="00D14337"/>
    <w:rsid w:val="00D14565"/>
    <w:rsid w:val="00D15932"/>
    <w:rsid w:val="00D17012"/>
    <w:rsid w:val="00D17692"/>
    <w:rsid w:val="00D176A3"/>
    <w:rsid w:val="00D23192"/>
    <w:rsid w:val="00D24975"/>
    <w:rsid w:val="00D2593C"/>
    <w:rsid w:val="00D259E4"/>
    <w:rsid w:val="00D25A9D"/>
    <w:rsid w:val="00D26375"/>
    <w:rsid w:val="00D26DAD"/>
    <w:rsid w:val="00D271B2"/>
    <w:rsid w:val="00D2747F"/>
    <w:rsid w:val="00D27D8A"/>
    <w:rsid w:val="00D30482"/>
    <w:rsid w:val="00D35080"/>
    <w:rsid w:val="00D35C0C"/>
    <w:rsid w:val="00D3695F"/>
    <w:rsid w:val="00D40B11"/>
    <w:rsid w:val="00D41FF0"/>
    <w:rsid w:val="00D436E9"/>
    <w:rsid w:val="00D45178"/>
    <w:rsid w:val="00D47415"/>
    <w:rsid w:val="00D47525"/>
    <w:rsid w:val="00D47CA0"/>
    <w:rsid w:val="00D502F0"/>
    <w:rsid w:val="00D51256"/>
    <w:rsid w:val="00D535D3"/>
    <w:rsid w:val="00D53FCA"/>
    <w:rsid w:val="00D54850"/>
    <w:rsid w:val="00D565A6"/>
    <w:rsid w:val="00D56AB1"/>
    <w:rsid w:val="00D57034"/>
    <w:rsid w:val="00D60647"/>
    <w:rsid w:val="00D67DA6"/>
    <w:rsid w:val="00D67FA9"/>
    <w:rsid w:val="00D708F7"/>
    <w:rsid w:val="00D71115"/>
    <w:rsid w:val="00D725B5"/>
    <w:rsid w:val="00D7420A"/>
    <w:rsid w:val="00D753C9"/>
    <w:rsid w:val="00D756FA"/>
    <w:rsid w:val="00D76135"/>
    <w:rsid w:val="00D76155"/>
    <w:rsid w:val="00D764EB"/>
    <w:rsid w:val="00D801BB"/>
    <w:rsid w:val="00D80213"/>
    <w:rsid w:val="00D8095B"/>
    <w:rsid w:val="00D80AEF"/>
    <w:rsid w:val="00D81FA0"/>
    <w:rsid w:val="00D839EC"/>
    <w:rsid w:val="00D84CEF"/>
    <w:rsid w:val="00D857B7"/>
    <w:rsid w:val="00D85F63"/>
    <w:rsid w:val="00D8617E"/>
    <w:rsid w:val="00D87D63"/>
    <w:rsid w:val="00D87F3B"/>
    <w:rsid w:val="00D903EA"/>
    <w:rsid w:val="00D9063E"/>
    <w:rsid w:val="00D9165D"/>
    <w:rsid w:val="00D91BF8"/>
    <w:rsid w:val="00D92578"/>
    <w:rsid w:val="00D92D63"/>
    <w:rsid w:val="00D9474F"/>
    <w:rsid w:val="00D94911"/>
    <w:rsid w:val="00D964FA"/>
    <w:rsid w:val="00D96AF7"/>
    <w:rsid w:val="00D96C79"/>
    <w:rsid w:val="00D97D67"/>
    <w:rsid w:val="00DA09B1"/>
    <w:rsid w:val="00DA0F27"/>
    <w:rsid w:val="00DA17B3"/>
    <w:rsid w:val="00DA3AE1"/>
    <w:rsid w:val="00DA3E68"/>
    <w:rsid w:val="00DA4422"/>
    <w:rsid w:val="00DA505E"/>
    <w:rsid w:val="00DA6B6D"/>
    <w:rsid w:val="00DA77EF"/>
    <w:rsid w:val="00DB0033"/>
    <w:rsid w:val="00DB00D2"/>
    <w:rsid w:val="00DB026B"/>
    <w:rsid w:val="00DB0AC9"/>
    <w:rsid w:val="00DB1895"/>
    <w:rsid w:val="00DB3CC4"/>
    <w:rsid w:val="00DB467F"/>
    <w:rsid w:val="00DB4B14"/>
    <w:rsid w:val="00DB73B2"/>
    <w:rsid w:val="00DC4B82"/>
    <w:rsid w:val="00DC4CE6"/>
    <w:rsid w:val="00DC5813"/>
    <w:rsid w:val="00DC59F0"/>
    <w:rsid w:val="00DC690E"/>
    <w:rsid w:val="00DC7EEB"/>
    <w:rsid w:val="00DD0011"/>
    <w:rsid w:val="00DD279B"/>
    <w:rsid w:val="00DD4211"/>
    <w:rsid w:val="00DD45C9"/>
    <w:rsid w:val="00DD55B8"/>
    <w:rsid w:val="00DE1892"/>
    <w:rsid w:val="00DE397E"/>
    <w:rsid w:val="00DE3D3C"/>
    <w:rsid w:val="00DE54A5"/>
    <w:rsid w:val="00DF0C9E"/>
    <w:rsid w:val="00DF2E17"/>
    <w:rsid w:val="00DF2FD4"/>
    <w:rsid w:val="00DF4F99"/>
    <w:rsid w:val="00DF5BE0"/>
    <w:rsid w:val="00DF5EB6"/>
    <w:rsid w:val="00DF72F9"/>
    <w:rsid w:val="00E0004F"/>
    <w:rsid w:val="00E04FB1"/>
    <w:rsid w:val="00E059FD"/>
    <w:rsid w:val="00E05B97"/>
    <w:rsid w:val="00E0673D"/>
    <w:rsid w:val="00E13799"/>
    <w:rsid w:val="00E14A63"/>
    <w:rsid w:val="00E14CCD"/>
    <w:rsid w:val="00E15A28"/>
    <w:rsid w:val="00E20322"/>
    <w:rsid w:val="00E221D3"/>
    <w:rsid w:val="00E238B3"/>
    <w:rsid w:val="00E26801"/>
    <w:rsid w:val="00E26819"/>
    <w:rsid w:val="00E27148"/>
    <w:rsid w:val="00E274DF"/>
    <w:rsid w:val="00E30C09"/>
    <w:rsid w:val="00E31831"/>
    <w:rsid w:val="00E40656"/>
    <w:rsid w:val="00E41748"/>
    <w:rsid w:val="00E41AAB"/>
    <w:rsid w:val="00E4248B"/>
    <w:rsid w:val="00E42928"/>
    <w:rsid w:val="00E43194"/>
    <w:rsid w:val="00E45928"/>
    <w:rsid w:val="00E45991"/>
    <w:rsid w:val="00E46395"/>
    <w:rsid w:val="00E4737F"/>
    <w:rsid w:val="00E511BF"/>
    <w:rsid w:val="00E523F7"/>
    <w:rsid w:val="00E52C9D"/>
    <w:rsid w:val="00E53F78"/>
    <w:rsid w:val="00E554FD"/>
    <w:rsid w:val="00E55BFC"/>
    <w:rsid w:val="00E56097"/>
    <w:rsid w:val="00E56A23"/>
    <w:rsid w:val="00E57179"/>
    <w:rsid w:val="00E57B92"/>
    <w:rsid w:val="00E60584"/>
    <w:rsid w:val="00E60C6B"/>
    <w:rsid w:val="00E60F01"/>
    <w:rsid w:val="00E63474"/>
    <w:rsid w:val="00E63701"/>
    <w:rsid w:val="00E6431F"/>
    <w:rsid w:val="00E64D56"/>
    <w:rsid w:val="00E65607"/>
    <w:rsid w:val="00E65866"/>
    <w:rsid w:val="00E65A0A"/>
    <w:rsid w:val="00E67840"/>
    <w:rsid w:val="00E753EC"/>
    <w:rsid w:val="00E762F0"/>
    <w:rsid w:val="00E800EF"/>
    <w:rsid w:val="00E803F1"/>
    <w:rsid w:val="00E80B03"/>
    <w:rsid w:val="00E815CD"/>
    <w:rsid w:val="00E816F7"/>
    <w:rsid w:val="00E81955"/>
    <w:rsid w:val="00E83353"/>
    <w:rsid w:val="00E85961"/>
    <w:rsid w:val="00E86BEA"/>
    <w:rsid w:val="00E86CE1"/>
    <w:rsid w:val="00E86E6F"/>
    <w:rsid w:val="00E87504"/>
    <w:rsid w:val="00E9118E"/>
    <w:rsid w:val="00E91602"/>
    <w:rsid w:val="00E93D6F"/>
    <w:rsid w:val="00E955B5"/>
    <w:rsid w:val="00E96E10"/>
    <w:rsid w:val="00E972C8"/>
    <w:rsid w:val="00E976E3"/>
    <w:rsid w:val="00EA0B69"/>
    <w:rsid w:val="00EA0CAB"/>
    <w:rsid w:val="00EA115B"/>
    <w:rsid w:val="00EA1955"/>
    <w:rsid w:val="00EA1C58"/>
    <w:rsid w:val="00EA1DC3"/>
    <w:rsid w:val="00EA2495"/>
    <w:rsid w:val="00EA2E57"/>
    <w:rsid w:val="00EA32A1"/>
    <w:rsid w:val="00EA42B8"/>
    <w:rsid w:val="00EA5EA0"/>
    <w:rsid w:val="00EA799B"/>
    <w:rsid w:val="00EB41E7"/>
    <w:rsid w:val="00EB7A75"/>
    <w:rsid w:val="00EC0990"/>
    <w:rsid w:val="00EC0F11"/>
    <w:rsid w:val="00EC1584"/>
    <w:rsid w:val="00EC414F"/>
    <w:rsid w:val="00EC49F7"/>
    <w:rsid w:val="00EC5224"/>
    <w:rsid w:val="00EC5429"/>
    <w:rsid w:val="00EC56D0"/>
    <w:rsid w:val="00EC604B"/>
    <w:rsid w:val="00EC6BB1"/>
    <w:rsid w:val="00ED19C7"/>
    <w:rsid w:val="00ED395A"/>
    <w:rsid w:val="00ED46D8"/>
    <w:rsid w:val="00ED4C78"/>
    <w:rsid w:val="00ED64BA"/>
    <w:rsid w:val="00ED7674"/>
    <w:rsid w:val="00ED7BC9"/>
    <w:rsid w:val="00EE02B8"/>
    <w:rsid w:val="00EE04B1"/>
    <w:rsid w:val="00EE162E"/>
    <w:rsid w:val="00EE38D6"/>
    <w:rsid w:val="00EE6D08"/>
    <w:rsid w:val="00EE728B"/>
    <w:rsid w:val="00EE7CE9"/>
    <w:rsid w:val="00EF0D05"/>
    <w:rsid w:val="00EF11F7"/>
    <w:rsid w:val="00EF1883"/>
    <w:rsid w:val="00EF55AB"/>
    <w:rsid w:val="00EF5763"/>
    <w:rsid w:val="00EF579C"/>
    <w:rsid w:val="00EF5CB0"/>
    <w:rsid w:val="00EF7118"/>
    <w:rsid w:val="00F011F6"/>
    <w:rsid w:val="00F01239"/>
    <w:rsid w:val="00F02BDD"/>
    <w:rsid w:val="00F0514C"/>
    <w:rsid w:val="00F054A5"/>
    <w:rsid w:val="00F0618A"/>
    <w:rsid w:val="00F073B4"/>
    <w:rsid w:val="00F120D2"/>
    <w:rsid w:val="00F15289"/>
    <w:rsid w:val="00F1575F"/>
    <w:rsid w:val="00F15A84"/>
    <w:rsid w:val="00F166B1"/>
    <w:rsid w:val="00F22125"/>
    <w:rsid w:val="00F2298C"/>
    <w:rsid w:val="00F23295"/>
    <w:rsid w:val="00F24AB0"/>
    <w:rsid w:val="00F2608C"/>
    <w:rsid w:val="00F267B0"/>
    <w:rsid w:val="00F277CF"/>
    <w:rsid w:val="00F30FAF"/>
    <w:rsid w:val="00F31F61"/>
    <w:rsid w:val="00F337BD"/>
    <w:rsid w:val="00F337E5"/>
    <w:rsid w:val="00F339A0"/>
    <w:rsid w:val="00F362D5"/>
    <w:rsid w:val="00F36FF9"/>
    <w:rsid w:val="00F372D8"/>
    <w:rsid w:val="00F37849"/>
    <w:rsid w:val="00F4038F"/>
    <w:rsid w:val="00F40904"/>
    <w:rsid w:val="00F4191A"/>
    <w:rsid w:val="00F42CE3"/>
    <w:rsid w:val="00F435E4"/>
    <w:rsid w:val="00F44B11"/>
    <w:rsid w:val="00F47242"/>
    <w:rsid w:val="00F503B6"/>
    <w:rsid w:val="00F51713"/>
    <w:rsid w:val="00F52A18"/>
    <w:rsid w:val="00F55B30"/>
    <w:rsid w:val="00F6143D"/>
    <w:rsid w:val="00F62929"/>
    <w:rsid w:val="00F63B93"/>
    <w:rsid w:val="00F63D94"/>
    <w:rsid w:val="00F64A30"/>
    <w:rsid w:val="00F65AA4"/>
    <w:rsid w:val="00F65B41"/>
    <w:rsid w:val="00F65F00"/>
    <w:rsid w:val="00F66FD9"/>
    <w:rsid w:val="00F716EE"/>
    <w:rsid w:val="00F71CC1"/>
    <w:rsid w:val="00F7227F"/>
    <w:rsid w:val="00F7289F"/>
    <w:rsid w:val="00F7328D"/>
    <w:rsid w:val="00F7387B"/>
    <w:rsid w:val="00F74614"/>
    <w:rsid w:val="00F756A6"/>
    <w:rsid w:val="00F7713A"/>
    <w:rsid w:val="00F77A6F"/>
    <w:rsid w:val="00F80259"/>
    <w:rsid w:val="00F81310"/>
    <w:rsid w:val="00F81BAA"/>
    <w:rsid w:val="00F831E3"/>
    <w:rsid w:val="00F83A72"/>
    <w:rsid w:val="00F8600B"/>
    <w:rsid w:val="00F874AD"/>
    <w:rsid w:val="00F902E9"/>
    <w:rsid w:val="00F9185A"/>
    <w:rsid w:val="00F92076"/>
    <w:rsid w:val="00F927D1"/>
    <w:rsid w:val="00F93EFC"/>
    <w:rsid w:val="00F9433A"/>
    <w:rsid w:val="00F9562D"/>
    <w:rsid w:val="00F95C55"/>
    <w:rsid w:val="00F9647A"/>
    <w:rsid w:val="00F96B37"/>
    <w:rsid w:val="00F96E11"/>
    <w:rsid w:val="00F979D8"/>
    <w:rsid w:val="00FA031A"/>
    <w:rsid w:val="00FA131F"/>
    <w:rsid w:val="00FA1C28"/>
    <w:rsid w:val="00FA1E90"/>
    <w:rsid w:val="00FA244D"/>
    <w:rsid w:val="00FA3010"/>
    <w:rsid w:val="00FA4C5F"/>
    <w:rsid w:val="00FA5993"/>
    <w:rsid w:val="00FA62FB"/>
    <w:rsid w:val="00FA79A2"/>
    <w:rsid w:val="00FB0BBB"/>
    <w:rsid w:val="00FB17AC"/>
    <w:rsid w:val="00FB46FA"/>
    <w:rsid w:val="00FB4F60"/>
    <w:rsid w:val="00FC078D"/>
    <w:rsid w:val="00FC1A5D"/>
    <w:rsid w:val="00FC290C"/>
    <w:rsid w:val="00FC354D"/>
    <w:rsid w:val="00FD00A2"/>
    <w:rsid w:val="00FD08DE"/>
    <w:rsid w:val="00FD0F6E"/>
    <w:rsid w:val="00FD6A7C"/>
    <w:rsid w:val="00FE07A0"/>
    <w:rsid w:val="00FE2EC0"/>
    <w:rsid w:val="00FE4EA7"/>
    <w:rsid w:val="00FE4EAB"/>
    <w:rsid w:val="00FE5308"/>
    <w:rsid w:val="00FE54A3"/>
    <w:rsid w:val="00FE6997"/>
    <w:rsid w:val="00FE77EB"/>
    <w:rsid w:val="00FE78C7"/>
    <w:rsid w:val="00FF03FE"/>
    <w:rsid w:val="00FF0F6E"/>
    <w:rsid w:val="00FF18D7"/>
    <w:rsid w:val="00FF2970"/>
    <w:rsid w:val="00FF3363"/>
    <w:rsid w:val="00FF3612"/>
    <w:rsid w:val="00FF43F5"/>
    <w:rsid w:val="00FF4849"/>
    <w:rsid w:val="00FF5C7C"/>
    <w:rsid w:val="01B47A59"/>
    <w:rsid w:val="02265C8C"/>
    <w:rsid w:val="02983FF6"/>
    <w:rsid w:val="02CD709D"/>
    <w:rsid w:val="02FB0F26"/>
    <w:rsid w:val="032B024C"/>
    <w:rsid w:val="03514173"/>
    <w:rsid w:val="0382074F"/>
    <w:rsid w:val="03E77005"/>
    <w:rsid w:val="04072ABE"/>
    <w:rsid w:val="04366433"/>
    <w:rsid w:val="04651CD8"/>
    <w:rsid w:val="0495080F"/>
    <w:rsid w:val="05753204"/>
    <w:rsid w:val="062822BB"/>
    <w:rsid w:val="064B134A"/>
    <w:rsid w:val="06804990"/>
    <w:rsid w:val="068D4C9B"/>
    <w:rsid w:val="06D14EBD"/>
    <w:rsid w:val="06DE1A50"/>
    <w:rsid w:val="06EB148C"/>
    <w:rsid w:val="06F772FB"/>
    <w:rsid w:val="074C0438"/>
    <w:rsid w:val="07D721EC"/>
    <w:rsid w:val="08037696"/>
    <w:rsid w:val="08514397"/>
    <w:rsid w:val="08706007"/>
    <w:rsid w:val="088A1DFF"/>
    <w:rsid w:val="08A700C4"/>
    <w:rsid w:val="09C26B7D"/>
    <w:rsid w:val="0B181CBF"/>
    <w:rsid w:val="0BC04AFE"/>
    <w:rsid w:val="0BCF45B9"/>
    <w:rsid w:val="0C085D6A"/>
    <w:rsid w:val="0C785206"/>
    <w:rsid w:val="0D3B159B"/>
    <w:rsid w:val="0D7C0A74"/>
    <w:rsid w:val="0DDC125D"/>
    <w:rsid w:val="0E0C760A"/>
    <w:rsid w:val="0E12592E"/>
    <w:rsid w:val="0E501052"/>
    <w:rsid w:val="0E542A90"/>
    <w:rsid w:val="0E664FCA"/>
    <w:rsid w:val="0E98447E"/>
    <w:rsid w:val="0F087FB5"/>
    <w:rsid w:val="0F0F7BEE"/>
    <w:rsid w:val="0F421DA8"/>
    <w:rsid w:val="0F867640"/>
    <w:rsid w:val="100A4633"/>
    <w:rsid w:val="10823C88"/>
    <w:rsid w:val="10901957"/>
    <w:rsid w:val="10C673DF"/>
    <w:rsid w:val="111B77B5"/>
    <w:rsid w:val="112A47B8"/>
    <w:rsid w:val="1160532F"/>
    <w:rsid w:val="11824A0F"/>
    <w:rsid w:val="11B85287"/>
    <w:rsid w:val="11E5087F"/>
    <w:rsid w:val="126357B9"/>
    <w:rsid w:val="128E5D2A"/>
    <w:rsid w:val="12F26951"/>
    <w:rsid w:val="13454D7F"/>
    <w:rsid w:val="136D69B1"/>
    <w:rsid w:val="13CF6B47"/>
    <w:rsid w:val="14D57867"/>
    <w:rsid w:val="15113CD5"/>
    <w:rsid w:val="155958CC"/>
    <w:rsid w:val="15881997"/>
    <w:rsid w:val="15BB6F96"/>
    <w:rsid w:val="16092E0B"/>
    <w:rsid w:val="162A7BE4"/>
    <w:rsid w:val="163F682C"/>
    <w:rsid w:val="16580517"/>
    <w:rsid w:val="16B540EF"/>
    <w:rsid w:val="16CE269B"/>
    <w:rsid w:val="16FF7D6A"/>
    <w:rsid w:val="170F61FF"/>
    <w:rsid w:val="171C5539"/>
    <w:rsid w:val="173D1838"/>
    <w:rsid w:val="17982720"/>
    <w:rsid w:val="17A3610E"/>
    <w:rsid w:val="17B04B2A"/>
    <w:rsid w:val="18012B82"/>
    <w:rsid w:val="183211E2"/>
    <w:rsid w:val="186B79C3"/>
    <w:rsid w:val="1881750D"/>
    <w:rsid w:val="18A94AE4"/>
    <w:rsid w:val="18E74278"/>
    <w:rsid w:val="18F1504B"/>
    <w:rsid w:val="18F953B8"/>
    <w:rsid w:val="194D300E"/>
    <w:rsid w:val="195471D4"/>
    <w:rsid w:val="199F6656"/>
    <w:rsid w:val="1A141D7E"/>
    <w:rsid w:val="1B3914A2"/>
    <w:rsid w:val="1C297D63"/>
    <w:rsid w:val="1C424C5B"/>
    <w:rsid w:val="1CA36708"/>
    <w:rsid w:val="1CDC1BD7"/>
    <w:rsid w:val="1CDE1E5B"/>
    <w:rsid w:val="1CE0213A"/>
    <w:rsid w:val="1D332F61"/>
    <w:rsid w:val="1D6D0498"/>
    <w:rsid w:val="1D905BC0"/>
    <w:rsid w:val="1DD94CC0"/>
    <w:rsid w:val="1E4C7A54"/>
    <w:rsid w:val="1EEB6F6A"/>
    <w:rsid w:val="1F102688"/>
    <w:rsid w:val="1F4A2061"/>
    <w:rsid w:val="1FB950A5"/>
    <w:rsid w:val="1FC83E52"/>
    <w:rsid w:val="201237F5"/>
    <w:rsid w:val="2022014C"/>
    <w:rsid w:val="20917F4B"/>
    <w:rsid w:val="20CD1AB0"/>
    <w:rsid w:val="20FD4FAC"/>
    <w:rsid w:val="21756F70"/>
    <w:rsid w:val="21AC2E60"/>
    <w:rsid w:val="220A5A3C"/>
    <w:rsid w:val="23A72FFC"/>
    <w:rsid w:val="23C92F2E"/>
    <w:rsid w:val="242A2671"/>
    <w:rsid w:val="24430123"/>
    <w:rsid w:val="24786259"/>
    <w:rsid w:val="24B65F0C"/>
    <w:rsid w:val="24D10F97"/>
    <w:rsid w:val="25BE00B0"/>
    <w:rsid w:val="25F26162"/>
    <w:rsid w:val="26EC030B"/>
    <w:rsid w:val="26F45411"/>
    <w:rsid w:val="280B04B2"/>
    <w:rsid w:val="280C23D5"/>
    <w:rsid w:val="285E11F2"/>
    <w:rsid w:val="28C52BC1"/>
    <w:rsid w:val="28E05C4D"/>
    <w:rsid w:val="28E57CC9"/>
    <w:rsid w:val="28EF5E90"/>
    <w:rsid w:val="292D0D42"/>
    <w:rsid w:val="29491460"/>
    <w:rsid w:val="29A464CC"/>
    <w:rsid w:val="29B76476"/>
    <w:rsid w:val="29D55086"/>
    <w:rsid w:val="2A187669"/>
    <w:rsid w:val="2A571AEE"/>
    <w:rsid w:val="2A761A43"/>
    <w:rsid w:val="2A8558EB"/>
    <w:rsid w:val="2AAD6003"/>
    <w:rsid w:val="2AD33152"/>
    <w:rsid w:val="2AEF3F25"/>
    <w:rsid w:val="2AF615EE"/>
    <w:rsid w:val="2B54022C"/>
    <w:rsid w:val="2B717030"/>
    <w:rsid w:val="2B794864"/>
    <w:rsid w:val="2B801021"/>
    <w:rsid w:val="2C387B4E"/>
    <w:rsid w:val="2C401128"/>
    <w:rsid w:val="2CFC1882"/>
    <w:rsid w:val="2D3B78F6"/>
    <w:rsid w:val="2D537491"/>
    <w:rsid w:val="2D8B7C57"/>
    <w:rsid w:val="2DD737DB"/>
    <w:rsid w:val="2E1F5850"/>
    <w:rsid w:val="2E366D75"/>
    <w:rsid w:val="2E3874FD"/>
    <w:rsid w:val="2E78329E"/>
    <w:rsid w:val="2EF677F0"/>
    <w:rsid w:val="2F2E59E1"/>
    <w:rsid w:val="2F3A3CD2"/>
    <w:rsid w:val="2F5127C0"/>
    <w:rsid w:val="2F5159CA"/>
    <w:rsid w:val="2F9344A7"/>
    <w:rsid w:val="2FC83CAA"/>
    <w:rsid w:val="2FE24229"/>
    <w:rsid w:val="30447436"/>
    <w:rsid w:val="3077562D"/>
    <w:rsid w:val="31207B39"/>
    <w:rsid w:val="31416C5C"/>
    <w:rsid w:val="317B6EF1"/>
    <w:rsid w:val="31857392"/>
    <w:rsid w:val="31A27F7B"/>
    <w:rsid w:val="31DD48DC"/>
    <w:rsid w:val="31E44CE2"/>
    <w:rsid w:val="32296F5A"/>
    <w:rsid w:val="32977E7E"/>
    <w:rsid w:val="33AC652E"/>
    <w:rsid w:val="33AF53B6"/>
    <w:rsid w:val="341C45E4"/>
    <w:rsid w:val="341C6292"/>
    <w:rsid w:val="343402B4"/>
    <w:rsid w:val="3488722A"/>
    <w:rsid w:val="348E641A"/>
    <w:rsid w:val="34CE4C2F"/>
    <w:rsid w:val="34D60E50"/>
    <w:rsid w:val="34E74F31"/>
    <w:rsid w:val="34F04177"/>
    <w:rsid w:val="351849C1"/>
    <w:rsid w:val="3538720B"/>
    <w:rsid w:val="35FA20BB"/>
    <w:rsid w:val="3613030A"/>
    <w:rsid w:val="365A497A"/>
    <w:rsid w:val="368E56AD"/>
    <w:rsid w:val="36A238B1"/>
    <w:rsid w:val="36B16F62"/>
    <w:rsid w:val="36B47CF7"/>
    <w:rsid w:val="370B1579"/>
    <w:rsid w:val="37353608"/>
    <w:rsid w:val="37A306C9"/>
    <w:rsid w:val="37E81728"/>
    <w:rsid w:val="381A15AE"/>
    <w:rsid w:val="388C773F"/>
    <w:rsid w:val="38F378FD"/>
    <w:rsid w:val="38F903D7"/>
    <w:rsid w:val="391E5EC7"/>
    <w:rsid w:val="395850A3"/>
    <w:rsid w:val="39E356BD"/>
    <w:rsid w:val="39EE16A9"/>
    <w:rsid w:val="3A0F6DD0"/>
    <w:rsid w:val="3A2E2E0F"/>
    <w:rsid w:val="3A506878"/>
    <w:rsid w:val="3B2B2C3C"/>
    <w:rsid w:val="3B5D312D"/>
    <w:rsid w:val="3B7E557D"/>
    <w:rsid w:val="3B8D0C06"/>
    <w:rsid w:val="3B9528C7"/>
    <w:rsid w:val="3BDF7727"/>
    <w:rsid w:val="3C29300F"/>
    <w:rsid w:val="3C8C3B8A"/>
    <w:rsid w:val="3CC316B6"/>
    <w:rsid w:val="3CFF4547"/>
    <w:rsid w:val="3D1B32A0"/>
    <w:rsid w:val="3D7310E3"/>
    <w:rsid w:val="3D7A2544"/>
    <w:rsid w:val="3DCF614C"/>
    <w:rsid w:val="3DE126FC"/>
    <w:rsid w:val="3DFA4C63"/>
    <w:rsid w:val="3E67106F"/>
    <w:rsid w:val="3E7B3341"/>
    <w:rsid w:val="3E8C4BC4"/>
    <w:rsid w:val="3E9A3227"/>
    <w:rsid w:val="3EBC0E01"/>
    <w:rsid w:val="3F814F04"/>
    <w:rsid w:val="3F981B71"/>
    <w:rsid w:val="3F9C1BDA"/>
    <w:rsid w:val="3FA45D01"/>
    <w:rsid w:val="3FE07E89"/>
    <w:rsid w:val="3FFB4D22"/>
    <w:rsid w:val="401527FC"/>
    <w:rsid w:val="40181D19"/>
    <w:rsid w:val="40287DCE"/>
    <w:rsid w:val="40341C90"/>
    <w:rsid w:val="403A20FD"/>
    <w:rsid w:val="40F07927"/>
    <w:rsid w:val="40F81E7A"/>
    <w:rsid w:val="411E335F"/>
    <w:rsid w:val="41913B31"/>
    <w:rsid w:val="41A05B22"/>
    <w:rsid w:val="41AD619D"/>
    <w:rsid w:val="41C45387"/>
    <w:rsid w:val="42123095"/>
    <w:rsid w:val="421D447F"/>
    <w:rsid w:val="423F412F"/>
    <w:rsid w:val="424F0ABF"/>
    <w:rsid w:val="42775F1B"/>
    <w:rsid w:val="429F29D5"/>
    <w:rsid w:val="42C6780A"/>
    <w:rsid w:val="42C764F2"/>
    <w:rsid w:val="42E52B99"/>
    <w:rsid w:val="42EB54C2"/>
    <w:rsid w:val="4315253F"/>
    <w:rsid w:val="43DA6840"/>
    <w:rsid w:val="43DE654F"/>
    <w:rsid w:val="44613C8E"/>
    <w:rsid w:val="448D10B7"/>
    <w:rsid w:val="44BC2649"/>
    <w:rsid w:val="44D04DF5"/>
    <w:rsid w:val="44F1532A"/>
    <w:rsid w:val="45043047"/>
    <w:rsid w:val="450434B5"/>
    <w:rsid w:val="45823F45"/>
    <w:rsid w:val="458531CB"/>
    <w:rsid w:val="46407246"/>
    <w:rsid w:val="46475E61"/>
    <w:rsid w:val="471131FC"/>
    <w:rsid w:val="47170A0F"/>
    <w:rsid w:val="47597308"/>
    <w:rsid w:val="47681029"/>
    <w:rsid w:val="47A04ACD"/>
    <w:rsid w:val="47B94FAB"/>
    <w:rsid w:val="493B6489"/>
    <w:rsid w:val="4961472A"/>
    <w:rsid w:val="496337CE"/>
    <w:rsid w:val="49C66B17"/>
    <w:rsid w:val="4A130718"/>
    <w:rsid w:val="4A36386C"/>
    <w:rsid w:val="4AB97C54"/>
    <w:rsid w:val="4AC15A82"/>
    <w:rsid w:val="4B5B2715"/>
    <w:rsid w:val="4B894470"/>
    <w:rsid w:val="4B92297F"/>
    <w:rsid w:val="4BA95F1B"/>
    <w:rsid w:val="4BFE32A4"/>
    <w:rsid w:val="4C134BE6"/>
    <w:rsid w:val="4C4A06F4"/>
    <w:rsid w:val="4C7D093A"/>
    <w:rsid w:val="4D144003"/>
    <w:rsid w:val="4D1E4D5F"/>
    <w:rsid w:val="4D1F53DB"/>
    <w:rsid w:val="4D597BFC"/>
    <w:rsid w:val="4D82136F"/>
    <w:rsid w:val="4DBE6397"/>
    <w:rsid w:val="4DD5361B"/>
    <w:rsid w:val="4DDF79D2"/>
    <w:rsid w:val="4E1A20FE"/>
    <w:rsid w:val="4EC20ABF"/>
    <w:rsid w:val="4ECF10FE"/>
    <w:rsid w:val="4EDD2163"/>
    <w:rsid w:val="4F455F5A"/>
    <w:rsid w:val="4F6A3DC8"/>
    <w:rsid w:val="4F9D15E4"/>
    <w:rsid w:val="4FAE4BDD"/>
    <w:rsid w:val="4FB33A55"/>
    <w:rsid w:val="4FE46CD4"/>
    <w:rsid w:val="502602D4"/>
    <w:rsid w:val="506A05A8"/>
    <w:rsid w:val="50EE6FD3"/>
    <w:rsid w:val="51687DFC"/>
    <w:rsid w:val="516C7C6C"/>
    <w:rsid w:val="524F77C2"/>
    <w:rsid w:val="525210BA"/>
    <w:rsid w:val="52B129B7"/>
    <w:rsid w:val="5331733B"/>
    <w:rsid w:val="533328EF"/>
    <w:rsid w:val="53974AC8"/>
    <w:rsid w:val="53997B70"/>
    <w:rsid w:val="53A35A5E"/>
    <w:rsid w:val="53CE0048"/>
    <w:rsid w:val="54B957B5"/>
    <w:rsid w:val="55467BB6"/>
    <w:rsid w:val="55CF6FBA"/>
    <w:rsid w:val="571C57F3"/>
    <w:rsid w:val="573B211D"/>
    <w:rsid w:val="5765468B"/>
    <w:rsid w:val="58240E03"/>
    <w:rsid w:val="585873AA"/>
    <w:rsid w:val="589F736D"/>
    <w:rsid w:val="58F86605"/>
    <w:rsid w:val="59073951"/>
    <w:rsid w:val="59501632"/>
    <w:rsid w:val="597F1763"/>
    <w:rsid w:val="598464B3"/>
    <w:rsid w:val="5A523341"/>
    <w:rsid w:val="5A5958D9"/>
    <w:rsid w:val="5A785436"/>
    <w:rsid w:val="5ACB7804"/>
    <w:rsid w:val="5B3475AF"/>
    <w:rsid w:val="5B653C1B"/>
    <w:rsid w:val="5BE16F07"/>
    <w:rsid w:val="5C127A6F"/>
    <w:rsid w:val="5C1916A5"/>
    <w:rsid w:val="5C7A36E7"/>
    <w:rsid w:val="5CD85E7A"/>
    <w:rsid w:val="5CE42072"/>
    <w:rsid w:val="5CF705D0"/>
    <w:rsid w:val="5D544678"/>
    <w:rsid w:val="5DF82E95"/>
    <w:rsid w:val="5E9D008D"/>
    <w:rsid w:val="5F48187B"/>
    <w:rsid w:val="5F935BCA"/>
    <w:rsid w:val="5F99F6E4"/>
    <w:rsid w:val="5FAF18FA"/>
    <w:rsid w:val="5FE105CA"/>
    <w:rsid w:val="604C4796"/>
    <w:rsid w:val="60C06C3D"/>
    <w:rsid w:val="60C17C25"/>
    <w:rsid w:val="60EA20B9"/>
    <w:rsid w:val="61043C82"/>
    <w:rsid w:val="615C23C3"/>
    <w:rsid w:val="61766272"/>
    <w:rsid w:val="618D7A19"/>
    <w:rsid w:val="61DE2C30"/>
    <w:rsid w:val="628C4EBC"/>
    <w:rsid w:val="62CF5B11"/>
    <w:rsid w:val="62D13F91"/>
    <w:rsid w:val="62D2730F"/>
    <w:rsid w:val="63253197"/>
    <w:rsid w:val="6335216A"/>
    <w:rsid w:val="637035DE"/>
    <w:rsid w:val="63CE2D93"/>
    <w:rsid w:val="63FF3C7C"/>
    <w:rsid w:val="640B3388"/>
    <w:rsid w:val="64175EC4"/>
    <w:rsid w:val="646053A7"/>
    <w:rsid w:val="647A6023"/>
    <w:rsid w:val="64A64951"/>
    <w:rsid w:val="64AD03D2"/>
    <w:rsid w:val="64B41760"/>
    <w:rsid w:val="654523B9"/>
    <w:rsid w:val="655A671B"/>
    <w:rsid w:val="65C34CC5"/>
    <w:rsid w:val="66205447"/>
    <w:rsid w:val="662E109F"/>
    <w:rsid w:val="663B30B9"/>
    <w:rsid w:val="669D6FF3"/>
    <w:rsid w:val="675A65EF"/>
    <w:rsid w:val="67BF6A43"/>
    <w:rsid w:val="685A0E40"/>
    <w:rsid w:val="68ED45DF"/>
    <w:rsid w:val="69517B3D"/>
    <w:rsid w:val="69C47E81"/>
    <w:rsid w:val="69E63CF1"/>
    <w:rsid w:val="69E66F7F"/>
    <w:rsid w:val="6AA47B81"/>
    <w:rsid w:val="6AA77936"/>
    <w:rsid w:val="6B1E538B"/>
    <w:rsid w:val="6B6F018F"/>
    <w:rsid w:val="6B7859B5"/>
    <w:rsid w:val="6B881251"/>
    <w:rsid w:val="6BF126E9"/>
    <w:rsid w:val="6C4725B8"/>
    <w:rsid w:val="6CAD23B4"/>
    <w:rsid w:val="6CC30F19"/>
    <w:rsid w:val="6CF959A5"/>
    <w:rsid w:val="6D7D158D"/>
    <w:rsid w:val="6D9E6B0A"/>
    <w:rsid w:val="6E397C4F"/>
    <w:rsid w:val="6E6D3339"/>
    <w:rsid w:val="6E7B6D97"/>
    <w:rsid w:val="6EA6036C"/>
    <w:rsid w:val="6FA929AF"/>
    <w:rsid w:val="6FCF744E"/>
    <w:rsid w:val="7015380A"/>
    <w:rsid w:val="70166B54"/>
    <w:rsid w:val="70BE32C7"/>
    <w:rsid w:val="70DB4FE7"/>
    <w:rsid w:val="70F33611"/>
    <w:rsid w:val="71541C41"/>
    <w:rsid w:val="71564400"/>
    <w:rsid w:val="71611384"/>
    <w:rsid w:val="71973F9C"/>
    <w:rsid w:val="7199730E"/>
    <w:rsid w:val="7206286A"/>
    <w:rsid w:val="72FD495C"/>
    <w:rsid w:val="73011EF3"/>
    <w:rsid w:val="73027B3B"/>
    <w:rsid w:val="730E55D1"/>
    <w:rsid w:val="73330ED6"/>
    <w:rsid w:val="73485255"/>
    <w:rsid w:val="734E4912"/>
    <w:rsid w:val="738460E5"/>
    <w:rsid w:val="73892EDE"/>
    <w:rsid w:val="73C53042"/>
    <w:rsid w:val="73E01C2A"/>
    <w:rsid w:val="73FD1703"/>
    <w:rsid w:val="7426410F"/>
    <w:rsid w:val="743F175E"/>
    <w:rsid w:val="74723891"/>
    <w:rsid w:val="74912761"/>
    <w:rsid w:val="749409BF"/>
    <w:rsid w:val="74B51B1D"/>
    <w:rsid w:val="74BF6C55"/>
    <w:rsid w:val="75B93A72"/>
    <w:rsid w:val="75BE5B78"/>
    <w:rsid w:val="76363F76"/>
    <w:rsid w:val="76702C63"/>
    <w:rsid w:val="769F5144"/>
    <w:rsid w:val="76D65566"/>
    <w:rsid w:val="76E969F9"/>
    <w:rsid w:val="77020109"/>
    <w:rsid w:val="771A5453"/>
    <w:rsid w:val="77640DC4"/>
    <w:rsid w:val="77704DA8"/>
    <w:rsid w:val="77CB0B19"/>
    <w:rsid w:val="78052479"/>
    <w:rsid w:val="783A40EE"/>
    <w:rsid w:val="7856443F"/>
    <w:rsid w:val="787B63C5"/>
    <w:rsid w:val="78BC7A3E"/>
    <w:rsid w:val="78BF1A53"/>
    <w:rsid w:val="78D36201"/>
    <w:rsid w:val="78F63C9E"/>
    <w:rsid w:val="796230E1"/>
    <w:rsid w:val="79D80F60"/>
    <w:rsid w:val="79FA156C"/>
    <w:rsid w:val="7A737492"/>
    <w:rsid w:val="7A8A3C4A"/>
    <w:rsid w:val="7AE57B48"/>
    <w:rsid w:val="7AEC445C"/>
    <w:rsid w:val="7B8B4B71"/>
    <w:rsid w:val="7B9559F0"/>
    <w:rsid w:val="7BD171F7"/>
    <w:rsid w:val="7C297558"/>
    <w:rsid w:val="7C310CB0"/>
    <w:rsid w:val="7C671277"/>
    <w:rsid w:val="7C716ED4"/>
    <w:rsid w:val="7C7D772B"/>
    <w:rsid w:val="7CCA4A1A"/>
    <w:rsid w:val="7CF86342"/>
    <w:rsid w:val="7CFE329D"/>
    <w:rsid w:val="7D3014EE"/>
    <w:rsid w:val="7DC437A0"/>
    <w:rsid w:val="7E0429B9"/>
    <w:rsid w:val="7E423448"/>
    <w:rsid w:val="7EC77340"/>
    <w:rsid w:val="7EDA493C"/>
    <w:rsid w:val="7EFB0EB5"/>
    <w:rsid w:val="7F106850"/>
    <w:rsid w:val="7F196938"/>
    <w:rsid w:val="7F1E7AAB"/>
    <w:rsid w:val="7F5D4A77"/>
    <w:rsid w:val="7F71139D"/>
    <w:rsid w:val="7F71407E"/>
    <w:rsid w:val="7F7B6CAB"/>
    <w:rsid w:val="7F9F2AA4"/>
    <w:rsid w:val="7FBB635F"/>
    <w:rsid w:val="7FD50B06"/>
    <w:rsid w:val="AEBC8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qFormat="1" w:unhideWhenUsed="0" w:uiPriority="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qFormat="1" w:unhideWhenUsed="0" w:uiPriority="99"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99"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ind w:firstLine="200" w:firstLineChars="20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qFormat/>
    <w:uiPriority w:val="0"/>
    <w:pPr>
      <w:keepNext/>
      <w:keepLines/>
      <w:spacing w:before="340" w:after="330" w:line="578" w:lineRule="auto"/>
      <w:jc w:val="center"/>
      <w:outlineLvl w:val="0"/>
    </w:pPr>
    <w:rPr>
      <w:rFonts w:eastAsia="仿宋_GB2312"/>
      <w:b/>
      <w:bCs/>
      <w:kern w:val="44"/>
      <w:sz w:val="44"/>
      <w:szCs w:val="44"/>
    </w:rPr>
  </w:style>
  <w:style w:type="paragraph" w:styleId="4">
    <w:name w:val="heading 2"/>
    <w:basedOn w:val="1"/>
    <w:next w:val="1"/>
    <w:link w:val="64"/>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65"/>
    <w:qFormat/>
    <w:uiPriority w:val="0"/>
    <w:pPr>
      <w:keepNext/>
      <w:keepLines/>
      <w:spacing w:before="260" w:after="260" w:line="416" w:lineRule="auto"/>
      <w:outlineLvl w:val="2"/>
    </w:pPr>
    <w:rPr>
      <w:rFonts w:ascii="宋体" w:hAnsi="Courier New"/>
      <w:b/>
      <w:bCs/>
      <w:sz w:val="32"/>
      <w:szCs w:val="32"/>
    </w:rPr>
  </w:style>
  <w:style w:type="paragraph" w:styleId="5">
    <w:name w:val="heading 4"/>
    <w:basedOn w:val="1"/>
    <w:next w:val="1"/>
    <w:link w:val="66"/>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7"/>
    <w:qFormat/>
    <w:uiPriority w:val="0"/>
    <w:pPr>
      <w:keepNext/>
      <w:keepLines/>
      <w:spacing w:before="280" w:after="290" w:line="376" w:lineRule="auto"/>
      <w:outlineLvl w:val="4"/>
    </w:pPr>
    <w:rPr>
      <w:b/>
      <w:sz w:val="28"/>
    </w:rPr>
  </w:style>
  <w:style w:type="paragraph" w:styleId="8">
    <w:name w:val="heading 6"/>
    <w:basedOn w:val="1"/>
    <w:next w:val="7"/>
    <w:link w:val="69"/>
    <w:qFormat/>
    <w:uiPriority w:val="0"/>
    <w:pPr>
      <w:keepNext/>
      <w:keepLines/>
      <w:spacing w:before="240" w:after="64" w:line="320" w:lineRule="auto"/>
      <w:outlineLvl w:val="5"/>
    </w:pPr>
    <w:rPr>
      <w:rFonts w:ascii="Arial" w:hAnsi="Arial" w:eastAsia="黑体"/>
      <w:b/>
      <w:sz w:val="24"/>
    </w:rPr>
  </w:style>
  <w:style w:type="paragraph" w:styleId="9">
    <w:name w:val="heading 7"/>
    <w:basedOn w:val="1"/>
    <w:next w:val="7"/>
    <w:link w:val="70"/>
    <w:qFormat/>
    <w:uiPriority w:val="99"/>
    <w:pPr>
      <w:keepNext/>
      <w:keepLines/>
      <w:spacing w:before="240" w:after="64" w:line="320" w:lineRule="auto"/>
      <w:outlineLvl w:val="6"/>
    </w:pPr>
    <w:rPr>
      <w:b/>
      <w:sz w:val="24"/>
    </w:rPr>
  </w:style>
  <w:style w:type="paragraph" w:styleId="10">
    <w:name w:val="heading 8"/>
    <w:basedOn w:val="1"/>
    <w:next w:val="7"/>
    <w:link w:val="71"/>
    <w:qFormat/>
    <w:uiPriority w:val="99"/>
    <w:pPr>
      <w:keepNext/>
      <w:keepLines/>
      <w:spacing w:before="240" w:after="64" w:line="320" w:lineRule="auto"/>
      <w:outlineLvl w:val="7"/>
    </w:pPr>
    <w:rPr>
      <w:rFonts w:ascii="Arial" w:hAnsi="Arial" w:eastAsia="黑体"/>
      <w:sz w:val="24"/>
    </w:rPr>
  </w:style>
  <w:style w:type="paragraph" w:styleId="11">
    <w:name w:val="heading 9"/>
    <w:basedOn w:val="1"/>
    <w:next w:val="7"/>
    <w:link w:val="72"/>
    <w:qFormat/>
    <w:uiPriority w:val="99"/>
    <w:pPr>
      <w:keepNext/>
      <w:keepLines/>
      <w:spacing w:before="240" w:after="64" w:line="320" w:lineRule="auto"/>
      <w:outlineLvl w:val="8"/>
    </w:pPr>
    <w:rPr>
      <w:rFonts w:ascii="Arial" w:hAnsi="Arial" w:eastAsia="黑体"/>
    </w:rPr>
  </w:style>
  <w:style w:type="character" w:default="1" w:styleId="52">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8"/>
    <w:qFormat/>
    <w:uiPriority w:val="99"/>
    <w:pPr>
      <w:ind w:firstLine="420"/>
    </w:pPr>
    <w:rPr>
      <w:szCs w:val="20"/>
    </w:rPr>
  </w:style>
  <w:style w:type="paragraph" w:styleId="12">
    <w:name w:val="toc 7"/>
    <w:basedOn w:val="1"/>
    <w:next w:val="1"/>
    <w:qFormat/>
    <w:uiPriority w:val="99"/>
    <w:pPr>
      <w:spacing w:line="360" w:lineRule="auto"/>
      <w:ind w:left="1440"/>
      <w:jc w:val="left"/>
    </w:pPr>
    <w:rPr>
      <w:rFonts w:ascii="Calibri" w:hAnsi="Calibri"/>
      <w:sz w:val="20"/>
      <w:szCs w:val="20"/>
    </w:rPr>
  </w:style>
  <w:style w:type="paragraph" w:styleId="13">
    <w:name w:val="table of authorities"/>
    <w:basedOn w:val="1"/>
    <w:next w:val="1"/>
    <w:link w:val="73"/>
    <w:semiHidden/>
    <w:qFormat/>
    <w:uiPriority w:val="0"/>
    <w:pPr>
      <w:ind w:left="420" w:leftChars="200"/>
    </w:pPr>
  </w:style>
  <w:style w:type="paragraph" w:styleId="14">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Document Map"/>
    <w:basedOn w:val="1"/>
    <w:link w:val="74"/>
    <w:semiHidden/>
    <w:qFormat/>
    <w:uiPriority w:val="99"/>
    <w:pPr>
      <w:shd w:val="clear" w:color="auto" w:fill="000080"/>
    </w:pPr>
  </w:style>
  <w:style w:type="paragraph" w:styleId="17">
    <w:name w:val="annotation text"/>
    <w:basedOn w:val="1"/>
    <w:link w:val="75"/>
    <w:qFormat/>
    <w:uiPriority w:val="99"/>
    <w:pPr>
      <w:jc w:val="left"/>
    </w:pPr>
  </w:style>
  <w:style w:type="paragraph" w:styleId="18">
    <w:name w:val="Body Text 3"/>
    <w:basedOn w:val="1"/>
    <w:link w:val="76"/>
    <w:qFormat/>
    <w:uiPriority w:val="0"/>
    <w:pPr>
      <w:spacing w:line="500" w:lineRule="exact"/>
    </w:pPr>
    <w:rPr>
      <w:b/>
      <w:bCs/>
      <w:sz w:val="24"/>
    </w:rPr>
  </w:style>
  <w:style w:type="paragraph" w:styleId="19">
    <w:name w:val="Body Text"/>
    <w:basedOn w:val="1"/>
    <w:next w:val="20"/>
    <w:link w:val="62"/>
    <w:qFormat/>
    <w:uiPriority w:val="99"/>
    <w:pPr>
      <w:spacing w:line="380" w:lineRule="exact"/>
    </w:pPr>
    <w:rPr>
      <w:sz w:val="24"/>
    </w:rPr>
  </w:style>
  <w:style w:type="paragraph" w:customStyle="1" w:styleId="20">
    <w:name w:val="Default"/>
    <w:next w:val="21"/>
    <w:qFormat/>
    <w:uiPriority w:val="0"/>
    <w:pPr>
      <w:widowControl w:val="0"/>
      <w:autoSpaceDE w:val="0"/>
      <w:autoSpaceDN w:val="0"/>
      <w:adjustRightInd w:val="0"/>
      <w:spacing w:line="400" w:lineRule="exact"/>
      <w:ind w:firstLine="200" w:firstLineChars="200"/>
      <w:jc w:val="both"/>
    </w:pPr>
    <w:rPr>
      <w:rFonts w:ascii="宋体" w:hAnsi="Times New Roman" w:eastAsia="宋体" w:cs="宋体"/>
      <w:color w:val="000000"/>
      <w:sz w:val="24"/>
      <w:szCs w:val="24"/>
      <w:lang w:val="en-US" w:eastAsia="zh-CN" w:bidi="ar-SA"/>
    </w:rPr>
  </w:style>
  <w:style w:type="paragraph" w:styleId="21">
    <w:name w:val="Date"/>
    <w:basedOn w:val="1"/>
    <w:next w:val="1"/>
    <w:link w:val="79"/>
    <w:qFormat/>
    <w:uiPriority w:val="99"/>
    <w:pPr>
      <w:ind w:left="100" w:leftChars="2500"/>
    </w:pPr>
    <w:rPr>
      <w:rFonts w:ascii="宋体" w:hAnsi="Courier New" w:cs="Courier New"/>
      <w:szCs w:val="21"/>
    </w:rPr>
  </w:style>
  <w:style w:type="paragraph" w:styleId="22">
    <w:name w:val="Body Text Indent"/>
    <w:basedOn w:val="1"/>
    <w:link w:val="77"/>
    <w:qFormat/>
    <w:uiPriority w:val="99"/>
    <w:pPr>
      <w:ind w:firstLine="830" w:firstLineChars="352"/>
    </w:pPr>
    <w:rPr>
      <w:rFonts w:ascii="仿宋_GB2312" w:eastAsia="仿宋_GB2312"/>
      <w:sz w:val="32"/>
      <w:szCs w:val="20"/>
    </w:rPr>
  </w:style>
  <w:style w:type="paragraph" w:styleId="23">
    <w:name w:val="List Number 3"/>
    <w:basedOn w:val="1"/>
    <w:qFormat/>
    <w:uiPriority w:val="99"/>
    <w:pPr>
      <w:tabs>
        <w:tab w:val="left" w:pos="360"/>
      </w:tabs>
      <w:ind w:left="360" w:hanging="360"/>
    </w:pPr>
  </w:style>
  <w:style w:type="paragraph" w:styleId="24">
    <w:name w:val="List 2"/>
    <w:basedOn w:val="1"/>
    <w:qFormat/>
    <w:uiPriority w:val="99"/>
    <w:pPr>
      <w:ind w:left="100" w:leftChars="200" w:hanging="200" w:hangingChars="200"/>
    </w:pPr>
    <w:rPr>
      <w:sz w:val="28"/>
    </w:rPr>
  </w:style>
  <w:style w:type="paragraph" w:styleId="25">
    <w:name w:val="toc 5"/>
    <w:basedOn w:val="1"/>
    <w:next w:val="1"/>
    <w:qFormat/>
    <w:uiPriority w:val="99"/>
    <w:pPr>
      <w:spacing w:line="360" w:lineRule="auto"/>
      <w:ind w:left="960"/>
      <w:jc w:val="left"/>
    </w:pPr>
    <w:rPr>
      <w:rFonts w:ascii="Calibri" w:hAnsi="Calibri"/>
      <w:sz w:val="20"/>
      <w:szCs w:val="20"/>
    </w:rPr>
  </w:style>
  <w:style w:type="paragraph" w:styleId="26">
    <w:name w:val="toc 3"/>
    <w:basedOn w:val="1"/>
    <w:next w:val="1"/>
    <w:qFormat/>
    <w:uiPriority w:val="99"/>
    <w:pPr>
      <w:ind w:left="840" w:leftChars="400"/>
    </w:pPr>
  </w:style>
  <w:style w:type="paragraph" w:styleId="27">
    <w:name w:val="Plain Text"/>
    <w:basedOn w:val="1"/>
    <w:link w:val="78"/>
    <w:qFormat/>
    <w:uiPriority w:val="0"/>
    <w:rPr>
      <w:rFonts w:ascii="宋体" w:hAnsi="Courier New" w:cs="Courier New"/>
      <w:szCs w:val="21"/>
    </w:rPr>
  </w:style>
  <w:style w:type="paragraph" w:styleId="28">
    <w:name w:val="toc 8"/>
    <w:basedOn w:val="1"/>
    <w:next w:val="1"/>
    <w:qFormat/>
    <w:uiPriority w:val="99"/>
    <w:pPr>
      <w:spacing w:line="360" w:lineRule="auto"/>
      <w:ind w:left="1680"/>
      <w:jc w:val="left"/>
    </w:pPr>
    <w:rPr>
      <w:rFonts w:ascii="Calibri" w:hAnsi="Calibri"/>
      <w:sz w:val="20"/>
      <w:szCs w:val="20"/>
    </w:rPr>
  </w:style>
  <w:style w:type="paragraph" w:styleId="29">
    <w:name w:val="Body Text Indent 2"/>
    <w:basedOn w:val="1"/>
    <w:link w:val="80"/>
    <w:qFormat/>
    <w:uiPriority w:val="99"/>
    <w:pPr>
      <w:ind w:firstLine="630"/>
    </w:pPr>
    <w:rPr>
      <w:sz w:val="32"/>
      <w:szCs w:val="20"/>
    </w:rPr>
  </w:style>
  <w:style w:type="paragraph" w:styleId="30">
    <w:name w:val="endnote text"/>
    <w:basedOn w:val="1"/>
    <w:link w:val="81"/>
    <w:qFormat/>
    <w:uiPriority w:val="99"/>
    <w:pPr>
      <w:snapToGrid w:val="0"/>
      <w:spacing w:line="480" w:lineRule="exact"/>
      <w:jc w:val="left"/>
    </w:pPr>
    <w:rPr>
      <w:rFonts w:ascii="微软雅黑" w:hAnsi="微软雅黑" w:eastAsia="微软雅黑"/>
      <w:kern w:val="0"/>
      <w:sz w:val="20"/>
      <w:szCs w:val="20"/>
    </w:rPr>
  </w:style>
  <w:style w:type="paragraph" w:styleId="31">
    <w:name w:val="Balloon Text"/>
    <w:basedOn w:val="1"/>
    <w:link w:val="82"/>
    <w:qFormat/>
    <w:uiPriority w:val="99"/>
    <w:rPr>
      <w:sz w:val="18"/>
      <w:szCs w:val="18"/>
    </w:rPr>
  </w:style>
  <w:style w:type="paragraph" w:styleId="32">
    <w:name w:val="footer"/>
    <w:basedOn w:val="1"/>
    <w:link w:val="83"/>
    <w:qFormat/>
    <w:uiPriority w:val="0"/>
    <w:pPr>
      <w:tabs>
        <w:tab w:val="center" w:pos="4153"/>
        <w:tab w:val="right" w:pos="8306"/>
      </w:tabs>
      <w:snapToGrid w:val="0"/>
      <w:jc w:val="left"/>
    </w:pPr>
    <w:rPr>
      <w:sz w:val="18"/>
      <w:szCs w:val="18"/>
    </w:rPr>
  </w:style>
  <w:style w:type="paragraph" w:styleId="33">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link w:val="85"/>
    <w:qFormat/>
    <w:uiPriority w:val="39"/>
  </w:style>
  <w:style w:type="paragraph" w:styleId="35">
    <w:name w:val="toc 4"/>
    <w:basedOn w:val="1"/>
    <w:next w:val="1"/>
    <w:qFormat/>
    <w:uiPriority w:val="99"/>
    <w:pPr>
      <w:spacing w:line="360" w:lineRule="auto"/>
      <w:ind w:left="720"/>
      <w:jc w:val="left"/>
    </w:pPr>
    <w:rPr>
      <w:rFonts w:ascii="Calibri" w:hAnsi="Calibri"/>
      <w:sz w:val="20"/>
      <w:szCs w:val="20"/>
    </w:rPr>
  </w:style>
  <w:style w:type="paragraph" w:styleId="36">
    <w:name w:val="Subtitle"/>
    <w:basedOn w:val="1"/>
    <w:next w:val="1"/>
    <w:link w:val="86"/>
    <w:qFormat/>
    <w:uiPriority w:val="99"/>
    <w:pPr>
      <w:widowControl/>
      <w:spacing w:after="200" w:line="276" w:lineRule="auto"/>
      <w:jc w:val="left"/>
    </w:pPr>
    <w:rPr>
      <w:rFonts w:ascii="Cambria" w:hAnsi="Cambria"/>
      <w:i/>
      <w:iCs/>
      <w:color w:val="4F81BD"/>
      <w:spacing w:val="15"/>
      <w:kern w:val="0"/>
      <w:sz w:val="20"/>
      <w:szCs w:val="20"/>
    </w:rPr>
  </w:style>
  <w:style w:type="paragraph" w:styleId="37">
    <w:name w:val="List"/>
    <w:basedOn w:val="1"/>
    <w:qFormat/>
    <w:uiPriority w:val="99"/>
    <w:pPr>
      <w:ind w:left="200" w:hanging="200" w:hangingChars="200"/>
    </w:pPr>
    <w:rPr>
      <w:sz w:val="28"/>
    </w:rPr>
  </w:style>
  <w:style w:type="paragraph" w:styleId="38">
    <w:name w:val="footnote text"/>
    <w:basedOn w:val="1"/>
    <w:link w:val="87"/>
    <w:qFormat/>
    <w:uiPriority w:val="99"/>
    <w:pPr>
      <w:snapToGrid w:val="0"/>
      <w:spacing w:afterLines="50" w:line="360" w:lineRule="auto"/>
      <w:jc w:val="left"/>
    </w:pPr>
    <w:rPr>
      <w:rFonts w:ascii="Arial" w:hAnsi="Arial" w:cs="Arial"/>
      <w:kern w:val="0"/>
      <w:sz w:val="18"/>
      <w:szCs w:val="18"/>
    </w:rPr>
  </w:style>
  <w:style w:type="paragraph" w:styleId="39">
    <w:name w:val="toc 6"/>
    <w:basedOn w:val="1"/>
    <w:next w:val="1"/>
    <w:qFormat/>
    <w:uiPriority w:val="99"/>
    <w:pPr>
      <w:spacing w:line="360" w:lineRule="auto"/>
      <w:ind w:left="1200"/>
      <w:jc w:val="left"/>
    </w:pPr>
    <w:rPr>
      <w:rFonts w:ascii="Calibri" w:hAnsi="Calibri"/>
      <w:sz w:val="20"/>
      <w:szCs w:val="20"/>
    </w:rPr>
  </w:style>
  <w:style w:type="paragraph" w:styleId="40">
    <w:name w:val="Body Text Indent 3"/>
    <w:basedOn w:val="1"/>
    <w:link w:val="88"/>
    <w:qFormat/>
    <w:uiPriority w:val="99"/>
    <w:pPr>
      <w:spacing w:after="120"/>
      <w:ind w:left="420" w:leftChars="200"/>
    </w:pPr>
    <w:rPr>
      <w:sz w:val="16"/>
      <w:szCs w:val="16"/>
    </w:rPr>
  </w:style>
  <w:style w:type="paragraph" w:styleId="41">
    <w:name w:val="toc 9"/>
    <w:basedOn w:val="1"/>
    <w:next w:val="1"/>
    <w:semiHidden/>
    <w:qFormat/>
    <w:uiPriority w:val="99"/>
    <w:pPr>
      <w:tabs>
        <w:tab w:val="right" w:leader="dot" w:pos="9185"/>
      </w:tabs>
      <w:spacing w:line="420" w:lineRule="exact"/>
      <w:ind w:firstLine="422"/>
      <w:jc w:val="left"/>
      <w:outlineLvl w:val="0"/>
    </w:pPr>
    <w:rPr>
      <w:b/>
    </w:rPr>
  </w:style>
  <w:style w:type="paragraph" w:styleId="42">
    <w:name w:val="Body Text 2"/>
    <w:basedOn w:val="1"/>
    <w:link w:val="89"/>
    <w:qFormat/>
    <w:uiPriority w:val="99"/>
    <w:pPr>
      <w:spacing w:after="120" w:line="480" w:lineRule="auto"/>
    </w:pPr>
  </w:style>
  <w:style w:type="paragraph" w:styleId="43">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0"/>
      <w:szCs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qFormat/>
    <w:uiPriority w:val="99"/>
  </w:style>
  <w:style w:type="paragraph" w:styleId="46">
    <w:name w:val="Title"/>
    <w:basedOn w:val="1"/>
    <w:next w:val="1"/>
    <w:link w:val="91"/>
    <w:qFormat/>
    <w:uiPriority w:val="99"/>
    <w:pPr>
      <w:spacing w:line="300" w:lineRule="auto"/>
      <w:ind w:left="100" w:leftChars="100" w:right="100" w:rightChars="100"/>
      <w:jc w:val="left"/>
      <w:outlineLvl w:val="0"/>
    </w:pPr>
    <w:rPr>
      <w:rFonts w:ascii="Cambria" w:hAnsi="Cambria" w:eastAsia="方正小标宋_GBK"/>
      <w:b/>
      <w:bCs/>
      <w:kern w:val="0"/>
      <w:sz w:val="44"/>
      <w:szCs w:val="32"/>
    </w:rPr>
  </w:style>
  <w:style w:type="paragraph" w:styleId="47">
    <w:name w:val="annotation subject"/>
    <w:basedOn w:val="17"/>
    <w:next w:val="17"/>
    <w:link w:val="92"/>
    <w:qFormat/>
    <w:uiPriority w:val="99"/>
    <w:rPr>
      <w:b/>
      <w:bCs/>
    </w:rPr>
  </w:style>
  <w:style w:type="paragraph" w:styleId="48">
    <w:name w:val="Body Text First Indent 2"/>
    <w:basedOn w:val="22"/>
    <w:link w:val="93"/>
    <w:qFormat/>
    <w:uiPriority w:val="99"/>
    <w:pPr>
      <w:spacing w:after="120"/>
      <w:ind w:left="420" w:leftChars="200" w:firstLine="420" w:firstLineChars="200"/>
    </w:pPr>
    <w:rPr>
      <w:rFonts w:ascii="Times New Roman" w:eastAsia="宋体"/>
      <w:sz w:val="21"/>
      <w:szCs w:val="24"/>
    </w:rPr>
  </w:style>
  <w:style w:type="table" w:styleId="50">
    <w:name w:val="Table Grid"/>
    <w:basedOn w:val="4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1">
    <w:name w:val="Table Theme"/>
    <w:basedOn w:val="49"/>
    <w:qFormat/>
    <w:uiPriority w:val="0"/>
    <w:pPr>
      <w:widowControl w:val="0"/>
      <w:spacing w:line="400" w:lineRule="exact"/>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endnote reference"/>
    <w:qFormat/>
    <w:uiPriority w:val="0"/>
    <w:rPr>
      <w:vertAlign w:val="superscript"/>
    </w:rPr>
  </w:style>
  <w:style w:type="character" w:styleId="55">
    <w:name w:val="page number"/>
    <w:qFormat/>
    <w:uiPriority w:val="0"/>
  </w:style>
  <w:style w:type="character" w:styleId="56">
    <w:name w:val="FollowedHyperlink"/>
    <w:qFormat/>
    <w:uiPriority w:val="0"/>
    <w:rPr>
      <w:color w:val="800080"/>
      <w:u w:val="single"/>
    </w:rPr>
  </w:style>
  <w:style w:type="character" w:styleId="57">
    <w:name w:val="Emphasis"/>
    <w:qFormat/>
    <w:uiPriority w:val="0"/>
    <w:rPr>
      <w:color w:val="CC0033"/>
    </w:rPr>
  </w:style>
  <w:style w:type="character" w:styleId="58">
    <w:name w:val="Hyperlink"/>
    <w:qFormat/>
    <w:uiPriority w:val="0"/>
    <w:rPr>
      <w:color w:val="0000FF"/>
      <w:u w:val="single"/>
    </w:rPr>
  </w:style>
  <w:style w:type="character" w:styleId="59">
    <w:name w:val="annotation reference"/>
    <w:basedOn w:val="52"/>
    <w:qFormat/>
    <w:uiPriority w:val="99"/>
    <w:rPr>
      <w:sz w:val="21"/>
      <w:szCs w:val="21"/>
    </w:rPr>
  </w:style>
  <w:style w:type="character" w:styleId="60">
    <w:name w:val="footnote reference"/>
    <w:qFormat/>
    <w:uiPriority w:val="0"/>
    <w:rPr>
      <w:vertAlign w:val="superscript"/>
    </w:rPr>
  </w:style>
  <w:style w:type="paragraph" w:customStyle="1" w:styleId="61">
    <w:name w:val="DAS正文"/>
    <w:basedOn w:val="1"/>
    <w:qFormat/>
    <w:uiPriority w:val="0"/>
    <w:pPr>
      <w:ind w:right="181" w:firstLine="480"/>
    </w:pPr>
    <w:rPr>
      <w:rFonts w:ascii="Verdana" w:hAnsi="Verdana"/>
    </w:rPr>
  </w:style>
  <w:style w:type="character" w:customStyle="1" w:styleId="62">
    <w:name w:val="正文文本 字符"/>
    <w:link w:val="19"/>
    <w:qFormat/>
    <w:uiPriority w:val="99"/>
    <w:rPr>
      <w:kern w:val="2"/>
      <w:sz w:val="24"/>
      <w:szCs w:val="24"/>
    </w:rPr>
  </w:style>
  <w:style w:type="character" w:customStyle="1" w:styleId="63">
    <w:name w:val="标题 1 字符"/>
    <w:link w:val="3"/>
    <w:qFormat/>
    <w:uiPriority w:val="0"/>
    <w:rPr>
      <w:rFonts w:eastAsia="仿宋_GB2312"/>
      <w:b/>
      <w:bCs/>
      <w:kern w:val="44"/>
      <w:sz w:val="44"/>
      <w:szCs w:val="44"/>
      <w:lang w:val="en-US" w:eastAsia="zh-CN" w:bidi="ar-SA"/>
    </w:rPr>
  </w:style>
  <w:style w:type="character" w:customStyle="1" w:styleId="64">
    <w:name w:val="标题 2 字符"/>
    <w:link w:val="4"/>
    <w:qFormat/>
    <w:uiPriority w:val="0"/>
    <w:rPr>
      <w:rFonts w:ascii="Arial" w:hAnsi="Arial" w:eastAsia="黑体"/>
      <w:b/>
      <w:bCs/>
      <w:kern w:val="2"/>
      <w:sz w:val="32"/>
      <w:szCs w:val="32"/>
      <w:lang w:val="en-US" w:eastAsia="zh-CN" w:bidi="ar-SA"/>
    </w:rPr>
  </w:style>
  <w:style w:type="character" w:customStyle="1" w:styleId="65">
    <w:name w:val="标题 3 字符"/>
    <w:link w:val="2"/>
    <w:qFormat/>
    <w:uiPriority w:val="0"/>
    <w:rPr>
      <w:rFonts w:ascii="宋体" w:hAnsi="Courier New" w:eastAsia="宋体"/>
      <w:b/>
      <w:bCs/>
      <w:kern w:val="2"/>
      <w:sz w:val="32"/>
      <w:szCs w:val="32"/>
      <w:lang w:val="en-US" w:eastAsia="zh-CN" w:bidi="ar-SA"/>
    </w:rPr>
  </w:style>
  <w:style w:type="character" w:customStyle="1" w:styleId="66">
    <w:name w:val="标题 4 字符"/>
    <w:link w:val="5"/>
    <w:qFormat/>
    <w:locked/>
    <w:uiPriority w:val="9"/>
    <w:rPr>
      <w:rFonts w:ascii="Arial" w:hAnsi="Arial" w:eastAsia="黑体"/>
      <w:b/>
      <w:bCs/>
      <w:kern w:val="2"/>
      <w:sz w:val="28"/>
      <w:szCs w:val="28"/>
      <w:lang w:val="en-US" w:eastAsia="zh-CN" w:bidi="ar-SA"/>
    </w:rPr>
  </w:style>
  <w:style w:type="character" w:customStyle="1" w:styleId="67">
    <w:name w:val="标题 5 字符"/>
    <w:link w:val="6"/>
    <w:qFormat/>
    <w:locked/>
    <w:uiPriority w:val="0"/>
    <w:rPr>
      <w:rFonts w:eastAsia="宋体"/>
      <w:b/>
      <w:kern w:val="2"/>
      <w:sz w:val="28"/>
      <w:szCs w:val="24"/>
      <w:lang w:bidi="ar-SA"/>
    </w:rPr>
  </w:style>
  <w:style w:type="character" w:customStyle="1" w:styleId="68">
    <w:name w:val="正文缩进 字符"/>
    <w:link w:val="7"/>
    <w:qFormat/>
    <w:locked/>
    <w:uiPriority w:val="99"/>
    <w:rPr>
      <w:rFonts w:eastAsia="宋体"/>
      <w:kern w:val="2"/>
      <w:sz w:val="21"/>
      <w:lang w:val="en-US" w:eastAsia="zh-CN" w:bidi="ar-SA"/>
    </w:rPr>
  </w:style>
  <w:style w:type="character" w:customStyle="1" w:styleId="69">
    <w:name w:val="标题 6 字符"/>
    <w:link w:val="8"/>
    <w:qFormat/>
    <w:locked/>
    <w:uiPriority w:val="0"/>
    <w:rPr>
      <w:rFonts w:ascii="Arial" w:hAnsi="Arial" w:eastAsia="黑体"/>
      <w:b/>
      <w:kern w:val="2"/>
      <w:sz w:val="24"/>
      <w:szCs w:val="24"/>
      <w:lang w:bidi="ar-SA"/>
    </w:rPr>
  </w:style>
  <w:style w:type="character" w:customStyle="1" w:styleId="70">
    <w:name w:val="标题 7 字符"/>
    <w:link w:val="9"/>
    <w:qFormat/>
    <w:locked/>
    <w:uiPriority w:val="99"/>
    <w:rPr>
      <w:rFonts w:eastAsia="宋体"/>
      <w:b/>
      <w:kern w:val="2"/>
      <w:sz w:val="24"/>
      <w:szCs w:val="24"/>
      <w:lang w:bidi="ar-SA"/>
    </w:rPr>
  </w:style>
  <w:style w:type="character" w:customStyle="1" w:styleId="71">
    <w:name w:val="标题 8 字符"/>
    <w:link w:val="10"/>
    <w:qFormat/>
    <w:locked/>
    <w:uiPriority w:val="99"/>
    <w:rPr>
      <w:rFonts w:ascii="Arial" w:hAnsi="Arial" w:eastAsia="黑体"/>
      <w:kern w:val="2"/>
      <w:sz w:val="24"/>
      <w:szCs w:val="24"/>
      <w:lang w:bidi="ar-SA"/>
    </w:rPr>
  </w:style>
  <w:style w:type="character" w:customStyle="1" w:styleId="72">
    <w:name w:val="标题 9 字符"/>
    <w:link w:val="11"/>
    <w:qFormat/>
    <w:locked/>
    <w:uiPriority w:val="99"/>
    <w:rPr>
      <w:rFonts w:ascii="Arial" w:hAnsi="Arial" w:eastAsia="黑体"/>
      <w:kern w:val="2"/>
      <w:sz w:val="21"/>
      <w:szCs w:val="24"/>
      <w:lang w:bidi="ar-SA"/>
    </w:rPr>
  </w:style>
  <w:style w:type="character" w:customStyle="1" w:styleId="73">
    <w:name w:val="引文目录 字符"/>
    <w:link w:val="13"/>
    <w:qFormat/>
    <w:uiPriority w:val="0"/>
    <w:rPr>
      <w:rFonts w:eastAsia="宋体"/>
      <w:kern w:val="2"/>
      <w:sz w:val="21"/>
      <w:szCs w:val="24"/>
      <w:lang w:val="en-US" w:eastAsia="zh-CN" w:bidi="ar-SA"/>
    </w:rPr>
  </w:style>
  <w:style w:type="character" w:customStyle="1" w:styleId="74">
    <w:name w:val="文档结构图 字符"/>
    <w:link w:val="16"/>
    <w:qFormat/>
    <w:locked/>
    <w:uiPriority w:val="99"/>
    <w:rPr>
      <w:rFonts w:eastAsia="宋体"/>
      <w:kern w:val="2"/>
      <w:sz w:val="21"/>
      <w:szCs w:val="24"/>
      <w:lang w:val="en-US" w:eastAsia="zh-CN" w:bidi="ar-SA"/>
    </w:rPr>
  </w:style>
  <w:style w:type="character" w:customStyle="1" w:styleId="75">
    <w:name w:val="批注文字 字符"/>
    <w:link w:val="17"/>
    <w:qFormat/>
    <w:locked/>
    <w:uiPriority w:val="99"/>
    <w:rPr>
      <w:rFonts w:eastAsia="宋体"/>
      <w:kern w:val="2"/>
      <w:sz w:val="21"/>
      <w:szCs w:val="24"/>
      <w:lang w:val="en-US" w:eastAsia="zh-CN" w:bidi="ar-SA"/>
    </w:rPr>
  </w:style>
  <w:style w:type="character" w:customStyle="1" w:styleId="76">
    <w:name w:val="正文文本 3 字符"/>
    <w:link w:val="18"/>
    <w:qFormat/>
    <w:uiPriority w:val="0"/>
    <w:rPr>
      <w:b/>
      <w:bCs/>
      <w:kern w:val="2"/>
      <w:sz w:val="24"/>
      <w:szCs w:val="24"/>
    </w:rPr>
  </w:style>
  <w:style w:type="character" w:customStyle="1" w:styleId="77">
    <w:name w:val="正文文本缩进 字符"/>
    <w:link w:val="22"/>
    <w:qFormat/>
    <w:uiPriority w:val="99"/>
    <w:rPr>
      <w:rFonts w:ascii="仿宋_GB2312" w:eastAsia="仿宋_GB2312"/>
      <w:kern w:val="2"/>
      <w:sz w:val="32"/>
      <w:lang w:val="en-US" w:eastAsia="zh-CN" w:bidi="ar-SA"/>
    </w:rPr>
  </w:style>
  <w:style w:type="character" w:customStyle="1" w:styleId="78">
    <w:name w:val="纯文本 字符1"/>
    <w:link w:val="27"/>
    <w:qFormat/>
    <w:uiPriority w:val="99"/>
    <w:rPr>
      <w:rFonts w:ascii="宋体" w:hAnsi="Courier New" w:eastAsia="宋体" w:cs="Courier New"/>
      <w:kern w:val="2"/>
      <w:sz w:val="21"/>
      <w:szCs w:val="21"/>
      <w:lang w:val="en-US" w:eastAsia="zh-CN" w:bidi="ar-SA"/>
    </w:rPr>
  </w:style>
  <w:style w:type="character" w:customStyle="1" w:styleId="79">
    <w:name w:val="日期 字符"/>
    <w:link w:val="21"/>
    <w:qFormat/>
    <w:locked/>
    <w:uiPriority w:val="99"/>
    <w:rPr>
      <w:rFonts w:ascii="宋体" w:hAnsi="Courier New" w:eastAsia="宋体" w:cs="Courier New"/>
      <w:kern w:val="2"/>
      <w:sz w:val="21"/>
      <w:szCs w:val="21"/>
      <w:lang w:val="en-US" w:eastAsia="zh-CN" w:bidi="ar-SA"/>
    </w:rPr>
  </w:style>
  <w:style w:type="character" w:customStyle="1" w:styleId="80">
    <w:name w:val="正文文本缩进 2 字符"/>
    <w:link w:val="29"/>
    <w:qFormat/>
    <w:uiPriority w:val="99"/>
    <w:rPr>
      <w:kern w:val="2"/>
      <w:sz w:val="32"/>
    </w:rPr>
  </w:style>
  <w:style w:type="character" w:customStyle="1" w:styleId="81">
    <w:name w:val="尾注文本 字符"/>
    <w:link w:val="30"/>
    <w:semiHidden/>
    <w:qFormat/>
    <w:locked/>
    <w:uiPriority w:val="99"/>
    <w:rPr>
      <w:rFonts w:ascii="微软雅黑" w:hAnsi="微软雅黑" w:eastAsia="微软雅黑"/>
      <w:lang w:bidi="ar-SA"/>
    </w:rPr>
  </w:style>
  <w:style w:type="character" w:customStyle="1" w:styleId="82">
    <w:name w:val="批注框文本 字符"/>
    <w:link w:val="31"/>
    <w:qFormat/>
    <w:locked/>
    <w:uiPriority w:val="99"/>
    <w:rPr>
      <w:rFonts w:eastAsia="宋体"/>
      <w:kern w:val="2"/>
      <w:sz w:val="18"/>
      <w:szCs w:val="18"/>
      <w:lang w:val="en-US" w:eastAsia="zh-CN" w:bidi="ar-SA"/>
    </w:rPr>
  </w:style>
  <w:style w:type="character" w:customStyle="1" w:styleId="83">
    <w:name w:val="页脚 字符"/>
    <w:link w:val="32"/>
    <w:qFormat/>
    <w:uiPriority w:val="99"/>
    <w:rPr>
      <w:rFonts w:eastAsia="宋体"/>
      <w:kern w:val="2"/>
      <w:sz w:val="18"/>
      <w:szCs w:val="18"/>
      <w:lang w:val="en-US" w:eastAsia="zh-CN" w:bidi="ar-SA"/>
    </w:rPr>
  </w:style>
  <w:style w:type="character" w:customStyle="1" w:styleId="84">
    <w:name w:val="页眉 字符"/>
    <w:link w:val="33"/>
    <w:qFormat/>
    <w:uiPriority w:val="99"/>
    <w:rPr>
      <w:rFonts w:eastAsia="宋体"/>
      <w:kern w:val="2"/>
      <w:sz w:val="18"/>
      <w:szCs w:val="18"/>
      <w:lang w:val="en-US" w:eastAsia="zh-CN" w:bidi="ar-SA"/>
    </w:rPr>
  </w:style>
  <w:style w:type="character" w:customStyle="1" w:styleId="85">
    <w:name w:val="TOC 1 字符"/>
    <w:link w:val="34"/>
    <w:qFormat/>
    <w:uiPriority w:val="39"/>
    <w:rPr>
      <w:kern w:val="2"/>
      <w:sz w:val="21"/>
      <w:szCs w:val="24"/>
    </w:rPr>
  </w:style>
  <w:style w:type="character" w:customStyle="1" w:styleId="86">
    <w:name w:val="副标题 字符"/>
    <w:link w:val="36"/>
    <w:qFormat/>
    <w:locked/>
    <w:uiPriority w:val="99"/>
    <w:rPr>
      <w:rFonts w:ascii="Cambria" w:hAnsi="Cambria" w:eastAsia="宋体"/>
      <w:i/>
      <w:iCs/>
      <w:color w:val="4F81BD"/>
      <w:spacing w:val="15"/>
      <w:lang w:bidi="ar-SA"/>
    </w:rPr>
  </w:style>
  <w:style w:type="character" w:customStyle="1" w:styleId="87">
    <w:name w:val="脚注文本 字符"/>
    <w:link w:val="38"/>
    <w:qFormat/>
    <w:locked/>
    <w:uiPriority w:val="99"/>
    <w:rPr>
      <w:rFonts w:ascii="Arial" w:hAnsi="Arial" w:eastAsia="宋体" w:cs="Arial"/>
      <w:sz w:val="18"/>
      <w:szCs w:val="18"/>
      <w:lang w:bidi="ar-SA"/>
    </w:rPr>
  </w:style>
  <w:style w:type="character" w:customStyle="1" w:styleId="88">
    <w:name w:val="正文文本缩进 3 字符"/>
    <w:link w:val="40"/>
    <w:qFormat/>
    <w:uiPriority w:val="99"/>
    <w:rPr>
      <w:rFonts w:eastAsia="宋体"/>
      <w:kern w:val="2"/>
      <w:sz w:val="16"/>
      <w:szCs w:val="16"/>
      <w:lang w:val="en-US" w:eastAsia="zh-CN" w:bidi="ar-SA"/>
    </w:rPr>
  </w:style>
  <w:style w:type="character" w:customStyle="1" w:styleId="89">
    <w:name w:val="正文文本 2 字符"/>
    <w:link w:val="42"/>
    <w:qFormat/>
    <w:uiPriority w:val="99"/>
    <w:rPr>
      <w:kern w:val="2"/>
      <w:sz w:val="21"/>
      <w:szCs w:val="24"/>
    </w:rPr>
  </w:style>
  <w:style w:type="character" w:customStyle="1" w:styleId="90">
    <w:name w:val="HTML 预设格式 字符"/>
    <w:link w:val="43"/>
    <w:qFormat/>
    <w:locked/>
    <w:uiPriority w:val="0"/>
    <w:rPr>
      <w:rFonts w:ascii="Arial" w:hAnsi="Arial" w:cs="Arial"/>
      <w:lang w:bidi="ar-SA"/>
    </w:rPr>
  </w:style>
  <w:style w:type="character" w:customStyle="1" w:styleId="91">
    <w:name w:val="标题 字符"/>
    <w:link w:val="46"/>
    <w:qFormat/>
    <w:locked/>
    <w:uiPriority w:val="99"/>
    <w:rPr>
      <w:rFonts w:ascii="Cambria" w:hAnsi="Cambria" w:eastAsia="方正小标宋_GBK"/>
      <w:b/>
      <w:bCs/>
      <w:sz w:val="44"/>
      <w:szCs w:val="32"/>
    </w:rPr>
  </w:style>
  <w:style w:type="character" w:customStyle="1" w:styleId="92">
    <w:name w:val="批注主题 字符"/>
    <w:link w:val="47"/>
    <w:qFormat/>
    <w:locked/>
    <w:uiPriority w:val="99"/>
    <w:rPr>
      <w:rFonts w:eastAsia="宋体"/>
      <w:b/>
      <w:bCs/>
      <w:kern w:val="2"/>
      <w:sz w:val="21"/>
      <w:szCs w:val="24"/>
      <w:lang w:val="en-US" w:eastAsia="zh-CN" w:bidi="ar-SA"/>
    </w:rPr>
  </w:style>
  <w:style w:type="character" w:customStyle="1" w:styleId="93">
    <w:name w:val="正文文本首行缩进 2 字符"/>
    <w:link w:val="48"/>
    <w:qFormat/>
    <w:uiPriority w:val="99"/>
    <w:rPr>
      <w:rFonts w:ascii="仿宋_GB2312" w:eastAsia="仿宋_GB2312"/>
      <w:kern w:val="2"/>
      <w:sz w:val="21"/>
      <w:szCs w:val="24"/>
      <w:lang w:val="en-US" w:eastAsia="zh-CN" w:bidi="ar-SA"/>
    </w:rPr>
  </w:style>
  <w:style w:type="character" w:customStyle="1" w:styleId="94">
    <w:name w:val="OK Char1"/>
    <w:link w:val="95"/>
    <w:qFormat/>
    <w:locked/>
    <w:uiPriority w:val="0"/>
    <w:rPr>
      <w:rFonts w:ascii="宋体" w:hAnsi="宋体" w:eastAsia="宋体"/>
      <w:bCs/>
      <w:lang w:bidi="ar-SA"/>
    </w:rPr>
  </w:style>
  <w:style w:type="paragraph" w:customStyle="1" w:styleId="95">
    <w:name w:val="OK"/>
    <w:basedOn w:val="1"/>
    <w:link w:val="94"/>
    <w:qFormat/>
    <w:uiPriority w:val="0"/>
    <w:pPr>
      <w:jc w:val="left"/>
    </w:pPr>
    <w:rPr>
      <w:rFonts w:ascii="宋体" w:hAnsi="宋体"/>
      <w:bCs/>
      <w:kern w:val="0"/>
      <w:sz w:val="20"/>
      <w:szCs w:val="20"/>
    </w:rPr>
  </w:style>
  <w:style w:type="character" w:customStyle="1" w:styleId="96">
    <w:name w:val="Char Char21"/>
    <w:qFormat/>
    <w:locked/>
    <w:uiPriority w:val="0"/>
    <w:rPr>
      <w:rFonts w:ascii="Arial" w:hAnsi="Arial" w:eastAsia="微软雅黑"/>
      <w:b/>
      <w:sz w:val="28"/>
      <w:szCs w:val="28"/>
      <w:lang w:bidi="ar-SA"/>
    </w:rPr>
  </w:style>
  <w:style w:type="character" w:customStyle="1" w:styleId="97">
    <w:name w:val="1ji Char"/>
    <w:link w:val="98"/>
    <w:qFormat/>
    <w:uiPriority w:val="0"/>
    <w:rPr>
      <w:rFonts w:ascii="宋体" w:hAnsi="宋体" w:eastAsia="仿宋_GB2312"/>
      <w:b/>
      <w:bCs/>
      <w:kern w:val="44"/>
      <w:sz w:val="36"/>
      <w:szCs w:val="44"/>
      <w:lang w:val="en-US" w:eastAsia="zh-CN" w:bidi="ar-SA"/>
    </w:rPr>
  </w:style>
  <w:style w:type="paragraph" w:customStyle="1" w:styleId="98">
    <w:name w:val="1ji"/>
    <w:basedOn w:val="3"/>
    <w:link w:val="97"/>
    <w:qFormat/>
    <w:uiPriority w:val="0"/>
    <w:pPr>
      <w:keepLines w:val="0"/>
      <w:widowControl/>
      <w:spacing w:before="0" w:after="0" w:line="240" w:lineRule="auto"/>
    </w:pPr>
    <w:rPr>
      <w:rFonts w:ascii="宋体" w:hAnsi="宋体"/>
      <w:sz w:val="36"/>
    </w:rPr>
  </w:style>
  <w:style w:type="character" w:customStyle="1" w:styleId="99">
    <w:name w:val="Heading 3 Char"/>
    <w:qFormat/>
    <w:locked/>
    <w:uiPriority w:val="0"/>
    <w:rPr>
      <w:rFonts w:ascii="Cambria" w:hAnsi="Cambria" w:eastAsia="宋体"/>
      <w:b/>
      <w:bCs/>
      <w:kern w:val="2"/>
      <w:sz w:val="24"/>
      <w:szCs w:val="32"/>
      <w:lang w:val="en-US" w:eastAsia="zh-CN" w:bidi="ar-SA"/>
    </w:rPr>
  </w:style>
  <w:style w:type="character" w:customStyle="1" w:styleId="100">
    <w:name w:val="明显强调1"/>
    <w:qFormat/>
    <w:uiPriority w:val="0"/>
    <w:rPr>
      <w:b/>
      <w:bCs/>
      <w:i/>
      <w:iCs/>
      <w:color w:val="4F81BD"/>
    </w:rPr>
  </w:style>
  <w:style w:type="character" w:customStyle="1" w:styleId="101">
    <w:name w:val="ca-72"/>
    <w:qFormat/>
    <w:uiPriority w:val="0"/>
  </w:style>
  <w:style w:type="character" w:customStyle="1" w:styleId="102">
    <w:name w:val="明显引用字符"/>
    <w:link w:val="103"/>
    <w:qFormat/>
    <w:locked/>
    <w:uiPriority w:val="0"/>
    <w:rPr>
      <w:rFonts w:ascii="Arial" w:hAnsi="Arial" w:cs="Arial"/>
      <w:b/>
      <w:bCs/>
      <w:i/>
      <w:iCs/>
      <w:color w:val="4F81BD"/>
      <w:lang w:bidi="ar-SA"/>
    </w:rPr>
  </w:style>
  <w:style w:type="paragraph" w:customStyle="1" w:styleId="103">
    <w:name w:val="明显引用1"/>
    <w:basedOn w:val="1"/>
    <w:next w:val="1"/>
    <w:link w:val="102"/>
    <w:qFormat/>
    <w:uiPriority w:val="0"/>
    <w:pPr>
      <w:pBdr>
        <w:bottom w:val="single" w:color="4F81BD" w:sz="4" w:space="4"/>
      </w:pBdr>
      <w:spacing w:before="200" w:line="360" w:lineRule="auto"/>
      <w:ind w:left="936" w:right="936"/>
      <w:jc w:val="left"/>
    </w:pPr>
    <w:rPr>
      <w:rFonts w:ascii="Arial" w:hAnsi="Arial" w:cs="Arial"/>
      <w:b/>
      <w:bCs/>
      <w:i/>
      <w:iCs/>
      <w:color w:val="4F81BD"/>
      <w:kern w:val="0"/>
      <w:sz w:val="20"/>
      <w:szCs w:val="20"/>
    </w:rPr>
  </w:style>
  <w:style w:type="character" w:customStyle="1" w:styleId="104">
    <w:name w:val="font201"/>
    <w:qFormat/>
    <w:uiPriority w:val="0"/>
    <w:rPr>
      <w:rFonts w:hint="default" w:ascii="Times New Roman" w:hAnsi="Times New Roman" w:cs="Times New Roman"/>
      <w:color w:val="000000"/>
      <w:sz w:val="21"/>
      <w:szCs w:val="21"/>
      <w:u w:val="none"/>
    </w:rPr>
  </w:style>
  <w:style w:type="character" w:customStyle="1" w:styleId="105">
    <w:name w:val="style31"/>
    <w:qFormat/>
    <w:uiPriority w:val="0"/>
    <w:rPr>
      <w:b/>
      <w:bCs/>
      <w:color w:val="FFFFFF"/>
    </w:rPr>
  </w:style>
  <w:style w:type="character" w:customStyle="1" w:styleId="106">
    <w:name w:val="GTA正文-2 Char Char"/>
    <w:qFormat/>
    <w:locked/>
    <w:uiPriority w:val="0"/>
    <w:rPr>
      <w:rFonts w:hint="default" w:ascii="Arial" w:hAnsi="Arial" w:eastAsia="微软雅黑" w:cs="Arial"/>
      <w:sz w:val="24"/>
    </w:rPr>
  </w:style>
  <w:style w:type="character" w:customStyle="1" w:styleId="107">
    <w:name w:val="GTA标题5 Char"/>
    <w:link w:val="108"/>
    <w:qFormat/>
    <w:locked/>
    <w:uiPriority w:val="0"/>
    <w:rPr>
      <w:rFonts w:ascii="Arial" w:hAnsi="Arial" w:eastAsia="楷体_GB2312"/>
      <w:b/>
      <w:bCs/>
      <w:sz w:val="21"/>
      <w:szCs w:val="21"/>
      <w:lang w:bidi="ar-SA"/>
    </w:rPr>
  </w:style>
  <w:style w:type="paragraph" w:customStyle="1" w:styleId="108">
    <w:name w:val="GTA标题5"/>
    <w:basedOn w:val="6"/>
    <w:link w:val="107"/>
    <w:qFormat/>
    <w:uiPriority w:val="0"/>
    <w:pPr>
      <w:tabs>
        <w:tab w:val="left" w:pos="360"/>
      </w:tabs>
      <w:spacing w:beforeLines="75" w:afterLines="50" w:line="360" w:lineRule="auto"/>
      <w:ind w:left="360" w:hanging="360"/>
    </w:pPr>
    <w:rPr>
      <w:rFonts w:ascii="Arial" w:hAnsi="Arial" w:eastAsia="楷体_GB2312"/>
      <w:bCs/>
      <w:kern w:val="0"/>
      <w:sz w:val="21"/>
      <w:szCs w:val="21"/>
    </w:rPr>
  </w:style>
  <w:style w:type="character" w:customStyle="1" w:styleId="109">
    <w:name w:val="Heading 1 Char"/>
    <w:qFormat/>
    <w:locked/>
    <w:uiPriority w:val="0"/>
    <w:rPr>
      <w:rFonts w:ascii="Arial" w:hAnsi="Arial" w:eastAsia="宋体"/>
      <w:b/>
      <w:bCs/>
      <w:kern w:val="44"/>
      <w:sz w:val="28"/>
      <w:szCs w:val="44"/>
      <w:lang w:val="zh-CN" w:eastAsia="zh-CN" w:bidi="ar-SA"/>
    </w:rPr>
  </w:style>
  <w:style w:type="character" w:customStyle="1" w:styleId="110">
    <w:name w:val="Char Char8"/>
    <w:qFormat/>
    <w:locked/>
    <w:uiPriority w:val="0"/>
    <w:rPr>
      <w:rFonts w:ascii="宋体" w:hAnsi="宋体" w:eastAsia="宋体"/>
      <w:kern w:val="2"/>
      <w:sz w:val="21"/>
      <w:szCs w:val="24"/>
      <w:lang w:val="en-US" w:eastAsia="zh-CN" w:bidi="ar-SA"/>
    </w:rPr>
  </w:style>
  <w:style w:type="character" w:customStyle="1" w:styleId="111">
    <w:name w:val="font31"/>
    <w:qFormat/>
    <w:uiPriority w:val="0"/>
    <w:rPr>
      <w:rFonts w:ascii="宋体" w:hAnsi="宋体" w:eastAsia="宋体" w:cs="宋体"/>
      <w:color w:val="000000"/>
      <w:sz w:val="20"/>
      <w:szCs w:val="20"/>
      <w:u w:val="none"/>
    </w:rPr>
  </w:style>
  <w:style w:type="character" w:customStyle="1" w:styleId="112">
    <w:name w:val="con"/>
    <w:qFormat/>
    <w:uiPriority w:val="0"/>
  </w:style>
  <w:style w:type="character" w:customStyle="1" w:styleId="113">
    <w:name w:val="apple-style-span"/>
    <w:qFormat/>
    <w:uiPriority w:val="0"/>
  </w:style>
  <w:style w:type="character" w:customStyle="1" w:styleId="114">
    <w:name w:val="15"/>
    <w:qFormat/>
    <w:uiPriority w:val="0"/>
    <w:rPr>
      <w:rFonts w:hint="default" w:ascii="Calibri" w:hAnsi="Calibri" w:cs="Calibri"/>
      <w:color w:val="000000"/>
      <w:sz w:val="21"/>
      <w:szCs w:val="21"/>
    </w:rPr>
  </w:style>
  <w:style w:type="character" w:customStyle="1" w:styleId="115">
    <w:name w:val="font11"/>
    <w:basedOn w:val="52"/>
    <w:qFormat/>
    <w:uiPriority w:val="0"/>
    <w:rPr>
      <w:rFonts w:ascii="宋体" w:hAnsi="宋体" w:eastAsia="宋体" w:cs="宋体"/>
      <w:color w:val="000000"/>
      <w:sz w:val="20"/>
      <w:szCs w:val="20"/>
      <w:u w:val="none"/>
    </w:rPr>
  </w:style>
  <w:style w:type="character" w:customStyle="1" w:styleId="116">
    <w:name w:val="NormalCharacter"/>
    <w:qFormat/>
    <w:uiPriority w:val="0"/>
  </w:style>
  <w:style w:type="character" w:customStyle="1" w:styleId="117">
    <w:name w:val="无间隔字符"/>
    <w:link w:val="118"/>
    <w:qFormat/>
    <w:locked/>
    <w:uiPriority w:val="99"/>
    <w:rPr>
      <w:rFonts w:ascii="Cambria" w:hAnsi="Cambria"/>
      <w:kern w:val="2"/>
      <w:sz w:val="21"/>
      <w:szCs w:val="22"/>
      <w:lang w:val="en-US" w:eastAsia="zh-CN" w:bidi="ar-SA"/>
    </w:rPr>
  </w:style>
  <w:style w:type="paragraph" w:customStyle="1" w:styleId="118">
    <w:name w:val="无间隔1"/>
    <w:link w:val="117"/>
    <w:qFormat/>
    <w:uiPriority w:val="99"/>
    <w:pPr>
      <w:widowControl w:val="0"/>
      <w:spacing w:line="400" w:lineRule="exact"/>
      <w:ind w:firstLine="200" w:firstLineChars="200"/>
      <w:jc w:val="both"/>
    </w:pPr>
    <w:rPr>
      <w:rFonts w:ascii="Cambria" w:hAnsi="Cambria" w:eastAsia="宋体" w:cs="Times New Roman"/>
      <w:kern w:val="2"/>
      <w:sz w:val="21"/>
      <w:szCs w:val="22"/>
      <w:lang w:val="en-US" w:eastAsia="zh-CN" w:bidi="ar-SA"/>
    </w:rPr>
  </w:style>
  <w:style w:type="character" w:customStyle="1" w:styleId="119">
    <w:name w:val="图注1 Char"/>
    <w:link w:val="120"/>
    <w:qFormat/>
    <w:locked/>
    <w:uiPriority w:val="0"/>
    <w:rPr>
      <w:rFonts w:ascii="Cambria" w:hAnsi="Cambria" w:eastAsia="宋体"/>
      <w:sz w:val="21"/>
      <w:szCs w:val="22"/>
      <w:lang w:bidi="ar-SA"/>
    </w:rPr>
  </w:style>
  <w:style w:type="paragraph" w:customStyle="1" w:styleId="120">
    <w:name w:val="图注1"/>
    <w:basedOn w:val="1"/>
    <w:link w:val="119"/>
    <w:qFormat/>
    <w:uiPriority w:val="0"/>
    <w:pPr>
      <w:tabs>
        <w:tab w:val="left" w:pos="1140"/>
      </w:tabs>
      <w:spacing w:afterLines="20" w:line="300" w:lineRule="auto"/>
      <w:ind w:left="1140" w:hanging="360"/>
      <w:jc w:val="center"/>
    </w:pPr>
    <w:rPr>
      <w:rFonts w:ascii="Cambria" w:hAnsi="Cambria"/>
      <w:kern w:val="0"/>
      <w:szCs w:val="22"/>
    </w:rPr>
  </w:style>
  <w:style w:type="character" w:customStyle="1" w:styleId="121">
    <w:name w:val="GTA标题1 Char"/>
    <w:link w:val="122"/>
    <w:qFormat/>
    <w:locked/>
    <w:uiPriority w:val="0"/>
    <w:rPr>
      <w:rFonts w:ascii="Arial" w:hAnsi="Arial" w:eastAsia="黑体"/>
      <w:bCs/>
      <w:kern w:val="44"/>
      <w:sz w:val="44"/>
      <w:szCs w:val="44"/>
      <w:lang w:bidi="ar-SA"/>
    </w:rPr>
  </w:style>
  <w:style w:type="paragraph" w:customStyle="1" w:styleId="122">
    <w:name w:val="GTA标题1"/>
    <w:basedOn w:val="3"/>
    <w:link w:val="121"/>
    <w:qFormat/>
    <w:uiPriority w:val="0"/>
    <w:pPr>
      <w:tabs>
        <w:tab w:val="left" w:pos="360"/>
      </w:tabs>
      <w:spacing w:beforeLines="200" w:afterLines="150" w:line="480" w:lineRule="auto"/>
      <w:ind w:left="360" w:hanging="360"/>
      <w:jc w:val="both"/>
    </w:pPr>
    <w:rPr>
      <w:rFonts w:ascii="Arial" w:hAnsi="Arial" w:eastAsia="黑体"/>
      <w:b w:val="0"/>
    </w:rPr>
  </w:style>
  <w:style w:type="character" w:customStyle="1" w:styleId="123">
    <w:name w:val="headline-content"/>
    <w:qFormat/>
    <w:uiPriority w:val="0"/>
  </w:style>
  <w:style w:type="character" w:customStyle="1" w:styleId="124">
    <w:name w:val="font21"/>
    <w:basedOn w:val="52"/>
    <w:qFormat/>
    <w:uiPriority w:val="0"/>
    <w:rPr>
      <w:rFonts w:ascii="宋体" w:hAnsi="宋体" w:eastAsia="宋体" w:cs="宋体"/>
      <w:color w:val="000000"/>
      <w:sz w:val="20"/>
      <w:szCs w:val="20"/>
      <w:u w:val="none"/>
    </w:rPr>
  </w:style>
  <w:style w:type="character" w:customStyle="1" w:styleId="125">
    <w:name w:val="特点1"/>
    <w:qFormat/>
    <w:uiPriority w:val="0"/>
  </w:style>
  <w:style w:type="character" w:customStyle="1" w:styleId="126">
    <w:name w:val="目录标题 字符"/>
    <w:link w:val="127"/>
    <w:qFormat/>
    <w:uiPriority w:val="0"/>
    <w:rPr>
      <w:rFonts w:eastAsia="方正小标宋_GBK"/>
      <w:b/>
      <w:kern w:val="2"/>
      <w:sz w:val="24"/>
      <w:szCs w:val="24"/>
    </w:rPr>
  </w:style>
  <w:style w:type="paragraph" w:customStyle="1" w:styleId="127">
    <w:name w:val="目录标题"/>
    <w:link w:val="126"/>
    <w:qFormat/>
    <w:uiPriority w:val="0"/>
    <w:pPr>
      <w:tabs>
        <w:tab w:val="right" w:leader="dot" w:pos="9683"/>
      </w:tabs>
      <w:spacing w:line="360" w:lineRule="auto"/>
    </w:pPr>
    <w:rPr>
      <w:rFonts w:ascii="Times New Roman" w:hAnsi="Times New Roman" w:eastAsia="方正小标宋_GBK" w:cs="Times New Roman"/>
      <w:b/>
      <w:kern w:val="2"/>
      <w:sz w:val="24"/>
      <w:szCs w:val="24"/>
      <w:lang w:val="en-US" w:eastAsia="zh-CN" w:bidi="ar-SA"/>
    </w:rPr>
  </w:style>
  <w:style w:type="character" w:customStyle="1" w:styleId="128">
    <w:name w:val="GTA正文-1 Char Char"/>
    <w:qFormat/>
    <w:locked/>
    <w:uiPriority w:val="0"/>
    <w:rPr>
      <w:rFonts w:hint="default" w:ascii="Arial" w:hAnsi="Arial" w:eastAsia="微软雅黑" w:cs="Arial"/>
      <w:sz w:val="24"/>
    </w:rPr>
  </w:style>
  <w:style w:type="character" w:customStyle="1" w:styleId="129">
    <w:name w:val="List Paragraph Char"/>
    <w:link w:val="130"/>
    <w:qFormat/>
    <w:locked/>
    <w:uiPriority w:val="0"/>
    <w:rPr>
      <w:rFonts w:ascii="Calibri" w:hAnsi="Calibri" w:eastAsia="宋体"/>
      <w:kern w:val="2"/>
      <w:sz w:val="21"/>
      <w:szCs w:val="22"/>
      <w:lang w:val="en-US" w:eastAsia="zh-CN" w:bidi="ar-SA"/>
    </w:rPr>
  </w:style>
  <w:style w:type="paragraph" w:customStyle="1" w:styleId="130">
    <w:name w:val="列出段落1"/>
    <w:basedOn w:val="1"/>
    <w:link w:val="129"/>
    <w:qFormat/>
    <w:uiPriority w:val="0"/>
    <w:pPr>
      <w:ind w:firstLine="420"/>
    </w:pPr>
    <w:rPr>
      <w:rFonts w:ascii="Calibri" w:hAnsi="Calibri"/>
      <w:szCs w:val="22"/>
    </w:rPr>
  </w:style>
  <w:style w:type="character" w:customStyle="1" w:styleId="131">
    <w:name w:val="03 Char"/>
    <w:link w:val="132"/>
    <w:qFormat/>
    <w:locked/>
    <w:uiPriority w:val="0"/>
    <w:rPr>
      <w:rFonts w:ascii="仿宋_GB2312" w:eastAsia="仿宋_GB2312"/>
      <w:b/>
      <w:sz w:val="28"/>
      <w:lang w:bidi="ar-SA"/>
    </w:rPr>
  </w:style>
  <w:style w:type="paragraph" w:customStyle="1" w:styleId="132">
    <w:name w:val="03"/>
    <w:basedOn w:val="1"/>
    <w:link w:val="131"/>
    <w:qFormat/>
    <w:uiPriority w:val="0"/>
    <w:pPr>
      <w:adjustRightInd w:val="0"/>
      <w:snapToGrid w:val="0"/>
      <w:spacing w:line="440" w:lineRule="exact"/>
      <w:ind w:firstLine="424" w:firstLineChars="151"/>
    </w:pPr>
    <w:rPr>
      <w:rFonts w:ascii="仿宋_GB2312" w:eastAsia="仿宋_GB2312"/>
      <w:b/>
      <w:kern w:val="0"/>
      <w:sz w:val="28"/>
      <w:szCs w:val="20"/>
    </w:rPr>
  </w:style>
  <w:style w:type="character" w:customStyle="1" w:styleId="133">
    <w:name w:val="列表段落 字符"/>
    <w:link w:val="134"/>
    <w:qFormat/>
    <w:uiPriority w:val="0"/>
    <w:rPr>
      <w:rFonts w:eastAsia="宋体"/>
      <w:kern w:val="2"/>
      <w:sz w:val="21"/>
      <w:szCs w:val="24"/>
      <w:lang w:val="en-US" w:eastAsia="zh-CN" w:bidi="ar-SA"/>
    </w:rPr>
  </w:style>
  <w:style w:type="paragraph" w:styleId="134">
    <w:name w:val="List Paragraph"/>
    <w:basedOn w:val="1"/>
    <w:link w:val="133"/>
    <w:qFormat/>
    <w:uiPriority w:val="0"/>
    <w:pPr>
      <w:ind w:firstLine="420"/>
    </w:pPr>
  </w:style>
  <w:style w:type="character" w:customStyle="1" w:styleId="135">
    <w:name w:val="页脚 字符1"/>
    <w:semiHidden/>
    <w:qFormat/>
    <w:uiPriority w:val="99"/>
    <w:rPr>
      <w:rFonts w:ascii="Calibri" w:hAnsi="Calibri" w:eastAsia="宋体" w:cs="Times New Roman"/>
      <w:sz w:val="18"/>
      <w:szCs w:val="18"/>
    </w:rPr>
  </w:style>
  <w:style w:type="character" w:customStyle="1" w:styleId="136">
    <w:name w:val="普通文字 Char Char1"/>
    <w:qFormat/>
    <w:locked/>
    <w:uiPriority w:val="0"/>
    <w:rPr>
      <w:rFonts w:ascii="宋体" w:hAnsi="Courier New" w:eastAsia="宋体" w:cs="Courier New"/>
      <w:kern w:val="2"/>
      <w:sz w:val="21"/>
      <w:szCs w:val="21"/>
      <w:lang w:val="en-US" w:eastAsia="zh-CN" w:bidi="ar-SA"/>
    </w:rPr>
  </w:style>
  <w:style w:type="character" w:customStyle="1" w:styleId="137">
    <w:name w:val="浅色网格 - 强调文字颜色 3 Char"/>
    <w:link w:val="138"/>
    <w:qFormat/>
    <w:uiPriority w:val="0"/>
    <w:rPr>
      <w:rFonts w:ascii="Calibri" w:hAnsi="Calibri" w:eastAsia="宋体"/>
      <w:kern w:val="2"/>
      <w:sz w:val="21"/>
      <w:szCs w:val="22"/>
      <w:lang w:bidi="ar-SA"/>
    </w:rPr>
  </w:style>
  <w:style w:type="paragraph" w:customStyle="1" w:styleId="138">
    <w:name w:val="浅色网格 - 强调文字颜色 31"/>
    <w:basedOn w:val="1"/>
    <w:link w:val="137"/>
    <w:qFormat/>
    <w:uiPriority w:val="0"/>
    <w:pPr>
      <w:ind w:firstLine="420"/>
    </w:pPr>
    <w:rPr>
      <w:rFonts w:ascii="Calibri" w:hAnsi="Calibri"/>
      <w:szCs w:val="22"/>
    </w:rPr>
  </w:style>
  <w:style w:type="character" w:customStyle="1" w:styleId="139">
    <w:name w:val="批注文字 Char1"/>
    <w:qFormat/>
    <w:uiPriority w:val="0"/>
    <w:rPr>
      <w:kern w:val="2"/>
      <w:sz w:val="21"/>
      <w:szCs w:val="24"/>
    </w:rPr>
  </w:style>
  <w:style w:type="character" w:customStyle="1" w:styleId="140">
    <w:name w:val="Char Char2"/>
    <w:qFormat/>
    <w:locked/>
    <w:uiPriority w:val="0"/>
    <w:rPr>
      <w:rFonts w:ascii="Calibri" w:hAnsi="Calibri" w:eastAsia="宋体" w:cs="黑体"/>
      <w:kern w:val="2"/>
      <w:sz w:val="24"/>
      <w:szCs w:val="24"/>
      <w:lang w:val="en-US" w:eastAsia="zh-CN" w:bidi="ar-SA"/>
    </w:rPr>
  </w:style>
  <w:style w:type="character" w:customStyle="1" w:styleId="141">
    <w:name w:val="Char Char22"/>
    <w:qFormat/>
    <w:locked/>
    <w:uiPriority w:val="0"/>
    <w:rPr>
      <w:rFonts w:eastAsia="微软雅黑"/>
      <w:b/>
      <w:bCs/>
      <w:kern w:val="44"/>
      <w:sz w:val="36"/>
      <w:szCs w:val="36"/>
      <w:lang w:bidi="ar-SA"/>
    </w:rPr>
  </w:style>
  <w:style w:type="character" w:customStyle="1" w:styleId="142">
    <w:name w:val="Char Char19"/>
    <w:qFormat/>
    <w:locked/>
    <w:uiPriority w:val="0"/>
    <w:rPr>
      <w:rFonts w:ascii="Arial" w:hAnsi="Arial" w:eastAsia="微软雅黑"/>
      <w:b/>
      <w:bCs/>
      <w:color w:val="0070C0"/>
      <w:szCs w:val="28"/>
      <w:lang w:bidi="ar-SA"/>
    </w:rPr>
  </w:style>
  <w:style w:type="character" w:customStyle="1" w:styleId="143">
    <w:name w:val="Char Char6"/>
    <w:qFormat/>
    <w:locked/>
    <w:uiPriority w:val="0"/>
    <w:rPr>
      <w:sz w:val="18"/>
      <w:szCs w:val="18"/>
      <w:lang w:bidi="ar-SA"/>
    </w:rPr>
  </w:style>
  <w:style w:type="character" w:customStyle="1" w:styleId="144">
    <w:name w:val="Footer Char"/>
    <w:qFormat/>
    <w:locked/>
    <w:uiPriority w:val="0"/>
    <w:rPr>
      <w:rFonts w:ascii="Cambria" w:hAnsi="Cambria" w:eastAsia="宋体"/>
      <w:kern w:val="2"/>
      <w:sz w:val="18"/>
      <w:szCs w:val="18"/>
      <w:lang w:val="en-US" w:eastAsia="zh-CN" w:bidi="ar-SA"/>
    </w:rPr>
  </w:style>
  <w:style w:type="character" w:customStyle="1" w:styleId="145">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146">
    <w:name w:val="书籍标题1"/>
    <w:qFormat/>
    <w:uiPriority w:val="0"/>
    <w:rPr>
      <w:b/>
      <w:bCs/>
      <w:smallCaps/>
      <w:spacing w:val="5"/>
    </w:rPr>
  </w:style>
  <w:style w:type="character" w:customStyle="1" w:styleId="147">
    <w:name w:val="Char Char4"/>
    <w:qFormat/>
    <w:uiPriority w:val="0"/>
    <w:rPr>
      <w:rFonts w:eastAsia="宋体"/>
      <w:kern w:val="2"/>
      <w:sz w:val="21"/>
      <w:szCs w:val="24"/>
      <w:lang w:val="en-US" w:eastAsia="zh-CN" w:bidi="ar-SA"/>
    </w:rPr>
  </w:style>
  <w:style w:type="character" w:customStyle="1" w:styleId="148">
    <w:name w:val="纯文本 Char"/>
    <w:qFormat/>
    <w:uiPriority w:val="0"/>
    <w:rPr>
      <w:rFonts w:ascii="宋体" w:hAnsi="Courier New"/>
    </w:rPr>
  </w:style>
  <w:style w:type="character" w:customStyle="1" w:styleId="149">
    <w:name w:val="GTA标题2 Char"/>
    <w:qFormat/>
    <w:uiPriority w:val="0"/>
    <w:rPr>
      <w:rFonts w:hint="default" w:ascii="Arial" w:hAnsi="Arial" w:eastAsia="黑体" w:cs="Arial"/>
      <w:bCs/>
      <w:kern w:val="2"/>
      <w:sz w:val="30"/>
      <w:szCs w:val="30"/>
    </w:rPr>
  </w:style>
  <w:style w:type="character" w:customStyle="1" w:styleId="150">
    <w:name w:val="列出段落 Char"/>
    <w:qFormat/>
    <w:locked/>
    <w:uiPriority w:val="0"/>
    <w:rPr>
      <w:kern w:val="2"/>
      <w:sz w:val="21"/>
      <w:szCs w:val="22"/>
    </w:rPr>
  </w:style>
  <w:style w:type="character" w:customStyle="1" w:styleId="151">
    <w:name w:val="font151"/>
    <w:qFormat/>
    <w:uiPriority w:val="0"/>
    <w:rPr>
      <w:rFonts w:hint="eastAsia" w:ascii="宋体" w:hAnsi="宋体" w:eastAsia="宋体" w:cs="宋体"/>
      <w:color w:val="000000"/>
      <w:sz w:val="21"/>
      <w:szCs w:val="21"/>
      <w:u w:val="none"/>
    </w:rPr>
  </w:style>
  <w:style w:type="character" w:customStyle="1" w:styleId="152">
    <w:name w:val="ca-102"/>
    <w:qFormat/>
    <w:uiPriority w:val="0"/>
  </w:style>
  <w:style w:type="character" w:customStyle="1" w:styleId="153">
    <w:name w:val="font41"/>
    <w:qFormat/>
    <w:uiPriority w:val="0"/>
    <w:rPr>
      <w:rFonts w:ascii="Bosch Office Sans" w:hAnsi="Bosch Office Sans" w:cs="Bosch Office Sans"/>
      <w:color w:val="000000"/>
      <w:sz w:val="20"/>
      <w:szCs w:val="20"/>
      <w:u w:val="none"/>
    </w:rPr>
  </w:style>
  <w:style w:type="character" w:customStyle="1" w:styleId="154">
    <w:name w:val="char"/>
    <w:qFormat/>
    <w:uiPriority w:val="0"/>
  </w:style>
  <w:style w:type="character" w:customStyle="1" w:styleId="155">
    <w:name w:val="Char Char5"/>
    <w:qFormat/>
    <w:locked/>
    <w:uiPriority w:val="0"/>
    <w:rPr>
      <w:rFonts w:ascii="宋体" w:hAnsi="宋体" w:eastAsia="宋体"/>
      <w:sz w:val="18"/>
      <w:szCs w:val="18"/>
      <w:lang w:bidi="ar-SA"/>
    </w:rPr>
  </w:style>
  <w:style w:type="character" w:customStyle="1" w:styleId="156">
    <w:name w:val="apple-converted-space"/>
    <w:qFormat/>
    <w:uiPriority w:val="0"/>
  </w:style>
  <w:style w:type="character" w:customStyle="1" w:styleId="157">
    <w:name w:val="_Style 154"/>
    <w:unhideWhenUsed/>
    <w:qFormat/>
    <w:uiPriority w:val="99"/>
    <w:rPr>
      <w:color w:val="605E5C"/>
      <w:shd w:val="clear" w:color="auto" w:fill="E1DFDD"/>
    </w:rPr>
  </w:style>
  <w:style w:type="character" w:customStyle="1" w:styleId="158">
    <w:name w:val="Heading 2 Char"/>
    <w:qFormat/>
    <w:locked/>
    <w:uiPriority w:val="0"/>
    <w:rPr>
      <w:rFonts w:ascii="Calibri" w:hAnsi="Calibri" w:eastAsia="宋体"/>
      <w:b/>
      <w:bCs/>
      <w:kern w:val="2"/>
      <w:sz w:val="24"/>
      <w:szCs w:val="32"/>
      <w:lang w:val="en-US" w:eastAsia="zh-CN" w:bidi="ar-SA"/>
    </w:rPr>
  </w:style>
  <w:style w:type="character" w:customStyle="1" w:styleId="159">
    <w:name w:val="st1"/>
    <w:qFormat/>
    <w:uiPriority w:val="0"/>
  </w:style>
  <w:style w:type="character" w:customStyle="1" w:styleId="160">
    <w:name w:val="Char Char3"/>
    <w:qFormat/>
    <w:locked/>
    <w:uiPriority w:val="0"/>
    <w:rPr>
      <w:sz w:val="18"/>
      <w:szCs w:val="18"/>
      <w:lang w:bidi="ar-SA"/>
    </w:rPr>
  </w:style>
  <w:style w:type="character" w:customStyle="1" w:styleId="161">
    <w:name w:val="纯文本 Char3"/>
    <w:qFormat/>
    <w:uiPriority w:val="0"/>
    <w:rPr>
      <w:rFonts w:ascii="宋体" w:hAnsi="Courier New" w:eastAsia="宋体" w:cs="Courier New"/>
      <w:kern w:val="2"/>
      <w:sz w:val="21"/>
      <w:szCs w:val="21"/>
      <w:lang w:val="en-US" w:eastAsia="zh-CN" w:bidi="ar-SA"/>
    </w:rPr>
  </w:style>
  <w:style w:type="character" w:customStyle="1" w:styleId="162">
    <w:name w:val="列出段落字符"/>
    <w:qFormat/>
    <w:locked/>
    <w:uiPriority w:val="0"/>
    <w:rPr>
      <w:rFonts w:ascii="Calibri" w:hAnsi="Calibri" w:eastAsia="宋体" w:cs="黑体"/>
      <w:kern w:val="2"/>
      <w:sz w:val="24"/>
      <w:szCs w:val="24"/>
      <w:lang w:val="en-US" w:eastAsia="zh-CN" w:bidi="ar-SA"/>
    </w:rPr>
  </w:style>
  <w:style w:type="character" w:customStyle="1" w:styleId="163">
    <w:name w:val="GTA标题2 Char Char"/>
    <w:link w:val="164"/>
    <w:qFormat/>
    <w:locked/>
    <w:uiPriority w:val="0"/>
    <w:rPr>
      <w:rFonts w:ascii="Arial" w:hAnsi="Arial" w:eastAsia="黑体"/>
      <w:b/>
      <w:bCs/>
      <w:color w:val="000000"/>
      <w:sz w:val="30"/>
      <w:szCs w:val="30"/>
      <w:lang w:bidi="ar-SA"/>
    </w:rPr>
  </w:style>
  <w:style w:type="paragraph" w:customStyle="1" w:styleId="164">
    <w:name w:val="GTA标题2"/>
    <w:basedOn w:val="4"/>
    <w:link w:val="163"/>
    <w:qFormat/>
    <w:uiPriority w:val="0"/>
    <w:pPr>
      <w:tabs>
        <w:tab w:val="left" w:pos="840"/>
      </w:tabs>
      <w:adjustRightInd w:val="0"/>
      <w:snapToGrid w:val="0"/>
      <w:spacing w:beforeLines="175" w:afterLines="150" w:line="420" w:lineRule="auto"/>
      <w:ind w:left="840"/>
    </w:pPr>
    <w:rPr>
      <w:color w:val="000000"/>
      <w:kern w:val="0"/>
      <w:sz w:val="30"/>
      <w:szCs w:val="30"/>
    </w:rPr>
  </w:style>
  <w:style w:type="character" w:customStyle="1" w:styleId="165">
    <w:name w:val="GTA标题4 Char Char"/>
    <w:link w:val="166"/>
    <w:qFormat/>
    <w:locked/>
    <w:uiPriority w:val="0"/>
    <w:rPr>
      <w:rFonts w:ascii="Arial" w:hAnsi="Arial" w:eastAsia="仿宋_GB2312"/>
      <w:b/>
      <w:bCs/>
      <w:color w:val="0070C0"/>
      <w:lang w:bidi="ar-SA"/>
    </w:rPr>
  </w:style>
  <w:style w:type="paragraph" w:customStyle="1" w:styleId="166">
    <w:name w:val="GTA标题4"/>
    <w:basedOn w:val="5"/>
    <w:link w:val="165"/>
    <w:qFormat/>
    <w:uiPriority w:val="0"/>
    <w:pPr>
      <w:tabs>
        <w:tab w:val="left" w:pos="1680"/>
      </w:tabs>
      <w:adjustRightInd w:val="0"/>
      <w:snapToGrid w:val="0"/>
      <w:spacing w:beforeLines="100" w:afterLines="75" w:line="360" w:lineRule="auto"/>
      <w:ind w:left="1680"/>
    </w:pPr>
    <w:rPr>
      <w:rFonts w:eastAsia="仿宋_GB2312"/>
      <w:color w:val="0070C0"/>
      <w:kern w:val="0"/>
      <w:sz w:val="20"/>
      <w:szCs w:val="20"/>
    </w:rPr>
  </w:style>
  <w:style w:type="character" w:customStyle="1" w:styleId="167">
    <w:name w:val="font01"/>
    <w:qFormat/>
    <w:uiPriority w:val="0"/>
    <w:rPr>
      <w:rFonts w:hint="eastAsia" w:ascii="宋体" w:hAnsi="宋体" w:eastAsia="宋体" w:cs="宋体"/>
      <w:color w:val="000000"/>
      <w:sz w:val="28"/>
      <w:szCs w:val="28"/>
      <w:u w:val="none"/>
    </w:rPr>
  </w:style>
  <w:style w:type="character" w:customStyle="1" w:styleId="168">
    <w:name w:val="GTA标题3 Char"/>
    <w:qFormat/>
    <w:uiPriority w:val="0"/>
    <w:rPr>
      <w:rFonts w:hint="default" w:ascii="Arial" w:hAnsi="Arial" w:eastAsia="黑体" w:cs="Arial"/>
      <w:bCs/>
      <w:kern w:val="2"/>
      <w:sz w:val="24"/>
      <w:szCs w:val="24"/>
    </w:rPr>
  </w:style>
  <w:style w:type="character" w:customStyle="1" w:styleId="169">
    <w:name w:val="普通文字 Char Char3"/>
    <w:qFormat/>
    <w:locked/>
    <w:uiPriority w:val="0"/>
    <w:rPr>
      <w:rFonts w:ascii="宋体" w:hAnsi="Courier New" w:eastAsia="宋体" w:cs="Courier New"/>
      <w:kern w:val="2"/>
      <w:sz w:val="21"/>
      <w:szCs w:val="21"/>
      <w:lang w:val="en-US" w:eastAsia="zh-CN" w:bidi="ar-SA"/>
    </w:rPr>
  </w:style>
  <w:style w:type="character" w:customStyle="1" w:styleId="170">
    <w:name w:val="font51"/>
    <w:qFormat/>
    <w:uiPriority w:val="0"/>
    <w:rPr>
      <w:rFonts w:ascii="Bosch Office Sans" w:hAnsi="Bosch Office Sans" w:cs="Bosch Office Sans"/>
      <w:color w:val="000000"/>
      <w:sz w:val="20"/>
      <w:szCs w:val="20"/>
      <w:u w:val="none"/>
    </w:rPr>
  </w:style>
  <w:style w:type="character" w:customStyle="1" w:styleId="171">
    <w:name w:val="GTA正文-1 Char"/>
    <w:link w:val="172"/>
    <w:qFormat/>
    <w:locked/>
    <w:uiPriority w:val="0"/>
    <w:rPr>
      <w:rFonts w:ascii="Arial" w:hAnsi="Arial" w:eastAsia="宋体" w:cs="Arial"/>
      <w:sz w:val="21"/>
      <w:lang w:bidi="ar-SA"/>
    </w:rPr>
  </w:style>
  <w:style w:type="paragraph" w:customStyle="1" w:styleId="172">
    <w:name w:val="GTA正文-1"/>
    <w:basedOn w:val="1"/>
    <w:link w:val="171"/>
    <w:qFormat/>
    <w:uiPriority w:val="0"/>
    <w:pPr>
      <w:spacing w:beforeLines="50" w:afterLines="50" w:line="480" w:lineRule="exact"/>
    </w:pPr>
    <w:rPr>
      <w:rFonts w:ascii="Arial" w:hAnsi="Arial" w:cs="Arial"/>
      <w:kern w:val="0"/>
      <w:szCs w:val="20"/>
    </w:rPr>
  </w:style>
  <w:style w:type="character" w:customStyle="1" w:styleId="173">
    <w:name w:val="font71"/>
    <w:qFormat/>
    <w:uiPriority w:val="0"/>
    <w:rPr>
      <w:rFonts w:hint="default" w:ascii="Times New Roman" w:hAnsi="Times New Roman" w:cs="Times New Roman"/>
      <w:color w:val="000000"/>
      <w:sz w:val="56"/>
      <w:szCs w:val="56"/>
      <w:u w:val="none"/>
    </w:rPr>
  </w:style>
  <w:style w:type="character" w:customStyle="1" w:styleId="174">
    <w:name w:val="Char Char1"/>
    <w:qFormat/>
    <w:uiPriority w:val="0"/>
    <w:rPr>
      <w:rFonts w:eastAsia="宋体"/>
      <w:kern w:val="2"/>
      <w:sz w:val="18"/>
      <w:szCs w:val="18"/>
      <w:lang w:val="en-US" w:eastAsia="zh-CN" w:bidi="ar-SA"/>
    </w:rPr>
  </w:style>
  <w:style w:type="character" w:customStyle="1" w:styleId="175">
    <w:name w:val="ca-92"/>
    <w:qFormat/>
    <w:uiPriority w:val="0"/>
  </w:style>
  <w:style w:type="character" w:customStyle="1" w:styleId="176">
    <w:name w:val="10"/>
    <w:qFormat/>
    <w:uiPriority w:val="0"/>
    <w:rPr>
      <w:rFonts w:hint="default" w:ascii="Times New Roman" w:hAnsi="Times New Roman" w:cs="Times New Roman"/>
    </w:rPr>
  </w:style>
  <w:style w:type="character" w:customStyle="1" w:styleId="177">
    <w:name w:val="font191"/>
    <w:qFormat/>
    <w:uiPriority w:val="0"/>
    <w:rPr>
      <w:rFonts w:hint="eastAsia" w:ascii="宋体" w:hAnsi="宋体" w:eastAsia="宋体" w:cs="宋体"/>
      <w:b/>
      <w:bCs/>
      <w:color w:val="4F6228"/>
      <w:sz w:val="22"/>
      <w:szCs w:val="22"/>
      <w:u w:val="none"/>
    </w:rPr>
  </w:style>
  <w:style w:type="character" w:customStyle="1" w:styleId="178">
    <w:name w:val="ca-1"/>
    <w:qFormat/>
    <w:uiPriority w:val="0"/>
  </w:style>
  <w:style w:type="character" w:customStyle="1" w:styleId="179">
    <w:name w:val="明显引用字符1"/>
    <w:qFormat/>
    <w:uiPriority w:val="0"/>
    <w:rPr>
      <w:rFonts w:hint="default" w:ascii="Times New Roman" w:hAnsi="Times New Roman" w:eastAsia="微软雅黑" w:cs="Times New Roman"/>
      <w:i/>
      <w:iCs/>
      <w:color w:val="5B9BD5"/>
    </w:rPr>
  </w:style>
  <w:style w:type="character" w:customStyle="1" w:styleId="180">
    <w:name w:val="纯文本 字符"/>
    <w:qFormat/>
    <w:uiPriority w:val="0"/>
    <w:rPr>
      <w:rFonts w:ascii="宋体" w:hAnsi="Courier New" w:eastAsia="宋体" w:cs="Courier New"/>
      <w:kern w:val="2"/>
      <w:sz w:val="21"/>
      <w:szCs w:val="21"/>
      <w:lang w:val="en-US" w:eastAsia="zh-CN" w:bidi="ar-SA"/>
    </w:rPr>
  </w:style>
  <w:style w:type="character" w:customStyle="1" w:styleId="181">
    <w:name w:val="GTA标题4 Char"/>
    <w:qFormat/>
    <w:uiPriority w:val="0"/>
    <w:rPr>
      <w:rFonts w:hint="default" w:ascii="Arial" w:hAnsi="Arial" w:eastAsia="仿宋_GB2312" w:cs="Arial"/>
      <w:b/>
      <w:bCs/>
      <w:kern w:val="2"/>
      <w:sz w:val="24"/>
      <w:szCs w:val="24"/>
    </w:rPr>
  </w:style>
  <w:style w:type="character" w:customStyle="1" w:styleId="182">
    <w:name w:val="Char Char13"/>
    <w:qFormat/>
    <w:locked/>
    <w:uiPriority w:val="0"/>
    <w:rPr>
      <w:rFonts w:ascii="微软雅黑" w:hAnsi="微软雅黑" w:eastAsia="微软雅黑"/>
      <w:b/>
      <w:bCs/>
      <w:lang w:bidi="ar-SA"/>
    </w:rPr>
  </w:style>
  <w:style w:type="character" w:customStyle="1" w:styleId="183">
    <w:name w:val="ca-2"/>
    <w:qFormat/>
    <w:uiPriority w:val="0"/>
  </w:style>
  <w:style w:type="character" w:customStyle="1" w:styleId="184">
    <w:name w:val="Char Char20"/>
    <w:qFormat/>
    <w:locked/>
    <w:uiPriority w:val="0"/>
    <w:rPr>
      <w:rFonts w:eastAsia="微软雅黑"/>
      <w:b/>
      <w:bCs/>
      <w:szCs w:val="32"/>
      <w:lang w:bidi="ar-SA"/>
    </w:rPr>
  </w:style>
  <w:style w:type="character" w:customStyle="1" w:styleId="185">
    <w:name w:val="txet31"/>
    <w:qFormat/>
    <w:uiPriority w:val="0"/>
    <w:rPr>
      <w:rFonts w:cs="Times New Roman"/>
      <w:color w:val="333333"/>
      <w:sz w:val="18"/>
      <w:szCs w:val="18"/>
      <w:u w:val="none"/>
    </w:rPr>
  </w:style>
  <w:style w:type="character" w:customStyle="1" w:styleId="186">
    <w:name w:val="纯文本 Char2"/>
    <w:qFormat/>
    <w:uiPriority w:val="0"/>
    <w:rPr>
      <w:rFonts w:ascii="宋体" w:hAnsi="Courier New" w:eastAsia="宋体" w:cs="Courier New"/>
      <w:kern w:val="2"/>
      <w:sz w:val="21"/>
      <w:szCs w:val="21"/>
      <w:lang w:val="en-US" w:eastAsia="zh-CN" w:bidi="ar-SA"/>
    </w:rPr>
  </w:style>
  <w:style w:type="character" w:customStyle="1" w:styleId="187">
    <w:name w:val="Header Char"/>
    <w:qFormat/>
    <w:locked/>
    <w:uiPriority w:val="0"/>
    <w:rPr>
      <w:rFonts w:ascii="Cambria" w:hAnsi="Cambria" w:eastAsia="宋体"/>
      <w:kern w:val="2"/>
      <w:sz w:val="18"/>
      <w:szCs w:val="18"/>
      <w:lang w:val="en-US" w:eastAsia="zh-CN" w:bidi="ar-SA"/>
    </w:rPr>
  </w:style>
  <w:style w:type="character" w:customStyle="1" w:styleId="188">
    <w:name w:val="font61"/>
    <w:qFormat/>
    <w:uiPriority w:val="0"/>
    <w:rPr>
      <w:rFonts w:hint="eastAsia" w:ascii="宋体" w:hAnsi="宋体" w:eastAsia="宋体" w:cs="宋体"/>
      <w:color w:val="000000"/>
      <w:sz w:val="56"/>
      <w:szCs w:val="56"/>
      <w:u w:val="none"/>
    </w:rPr>
  </w:style>
  <w:style w:type="character" w:customStyle="1" w:styleId="189">
    <w:name w:val="highlight1"/>
    <w:qFormat/>
    <w:uiPriority w:val="0"/>
    <w:rPr>
      <w:color w:val="DB4F33"/>
    </w:rPr>
  </w:style>
  <w:style w:type="character" w:customStyle="1" w:styleId="190">
    <w:name w:val="GTA标题3 Char Char"/>
    <w:link w:val="191"/>
    <w:qFormat/>
    <w:locked/>
    <w:uiPriority w:val="0"/>
    <w:rPr>
      <w:rFonts w:ascii="Arial" w:hAnsi="Arial" w:eastAsia="黑体"/>
      <w:b/>
      <w:bCs/>
      <w:color w:val="000000"/>
      <w:lang w:val="zh-CN" w:bidi="ar-SA"/>
    </w:rPr>
  </w:style>
  <w:style w:type="paragraph" w:customStyle="1" w:styleId="191">
    <w:name w:val="GTA标题3"/>
    <w:basedOn w:val="2"/>
    <w:link w:val="190"/>
    <w:qFormat/>
    <w:uiPriority w:val="0"/>
    <w:pPr>
      <w:tabs>
        <w:tab w:val="left" w:pos="1260"/>
      </w:tabs>
      <w:adjustRightInd w:val="0"/>
      <w:snapToGrid w:val="0"/>
      <w:spacing w:beforeLines="150" w:afterLines="125" w:line="360" w:lineRule="auto"/>
      <w:ind w:left="1260" w:hanging="420"/>
    </w:pPr>
    <w:rPr>
      <w:rFonts w:ascii="Arial" w:hAnsi="Arial" w:eastAsia="黑体"/>
      <w:color w:val="000000"/>
      <w:kern w:val="0"/>
      <w:sz w:val="20"/>
      <w:szCs w:val="20"/>
      <w:lang w:val="zh-CN"/>
    </w:rPr>
  </w:style>
  <w:style w:type="character" w:customStyle="1" w:styleId="192">
    <w:name w:val="GTA正文-2 Char"/>
    <w:link w:val="193"/>
    <w:qFormat/>
    <w:locked/>
    <w:uiPriority w:val="0"/>
    <w:rPr>
      <w:rFonts w:ascii="Arial" w:hAnsi="Arial" w:eastAsia="华文细黑" w:cs="Arial"/>
      <w:lang w:bidi="ar-SA"/>
    </w:rPr>
  </w:style>
  <w:style w:type="paragraph" w:customStyle="1" w:styleId="193">
    <w:name w:val="GTA正文-2"/>
    <w:basedOn w:val="172"/>
    <w:link w:val="192"/>
    <w:qFormat/>
    <w:uiPriority w:val="0"/>
    <w:pPr>
      <w:snapToGrid w:val="0"/>
      <w:spacing w:line="360" w:lineRule="auto"/>
      <w:ind w:firstLine="480"/>
    </w:pPr>
    <w:rPr>
      <w:rFonts w:eastAsia="华文细黑"/>
      <w:sz w:val="20"/>
    </w:rPr>
  </w:style>
  <w:style w:type="paragraph" w:customStyle="1" w:styleId="194">
    <w:name w:val="样式 标题 3 + 四号"/>
    <w:basedOn w:val="2"/>
    <w:qFormat/>
    <w:uiPriority w:val="99"/>
    <w:pPr>
      <w:jc w:val="center"/>
    </w:pPr>
    <w:rPr>
      <w:rFonts w:ascii="Times New Roman" w:hAnsi="Times New Roman"/>
      <w:kern w:val="0"/>
      <w:sz w:val="28"/>
    </w:rPr>
  </w:style>
  <w:style w:type="paragraph" w:customStyle="1" w:styleId="195">
    <w:name w:val="custom_unionstyle"/>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19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97">
    <w:name w:val="xl86"/>
    <w:basedOn w:val="1"/>
    <w:qFormat/>
    <w:uiPriority w:val="99"/>
    <w:pPr>
      <w:widowControl/>
      <w:pBdr>
        <w:bottom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198">
    <w:name w:val="xl96"/>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99">
    <w:name w:val="List Paragraph11"/>
    <w:basedOn w:val="1"/>
    <w:qFormat/>
    <w:uiPriority w:val="99"/>
    <w:pPr>
      <w:ind w:firstLine="420"/>
    </w:pPr>
    <w:rPr>
      <w:rFonts w:ascii="Calibri" w:hAnsi="Calibri"/>
      <w:szCs w:val="22"/>
    </w:rPr>
  </w:style>
  <w:style w:type="paragraph" w:customStyle="1" w:styleId="200">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1"/>
    </w:rPr>
  </w:style>
  <w:style w:type="paragraph" w:customStyle="1" w:styleId="201">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02">
    <w:name w:val="Char Char Char Char Char Char Char Char"/>
    <w:basedOn w:val="1"/>
    <w:qFormat/>
    <w:uiPriority w:val="99"/>
    <w:pPr>
      <w:widowControl/>
      <w:spacing w:line="240" w:lineRule="exact"/>
      <w:jc w:val="left"/>
    </w:pPr>
    <w:rPr>
      <w:rFonts w:ascii="Verdana" w:hAnsi="Verdana"/>
      <w:kern w:val="0"/>
      <w:sz w:val="20"/>
      <w:szCs w:val="20"/>
      <w:lang w:eastAsia="en-US"/>
    </w:rPr>
  </w:style>
  <w:style w:type="paragraph" w:customStyle="1" w:styleId="203">
    <w:name w:val="179"/>
    <w:basedOn w:val="1"/>
    <w:qFormat/>
    <w:uiPriority w:val="99"/>
    <w:pPr>
      <w:spacing w:line="240" w:lineRule="auto"/>
      <w:ind w:firstLine="420"/>
    </w:pPr>
    <w:rPr>
      <w:rFonts w:ascii="等线" w:hAnsi="等线" w:eastAsia="等线"/>
      <w:szCs w:val="22"/>
    </w:rPr>
  </w:style>
  <w:style w:type="paragraph" w:customStyle="1" w:styleId="204">
    <w:name w:val="二级条标题"/>
    <w:basedOn w:val="1"/>
    <w:next w:val="1"/>
    <w:qFormat/>
    <w:uiPriority w:val="99"/>
    <w:pPr>
      <w:widowControl/>
      <w:spacing w:line="240" w:lineRule="auto"/>
      <w:ind w:firstLine="0" w:firstLineChars="0"/>
      <w:jc w:val="left"/>
    </w:pPr>
    <w:rPr>
      <w:rFonts w:ascii="Calibri" w:hAnsi="Calibri" w:eastAsia="黑体"/>
      <w:szCs w:val="20"/>
    </w:rPr>
  </w:style>
  <w:style w:type="paragraph" w:customStyle="1" w:styleId="205">
    <w:name w:val="Char Char Char Char Char Char Char Char Char Char"/>
    <w:basedOn w:val="1"/>
    <w:qFormat/>
    <w:uiPriority w:val="99"/>
    <w:pPr>
      <w:tabs>
        <w:tab w:val="left" w:pos="360"/>
      </w:tabs>
      <w:ind w:left="360" w:hanging="360" w:hangingChars="200"/>
    </w:pPr>
    <w:rPr>
      <w:szCs w:val="20"/>
    </w:rPr>
  </w:style>
  <w:style w:type="paragraph" w:customStyle="1" w:styleId="206">
    <w:name w:val="普通(网站)1"/>
    <w:basedOn w:val="1"/>
    <w:qFormat/>
    <w:uiPriority w:val="99"/>
    <w:pPr>
      <w:widowControl/>
      <w:snapToGrid w:val="0"/>
      <w:spacing w:before="100" w:beforeAutospacing="1" w:after="100" w:afterAutospacing="1" w:line="300" w:lineRule="auto"/>
      <w:jc w:val="left"/>
    </w:pPr>
    <w:rPr>
      <w:rFonts w:ascii="宋体" w:hAnsi="宋体" w:eastAsia="微软雅黑"/>
      <w:sz w:val="24"/>
      <w:szCs w:val="22"/>
    </w:rPr>
  </w:style>
  <w:style w:type="paragraph" w:customStyle="1" w:styleId="207">
    <w:name w:val="xl11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08">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09">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10">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11">
    <w:name w:val="投标文件1"/>
    <w:basedOn w:val="3"/>
    <w:qFormat/>
    <w:uiPriority w:val="99"/>
    <w:pPr>
      <w:jc w:val="both"/>
    </w:pPr>
    <w:rPr>
      <w:rFonts w:eastAsia="方正小标宋简体"/>
      <w:b w:val="0"/>
      <w:sz w:val="32"/>
      <w:szCs w:val="21"/>
    </w:rPr>
  </w:style>
  <w:style w:type="paragraph" w:customStyle="1" w:styleId="212">
    <w:name w:val="xl89"/>
    <w:basedOn w:val="1"/>
    <w:qFormat/>
    <w:uiPriority w:val="99"/>
    <w:pPr>
      <w:widowControl/>
      <w:spacing w:before="100" w:beforeAutospacing="1" w:after="100" w:afterAutospacing="1"/>
      <w:jc w:val="left"/>
      <w:textAlignment w:val="bottom"/>
    </w:pPr>
    <w:rPr>
      <w:rFonts w:ascii="宋体" w:hAnsi="宋体" w:cs="宋体"/>
      <w:kern w:val="0"/>
      <w:szCs w:val="21"/>
    </w:rPr>
  </w:style>
  <w:style w:type="paragraph" w:customStyle="1" w:styleId="213">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Cs w:val="21"/>
    </w:rPr>
  </w:style>
  <w:style w:type="paragraph" w:customStyle="1" w:styleId="214">
    <w:name w:val="正文首行缩进1"/>
    <w:basedOn w:val="1"/>
    <w:qFormat/>
    <w:uiPriority w:val="99"/>
    <w:pPr>
      <w:spacing w:after="120" w:line="240" w:lineRule="auto"/>
      <w:ind w:firstLine="420" w:firstLineChars="100"/>
    </w:pPr>
    <w:rPr>
      <w:rFonts w:ascii="Calibri" w:hAnsi="Calibri"/>
    </w:rPr>
  </w:style>
  <w:style w:type="paragraph" w:customStyle="1" w:styleId="215">
    <w:name w:val="xl64"/>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216">
    <w:name w:val="xl73"/>
    <w:basedOn w:val="1"/>
    <w:qFormat/>
    <w:uiPriority w:val="99"/>
    <w:pPr>
      <w:widowControl/>
      <w:spacing w:before="100" w:beforeAutospacing="1" w:after="100" w:afterAutospacing="1"/>
      <w:jc w:val="center"/>
    </w:pPr>
    <w:rPr>
      <w:rFonts w:ascii="宋体" w:hAnsi="宋体" w:cs="宋体"/>
      <w:kern w:val="0"/>
      <w:szCs w:val="21"/>
    </w:rPr>
  </w:style>
  <w:style w:type="paragraph" w:customStyle="1" w:styleId="217">
    <w:name w:val="msolistparagraph"/>
    <w:basedOn w:val="1"/>
    <w:qFormat/>
    <w:uiPriority w:val="99"/>
    <w:pPr>
      <w:spacing w:line="240" w:lineRule="auto"/>
      <w:ind w:firstLine="420"/>
    </w:pPr>
  </w:style>
  <w:style w:type="paragraph" w:customStyle="1" w:styleId="218">
    <w:name w:val="标书0927"/>
    <w:basedOn w:val="3"/>
    <w:qFormat/>
    <w:uiPriority w:val="99"/>
    <w:pPr>
      <w:tabs>
        <w:tab w:val="left" w:pos="780"/>
      </w:tabs>
      <w:spacing w:before="0" w:after="0" w:line="360" w:lineRule="auto"/>
      <w:ind w:left="780" w:hanging="420"/>
      <w:jc w:val="both"/>
    </w:pPr>
    <w:rPr>
      <w:rFonts w:ascii="宋体" w:eastAsia="宋体"/>
      <w:sz w:val="32"/>
      <w:szCs w:val="32"/>
    </w:rPr>
  </w:style>
  <w:style w:type="paragraph" w:customStyle="1" w:styleId="219">
    <w:name w:val="样式 标题 2 + 宋体"/>
    <w:basedOn w:val="4"/>
    <w:qFormat/>
    <w:uiPriority w:val="99"/>
    <w:pPr>
      <w:jc w:val="center"/>
    </w:pPr>
    <w:rPr>
      <w:rFonts w:ascii="宋体" w:hAnsi="宋体" w:eastAsia="宋体"/>
      <w:kern w:val="0"/>
    </w:rPr>
  </w:style>
  <w:style w:type="paragraph" w:customStyle="1" w:styleId="220">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21">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22">
    <w:name w:val="pa-5"/>
    <w:basedOn w:val="1"/>
    <w:qFormat/>
    <w:uiPriority w:val="99"/>
    <w:pPr>
      <w:widowControl/>
      <w:spacing w:before="150" w:after="150"/>
      <w:jc w:val="left"/>
    </w:pPr>
    <w:rPr>
      <w:rFonts w:ascii="宋体" w:hAnsi="宋体" w:cs="宋体"/>
      <w:kern w:val="0"/>
      <w:sz w:val="24"/>
    </w:rPr>
  </w:style>
  <w:style w:type="paragraph" w:customStyle="1" w:styleId="223">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24">
    <w:name w:val="xl75"/>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5">
    <w:name w:val="_Style 223"/>
    <w:unhideWhenUsed/>
    <w:qFormat/>
    <w:uiPriority w:val="99"/>
    <w:rPr>
      <w:rFonts w:ascii="Times New Roman" w:hAnsi="Times New Roman" w:eastAsia="宋体" w:cs="Times New Roman"/>
      <w:kern w:val="2"/>
      <w:sz w:val="21"/>
      <w:szCs w:val="24"/>
      <w:lang w:val="en-US" w:eastAsia="zh-CN" w:bidi="ar-SA"/>
    </w:rPr>
  </w:style>
  <w:style w:type="paragraph" w:customStyle="1" w:styleId="226">
    <w:name w:val="xl85"/>
    <w:basedOn w:val="1"/>
    <w:qFormat/>
    <w:uiPriority w:val="99"/>
    <w:pPr>
      <w:widowControl/>
      <w:pBdr>
        <w:top w:val="single" w:color="auto" w:sz="8" w:space="0"/>
      </w:pBdr>
      <w:spacing w:before="100" w:beforeAutospacing="1" w:after="100" w:afterAutospacing="1"/>
      <w:jc w:val="left"/>
    </w:pPr>
    <w:rPr>
      <w:rFonts w:ascii="宋体" w:hAnsi="宋体" w:cs="宋体"/>
      <w:color w:val="000000"/>
      <w:kern w:val="0"/>
      <w:sz w:val="20"/>
      <w:szCs w:val="20"/>
    </w:rPr>
  </w:style>
  <w:style w:type="paragraph" w:customStyle="1" w:styleId="227">
    <w:name w:val="xl11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28">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szCs w:val="22"/>
    </w:rPr>
  </w:style>
  <w:style w:type="paragraph" w:customStyle="1" w:styleId="229">
    <w:name w:val="xl14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30">
    <w:name w:val="msonormalcxspmiddle"/>
    <w:basedOn w:val="1"/>
    <w:qFormat/>
    <w:uiPriority w:val="99"/>
    <w:pPr>
      <w:widowControl/>
      <w:spacing w:line="315" w:lineRule="atLeast"/>
      <w:jc w:val="left"/>
    </w:pPr>
    <w:rPr>
      <w:rFonts w:ascii="inherit" w:hAnsi="inherit" w:eastAsia="微软雅黑" w:cs="宋体"/>
      <w:color w:val="323232"/>
      <w:kern w:val="0"/>
      <w:sz w:val="18"/>
      <w:szCs w:val="18"/>
    </w:rPr>
  </w:style>
  <w:style w:type="paragraph" w:customStyle="1" w:styleId="231">
    <w:name w:val="正文段"/>
    <w:basedOn w:val="1"/>
    <w:qFormat/>
    <w:uiPriority w:val="99"/>
    <w:pPr>
      <w:widowControl/>
      <w:snapToGrid w:val="0"/>
      <w:spacing w:afterLines="50"/>
    </w:pPr>
    <w:rPr>
      <w:kern w:val="0"/>
      <w:sz w:val="24"/>
      <w:szCs w:val="20"/>
    </w:rPr>
  </w:style>
  <w:style w:type="paragraph" w:customStyle="1" w:styleId="232">
    <w:name w:val="xl11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33">
    <w:name w:val="TOC 标题2"/>
    <w:next w:val="1"/>
    <w:qFormat/>
    <w:uiPriority w:val="99"/>
    <w:pPr>
      <w:wordWrap w:val="0"/>
    </w:pPr>
    <w:rPr>
      <w:rFonts w:ascii="Times New Roman" w:hAnsi="Times New Roman" w:eastAsia="宋体" w:cs="Times New Roman"/>
      <w:sz w:val="32"/>
      <w:lang w:val="en-US" w:eastAsia="zh-CN" w:bidi="ar-SA"/>
    </w:rPr>
  </w:style>
  <w:style w:type="paragraph" w:customStyle="1" w:styleId="234">
    <w:name w:val="5 Char Char Char Char Char Char Char Char Char Char"/>
    <w:basedOn w:val="1"/>
    <w:qFormat/>
    <w:uiPriority w:val="99"/>
  </w:style>
  <w:style w:type="paragraph" w:customStyle="1" w:styleId="235">
    <w:name w:val="p0"/>
    <w:basedOn w:val="1"/>
    <w:qFormat/>
    <w:uiPriority w:val="99"/>
    <w:pPr>
      <w:widowControl/>
      <w:jc w:val="left"/>
    </w:pPr>
    <w:rPr>
      <w:kern w:val="0"/>
      <w:sz w:val="20"/>
      <w:szCs w:val="20"/>
    </w:rPr>
  </w:style>
  <w:style w:type="paragraph" w:customStyle="1" w:styleId="236">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237">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Cs w:val="21"/>
    </w:rPr>
  </w:style>
  <w:style w:type="paragraph" w:customStyle="1" w:styleId="238">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9">
    <w:name w:val="Char4"/>
    <w:basedOn w:val="1"/>
    <w:qFormat/>
    <w:uiPriority w:val="99"/>
    <w:rPr>
      <w:rFonts w:ascii="Tahoma" w:hAnsi="Tahoma"/>
      <w:sz w:val="24"/>
      <w:szCs w:val="20"/>
    </w:rPr>
  </w:style>
  <w:style w:type="paragraph" w:customStyle="1" w:styleId="240">
    <w:name w:val="Char Char Char1 Char"/>
    <w:basedOn w:val="1"/>
    <w:qFormat/>
    <w:uiPriority w:val="99"/>
    <w:rPr>
      <w:rFonts w:ascii="Calibri" w:hAnsi="Calibri"/>
      <w:szCs w:val="22"/>
    </w:rPr>
  </w:style>
  <w:style w:type="paragraph" w:customStyle="1" w:styleId="241">
    <w:name w:val="pic-info"/>
    <w:basedOn w:val="1"/>
    <w:qFormat/>
    <w:uiPriority w:val="99"/>
    <w:pPr>
      <w:widowControl/>
      <w:spacing w:before="100" w:beforeAutospacing="1" w:after="100" w:afterAutospacing="1" w:line="480" w:lineRule="exact"/>
      <w:jc w:val="left"/>
    </w:pPr>
    <w:rPr>
      <w:rFonts w:ascii="宋体" w:hAnsi="宋体" w:eastAsia="微软雅黑" w:cs="宋体"/>
      <w:kern w:val="0"/>
      <w:sz w:val="24"/>
    </w:rPr>
  </w:style>
  <w:style w:type="paragraph" w:customStyle="1" w:styleId="242">
    <w:name w:val="xl137"/>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43">
    <w:name w:val="xl145"/>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44">
    <w:name w:val="正文 New New New New"/>
    <w:qFormat/>
    <w:uiPriority w:val="99"/>
    <w:pPr>
      <w:widowControl w:val="0"/>
      <w:spacing w:line="400" w:lineRule="exact"/>
      <w:ind w:firstLine="200" w:firstLineChars="200"/>
      <w:jc w:val="both"/>
    </w:pPr>
    <w:rPr>
      <w:rFonts w:ascii="Times New Roman" w:hAnsi="Times New Roman" w:eastAsia="宋体" w:cs="Times New Roman"/>
      <w:szCs w:val="24"/>
      <w:lang w:val="en-US" w:eastAsia="zh-CN" w:bidi="ar-SA"/>
    </w:rPr>
  </w:style>
  <w:style w:type="paragraph" w:customStyle="1" w:styleId="245">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246">
    <w:name w:val="xl10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47">
    <w:name w:val="Char Char Char Char Char Char Char"/>
    <w:basedOn w:val="1"/>
    <w:qFormat/>
    <w:uiPriority w:val="99"/>
  </w:style>
  <w:style w:type="paragraph" w:customStyle="1" w:styleId="24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9">
    <w:name w:val="默认段落字体 Para Char Char Char Char Char Char Char Char Char Char Char Char Char Char Char Char Char Char Char"/>
    <w:basedOn w:val="1"/>
    <w:qFormat/>
    <w:uiPriority w:val="99"/>
    <w:rPr>
      <w:rFonts w:ascii="Calibri" w:hAnsi="Calibri"/>
      <w:szCs w:val="22"/>
    </w:rPr>
  </w:style>
  <w:style w:type="paragraph" w:customStyle="1" w:styleId="250">
    <w:name w:val="样式 标题 1 + 小二"/>
    <w:basedOn w:val="3"/>
    <w:qFormat/>
    <w:uiPriority w:val="99"/>
  </w:style>
  <w:style w:type="paragraph" w:customStyle="1" w:styleId="251">
    <w:name w:val="xl11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5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Cs w:val="21"/>
    </w:rPr>
  </w:style>
  <w:style w:type="paragraph" w:customStyle="1" w:styleId="253">
    <w:name w:val="xl91"/>
    <w:basedOn w:val="1"/>
    <w:qFormat/>
    <w:uiPriority w:val="99"/>
    <w:pPr>
      <w:widowControl/>
      <w:pBdr>
        <w:top w:val="single" w:color="auto" w:sz="8" w:space="0"/>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54">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5">
    <w:name w:val="xl66"/>
    <w:basedOn w:val="1"/>
    <w:qFormat/>
    <w:uiPriority w:val="99"/>
    <w:pPr>
      <w:widowControl/>
      <w:spacing w:before="100" w:beforeAutospacing="1" w:after="100" w:afterAutospacing="1"/>
      <w:jc w:val="left"/>
      <w:textAlignment w:val="bottom"/>
    </w:pPr>
    <w:rPr>
      <w:rFonts w:ascii="宋体" w:hAnsi="宋体" w:cs="宋体"/>
      <w:color w:val="000000"/>
      <w:kern w:val="0"/>
      <w:szCs w:val="21"/>
    </w:rPr>
  </w:style>
  <w:style w:type="paragraph" w:customStyle="1" w:styleId="256">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257">
    <w:name w:val="xl92"/>
    <w:basedOn w:val="1"/>
    <w:qFormat/>
    <w:uiPriority w:val="99"/>
    <w:pPr>
      <w:widowControl/>
      <w:pBdr>
        <w:bottom w:val="single" w:color="auto" w:sz="8" w:space="0"/>
      </w:pBdr>
      <w:spacing w:before="100" w:beforeAutospacing="1" w:after="100" w:afterAutospacing="1"/>
      <w:jc w:val="left"/>
      <w:textAlignment w:val="bottom"/>
    </w:pPr>
    <w:rPr>
      <w:rFonts w:ascii="宋体" w:hAnsi="宋体" w:cs="宋体"/>
      <w:kern w:val="0"/>
      <w:szCs w:val="21"/>
    </w:rPr>
  </w:style>
  <w:style w:type="paragraph" w:customStyle="1" w:styleId="258">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59">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1"/>
    </w:rPr>
  </w:style>
  <w:style w:type="paragraph" w:customStyle="1" w:styleId="260">
    <w:name w:val="xl9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1">
    <w:name w:val="xl11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62">
    <w:name w:val="gta-1"/>
    <w:basedOn w:val="1"/>
    <w:qFormat/>
    <w:uiPriority w:val="99"/>
    <w:pPr>
      <w:widowControl/>
      <w:spacing w:before="100" w:beforeAutospacing="1" w:after="100" w:afterAutospacing="1" w:line="360" w:lineRule="auto"/>
      <w:jc w:val="left"/>
    </w:pPr>
    <w:rPr>
      <w:rFonts w:ascii="宋体" w:hAnsi="宋体" w:cs="宋体"/>
      <w:kern w:val="0"/>
      <w:sz w:val="24"/>
    </w:rPr>
  </w:style>
  <w:style w:type="paragraph" w:customStyle="1" w:styleId="263">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64">
    <w:name w:val="msonormal"/>
    <w:basedOn w:val="1"/>
    <w:qFormat/>
    <w:uiPriority w:val="99"/>
    <w:pPr>
      <w:widowControl/>
      <w:spacing w:before="100" w:beforeAutospacing="1" w:after="100" w:afterAutospacing="1" w:line="240" w:lineRule="auto"/>
      <w:ind w:firstLine="0" w:firstLineChars="0"/>
      <w:jc w:val="left"/>
    </w:pPr>
    <w:rPr>
      <w:rFonts w:ascii="宋体" w:hAnsi="宋体" w:cs="宋体"/>
      <w:kern w:val="0"/>
      <w:sz w:val="24"/>
    </w:rPr>
  </w:style>
  <w:style w:type="paragraph" w:customStyle="1" w:styleId="265">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6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67">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68">
    <w:name w:val="font10"/>
    <w:basedOn w:val="1"/>
    <w:qFormat/>
    <w:uiPriority w:val="99"/>
    <w:pPr>
      <w:widowControl/>
      <w:spacing w:before="100" w:beforeAutospacing="1" w:after="100" w:afterAutospacing="1"/>
      <w:jc w:val="left"/>
    </w:pPr>
    <w:rPr>
      <w:kern w:val="0"/>
      <w:sz w:val="20"/>
      <w:szCs w:val="20"/>
    </w:rPr>
  </w:style>
  <w:style w:type="paragraph" w:customStyle="1" w:styleId="269">
    <w:name w:val="xl90"/>
    <w:basedOn w:val="1"/>
    <w:qFormat/>
    <w:uiPriority w:val="99"/>
    <w:pPr>
      <w:widowControl/>
      <w:pBdr>
        <w:bottom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70">
    <w:name w:val="TOC 标题1"/>
    <w:basedOn w:val="3"/>
    <w:next w:val="1"/>
    <w:qFormat/>
    <w:uiPriority w:val="99"/>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71">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2">
    <w:name w:val="xl11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73">
    <w:name w:val="表格文字"/>
    <w:basedOn w:val="1"/>
    <w:qFormat/>
    <w:uiPriority w:val="99"/>
    <w:pPr>
      <w:spacing w:before="25" w:after="25"/>
      <w:jc w:val="left"/>
    </w:pPr>
    <w:rPr>
      <w:bCs/>
      <w:spacing w:val="10"/>
      <w:kern w:val="0"/>
      <w:sz w:val="24"/>
      <w:szCs w:val="20"/>
    </w:rPr>
  </w:style>
  <w:style w:type="paragraph" w:customStyle="1" w:styleId="274">
    <w:name w:val="xl65"/>
    <w:basedOn w:val="1"/>
    <w:qFormat/>
    <w:uiPriority w:val="99"/>
    <w:pPr>
      <w:widowControl/>
      <w:spacing w:before="100" w:beforeAutospacing="1" w:after="100" w:afterAutospacing="1"/>
      <w:jc w:val="center"/>
    </w:pPr>
    <w:rPr>
      <w:rFonts w:ascii="宋体" w:hAnsi="宋体" w:cs="宋体"/>
      <w:color w:val="000000"/>
      <w:kern w:val="0"/>
      <w:szCs w:val="21"/>
    </w:rPr>
  </w:style>
  <w:style w:type="paragraph" w:customStyle="1" w:styleId="275">
    <w:name w:val="xl88"/>
    <w:basedOn w:val="1"/>
    <w:qFormat/>
    <w:uiPriority w:val="99"/>
    <w:pPr>
      <w:widowControl/>
      <w:pBdr>
        <w:top w:val="single" w:color="auto" w:sz="8" w:space="0"/>
      </w:pBdr>
      <w:spacing w:before="100" w:beforeAutospacing="1" w:after="100" w:afterAutospacing="1"/>
      <w:jc w:val="left"/>
      <w:textAlignment w:val="bottom"/>
    </w:pPr>
    <w:rPr>
      <w:rFonts w:ascii="宋体" w:hAnsi="宋体" w:cs="宋体"/>
      <w:color w:val="000000"/>
      <w:kern w:val="0"/>
      <w:szCs w:val="21"/>
    </w:rPr>
  </w:style>
  <w:style w:type="paragraph" w:customStyle="1" w:styleId="276">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277">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Cs w:val="21"/>
    </w:rPr>
  </w:style>
  <w:style w:type="paragraph" w:customStyle="1" w:styleId="278">
    <w:name w:val="xl13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79">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281">
    <w:name w:val="xl1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2">
    <w:name w:val="xl74"/>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283">
    <w:name w:val="xl104"/>
    <w:basedOn w:val="1"/>
    <w:qFormat/>
    <w:uiPriority w:val="99"/>
    <w:pPr>
      <w:widowControl/>
      <w:pBdr>
        <w:bottom w:val="single" w:color="auto" w:sz="4" w:space="0"/>
      </w:pBdr>
      <w:spacing w:before="100" w:beforeAutospacing="1" w:after="100" w:afterAutospacing="1"/>
      <w:jc w:val="left"/>
    </w:pPr>
    <w:rPr>
      <w:rFonts w:ascii="宋体" w:hAnsi="宋体" w:cs="宋体"/>
      <w:kern w:val="0"/>
      <w:sz w:val="24"/>
    </w:rPr>
  </w:style>
  <w:style w:type="paragraph" w:customStyle="1" w:styleId="284">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p15"/>
    <w:basedOn w:val="1"/>
    <w:qFormat/>
    <w:uiPriority w:val="99"/>
    <w:pPr>
      <w:widowControl/>
    </w:pPr>
    <w:rPr>
      <w:rFonts w:ascii="宋体" w:hAnsi="宋体" w:cs="宋体"/>
      <w:kern w:val="0"/>
      <w:szCs w:val="21"/>
    </w:rPr>
  </w:style>
  <w:style w:type="paragraph" w:customStyle="1" w:styleId="286">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287">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88">
    <w:name w:val="正文-公1"/>
    <w:basedOn w:val="1"/>
    <w:qFormat/>
    <w:uiPriority w:val="99"/>
    <w:pPr>
      <w:spacing w:line="240" w:lineRule="auto"/>
      <w:jc w:val="left"/>
    </w:pPr>
    <w:rPr>
      <w:rFonts w:ascii="Calibri" w:hAnsi="Calibri" w:eastAsia="仿宋_GB2312"/>
    </w:rPr>
  </w:style>
  <w:style w:type="paragraph" w:customStyle="1" w:styleId="289">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0">
    <w:name w:val="Char Char1 Char Char Char Char"/>
    <w:basedOn w:val="16"/>
    <w:qFormat/>
    <w:uiPriority w:val="99"/>
    <w:rPr>
      <w:rFonts w:ascii="Tahoma" w:hAnsi="Tahoma"/>
      <w:sz w:val="24"/>
    </w:rPr>
  </w:style>
  <w:style w:type="paragraph" w:customStyle="1" w:styleId="291">
    <w:name w:val="_Style 8"/>
    <w:basedOn w:val="16"/>
    <w:qFormat/>
    <w:uiPriority w:val="99"/>
    <w:pPr>
      <w:widowControl/>
      <w:spacing w:line="240" w:lineRule="auto"/>
      <w:ind w:firstLine="454" w:firstLineChars="0"/>
      <w:jc w:val="left"/>
    </w:pPr>
  </w:style>
  <w:style w:type="paragraph" w:customStyle="1" w:styleId="292">
    <w:name w:val="xl122"/>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93">
    <w:name w:val="Char Char Char Char"/>
    <w:basedOn w:val="1"/>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294">
    <w:name w:val="Char Char Char"/>
    <w:basedOn w:val="1"/>
    <w:qFormat/>
    <w:uiPriority w:val="99"/>
    <w:pPr>
      <w:widowControl/>
      <w:spacing w:after="160" w:line="240" w:lineRule="exact"/>
      <w:jc w:val="left"/>
    </w:pPr>
    <w:rPr>
      <w:rFonts w:ascii="Verdana" w:hAnsi="Verdana"/>
      <w:kern w:val="0"/>
      <w:sz w:val="20"/>
      <w:szCs w:val="20"/>
      <w:lang w:eastAsia="en-US"/>
    </w:rPr>
  </w:style>
  <w:style w:type="paragraph" w:customStyle="1" w:styleId="295">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29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97">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298">
    <w:name w:val="xl95"/>
    <w:basedOn w:val="1"/>
    <w:qFormat/>
    <w:uiPriority w:val="99"/>
    <w:pPr>
      <w:widowControl/>
      <w:pBdr>
        <w:bottom w:val="single" w:color="auto" w:sz="8" w:space="0"/>
      </w:pBdr>
      <w:spacing w:before="100" w:beforeAutospacing="1" w:after="100" w:afterAutospacing="1"/>
      <w:jc w:val="left"/>
    </w:pPr>
    <w:rPr>
      <w:rFonts w:ascii="宋体" w:hAnsi="宋体" w:cs="宋体"/>
      <w:color w:val="000000"/>
      <w:kern w:val="0"/>
      <w:szCs w:val="21"/>
    </w:rPr>
  </w:style>
  <w:style w:type="paragraph" w:customStyle="1" w:styleId="299">
    <w:name w:val="文档正文"/>
    <w:basedOn w:val="1"/>
    <w:qFormat/>
    <w:uiPriority w:val="99"/>
    <w:pPr>
      <w:autoSpaceDE w:val="0"/>
      <w:autoSpaceDN w:val="0"/>
      <w:adjustRightInd w:val="0"/>
      <w:spacing w:line="240" w:lineRule="atLeast"/>
      <w:ind w:firstLine="567"/>
    </w:pPr>
    <w:rPr>
      <w:rFonts w:ascii="Arial Narrow" w:hAnsi="Arial Narrow" w:cs="Arial"/>
      <w:sz w:val="24"/>
      <w:lang w:val="zh-CN"/>
    </w:rPr>
  </w:style>
  <w:style w:type="paragraph" w:customStyle="1" w:styleId="300">
    <w:name w:val="xl13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01">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2">
    <w:name w:val="p18"/>
    <w:basedOn w:val="1"/>
    <w:qFormat/>
    <w:uiPriority w:val="99"/>
    <w:pPr>
      <w:widowControl/>
      <w:spacing w:line="240" w:lineRule="auto"/>
      <w:ind w:firstLine="0" w:firstLineChars="0"/>
    </w:pPr>
    <w:rPr>
      <w:rFonts w:ascii="宋体" w:hAnsi="宋体" w:cs="宋体"/>
      <w:kern w:val="0"/>
      <w:szCs w:val="21"/>
    </w:rPr>
  </w:style>
  <w:style w:type="paragraph" w:customStyle="1" w:styleId="303">
    <w:name w:val="xl13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04">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05">
    <w:name w:val="xl63"/>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306">
    <w:name w:val="_Style 2"/>
    <w:basedOn w:val="1"/>
    <w:qFormat/>
    <w:uiPriority w:val="99"/>
    <w:pPr>
      <w:ind w:firstLine="420"/>
    </w:pPr>
  </w:style>
  <w:style w:type="paragraph" w:customStyle="1" w:styleId="307">
    <w:name w:val="xl97"/>
    <w:basedOn w:val="1"/>
    <w:qFormat/>
    <w:uiPriority w:val="99"/>
    <w:pPr>
      <w:widowControl/>
      <w:spacing w:before="100" w:beforeAutospacing="1" w:after="100" w:afterAutospacing="1"/>
      <w:jc w:val="left"/>
      <w:textAlignment w:val="bottom"/>
    </w:pPr>
    <w:rPr>
      <w:kern w:val="0"/>
      <w:sz w:val="20"/>
      <w:szCs w:val="20"/>
    </w:rPr>
  </w:style>
  <w:style w:type="paragraph" w:customStyle="1" w:styleId="308">
    <w:name w:val="默认段落字体 Para Char Char Char Char Char Char Char Char Char1 Char Char Char Char"/>
    <w:basedOn w:val="1"/>
    <w:qFormat/>
    <w:uiPriority w:val="99"/>
    <w:rPr>
      <w:rFonts w:ascii="Tahoma" w:hAnsi="Tahoma"/>
      <w:sz w:val="24"/>
      <w:szCs w:val="20"/>
    </w:rPr>
  </w:style>
  <w:style w:type="paragraph" w:customStyle="1" w:styleId="309">
    <w:name w:val="Char"/>
    <w:basedOn w:val="16"/>
    <w:qFormat/>
    <w:uiPriority w:val="99"/>
    <w:pPr>
      <w:widowControl/>
      <w:ind w:firstLine="454"/>
      <w:jc w:val="left"/>
    </w:pPr>
    <w:rPr>
      <w:rFonts w:ascii="Tahoma" w:hAnsi="Tahoma" w:cs="宋体"/>
      <w:kern w:val="0"/>
      <w:sz w:val="24"/>
      <w:szCs w:val="20"/>
    </w:rPr>
  </w:style>
  <w:style w:type="paragraph" w:customStyle="1" w:styleId="310">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11">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1"/>
    </w:rPr>
  </w:style>
  <w:style w:type="paragraph" w:customStyle="1" w:styleId="312">
    <w:name w:val="font9"/>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13">
    <w:name w:val="xl9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314">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315">
    <w:name w:val="xl14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6">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317">
    <w:name w:val="样式2"/>
    <w:basedOn w:val="5"/>
    <w:qFormat/>
    <w:uiPriority w:val="99"/>
    <w:rPr>
      <w:rFonts w:ascii="仿宋_GB2312" w:hAnsi="宋体" w:eastAsia="仿宋_GB2312" w:cs="宋体"/>
      <w:kern w:val="0"/>
      <w:sz w:val="24"/>
    </w:rPr>
  </w:style>
  <w:style w:type="paragraph" w:customStyle="1" w:styleId="318">
    <w:name w:val="Heading2"/>
    <w:next w:val="1"/>
    <w:qFormat/>
    <w:uiPriority w:val="99"/>
    <w:pPr>
      <w:keepNext/>
      <w:keepLines/>
      <w:widowControl w:val="0"/>
      <w:spacing w:before="60" w:after="60" w:line="413" w:lineRule="auto"/>
      <w:jc w:val="both"/>
      <w:textAlignment w:val="baseline"/>
    </w:pPr>
    <w:rPr>
      <w:rFonts w:ascii="Arial" w:hAnsi="Arial" w:eastAsia="黑体" w:cs="Times New Roman"/>
      <w:b/>
      <w:bCs/>
      <w:kern w:val="2"/>
      <w:sz w:val="21"/>
      <w:szCs w:val="32"/>
      <w:lang w:val="en-US" w:eastAsia="zh-CN" w:bidi="ar-SA"/>
    </w:rPr>
  </w:style>
  <w:style w:type="paragraph" w:customStyle="1" w:styleId="319">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0">
    <w:name w:val="浅色网格 - 强调文字颜色 32"/>
    <w:basedOn w:val="1"/>
    <w:qFormat/>
    <w:uiPriority w:val="99"/>
    <w:pPr>
      <w:ind w:firstLine="420"/>
    </w:pPr>
    <w:rPr>
      <w:rFonts w:ascii="Calibri" w:hAnsi="Calibri"/>
      <w:szCs w:val="22"/>
    </w:rPr>
  </w:style>
  <w:style w:type="paragraph" w:customStyle="1" w:styleId="321">
    <w:name w:val="xl87"/>
    <w:basedOn w:val="1"/>
    <w:qFormat/>
    <w:uiPriority w:val="99"/>
    <w:pPr>
      <w:widowControl/>
      <w:pBdr>
        <w:bottom w:val="single" w:color="auto" w:sz="8" w:space="0"/>
      </w:pBdr>
      <w:spacing w:before="100" w:beforeAutospacing="1" w:after="100" w:afterAutospacing="1"/>
      <w:jc w:val="left"/>
    </w:pPr>
    <w:rPr>
      <w:rFonts w:ascii="宋体" w:hAnsi="宋体" w:cs="宋体"/>
      <w:kern w:val="0"/>
      <w:szCs w:val="21"/>
    </w:rPr>
  </w:style>
  <w:style w:type="paragraph" w:customStyle="1" w:styleId="322">
    <w:name w:val="列表段落1"/>
    <w:basedOn w:val="1"/>
    <w:qFormat/>
    <w:uiPriority w:val="34"/>
    <w:pPr>
      <w:spacing w:line="240" w:lineRule="auto"/>
    </w:pPr>
    <w:rPr>
      <w:rFonts w:ascii="Calibri" w:hAnsi="Calibri"/>
    </w:rPr>
  </w:style>
  <w:style w:type="paragraph" w:customStyle="1" w:styleId="323">
    <w:name w:val="font6"/>
    <w:basedOn w:val="1"/>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324">
    <w:name w:val="unnamed1"/>
    <w:basedOn w:val="1"/>
    <w:qFormat/>
    <w:uiPriority w:val="99"/>
    <w:pPr>
      <w:widowControl/>
      <w:spacing w:before="100" w:beforeAutospacing="1" w:after="100" w:afterAutospacing="1" w:line="288" w:lineRule="auto"/>
      <w:jc w:val="left"/>
    </w:pPr>
    <w:rPr>
      <w:rFonts w:ascii="宋体" w:hAnsi="宋体"/>
      <w:kern w:val="0"/>
      <w:szCs w:val="21"/>
    </w:rPr>
  </w:style>
  <w:style w:type="paragraph" w:customStyle="1" w:styleId="325">
    <w:name w:val="Other|1"/>
    <w:basedOn w:val="1"/>
    <w:qFormat/>
    <w:uiPriority w:val="99"/>
    <w:pPr>
      <w:spacing w:line="240" w:lineRule="auto"/>
      <w:ind w:firstLine="0" w:firstLineChars="0"/>
    </w:pPr>
    <w:rPr>
      <w:rFonts w:ascii="宋体" w:hAnsi="宋体" w:cs="宋体"/>
      <w:lang w:val="zh-TW" w:eastAsia="zh-TW" w:bidi="zh-TW"/>
    </w:rPr>
  </w:style>
  <w:style w:type="paragraph" w:customStyle="1" w:styleId="326">
    <w:name w:val="xl93"/>
    <w:basedOn w:val="1"/>
    <w:qFormat/>
    <w:uiPriority w:val="99"/>
    <w:pPr>
      <w:widowControl/>
      <w:pBdr>
        <w:top w:val="single" w:color="auto" w:sz="8" w:space="0"/>
      </w:pBdr>
      <w:spacing w:before="100" w:beforeAutospacing="1" w:after="100" w:afterAutospacing="1"/>
      <w:jc w:val="left"/>
    </w:pPr>
    <w:rPr>
      <w:rFonts w:ascii="宋体" w:hAnsi="宋体" w:cs="宋体"/>
      <w:color w:val="000000"/>
      <w:kern w:val="0"/>
      <w:szCs w:val="21"/>
    </w:rPr>
  </w:style>
  <w:style w:type="paragraph" w:customStyle="1" w:styleId="327">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28">
    <w:name w:val="font8"/>
    <w:basedOn w:val="1"/>
    <w:qFormat/>
    <w:uiPriority w:val="99"/>
    <w:pPr>
      <w:widowControl/>
      <w:spacing w:before="100" w:beforeAutospacing="1" w:after="100" w:afterAutospacing="1"/>
      <w:jc w:val="left"/>
    </w:pPr>
    <w:rPr>
      <w:color w:val="000000"/>
      <w:kern w:val="0"/>
      <w:sz w:val="22"/>
      <w:szCs w:val="22"/>
    </w:rPr>
  </w:style>
  <w:style w:type="paragraph" w:customStyle="1" w:styleId="329">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330">
    <w:name w:val="1"/>
    <w:basedOn w:val="1"/>
    <w:next w:val="27"/>
    <w:qFormat/>
    <w:uiPriority w:val="99"/>
    <w:rPr>
      <w:rFonts w:ascii="宋体" w:hAnsi="Courier New"/>
      <w:szCs w:val="20"/>
    </w:rPr>
  </w:style>
  <w:style w:type="paragraph" w:customStyle="1" w:styleId="331">
    <w:name w:val="投标文件"/>
    <w:basedOn w:val="45"/>
    <w:qFormat/>
    <w:uiPriority w:val="99"/>
  </w:style>
  <w:style w:type="paragraph" w:customStyle="1" w:styleId="332">
    <w:name w:val="xl11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33">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Cs w:val="21"/>
    </w:rPr>
  </w:style>
  <w:style w:type="paragraph" w:customStyle="1" w:styleId="33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335">
    <w:name w:val="xl123"/>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36">
    <w:name w:val="List Paragraph1"/>
    <w:basedOn w:val="1"/>
    <w:qFormat/>
    <w:uiPriority w:val="99"/>
    <w:pPr>
      <w:ind w:firstLine="420"/>
    </w:pPr>
  </w:style>
  <w:style w:type="table" w:customStyle="1" w:styleId="337">
    <w:name w:val="网格型2"/>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3"/>
    <w:basedOn w:val="49"/>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1"/>
    <w:basedOn w:val="4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0">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341">
    <w:name w:val="默认 A"/>
    <w:qFormat/>
    <w:uiPriority w:val="0"/>
    <w:pPr>
      <w:framePr w:wrap="around" w:vAnchor="margin" w:hAnchor="text" w:y="1"/>
    </w:pPr>
    <w:rPr>
      <w:rFonts w:ascii="Arial Unicode MS" w:hAnsi="Arial Unicode MS" w:eastAsia="Arial Unicode MS" w:cs="Arial Unicode MS"/>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165</Pages>
  <Words>112759</Words>
  <Characters>127676</Characters>
  <Lines>659</Lines>
  <Paragraphs>185</Paragraphs>
  <TotalTime>5518</TotalTime>
  <ScaleCrop>false</ScaleCrop>
  <LinksUpToDate>false</LinksUpToDate>
  <CharactersWithSpaces>132579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2025-08-26T07:20:00Z</dcterms:created>
  <dc:creator>Administrator</dc:creator>
  <cp:lastModifiedBy>Lenovo</cp:lastModifiedBy>
  <cp:lastPrinted>2025-11-27T02:03:00Z</cp:lastPrinted>
  <dcterms:modified xsi:type="dcterms:W3CDTF">2025-12-01T08:06:15Z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CB296278D71D4F579E6F9E757A2C3067</vt:lpwstr>
  </property>
  <property fmtid="{D5CDD505-2E9C-101B-9397-08002B2CF9AE}" pid="4" name="KSOTemplateDocerSaveRecord">
    <vt:lpwstr>eyJoZGlkIjoiNjgzZjYwNzg3MTM5ZmViZmIwYjgzN2IxNDdkMzczODgiLCJ1c2VySWQiOiI0NTkwMTAyMTcifQ==</vt:lpwstr>
  </property>
</Properties>
</file>