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bookmarkStart w:id="1" w:name="OLE_LINK1"/>
      <w:r>
        <w:rPr>
          <w:rFonts w:hint="eastAsia" w:ascii="方正小标宋_GBK" w:hAnsi="微软雅黑" w:eastAsia="方正小标宋_GBK"/>
          <w:color w:val="auto"/>
          <w:sz w:val="32"/>
          <w:szCs w:val="32"/>
          <w:highlight w:val="none"/>
          <w:lang w:eastAsia="zh-CN"/>
        </w:rPr>
        <w:t>钦州市公安局交警支队公安交通集成指挥平台扩容升级改造</w:t>
      </w:r>
      <w:bookmarkEnd w:id="1"/>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QZZC2025-C3-990369-QZSZ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仿宋_GB2312"/>
          <w:color w:val="auto"/>
          <w:sz w:val="32"/>
          <w:szCs w:val="32"/>
          <w:highlight w:val="none"/>
        </w:rPr>
      </w:pPr>
      <w:r>
        <w:rPr>
          <w:rFonts w:hint="eastAsia" w:ascii="方正小标宋_GBK" w:hAnsi="微软雅黑" w:eastAsia="方正小标宋_GBK"/>
          <w:color w:val="auto"/>
          <w:sz w:val="32"/>
          <w:szCs w:val="32"/>
          <w:highlight w:val="none"/>
          <w:lang w:eastAsia="zh-CN"/>
        </w:rPr>
        <w:t>2026年</w:t>
      </w:r>
      <w:r>
        <w:rPr>
          <w:rFonts w:hint="eastAsia" w:ascii="方正小标宋_GBK" w:hAnsi="微软雅黑" w:eastAsia="方正小标宋_GBK"/>
          <w:color w:val="auto"/>
          <w:sz w:val="32"/>
          <w:szCs w:val="32"/>
          <w:highlight w:val="none"/>
          <w:lang w:val="en-US" w:eastAsia="zh-CN"/>
        </w:rPr>
        <w:t>1月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2"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4"/>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4"/>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4"/>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4"/>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4"/>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4"/>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3" w:name="_Toc92355023"/>
      <w:r>
        <w:rPr>
          <w:rFonts w:hint="eastAsia" w:ascii="方正小标宋_GBK" w:hAnsi="宋体" w:eastAsia="方正小标宋_GBK"/>
          <w:color w:val="auto"/>
          <w:highlight w:val="none"/>
        </w:rPr>
        <w:t>第一章  竞争性磋商公告</w:t>
      </w:r>
      <w:bookmarkEnd w:id="2"/>
      <w:bookmarkEnd w:id="3"/>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钦州市公安局交警支队公安交通集成指挥平台扩容升级改造</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QZZC2025-C3-990369-QZSZ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4"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钦州市公安局交警支队公安交通集成指挥平台扩容升级改造</w:t>
      </w:r>
      <w:r>
        <w:rPr>
          <w:rFonts w:hint="eastAsia" w:ascii="宋体" w:hAnsi="宋体"/>
          <w:color w:val="auto"/>
          <w:szCs w:val="21"/>
          <w:highlight w:val="none"/>
        </w:rPr>
        <w:t>项目的潜在供应商应在广西政府采购云平台（https://www.gcy.zfcg.gxzf.gov.cn/）获取采购文件，并于</w:t>
      </w:r>
      <w:r>
        <w:rPr>
          <w:rFonts w:hint="eastAsia" w:ascii="宋体" w:hAnsi="宋体"/>
          <w:color w:val="auto"/>
          <w:szCs w:val="21"/>
          <w:highlight w:val="none"/>
          <w:lang w:eastAsia="zh-CN"/>
        </w:rPr>
        <w:t>2026年</w:t>
      </w:r>
      <w:r>
        <w:rPr>
          <w:rFonts w:hint="eastAsia" w:ascii="宋体" w:hAnsi="宋体"/>
          <w:bCs/>
          <w:color w:val="auto"/>
          <w:szCs w:val="21"/>
          <w:highlight w:val="none"/>
          <w:lang w:val="en-US" w:eastAsia="zh-CN"/>
        </w:rPr>
        <w:t>1月20</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4"/>
    <w:p>
      <w:pPr>
        <w:spacing w:line="400" w:lineRule="exact"/>
        <w:rPr>
          <w:b/>
          <w:color w:val="auto"/>
          <w:highlight w:val="none"/>
        </w:rPr>
      </w:pPr>
      <w:bookmarkStart w:id="5" w:name="_Toc28359079"/>
      <w:bookmarkStart w:id="6" w:name="_Toc35393621"/>
      <w:bookmarkStart w:id="7" w:name="_Toc35393790"/>
      <w:bookmarkStart w:id="8" w:name="_Toc28359002"/>
      <w:bookmarkStart w:id="9" w:name="_Hlk24379207"/>
      <w:bookmarkStart w:id="10" w:name="_Toc38370146"/>
      <w:r>
        <w:rPr>
          <w:rFonts w:hint="eastAsia"/>
          <w:b/>
          <w:color w:val="auto"/>
          <w:highlight w:val="none"/>
        </w:rPr>
        <w:t>一、项目基本情况</w:t>
      </w:r>
      <w:bookmarkEnd w:id="5"/>
      <w:bookmarkEnd w:id="6"/>
      <w:bookmarkEnd w:id="7"/>
      <w:bookmarkEnd w:id="8"/>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QZZC2025-C3-990369-QZSZ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钦州市公安局交警支队公安交通集成指挥平台扩容升级改造</w:t>
      </w:r>
    </w:p>
    <w:bookmarkEnd w:id="9"/>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1,250,000.00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钦州市公安局交警支队公安交通集成指挥平台扩容升级改造</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1,250,000.00</w:t>
      </w:r>
    </w:p>
    <w:p>
      <w:pPr>
        <w:spacing w:line="400" w:lineRule="exact"/>
        <w:ind w:left="4410" w:leftChars="200" w:hanging="3990" w:hangingChars="1900"/>
        <w:rPr>
          <w:rFonts w:hint="default" w:eastAsia="宋体"/>
          <w:color w:val="auto"/>
          <w:highlight w:val="none"/>
          <w:lang w:val="en-US" w:eastAsia="zh-CN"/>
        </w:rPr>
      </w:pPr>
      <w:r>
        <w:rPr>
          <w:rFonts w:hint="eastAsia"/>
          <w:color w:val="auto"/>
          <w:highlight w:val="none"/>
        </w:rPr>
        <w:t>简要规格描述或项目基本概况介绍、用途：</w:t>
      </w:r>
      <w:r>
        <w:rPr>
          <w:rFonts w:hint="eastAsia"/>
          <w:color w:val="auto"/>
          <w:highlight w:val="none"/>
          <w:lang w:eastAsia="zh-CN"/>
        </w:rPr>
        <w:t>钦州市公安局交警支队公安交通集成指挥平台扩容升级改造，</w:t>
      </w:r>
      <w:r>
        <w:rPr>
          <w:rFonts w:hint="eastAsia"/>
          <w:color w:val="auto"/>
          <w:highlight w:val="none"/>
          <w:lang w:val="en-US" w:eastAsia="zh-CN"/>
        </w:rPr>
        <w:t>详见采购文件。</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ascii="宋体" w:hAnsi="宋体"/>
          <w:bCs/>
          <w:color w:val="auto"/>
          <w:szCs w:val="21"/>
          <w:highlight w:val="none"/>
          <w:u w:val="single"/>
          <w:lang w:eastAsia="zh-CN"/>
        </w:rPr>
      </w:pPr>
      <w:r>
        <w:rPr>
          <w:rFonts w:hint="eastAsia"/>
          <w:color w:val="auto"/>
          <w:highlight w:val="none"/>
        </w:rPr>
        <w:t>合同履行期限：</w:t>
      </w:r>
      <w:r>
        <w:rPr>
          <w:rFonts w:hint="eastAsia" w:ascii="宋体" w:hAnsi="宋体"/>
          <w:bCs/>
          <w:color w:val="auto"/>
          <w:szCs w:val="21"/>
          <w:highlight w:val="none"/>
          <w:u w:val="none"/>
        </w:rPr>
        <w:t>自签订合同之日起</w:t>
      </w:r>
      <w:r>
        <w:rPr>
          <w:rFonts w:hint="eastAsia" w:ascii="宋体" w:hAnsi="宋体"/>
          <w:bCs/>
          <w:color w:val="auto"/>
          <w:szCs w:val="21"/>
          <w:highlight w:val="none"/>
          <w:u w:val="none"/>
          <w:lang w:val="en-US" w:eastAsia="zh-CN"/>
        </w:rPr>
        <w:t>40天</w:t>
      </w:r>
      <w:r>
        <w:rPr>
          <w:rFonts w:hint="eastAsia"/>
          <w:lang w:val="en-US" w:eastAsia="zh-CN"/>
        </w:rPr>
        <w:t>交付完毕并达到验收合格</w:t>
      </w:r>
      <w:r>
        <w:rPr>
          <w:rFonts w:hint="eastAsia" w:ascii="宋体" w:hAnsi="宋体"/>
          <w:bCs/>
          <w:color w:val="auto"/>
          <w:szCs w:val="21"/>
          <w:highlight w:val="none"/>
          <w:u w:val="none"/>
          <w:lang w:val="en-US" w:eastAsia="zh-CN"/>
        </w:rPr>
        <w:t>。</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1" w:name="_Toc35393791"/>
      <w:bookmarkStart w:id="12" w:name="_Toc28359080"/>
      <w:bookmarkStart w:id="13" w:name="_Toc28359003"/>
      <w:bookmarkStart w:id="14" w:name="_Toc35393622"/>
      <w:r>
        <w:rPr>
          <w:rFonts w:hint="eastAsia"/>
          <w:b/>
          <w:color w:val="auto"/>
          <w:highlight w:val="none"/>
        </w:rPr>
        <w:t>二、申请人的资格要求：</w:t>
      </w:r>
      <w:bookmarkEnd w:id="11"/>
      <w:bookmarkEnd w:id="12"/>
      <w:bookmarkEnd w:id="13"/>
      <w:bookmarkEnd w:id="14"/>
      <w:bookmarkStart w:id="15" w:name="_Toc35393792"/>
      <w:bookmarkStart w:id="16" w:name="_Toc28359081"/>
      <w:bookmarkStart w:id="17" w:name="_Toc28359004"/>
      <w:bookmarkStart w:id="18" w:name="_Toc35393623"/>
    </w:p>
    <w:p>
      <w:pPr>
        <w:spacing w:line="400" w:lineRule="exact"/>
        <w:ind w:firstLine="420"/>
        <w:rPr>
          <w:b/>
          <w:color w:val="auto"/>
          <w:highlight w:val="none"/>
        </w:rPr>
      </w:pPr>
      <w:bookmarkStart w:id="19"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无</w:t>
      </w:r>
    </w:p>
    <w:p>
      <w:pPr>
        <w:spacing w:line="400" w:lineRule="exact"/>
        <w:ind w:firstLine="435"/>
        <w:rPr>
          <w:color w:val="auto"/>
          <w:highlight w:val="none"/>
        </w:rPr>
      </w:pPr>
      <w:r>
        <w:rPr>
          <w:rFonts w:hint="eastAsia"/>
          <w:color w:val="auto"/>
          <w:highlight w:val="none"/>
        </w:rPr>
        <w:t>3.本项目的特定资格要求：无</w:t>
      </w:r>
    </w:p>
    <w:bookmarkEnd w:id="19"/>
    <w:p>
      <w:pPr>
        <w:spacing w:line="400" w:lineRule="exact"/>
        <w:rPr>
          <w:b/>
          <w:color w:val="auto"/>
          <w:highlight w:val="none"/>
        </w:rPr>
      </w:pPr>
      <w:r>
        <w:rPr>
          <w:rFonts w:hint="eastAsia"/>
          <w:b/>
          <w:color w:val="auto"/>
          <w:highlight w:val="none"/>
        </w:rPr>
        <w:t>三、获取采购文件</w:t>
      </w:r>
      <w:bookmarkEnd w:id="15"/>
      <w:bookmarkEnd w:id="16"/>
      <w:bookmarkEnd w:id="17"/>
      <w:bookmarkEnd w:id="18"/>
    </w:p>
    <w:p>
      <w:pPr>
        <w:spacing w:line="400" w:lineRule="exact"/>
        <w:ind w:firstLine="420"/>
        <w:jc w:val="left"/>
        <w:rPr>
          <w:color w:val="auto"/>
          <w:highlight w:val="none"/>
        </w:rPr>
      </w:pPr>
      <w:bookmarkStart w:id="20" w:name="_Toc38370141"/>
      <w:r>
        <w:rPr>
          <w:rFonts w:hint="eastAsia"/>
          <w:color w:val="auto"/>
          <w:highlight w:val="none"/>
        </w:rPr>
        <w:t>时间：</w:t>
      </w:r>
      <w:r>
        <w:rPr>
          <w:rFonts w:hint="eastAsia"/>
          <w:color w:val="auto"/>
          <w:highlight w:val="none"/>
          <w:lang w:eastAsia="zh-CN"/>
        </w:rPr>
        <w:t>2026年</w:t>
      </w:r>
      <w:r>
        <w:rPr>
          <w:rFonts w:hint="eastAsia"/>
          <w:color w:val="auto"/>
          <w:highlight w:val="none"/>
          <w:lang w:val="en-US" w:eastAsia="zh-CN"/>
        </w:rPr>
        <w:t>1月5</w:t>
      </w:r>
      <w:r>
        <w:rPr>
          <w:rFonts w:hint="eastAsia"/>
          <w:color w:val="auto"/>
          <w:highlight w:val="none"/>
        </w:rPr>
        <w:t>日至</w:t>
      </w:r>
      <w:r>
        <w:rPr>
          <w:rFonts w:hint="eastAsia"/>
          <w:color w:val="auto"/>
          <w:highlight w:val="none"/>
          <w:lang w:eastAsia="zh-CN"/>
        </w:rPr>
        <w:t>2026年</w:t>
      </w:r>
      <w:r>
        <w:rPr>
          <w:rFonts w:hint="eastAsia"/>
          <w:color w:val="auto"/>
          <w:highlight w:val="none"/>
          <w:lang w:val="en-US" w:eastAsia="zh-CN"/>
        </w:rPr>
        <w:t>1月12</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1" w:name="OLE_LINK4"/>
      <w:bookmarkStart w:id="22" w:name="_Hlk164066481"/>
      <w:bookmarkStart w:id="23" w:name="OLE_LINK8"/>
      <w:r>
        <w:rPr>
          <w:rFonts w:hint="eastAsia" w:ascii="宋体" w:hAnsi="宋体"/>
          <w:color w:val="auto"/>
          <w:szCs w:val="21"/>
          <w:highlight w:val="none"/>
        </w:rPr>
        <w:t>广西政府采购云平台（https://www.gcy.zfcg.gxzf.gov.cn/）</w:t>
      </w:r>
      <w:bookmarkEnd w:id="21"/>
      <w:bookmarkEnd w:id="22"/>
    </w:p>
    <w:bookmarkEnd w:id="23"/>
    <w:p>
      <w:pPr>
        <w:spacing w:line="400" w:lineRule="exact"/>
        <w:ind w:firstLine="420"/>
        <w:rPr>
          <w:color w:val="auto"/>
          <w:highlight w:val="none"/>
        </w:rPr>
      </w:pPr>
      <w:r>
        <w:rPr>
          <w:rFonts w:hint="eastAsia"/>
          <w:color w:val="auto"/>
          <w:highlight w:val="none"/>
        </w:rPr>
        <w:t>方式：</w:t>
      </w:r>
      <w:bookmarkStart w:id="24" w:name="OLE_LINK5"/>
      <w:r>
        <w:rPr>
          <w:rFonts w:hint="eastAsia"/>
          <w:color w:val="auto"/>
          <w:highlight w:val="none"/>
        </w:rPr>
        <w:t>供应商登录广西政府采购云平台(以下称“政采云平台”)在线获取采购文件（进入“项目采购”应用选择项目，获取采购文件）</w:t>
      </w:r>
      <w:bookmarkEnd w:id="24"/>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20"/>
      <w:bookmarkStart w:id="25" w:name="_Toc28359082"/>
      <w:bookmarkStart w:id="26" w:name="_Toc28359005"/>
      <w:bookmarkStart w:id="27" w:name="_Toc35393624"/>
      <w:bookmarkStart w:id="28" w:name="_Toc35393793"/>
      <w:r>
        <w:rPr>
          <w:rFonts w:hint="eastAsia"/>
          <w:b/>
          <w:color w:val="auto"/>
          <w:highlight w:val="none"/>
        </w:rPr>
        <w:t>响应文件</w:t>
      </w:r>
      <w:bookmarkEnd w:id="25"/>
      <w:bookmarkEnd w:id="26"/>
      <w:r>
        <w:rPr>
          <w:rFonts w:hint="eastAsia"/>
          <w:b/>
          <w:color w:val="auto"/>
          <w:highlight w:val="none"/>
        </w:rPr>
        <w:t>提交</w:t>
      </w:r>
      <w:bookmarkEnd w:id="27"/>
      <w:bookmarkEnd w:id="28"/>
    </w:p>
    <w:p>
      <w:pPr>
        <w:spacing w:line="400" w:lineRule="exact"/>
        <w:ind w:firstLine="420"/>
        <w:rPr>
          <w:color w:val="auto"/>
          <w:highlight w:val="none"/>
        </w:rPr>
      </w:pPr>
      <w:r>
        <w:rPr>
          <w:rFonts w:hint="eastAsia"/>
          <w:color w:val="auto"/>
          <w:highlight w:val="none"/>
        </w:rPr>
        <w:t>截止时间：</w:t>
      </w:r>
      <w:r>
        <w:rPr>
          <w:rFonts w:hint="eastAsia"/>
          <w:color w:val="auto"/>
          <w:highlight w:val="none"/>
          <w:lang w:eastAsia="zh-CN"/>
        </w:rPr>
        <w:t>2026年</w:t>
      </w:r>
      <w:r>
        <w:rPr>
          <w:rFonts w:hint="eastAsia"/>
          <w:color w:val="auto"/>
          <w:highlight w:val="none"/>
          <w:lang w:val="en-US" w:eastAsia="zh-CN"/>
        </w:rPr>
        <w:t>1月20</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9" w:name="OLE_LINK6"/>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9"/>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lang w:eastAsia="zh-CN"/>
        </w:rPr>
        <w:t>2026年</w:t>
      </w:r>
      <w:r>
        <w:rPr>
          <w:rFonts w:hint="eastAsia"/>
          <w:color w:val="auto"/>
          <w:highlight w:val="none"/>
          <w:lang w:val="en-US" w:eastAsia="zh-CN"/>
        </w:rPr>
        <w:t>1月20</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30" w:name="_Toc28359007"/>
      <w:bookmarkStart w:id="31" w:name="_Toc28359084"/>
      <w:bookmarkStart w:id="32" w:name="_Toc35393794"/>
      <w:bookmarkStart w:id="33" w:name="_Toc35393625"/>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30"/>
      <w:bookmarkEnd w:id="31"/>
      <w:bookmarkEnd w:id="32"/>
      <w:bookmarkEnd w:id="33"/>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4" w:name="_Toc28359085"/>
      <w:bookmarkStart w:id="35" w:name="_Toc28359008"/>
      <w:bookmarkStart w:id="36" w:name="_Toc35393796"/>
      <w:bookmarkStart w:id="37" w:name="_Toc35393627"/>
      <w:r>
        <w:rPr>
          <w:rFonts w:hint="eastAsia"/>
          <w:b/>
          <w:color w:val="auto"/>
          <w:highlight w:val="none"/>
        </w:rPr>
        <w:t>七、其他补充事宜</w:t>
      </w:r>
    </w:p>
    <w:p>
      <w:pPr>
        <w:spacing w:line="400" w:lineRule="exact"/>
        <w:ind w:firstLine="420"/>
        <w:rPr>
          <w:rFonts w:hint="eastAsia"/>
          <w:color w:val="auto"/>
          <w:highlight w:val="none"/>
          <w:lang w:val="en-US" w:eastAsia="zh-CN"/>
        </w:rPr>
      </w:pPr>
      <w:r>
        <w:rPr>
          <w:rFonts w:hint="eastAsia"/>
          <w:color w:val="auto"/>
          <w:highlight w:val="none"/>
          <w:lang w:val="en-US" w:eastAsia="zh-CN"/>
        </w:rPr>
        <w:t>1.本项目接受电信行业的供应商分支机构参与响应。</w:t>
      </w:r>
    </w:p>
    <w:p>
      <w:pPr>
        <w:spacing w:line="400" w:lineRule="exact"/>
        <w:ind w:firstLine="420"/>
        <w:rPr>
          <w:b/>
          <w:color w:val="auto"/>
          <w:highlight w:val="none"/>
        </w:rPr>
      </w:pPr>
      <w:r>
        <w:rPr>
          <w:rFonts w:hint="eastAsia"/>
          <w:bCs/>
          <w:color w:val="auto"/>
          <w:highlight w:val="none"/>
          <w:lang w:val="en-US" w:eastAsia="zh-CN"/>
        </w:rPr>
        <w:t>2.</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rFonts w:hint="default" w:eastAsia="宋体"/>
          <w:color w:val="auto"/>
          <w:highlight w:val="none"/>
          <w:lang w:val="en-US" w:eastAsia="zh-CN"/>
        </w:rPr>
      </w:pPr>
      <w:r>
        <w:rPr>
          <w:rFonts w:hint="eastAsia"/>
          <w:color w:val="auto"/>
          <w:highlight w:val="none"/>
        </w:rPr>
        <w:t>(3)国务院办公厅关于在政府采购中 实施本国产品标准及相关政策的通知</w:t>
      </w:r>
      <w:r>
        <w:rPr>
          <w:rFonts w:hint="eastAsia"/>
          <w:color w:val="auto"/>
          <w:highlight w:val="none"/>
          <w:lang w:val="en-US" w:eastAsia="zh-CN"/>
        </w:rPr>
        <w:t>(国办发〔2025〕34号)</w:t>
      </w:r>
    </w:p>
    <w:p>
      <w:pPr>
        <w:spacing w:line="400" w:lineRule="exact"/>
        <w:ind w:firstLine="210" w:firstLineChars="100"/>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eastAsia="zh-CN"/>
        </w:rPr>
        <w:t>）</w:t>
      </w:r>
      <w:r>
        <w:rPr>
          <w:rFonts w:hint="eastAsia"/>
          <w:color w:val="auto"/>
          <w:highlight w:val="none"/>
        </w:rPr>
        <w:t>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2</w:t>
      </w:r>
      <w:r>
        <w:rPr>
          <w:color w:val="auto"/>
          <w:highlight w:val="none"/>
        </w:rPr>
        <w:t>.</w:t>
      </w:r>
      <w:bookmarkStart w:id="38" w:name="_Hlk91598380"/>
      <w:r>
        <w:rPr>
          <w:rFonts w:hint="eastAsia"/>
          <w:color w:val="auto"/>
          <w:highlight w:val="none"/>
        </w:rPr>
        <w:t>全流程电子化</w:t>
      </w:r>
      <w:bookmarkEnd w:id="38"/>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9"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4"/>
          <w:rFonts w:hint="eastAsia"/>
          <w:color w:val="auto"/>
          <w:highlight w:val="none"/>
        </w:rPr>
        <w:t>政采云电子卖场首页右上角—服务中心—帮助文档—项目采购</w:t>
      </w:r>
      <w:r>
        <w:rPr>
          <w:rStyle w:val="44"/>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4"/>
          <w:rFonts w:hint="eastAsia"/>
          <w:color w:val="auto"/>
          <w:highlight w:val="none"/>
        </w:rPr>
        <w:t>政采云电子卖场首页右上角—帮助文档—入驻与配置—CA管理</w:t>
      </w:r>
      <w:r>
        <w:rPr>
          <w:rStyle w:val="44"/>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4"/>
          <w:rFonts w:hint="eastAsia"/>
          <w:color w:val="auto"/>
          <w:highlight w:val="none"/>
        </w:rPr>
        <w:t>政采云平台—我的工作台右上角—CA管理—CA证书申领</w:t>
      </w:r>
      <w:r>
        <w:rPr>
          <w:rStyle w:val="44"/>
          <w:rFonts w:hint="eastAsia"/>
          <w:color w:val="auto"/>
          <w:highlight w:val="none"/>
        </w:rPr>
        <w:fldChar w:fldCharType="end"/>
      </w:r>
      <w:r>
        <w:rPr>
          <w:rFonts w:hint="eastAsia"/>
          <w:color w:val="auto"/>
          <w:highlight w:val="none"/>
        </w:rPr>
        <w:t>)</w:t>
      </w:r>
      <w:bookmarkEnd w:id="39"/>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4"/>
          <w:rFonts w:hint="eastAsia"/>
          <w:color w:val="auto"/>
          <w:highlight w:val="none"/>
        </w:rPr>
        <w:t>政府采购云平台</w:t>
      </w:r>
      <w:r>
        <w:rPr>
          <w:rStyle w:val="44"/>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color w:val="auto"/>
          <w:highlight w:val="none"/>
        </w:rPr>
        <w:t>或委托代理人须按时登录</w:t>
      </w:r>
      <w:bookmarkStart w:id="40" w:name="_Hlk90367388"/>
      <w:r>
        <w:rPr>
          <w:rFonts w:hint="eastAsia" w:ascii="宋体" w:hAnsi="宋体" w:cs="Courier New"/>
          <w:color w:val="auto"/>
          <w:szCs w:val="21"/>
          <w:highlight w:val="none"/>
        </w:rPr>
        <w:t>政采云远程开标大厅</w:t>
      </w:r>
      <w:bookmarkEnd w:id="40"/>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4"/>
          <w:rFonts w:hint="eastAsia" w:hAnsi="宋体"/>
          <w:color w:val="auto"/>
          <w:highlight w:val="none"/>
          <w:u w:val="none"/>
        </w:rPr>
        <w:t>广西政府采购网</w:t>
      </w:r>
      <w:r>
        <w:rPr>
          <w:rStyle w:val="44"/>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41" w:name="_Hlk107409555"/>
      <w:bookmarkStart w:id="42" w:name="_Hlk108515619"/>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、陈启梅</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联系方式：0777-2886006</w:t>
      </w:r>
      <w:bookmarkEnd w:id="41"/>
    </w:p>
    <w:bookmarkEnd w:id="42"/>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4"/>
      <w:bookmarkEnd w:id="35"/>
      <w:bookmarkEnd w:id="36"/>
      <w:bookmarkEnd w:id="37"/>
    </w:p>
    <w:p>
      <w:pPr>
        <w:spacing w:line="400" w:lineRule="exact"/>
        <w:ind w:firstLine="420" w:firstLineChars="200"/>
        <w:rPr>
          <w:color w:val="auto"/>
          <w:highlight w:val="none"/>
        </w:rPr>
      </w:pPr>
      <w:r>
        <w:rPr>
          <w:rFonts w:hint="eastAsia"/>
          <w:color w:val="auto"/>
          <w:highlight w:val="none"/>
        </w:rPr>
        <w:t>1.采购人信息</w:t>
      </w:r>
      <w:bookmarkEnd w:id="10"/>
    </w:p>
    <w:p>
      <w:pPr>
        <w:spacing w:line="400" w:lineRule="exact"/>
        <w:ind w:firstLine="420" w:firstLineChars="200"/>
        <w:rPr>
          <w:rFonts w:hint="eastAsia"/>
          <w:color w:val="auto"/>
          <w:highlight w:val="none"/>
        </w:rPr>
      </w:pPr>
      <w:r>
        <w:rPr>
          <w:rFonts w:hint="eastAsia"/>
          <w:color w:val="auto"/>
          <w:highlight w:val="none"/>
        </w:rPr>
        <w:t>名称：钦州市公安局交通警察支队</w:t>
      </w:r>
    </w:p>
    <w:p>
      <w:pPr>
        <w:spacing w:line="400" w:lineRule="exact"/>
        <w:ind w:firstLine="420" w:firstLineChars="200"/>
        <w:rPr>
          <w:rFonts w:hint="eastAsia"/>
          <w:color w:val="auto"/>
          <w:highlight w:val="none"/>
        </w:rPr>
      </w:pPr>
      <w:r>
        <w:rPr>
          <w:rFonts w:hint="eastAsia"/>
          <w:color w:val="auto"/>
          <w:highlight w:val="none"/>
        </w:rPr>
        <w:t>地址：钦州市钦州湾大道153号</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项目联系人：</w:t>
      </w:r>
      <w:bookmarkStart w:id="43" w:name="OLE_LINK9"/>
      <w:r>
        <w:rPr>
          <w:rFonts w:hint="eastAsia"/>
          <w:color w:val="auto"/>
          <w:highlight w:val="none"/>
        </w:rPr>
        <w:t>劳晓启</w:t>
      </w:r>
      <w:bookmarkEnd w:id="43"/>
      <w:r>
        <w:rPr>
          <w:rFonts w:hint="eastAsia"/>
          <w:color w:val="auto"/>
          <w:highlight w:val="none"/>
          <w:lang w:val="en-US" w:eastAsia="zh-CN"/>
        </w:rPr>
        <w:t xml:space="preserve"> </w:t>
      </w:r>
    </w:p>
    <w:p>
      <w:pPr>
        <w:spacing w:line="400" w:lineRule="exact"/>
        <w:ind w:firstLine="420" w:firstLineChars="200"/>
        <w:rPr>
          <w:rFonts w:hint="eastAsia" w:eastAsia="宋体"/>
          <w:color w:val="auto"/>
          <w:highlight w:val="none"/>
          <w:lang w:eastAsia="zh-CN"/>
        </w:rPr>
      </w:pPr>
      <w:r>
        <w:rPr>
          <w:rFonts w:hint="eastAsia"/>
          <w:color w:val="auto"/>
          <w:highlight w:val="none"/>
        </w:rPr>
        <w:t>联系方式：0777-2843366</w:t>
      </w:r>
    </w:p>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项目联系方式：</w:t>
      </w:r>
      <w:bookmarkStart w:id="44" w:name="_Toc28359010"/>
      <w:bookmarkStart w:id="45" w:name="_Toc28359087"/>
      <w:r>
        <w:rPr>
          <w:rFonts w:hint="eastAsia" w:hAnsi="宋体"/>
          <w:color w:val="auto"/>
          <w:highlight w:val="none"/>
        </w:rPr>
        <w:t>0777-2886022</w:t>
      </w:r>
      <w:r>
        <w:rPr>
          <w:rFonts w:hint="eastAsia" w:hAnsi="宋体"/>
          <w:color w:val="auto"/>
          <w:highlight w:val="none"/>
          <w:lang w:eastAsia="zh-CN"/>
        </w:rPr>
        <w:t>、</w:t>
      </w:r>
      <w:r>
        <w:rPr>
          <w:rFonts w:hint="eastAsia" w:hAnsi="宋体"/>
          <w:color w:val="auto"/>
          <w:highlight w:val="none"/>
          <w:lang w:val="en-US" w:eastAsia="zh-CN"/>
        </w:rPr>
        <w:t>2886006</w:t>
      </w:r>
    </w:p>
    <w:p>
      <w:pPr>
        <w:widowControl/>
        <w:jc w:val="left"/>
        <w:rPr>
          <w:color w:val="auto"/>
          <w:highlight w:val="none"/>
        </w:rPr>
      </w:pPr>
      <w:r>
        <w:rPr>
          <w:color w:val="auto"/>
          <w:highlight w:val="none"/>
        </w:rPr>
        <w:br w:type="page"/>
      </w:r>
    </w:p>
    <w:p>
      <w:pPr>
        <w:rPr>
          <w:color w:val="auto"/>
          <w:highlight w:val="none"/>
        </w:rPr>
      </w:pPr>
    </w:p>
    <w:bookmarkEnd w:id="44"/>
    <w:bookmarkEnd w:id="45"/>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46" w:name="_Toc92355024"/>
      <w:r>
        <w:rPr>
          <w:rFonts w:hint="eastAsia" w:ascii="方正小标宋_GBK" w:hAnsi="宋体" w:eastAsia="方正小标宋_GBK"/>
          <w:color w:val="auto"/>
          <w:highlight w:val="none"/>
        </w:rPr>
        <w:t>第二章  项目需求</w:t>
      </w:r>
      <w:bookmarkEnd w:id="46"/>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7" w:name="_Hlk89960406"/>
      <w:bookmarkStart w:id="48" w:name="_Toc354479498"/>
      <w:bookmarkStart w:id="49" w:name="_Toc358477280"/>
      <w:r>
        <w:rPr>
          <w:rFonts w:hint="eastAsia" w:ascii="宋体" w:hAnsi="宋体"/>
          <w:color w:val="auto"/>
          <w:szCs w:val="21"/>
          <w:highlight w:val="none"/>
        </w:rPr>
        <w:t>采购预算：</w:t>
      </w:r>
      <w:r>
        <w:rPr>
          <w:rFonts w:hint="eastAsia" w:ascii="宋体" w:hAnsi="宋体"/>
          <w:color w:val="auto"/>
          <w:szCs w:val="21"/>
          <w:highlight w:val="none"/>
          <w:lang w:val="en-US" w:eastAsia="zh-CN"/>
        </w:rPr>
        <w:t>壹佰贰拾伍万元整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1,250,000.00</w:t>
      </w:r>
      <w:r>
        <w:rPr>
          <w:rFonts w:hint="eastAsia" w:ascii="Times New Roman" w:hAnsi="Times New Roman" w:eastAsia="仿宋_GB2312" w:cs="Times New Roman"/>
          <w:color w:val="auto"/>
          <w:sz w:val="32"/>
          <w:szCs w:val="32"/>
          <w:highlight w:val="none"/>
          <w:lang w:val="en-US" w:eastAsia="zh-CN"/>
        </w:rPr>
        <w:t>）</w:t>
      </w:r>
    </w:p>
    <w:p>
      <w:pPr>
        <w:spacing w:line="460" w:lineRule="exact"/>
        <w:rPr>
          <w:rFonts w:ascii="宋体" w:hAnsi="宋体"/>
          <w:color w:val="auto"/>
          <w:szCs w:val="21"/>
          <w:highlight w:val="none"/>
        </w:rPr>
      </w:pPr>
      <w:r>
        <w:rPr>
          <w:rFonts w:hint="eastAsia" w:ascii="宋体" w:hAnsi="宋体"/>
          <w:color w:val="auto"/>
          <w:szCs w:val="21"/>
          <w:highlight w:val="none"/>
        </w:rPr>
        <w:t>二、本项目对应的中小企业划分标准所属行业为：</w:t>
      </w:r>
      <w:r>
        <w:rPr>
          <w:rFonts w:hint="eastAsia" w:ascii="宋体" w:hAnsi="宋体"/>
          <w:color w:val="auto"/>
          <w:szCs w:val="21"/>
          <w:highlight w:val="none"/>
          <w:u w:val="single"/>
        </w:rPr>
        <w:t>软件和信息技术服务业</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ind w:left="420" w:hanging="420" w:hangingChars="200"/>
        <w:rPr>
          <w:rFonts w:hint="eastAsia" w:ascii="宋体" w:hAnsi="宋体"/>
          <w:color w:val="auto"/>
          <w:szCs w:val="21"/>
          <w:highlight w:val="none"/>
        </w:rPr>
      </w:pPr>
      <w:r>
        <w:rPr>
          <w:rFonts w:hint="eastAsia" w:ascii="宋体" w:hAnsi="宋体"/>
          <w:color w:val="auto"/>
          <w:szCs w:val="21"/>
          <w:highlight w:val="none"/>
        </w:rPr>
        <w:t>四、</w:t>
      </w:r>
      <w:bookmarkEnd w:id="47"/>
      <w:r>
        <w:rPr>
          <w:rFonts w:hint="eastAsia" w:ascii="宋体" w:hAnsi="宋体"/>
          <w:color w:val="auto"/>
          <w:szCs w:val="21"/>
          <w:highlight w:val="none"/>
        </w:rPr>
        <w:t>采购需求中如标注“★”号或“必须”的条款为实质性条款，竞标人必须满足或优于，否则竞标无效。</w:t>
      </w:r>
    </w:p>
    <w:p>
      <w:pPr>
        <w:widowControl/>
        <w:spacing w:line="460" w:lineRule="exact"/>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 xml:space="preserve">    </w:t>
      </w:r>
      <w:r>
        <w:rPr>
          <w:rFonts w:hint="eastAsia" w:ascii="宋体" w:hAnsi="宋体"/>
          <w:b w:val="0"/>
          <w:bCs/>
          <w:color w:val="auto"/>
          <w:szCs w:val="21"/>
          <w:highlight w:val="none"/>
          <w:lang w:val="en-US" w:eastAsia="zh-CN"/>
        </w:rPr>
        <w:t>标注▲号的系与项目实际紧密相关的条款，作为评审依据。</w:t>
      </w:r>
    </w:p>
    <w:p>
      <w:pPr>
        <w:ind w:firstLine="482"/>
        <w:rPr>
          <w:rFonts w:hint="eastAsia" w:eastAsia="宋体"/>
          <w:b/>
          <w:color w:val="auto"/>
          <w:sz w:val="24"/>
          <w:highlight w:val="none"/>
          <w:lang w:eastAsia="zh-CN"/>
        </w:rPr>
      </w:pPr>
      <w:r>
        <w:rPr>
          <w:color w:val="auto"/>
          <w:highlight w:val="none"/>
        </w:rPr>
        <w:br w:type="page"/>
      </w:r>
    </w:p>
    <w:p>
      <w:pPr>
        <w:spacing w:line="360" w:lineRule="exact"/>
        <w:ind w:firstLine="420"/>
        <w:rPr>
          <w:rFonts w:hint="default"/>
          <w:color w:val="auto"/>
          <w:highlight w:val="none"/>
          <w:lang w:val="en-US" w:eastAsia="zh-CN"/>
        </w:rPr>
      </w:pPr>
    </w:p>
    <w:tbl>
      <w:tblPr>
        <w:tblStyle w:val="37"/>
        <w:tblW w:w="10138" w:type="dxa"/>
        <w:jc w:val="center"/>
        <w:tblLayout w:type="fixed"/>
        <w:tblCellMar>
          <w:top w:w="0" w:type="dxa"/>
          <w:left w:w="108" w:type="dxa"/>
          <w:bottom w:w="0" w:type="dxa"/>
          <w:right w:w="108" w:type="dxa"/>
        </w:tblCellMar>
      </w:tblPr>
      <w:tblGrid>
        <w:gridCol w:w="431"/>
        <w:gridCol w:w="19"/>
        <w:gridCol w:w="1245"/>
        <w:gridCol w:w="46"/>
        <w:gridCol w:w="494"/>
        <w:gridCol w:w="585"/>
        <w:gridCol w:w="6180"/>
        <w:gridCol w:w="1138"/>
      </w:tblGrid>
      <w:tr>
        <w:tblPrEx>
          <w:tblCellMar>
            <w:top w:w="0" w:type="dxa"/>
            <w:left w:w="108" w:type="dxa"/>
            <w:bottom w:w="0" w:type="dxa"/>
            <w:right w:w="108" w:type="dxa"/>
          </w:tblCellMar>
        </w:tblPrEx>
        <w:trPr>
          <w:trHeight w:val="285"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服务名称</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服务技术参数及功能要求</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tblPrEx>
          <w:tblCellMar>
            <w:top w:w="0" w:type="dxa"/>
            <w:left w:w="108" w:type="dxa"/>
            <w:bottom w:w="0" w:type="dxa"/>
            <w:right w:w="108" w:type="dxa"/>
          </w:tblCellMar>
        </w:tblPrEx>
        <w:trPr>
          <w:trHeight w:val="1572"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分布式数据库节点（最新高性能国产版本）</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个</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numPr>
                <w:ilvl w:val="0"/>
                <w:numId w:val="3"/>
              </w:numPr>
              <w:spacing w:line="360" w:lineRule="auto"/>
              <w:ind w:left="0" w:leftChars="0" w:firstLine="0" w:firstLineChars="0"/>
              <w:rPr>
                <w:rFonts w:hint="eastAsia" w:ascii="宋体" w:hAnsi="宋体" w:cs="宋体"/>
                <w:strike w:val="0"/>
                <w:dstrike w:val="0"/>
                <w:color w:val="000000"/>
                <w:kern w:val="0"/>
                <w:szCs w:val="21"/>
                <w:highlight w:val="none"/>
                <w:lang w:bidi="ar"/>
              </w:rPr>
            </w:pPr>
            <w:r>
              <w:rPr>
                <w:rFonts w:hint="eastAsia" w:ascii="宋体" w:hAnsi="宋体" w:cs="宋体"/>
                <w:color w:val="000000"/>
                <w:kern w:val="0"/>
                <w:szCs w:val="21"/>
                <w:lang w:bidi="ar"/>
              </w:rPr>
              <w:t>支持SQL2003语法，提供原有业务或系统的平滑迁移能力。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2、支持Oracle、DB2、Teradata、HiveQL等多种数据库/数据仓库方言。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3、支持Oracle PL/SQL、IBM DB2 SQL PL、Teradata宏，包括函数、流程控制、Package、游标、异常处理和动态SQL等。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4、支持多种数据输入输出管理，包括以下内容：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 多种数据输入类型，包括结构化/半结构化/非结构化数据、常见字符集、常见数据格式(TEXT/CSV/ORC/Parquet/HBase等)、常见压缩类型等。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多种数据加载方式，包括批量、增量、准实时接入、实时接入等。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多种数据输出类型，包括常见的数据类型、数据格式和输出方式。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5、提供关系数据库日志解析工具，能够实时/准实时地将OGG(Oracle Golden Gate)、CDC(IBM Change Data Capture)等系统产生的数据库变更记录同步到数据仓库中，并进行高效检索与分析。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6、提供数据稽核能力，数据入库时自动将不符合表结构定义的脏数据写入指定的脏数据表，并记录脏数据的对应信息和剔除原因。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具备统一数据存储管理能力，使多种数据存储系统(引擎)的差异透明化，即一种计算引擎可对接多种分布式存储系统(引擎)，包括分布式文件系统、基于内存/固态硬盘/磁盘的列式存储系统、分布式搜索引擎、分布式NoSQL数据库等。</w:t>
            </w:r>
            <w:r>
              <w:rPr>
                <w:rFonts w:hint="eastAsia" w:ascii="宋体" w:hAnsi="宋体" w:cs="宋体"/>
                <w:color w:val="000000"/>
                <w:kern w:val="0"/>
                <w:szCs w:val="21"/>
                <w:lang w:bidi="ar"/>
              </w:rPr>
              <w:br w:type="textWrapping"/>
            </w:r>
            <w:r>
              <w:rPr>
                <w:rFonts w:hint="eastAsia" w:ascii="宋体" w:hAnsi="宋体"/>
                <w:bCs/>
                <w:szCs w:val="21"/>
              </w:rPr>
              <w:t>▲</w:t>
            </w:r>
            <w:r>
              <w:rPr>
                <w:rFonts w:hint="eastAsia" w:ascii="宋体" w:hAnsi="宋体" w:cs="宋体"/>
                <w:color w:val="000000"/>
                <w:kern w:val="0"/>
                <w:szCs w:val="21"/>
                <w:lang w:bidi="ar"/>
              </w:rPr>
              <w:t>8、支持对存储在HDFS上的数据进行加密。</w:t>
            </w:r>
          </w:p>
          <w:p>
            <w:pPr>
              <w:pStyle w:val="36"/>
              <w:numPr>
                <w:ilvl w:val="0"/>
                <w:numId w:val="0"/>
              </w:numPr>
              <w:spacing w:line="360" w:lineRule="auto"/>
              <w:ind w:leftChars="0"/>
              <w:rPr>
                <w:rFonts w:ascii="宋体" w:hAnsi="宋体" w:cs="宋体"/>
                <w:color w:val="000000"/>
                <w:kern w:val="0"/>
                <w:szCs w:val="21"/>
                <w:lang w:bidi="ar"/>
              </w:rPr>
            </w:pPr>
            <w:r>
              <w:rPr>
                <w:rFonts w:hint="eastAsia" w:ascii="宋体" w:hAnsi="宋体" w:cs="宋体"/>
                <w:color w:val="000000"/>
                <w:kern w:val="0"/>
                <w:szCs w:val="21"/>
                <w:lang w:bidi="ar"/>
              </w:rPr>
              <w:t>9、支持数据联邦功能，在分布式数据仓库中通过数据库连接(Database Link)语法，建立与传统关系数据库的连接，提供跨平台的实时关联分析功能。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10、支持分布式事务处理，具备事务的ACID特性，同时支持自治事务。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w:t>
            </w:r>
            <w:r>
              <w:rPr>
                <w:rFonts w:hint="eastAsia" w:ascii="宋体" w:hAnsi="宋体" w:eastAsia="宋体" w:cs="宋体"/>
                <w:color w:val="000000"/>
                <w:kern w:val="0"/>
                <w:sz w:val="21"/>
                <w:szCs w:val="21"/>
                <w:lang w:bidi="ar"/>
              </w:rPr>
              <w:t>支持通过Kettle等图形化ETL工具以及Sqoop命令行工具将数据从关系数据库导入到HDFS，以及将数据导出到关系数据库；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12、支持事务表中大量小文件的自动合并，以及小文件的高效计算，并对合并过程进行全程监控。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13、支持多种优化策略，包括以下内容：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 基于代价的执行计划优化(CBO, Cost-Based Optimizer)；</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基于规则的执行计划优化(RBO, Rule-Based Optimizer)；</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基于物化视图的执行计划优化(MBO, Materialize-Based Optimizer)；</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SQL过程间优化(ISO, Inter-Sql-Optimization)。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14、支持用户SLA控制的调度，支持多层次的任务调度和资源借用，从而实现对分布式数据仓库资源的全局调度和优化。</w:t>
            </w:r>
          </w:p>
          <w:p>
            <w:pPr>
              <w:pStyle w:val="36"/>
              <w:spacing w:line="360" w:lineRule="auto"/>
              <w:ind w:left="0" w:leftChars="0" w:firstLine="0" w:firstLineChars="0"/>
              <w:rPr>
                <w:rFonts w:hint="eastAsia" w:ascii="宋体" w:hAnsi="宋体" w:eastAsia="宋体" w:cs="宋体"/>
                <w:color w:val="auto"/>
                <w:kern w:val="0"/>
                <w:sz w:val="21"/>
                <w:szCs w:val="21"/>
                <w:highlight w:val="none"/>
                <w:lang w:bidi="ar"/>
              </w:rPr>
            </w:pPr>
            <w:r>
              <w:rPr>
                <w:rFonts w:hint="eastAsia" w:ascii="宋体" w:hAnsi="宋体"/>
                <w:szCs w:val="21"/>
              </w:rPr>
              <w:t>★15、</w:t>
            </w:r>
            <w:r>
              <w:rPr>
                <w:rFonts w:hint="eastAsia" w:ascii="宋体" w:hAnsi="宋体"/>
                <w:szCs w:val="21"/>
                <w:lang w:val="en-US" w:eastAsia="zh-CN"/>
              </w:rPr>
              <w:t>须</w:t>
            </w:r>
            <w:r>
              <w:rPr>
                <w:rFonts w:hint="eastAsia" w:ascii="宋体" w:hAnsi="宋体"/>
                <w:szCs w:val="21"/>
              </w:rPr>
              <w:t>与现钦州交管部门使用的公安交通集成指挥平台大数据结构节点互通（Transwarp Data Hub V4.3.10），集群协同工作。</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rPr>
            </w:pPr>
          </w:p>
          <w:p>
            <w:pPr>
              <w:pStyle w:val="2"/>
              <w:rPr>
                <w:rFonts w:hint="eastAsia"/>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240" w:lineRule="auto"/>
              <w:ind w:left="0" w:lef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highlight w:val="none"/>
              </w:rPr>
              <w:t>分布式数据库节点服务器</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台</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pPr>
            <w:r>
              <w:rPr>
                <w:rFonts w:hint="eastAsia"/>
              </w:rPr>
              <w:t>1、机架式服务器，整机≤2U；</w:t>
            </w:r>
          </w:p>
          <w:p>
            <w:pPr>
              <w:pStyle w:val="36"/>
              <w:spacing w:line="360" w:lineRule="auto"/>
              <w:ind w:left="0" w:leftChars="0" w:firstLine="0" w:firstLineChars="0"/>
            </w:pPr>
            <w:r>
              <w:rPr>
                <w:rFonts w:hint="eastAsia"/>
              </w:rPr>
              <w:t>2、配置≥2个ARM架构国产CPU，单个CPU核数≥32核，主频≥2.6GHz；</w:t>
            </w:r>
          </w:p>
          <w:p>
            <w:pPr>
              <w:pStyle w:val="36"/>
              <w:spacing w:line="360" w:lineRule="auto"/>
              <w:ind w:left="0" w:leftChars="0" w:firstLine="0" w:firstLineChars="0"/>
            </w:pPr>
            <w:r>
              <w:rPr>
                <w:rFonts w:hint="eastAsia"/>
              </w:rPr>
              <w:t>3、配置≥256G 2DDR4内存;</w:t>
            </w:r>
          </w:p>
          <w:p>
            <w:pPr>
              <w:pStyle w:val="36"/>
              <w:spacing w:line="360" w:lineRule="auto"/>
              <w:ind w:left="0" w:leftChars="0" w:firstLine="0" w:firstLineChars="0"/>
            </w:pPr>
            <w:r>
              <w:rPr>
                <w:rFonts w:hint="eastAsia"/>
              </w:rPr>
              <w:t>4、配置≥2*480G SSD硬盘、≥6块*8TB SATA硬盘，支持≥14个热插拔3.5英寸SAS/SATA HDD硬盘或27个热插拔2.5英寸SAS/SATA HDD硬盘；</w:t>
            </w:r>
          </w:p>
          <w:p>
            <w:pPr>
              <w:pStyle w:val="36"/>
              <w:spacing w:line="360" w:lineRule="auto"/>
              <w:ind w:left="0" w:leftChars="0" w:firstLine="0" w:firstLineChars="0"/>
            </w:pPr>
            <w:r>
              <w:rPr>
                <w:rFonts w:hint="eastAsia"/>
              </w:rPr>
              <w:t>5、配置≥2GB缓存RAID卡，支持RAID0,1,5,6,10,50,60；</w:t>
            </w:r>
          </w:p>
          <w:p>
            <w:pPr>
              <w:pStyle w:val="36"/>
              <w:spacing w:line="360" w:lineRule="auto"/>
              <w:ind w:left="0" w:leftChars="0" w:firstLine="0" w:firstLineChars="0"/>
            </w:pPr>
            <w:r>
              <w:rPr>
                <w:rFonts w:hint="eastAsia"/>
              </w:rPr>
              <w:t>6、配置网卡：≥2*GE，≥2*10GE光口</w:t>
            </w:r>
          </w:p>
          <w:p>
            <w:pPr>
              <w:pStyle w:val="36"/>
              <w:spacing w:line="360" w:lineRule="auto"/>
              <w:ind w:left="0" w:leftChars="0" w:firstLine="0" w:firstLineChars="0"/>
            </w:pPr>
            <w:r>
              <w:rPr>
                <w:rFonts w:hint="eastAsia"/>
              </w:rPr>
              <w:t>7、配置1+1 冗余电源；</w:t>
            </w:r>
          </w:p>
          <w:p>
            <w:pPr>
              <w:pStyle w:val="36"/>
              <w:spacing w:line="360" w:lineRule="auto"/>
              <w:ind w:left="0" w:leftChars="0" w:firstLine="0" w:firstLineChars="0"/>
            </w:pPr>
            <w:r>
              <w:rPr>
                <w:rFonts w:hint="eastAsia"/>
              </w:rPr>
              <w:t>8、BMC管理芯片为国产芯片；</w:t>
            </w:r>
          </w:p>
          <w:p>
            <w:pPr>
              <w:pStyle w:val="36"/>
              <w:spacing w:line="360" w:lineRule="auto"/>
              <w:ind w:left="0"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rPr>
              <w:t>9、提供三年硬盘不返还服务，提供三年维保服务。</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240" w:lineRule="auto"/>
              <w:ind w:left="0" w:lef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highlight w:val="none"/>
              </w:rPr>
              <w:t>大数据平台管理服务器</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台</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1、机架式服务器，整机≤2U；</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2、配置≥2个ARM架构国产CPU，单个CPU核数≥32核，主频≥2.6GHz；</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3、配置≥256G 2DDR4内存;</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4、配置≥2*480G SSD硬盘、≥6块*8TB SATA硬盘，支持≥14个热插拔3.5英寸SAS/SATA HDD硬盘或27个热插拔2.5英寸SAS/SATA HDD硬盘；</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5、配置≥2GB缓存RAID卡，支持RAID0,1,5,6,10,50,60；</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6、配置网卡：≥2*GE，≥2*10GE光口</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7、配置1+1 冗余电源；</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8、BMC管理芯片为国产芯片；</w:t>
            </w:r>
          </w:p>
          <w:p>
            <w:pPr>
              <w:pStyle w:val="36"/>
              <w:spacing w:line="360" w:lineRule="auto"/>
              <w:ind w:left="0" w:leftChars="0" w:firstLine="0" w:firstLineChars="0"/>
              <w:rPr>
                <w:rFonts w:ascii="宋体" w:hAnsi="宋体" w:cs="宋体"/>
                <w:szCs w:val="21"/>
                <w:highlight w:val="none"/>
              </w:rPr>
            </w:pPr>
            <w:r>
              <w:rPr>
                <w:rFonts w:hint="eastAsia" w:ascii="宋体" w:hAnsi="宋体" w:cs="宋体"/>
                <w:szCs w:val="21"/>
                <w:highlight w:val="none"/>
              </w:rPr>
              <w:t>9、提供三年硬盘不返还服务，提供三年维保服务；</w:t>
            </w:r>
          </w:p>
          <w:p>
            <w:pPr>
              <w:pStyle w:val="36"/>
              <w:spacing w:line="360" w:lineRule="auto"/>
              <w:ind w:left="0"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szCs w:val="21"/>
                <w:highlight w:val="none"/>
              </w:rPr>
              <w:t>★</w:t>
            </w:r>
            <w:r>
              <w:rPr>
                <w:rFonts w:hint="eastAsia" w:ascii="宋体" w:hAnsi="宋体" w:cs="宋体"/>
                <w:szCs w:val="21"/>
                <w:highlight w:val="none"/>
              </w:rPr>
              <w:t>10、部署管理</w:t>
            </w:r>
            <w:r>
              <w:rPr>
                <w:rFonts w:hint="eastAsia" w:ascii="宋体" w:hAnsi="宋体" w:cs="宋体"/>
                <w:szCs w:val="21"/>
                <w:highlight w:val="none"/>
                <w:lang w:val="en-US" w:eastAsia="zh-CN"/>
              </w:rPr>
              <w:t>节点</w:t>
            </w:r>
            <w:r>
              <w:rPr>
                <w:rFonts w:hint="eastAsia" w:ascii="宋体" w:hAnsi="宋体" w:cs="宋体"/>
                <w:szCs w:val="21"/>
                <w:highlight w:val="none"/>
              </w:rPr>
              <w:t>软件，</w:t>
            </w:r>
            <w:r>
              <w:rPr>
                <w:rFonts w:hint="eastAsia" w:ascii="宋体" w:hAnsi="宋体" w:cs="宋体"/>
                <w:szCs w:val="21"/>
                <w:highlight w:val="none"/>
                <w:lang w:val="en-US" w:eastAsia="zh-CN"/>
              </w:rPr>
              <w:t>须</w:t>
            </w:r>
            <w:r>
              <w:rPr>
                <w:rFonts w:hint="eastAsia" w:ascii="宋体" w:hAnsi="宋体" w:cs="宋体"/>
                <w:color w:val="000000"/>
                <w:kern w:val="0"/>
                <w:szCs w:val="21"/>
                <w:highlight w:val="none"/>
                <w:lang w:bidi="ar"/>
              </w:rPr>
              <w:t>与现钦州交管部门使用的公安交通集成指挥平台大数据结构节点互通（Transwarp Data Hub V4.3.10）。</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24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车辆特征识别与预警节点（软件授权）</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numPr>
                <w:ilvl w:val="0"/>
                <w:numId w:val="4"/>
              </w:numPr>
              <w:spacing w:line="360" w:lineRule="auto"/>
              <w:ind w:left="0" w:leftChars="0" w:firstLine="0" w:firstLineChars="0"/>
              <w:rPr>
                <w:rFonts w:ascii="宋体" w:hAnsi="宋体" w:cs="宋体"/>
                <w:color w:val="000000"/>
                <w:kern w:val="0"/>
                <w:szCs w:val="21"/>
                <w:lang w:bidi="ar"/>
              </w:rPr>
            </w:pPr>
            <w:r>
              <w:rPr>
                <w:rFonts w:hint="eastAsia" w:ascii="宋体" w:hAnsi="宋体" w:cs="宋体"/>
                <w:color w:val="000000"/>
                <w:kern w:val="0"/>
                <w:szCs w:val="21"/>
                <w:lang w:bidi="ar"/>
              </w:rPr>
              <w:t>系统功能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卡口嫌疑车辆特征识别与预警系统貝备嫌疑车辆实时预警、嫌疑车辆签收确认、违法嫌疑车辆取证、车辆特征轨迹査询、图像识别器注册、图像识别任务配置、应用情况统计等功能。具体功能要求如下：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1、嫌疑车辆实时预警。系统实现对假牌、套牌、逾期未年检车辆、逾期未报废车辆的实时预警，并推送至公安交通集成指挥平台预警客户端；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2、嫌疑车辆签收确认。对选定卡口的嫌疑假牌、嫌疑套牌、逾期未报废、逾期未检验车辆的预警信息进行确认是否识别正确。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3、违法嫌疑车辆取证。对假牌、套牌等交通违法行为进行取证，并将取证信息提交黑名单布控，或上传公安交通管理综合应用平台处理。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4、车辆特征轨迹查询。可选择卡口、车辆类型、车身颜色、过车时间、车标品牌等信息进行车辆特征轨迹查询。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5、图像识别器注册。注册、查询图像识别服务的管理部门、网络位置、状态、服务地址、识别卡口等信息。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6、图像识别任务配置。配置、查询图像识别服务配置的IP地址、节点名称、卡口等信息。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应用情况统计。对嫌疑车查询确认结果进行统计分析，分析结果中包括各部门对假牌、套牌、逾期未年检、逾期未报废等类型的预警数量、签收数量、确认有效数量、非现场查处数量、采集布控信息数量、实时拦截数量、拦截嫌疑车辆数等情况，能够实现对各部门的应用情况考核。</w:t>
            </w:r>
          </w:p>
          <w:p>
            <w:pPr>
              <w:pStyle w:val="36"/>
              <w:spacing w:line="360" w:lineRule="auto"/>
              <w:ind w:left="0" w:leftChars="0" w:firstLine="0" w:firstLineChars="0"/>
              <w:rPr>
                <w:rFonts w:hint="eastAsia" w:ascii="宋体" w:hAnsi="宋体" w:eastAsia="宋体" w:cs="宋体"/>
                <w:sz w:val="21"/>
                <w:szCs w:val="21"/>
                <w:highlight w:val="none"/>
              </w:rPr>
            </w:pPr>
            <w:r>
              <w:rPr>
                <w:rFonts w:hint="eastAsia" w:ascii="宋体" w:hAnsi="宋体"/>
                <w:bCs/>
                <w:szCs w:val="21"/>
              </w:rPr>
              <w:t>★</w:t>
            </w:r>
            <w:r>
              <w:rPr>
                <w:rFonts w:hint="eastAsia" w:ascii="宋体" w:hAnsi="宋体" w:cs="宋体"/>
                <w:color w:val="000000"/>
                <w:kern w:val="0"/>
                <w:szCs w:val="21"/>
                <w:lang w:bidi="ar"/>
              </w:rPr>
              <w:t>8、</w:t>
            </w:r>
            <w:r>
              <w:rPr>
                <w:rFonts w:hint="eastAsia" w:ascii="宋体" w:hAnsi="宋体" w:cs="宋体"/>
                <w:color w:val="000000"/>
                <w:kern w:val="0"/>
                <w:szCs w:val="21"/>
                <w:lang w:val="en-US" w:eastAsia="zh-CN" w:bidi="ar"/>
              </w:rPr>
              <w:t>须</w:t>
            </w:r>
            <w:r>
              <w:rPr>
                <w:rFonts w:hint="eastAsia" w:ascii="宋体" w:hAnsi="宋体" w:cs="宋体"/>
                <w:color w:val="000000"/>
                <w:kern w:val="0"/>
                <w:szCs w:val="21"/>
                <w:lang w:bidi="ar"/>
              </w:rPr>
              <w:t>接入现钦州交管部门使用的公安交通集成指挥平台，对接联系电话0777-2883009。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二、系统性能要求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1、图像特征识别速度要求。软件可并发同时识别多张图片，每秒5张以上。</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2、车辆品牌型号识别要求。软件可识别超过1500种以上车辆品牌型号。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3、识别算法要求。系统软件集成两种不同算法的识别软件，实现算法之间交叉论证。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4、环境要求达到处理器32 核，2.9GHZ、DDR4 256、3X900GB/SAS/15000RPM/2.5寸/企业级 等应用服务模块</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cs="宋体"/>
                <w:i w:val="0"/>
                <w:color w:val="000000"/>
                <w:kern w:val="0"/>
                <w:sz w:val="21"/>
                <w:szCs w:val="21"/>
                <w:u w:val="none"/>
                <w:lang w:val="en-US" w:eastAsia="zh-CN" w:bidi="ar"/>
              </w:rPr>
              <w:t xml:space="preserve"> </w:t>
            </w: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36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车辆特征识别与预警节点服务器</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rFonts w:hint="eastAsia" w:ascii="宋体" w:hAnsi="宋体" w:eastAsia="宋体" w:cs="宋体"/>
                <w:sz w:val="21"/>
                <w:szCs w:val="21"/>
                <w:highlight w:val="none"/>
              </w:rPr>
            </w:pPr>
            <w:r>
              <w:rPr>
                <w:rFonts w:hint="eastAsia" w:ascii="宋体" w:hAnsi="宋体" w:cs="宋体"/>
                <w:color w:val="000000"/>
                <w:kern w:val="0"/>
                <w:szCs w:val="21"/>
                <w:lang w:bidi="ar"/>
              </w:rPr>
              <w:t>1、CPU：≥2颗国产C86架构CPU，单颗物理核数≥16核，主频≥ 2.5GHz；（须通过中国信息安全测评中心的安全可靠测评）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2、内存：≥256GB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3、硬盘：≥4TB/SATA/7200RPM/3.5寸/企业级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4、网卡：≥双口万兆光纤网卡（带模块）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5、电源：≥  1+1冗余电源</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36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视频图像融合接入网关</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rFonts w:hint="eastAsia"/>
              </w:rPr>
            </w:pPr>
            <w:r>
              <w:rPr>
                <w:rFonts w:hint="eastAsia"/>
              </w:rPr>
              <w:t>▲1、视频联网：可以⽀持GB/T28181-2016/2022并兼容GB/T28181-2011国标的视频接⼊、联⽹和转发，⽀持⾏业内所有监控</w:t>
            </w:r>
            <w:r>
              <w:rPr>
                <w:rFonts w:hint="eastAsia"/>
                <w:lang w:val="en-US" w:eastAsia="zh-CN"/>
              </w:rPr>
              <w:t>厂商</w:t>
            </w:r>
            <w:r>
              <w:rPr>
                <w:rFonts w:hint="eastAsia"/>
              </w:rPr>
              <w:t>视频平台国标接⼊；</w:t>
            </w:r>
          </w:p>
          <w:p>
            <w:pPr>
              <w:pStyle w:val="36"/>
              <w:spacing w:line="360" w:lineRule="auto"/>
              <w:ind w:left="0" w:leftChars="0" w:firstLine="0" w:firstLineChars="0"/>
              <w:rPr>
                <w:rFonts w:hint="eastAsia"/>
              </w:rPr>
            </w:pPr>
            <w:r>
              <w:rPr>
                <w:rFonts w:hint="eastAsia"/>
              </w:rPr>
              <w:t>2、集指平台：无缝接入公安交通集成指挥平台，并提供视频显示、控制、目录查询、录像查询和下载等服务功能；</w:t>
            </w:r>
          </w:p>
          <w:p>
            <w:pPr>
              <w:pStyle w:val="36"/>
              <w:spacing w:line="360" w:lineRule="auto"/>
              <w:ind w:left="0" w:leftChars="0" w:firstLine="0" w:firstLineChars="0"/>
              <w:rPr>
                <w:rFonts w:hint="eastAsia"/>
              </w:rPr>
            </w:pPr>
            <w:r>
              <w:rPr>
                <w:rFonts w:hint="eastAsia"/>
              </w:rPr>
              <w:t>3、视综应用平台：支持公安科信“视频图像信息综合应用平台”与“公安交通集成指挥平台”之间视频级联和资源共享，支持对不同应用平台场景化策略管理和权限控制；</w:t>
            </w:r>
          </w:p>
          <w:p>
            <w:pPr>
              <w:pStyle w:val="36"/>
              <w:spacing w:line="360" w:lineRule="auto"/>
              <w:ind w:left="0" w:leftChars="0" w:firstLine="0" w:firstLineChars="0"/>
              <w:rPr>
                <w:rFonts w:hint="eastAsia"/>
              </w:rPr>
            </w:pPr>
            <w:r>
              <w:rPr>
                <w:rFonts w:hint="eastAsia"/>
              </w:rPr>
              <w:t>4、可视化管理：支持网关接入及分发可视化动态配置；支持实时视频浏览，资源选择性共享与接入资源数统计，联网设备在线统计分析；支持设备状态、平台状态、并发量、网络流量、集群性能等进行记录和监控；</w:t>
            </w:r>
          </w:p>
          <w:p>
            <w:pPr>
              <w:pStyle w:val="36"/>
              <w:spacing w:line="360" w:lineRule="auto"/>
              <w:ind w:left="0" w:leftChars="0" w:firstLine="0" w:firstLineChars="0"/>
              <w:rPr>
                <w:rFonts w:hint="eastAsia"/>
              </w:rPr>
            </w:pPr>
            <w:r>
              <w:rPr>
                <w:rFonts w:hint="eastAsia"/>
              </w:rPr>
              <w:t>▲5、视频解码：支持交管行业主流编码，可以支持H.264、H.265、SVAC编码协议的视频解码播放；支持浏览器 H5 免插件多画面播放，提供不低于 16 路视频同时在线实时播放，为各类B/S应用提供视频组织能力。</w:t>
            </w:r>
          </w:p>
          <w:p>
            <w:pPr>
              <w:pStyle w:val="36"/>
              <w:spacing w:line="360" w:lineRule="auto"/>
              <w:ind w:left="0" w:leftChars="0" w:firstLine="0" w:firstLineChars="0"/>
              <w:rPr>
                <w:rFonts w:hint="eastAsia"/>
              </w:rPr>
            </w:pPr>
            <w:r>
              <w:rPr>
                <w:rFonts w:hint="eastAsia"/>
              </w:rPr>
              <w:t>▲6、下级配置：界面化动态配置网关接入及分发，支持多通道接入配置类型，提供跨边界和无边界接入方式以及稽查布控上传协议方式，具备集群负载均衡，能实现多台堆叠扩容，提供UDP、TCP、KCP等多种级联协议模式，支持公安网和专网级联配置；分布式子系统微服务运行状态可视化展示；</w:t>
            </w:r>
          </w:p>
          <w:p>
            <w:pPr>
              <w:pStyle w:val="36"/>
              <w:spacing w:line="360" w:lineRule="auto"/>
              <w:ind w:left="0" w:leftChars="0" w:firstLine="0" w:firstLineChars="0"/>
              <w:rPr>
                <w:rFonts w:hint="eastAsia"/>
              </w:rPr>
            </w:pPr>
            <w:r>
              <w:rPr>
                <w:rFonts w:hint="eastAsia"/>
              </w:rPr>
              <w:t>7、音频服务：支持AAC、711等多种音频编码的解码服务，可支持浏览器无插件音视频同步播放；</w:t>
            </w:r>
          </w:p>
          <w:p>
            <w:pPr>
              <w:pStyle w:val="36"/>
              <w:spacing w:line="360" w:lineRule="auto"/>
              <w:ind w:left="0" w:leftChars="0" w:firstLine="0" w:firstLineChars="0"/>
              <w:rPr>
                <w:rFonts w:hint="eastAsia"/>
              </w:rPr>
            </w:pPr>
            <w:r>
              <w:rPr>
                <w:rFonts w:hint="eastAsia"/>
              </w:rPr>
              <w:t>8、运行环境：支持在国产化的操作系统、浏览器环境中实现资源管理及多路视频播放，建立安全可控的实时视频联网服务</w:t>
            </w:r>
          </w:p>
          <w:p>
            <w:pPr>
              <w:pStyle w:val="36"/>
              <w:spacing w:line="360" w:lineRule="auto"/>
              <w:ind w:left="0" w:leftChars="0" w:firstLine="0" w:firstLineChars="0"/>
              <w:rPr>
                <w:rFonts w:hint="eastAsia"/>
              </w:rPr>
            </w:pPr>
            <w:r>
              <w:rPr>
                <w:rFonts w:hint="eastAsia"/>
              </w:rPr>
              <w:t>▲9、码率控制：支持CBR/VBR两种码率控制方式，并支持高并发的视频访问能力，并且根据客户端的不同处理能力，自动探测网络状况和动态调整编码策略的机制和功能，瞬时动态调整视频的分辨率。</w:t>
            </w:r>
          </w:p>
          <w:p>
            <w:pPr>
              <w:pStyle w:val="36"/>
              <w:spacing w:line="360" w:lineRule="auto"/>
              <w:ind w:left="0" w:leftChars="0" w:firstLine="0" w:firstLineChars="0"/>
              <w:rPr>
                <w:rFonts w:hint="eastAsia"/>
              </w:rPr>
            </w:pPr>
            <w:r>
              <w:rPr>
                <w:rFonts w:hint="eastAsia"/>
              </w:rPr>
              <w:t>10、并发数量：码流转发量：256路@4Mbps；</w:t>
            </w:r>
          </w:p>
          <w:p>
            <w:pPr>
              <w:pStyle w:val="36"/>
              <w:spacing w:line="360" w:lineRule="auto"/>
              <w:ind w:left="0" w:leftChars="0" w:firstLine="0" w:firstLineChars="0"/>
              <w:rPr>
                <w:rFonts w:hint="eastAsia"/>
              </w:rPr>
            </w:pPr>
            <w:r>
              <w:rPr>
                <w:rFonts w:hint="eastAsia"/>
              </w:rPr>
              <w:t>11、接入数量：监控联网平台：支持同时接入20个；设备量：最大支持管理150000个；</w:t>
            </w:r>
          </w:p>
          <w:p>
            <w:pPr>
              <w:pStyle w:val="36"/>
              <w:spacing w:line="360" w:lineRule="auto"/>
              <w:ind w:left="0" w:leftChars="0" w:firstLine="0" w:firstLineChars="0"/>
              <w:rPr>
                <w:rFonts w:hint="eastAsia"/>
              </w:rPr>
            </w:pPr>
            <w:r>
              <w:rPr>
                <w:rFonts w:hint="eastAsia"/>
              </w:rPr>
              <w:t>12、接入模式：单节点；</w:t>
            </w:r>
          </w:p>
          <w:p>
            <w:pPr>
              <w:pStyle w:val="36"/>
              <w:spacing w:line="360" w:lineRule="auto"/>
              <w:ind w:left="0" w:leftChars="0" w:firstLine="0" w:firstLineChars="0"/>
              <w:rPr>
                <w:rFonts w:hint="eastAsia"/>
              </w:rPr>
            </w:pPr>
            <w:r>
              <w:rPr>
                <w:rFonts w:hint="eastAsia"/>
              </w:rPr>
              <w:t>13、CPU：≥2颗国产ARM架构CPU,单颗物理核数≥24核，主频≥ 2.6GHz;</w:t>
            </w:r>
          </w:p>
          <w:p>
            <w:pPr>
              <w:pStyle w:val="36"/>
              <w:spacing w:line="360" w:lineRule="auto"/>
              <w:ind w:left="0" w:leftChars="0" w:firstLine="0" w:firstLineChars="0"/>
              <w:rPr>
                <w:rFonts w:hint="eastAsia"/>
              </w:rPr>
            </w:pPr>
            <w:r>
              <w:rPr>
                <w:rFonts w:hint="eastAsia"/>
              </w:rPr>
              <w:t>14、内存：≥128GB；</w:t>
            </w:r>
          </w:p>
          <w:p>
            <w:pPr>
              <w:pStyle w:val="36"/>
              <w:spacing w:line="360" w:lineRule="auto"/>
              <w:ind w:left="0" w:leftChars="0" w:firstLine="0" w:firstLineChars="0"/>
              <w:rPr>
                <w:rFonts w:hint="eastAsia"/>
              </w:rPr>
            </w:pPr>
            <w:r>
              <w:rPr>
                <w:rFonts w:hint="eastAsia"/>
              </w:rPr>
              <w:t>15、硬盘：≥960GB SSD；</w:t>
            </w:r>
          </w:p>
          <w:p>
            <w:pPr>
              <w:pStyle w:val="36"/>
              <w:spacing w:line="360" w:lineRule="auto"/>
              <w:ind w:left="0" w:leftChars="0" w:firstLine="0" w:firstLineChars="0"/>
              <w:rPr>
                <w:rFonts w:hint="eastAsia" w:ascii="宋体" w:hAnsi="宋体" w:eastAsia="宋体" w:cs="宋体"/>
                <w:sz w:val="21"/>
                <w:szCs w:val="21"/>
                <w:highlight w:val="none"/>
              </w:rPr>
            </w:pPr>
            <w:r>
              <w:rPr>
                <w:rFonts w:hint="eastAsia"/>
              </w:rPr>
              <w:t>16、网络：≥1个万兆光口+≥2个千兆电口；</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bidi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36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集指平台APP后台服务器</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rFonts w:hint="eastAsia" w:ascii="宋体" w:hAnsi="宋体" w:eastAsia="宋体" w:cs="宋体"/>
                <w:sz w:val="21"/>
                <w:szCs w:val="21"/>
                <w:highlight w:val="none"/>
              </w:rPr>
            </w:pPr>
            <w:r>
              <w:rPr>
                <w:rFonts w:hint="eastAsia" w:ascii="宋体" w:hAnsi="宋体" w:cs="宋体"/>
                <w:color w:val="000000"/>
                <w:kern w:val="0"/>
                <w:szCs w:val="21"/>
                <w:lang w:bidi="ar"/>
              </w:rPr>
              <w:t>配置要求：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1、机箱：2U机架式；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2、CPU：≥2颗国产C86架构CPU（须通过中国信息安全测评中心的安全可靠测评），单颗物理核数≥16核，主频≥ 2.5GHz；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3、内存：≥256GB；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4、SSD：≥2*960GB，Raid1；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5、硬盘：≥4TB/SATA/7200RPM/3.5寸/企业级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6、网卡：≥双口万兆光纤网卡（带模块）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7、电源：≥  1+1冗余电源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集成服务：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1、搭建集成指挥平台APP后台服务的微服务环境，完成微服务架构部署；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2、调通APP端请求到达微服务网关（NGINX）后再到APP微服务链路，并且APP微服务在处理逻辑过程中请求其他业务微服务。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3、完成集成指挥平台APP功能等各项功能验证工作。全面切换基础服务架构，启用新版基础服务功能，切换至集成指挥平台网关地址办理各项业务。</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cs="宋体"/>
                <w:i w:val="0"/>
                <w:color w:val="000000"/>
                <w:kern w:val="0"/>
                <w:sz w:val="21"/>
                <w:szCs w:val="21"/>
                <w:u w:val="none"/>
                <w:lang w:val="en-US" w:eastAsia="zh-CN" w:bidi="ar"/>
              </w:rPr>
              <w:t xml:space="preserve"> </w:t>
            </w: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6"/>
              <w:spacing w:after="0" w:line="360" w:lineRule="auto"/>
              <w:ind w:left="0" w:lef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集指平台网页服务器</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配置要求：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1、机箱：2U机架式；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2、CPU：≥2颗国产C86架构CPU（须通过中国信息安全测评中心的安全可靠测评），单颗物理核数≥16核，主频≥ 2.5GHz；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3、内存：≥128GB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4、SSD：≥2*960GB，Raid1；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5、硬盘：≥ 2TB/SATA/7200RPM/3.5寸/企业级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6、网卡：≥双口万兆光纤网卡（带模块）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7、电源：≥  1+1冗余电源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集成服务：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1、搭建集成指挥平台基础功能的微服务软硬件环境，完成微服务架构部署；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2、获取总局升级包，完成软硬件环境安装、部署、升级，完成新版基础服务系统应用和参数设置。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3、开展各项功能验证工作。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4、全面切换基础服务架构，启用新版基础服务功能，切换至集成指挥平台网关地址办理各项业务。</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智慧交管监控告警服务节点</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80" w:type="dxa"/>
            <w:tcBorders>
              <w:top w:val="single" w:color="000000" w:sz="4" w:space="0"/>
              <w:left w:val="single" w:color="000000" w:sz="4" w:space="0"/>
              <w:bottom w:val="single" w:color="000000" w:sz="4" w:space="0"/>
              <w:right w:val="single" w:color="000000" w:sz="4" w:space="0"/>
            </w:tcBorders>
            <w:noWrap/>
            <w:vAlign w:val="top"/>
          </w:tcPr>
          <w:p>
            <w:pPr>
              <w:widowControl/>
              <w:spacing w:line="360" w:lineRule="auto"/>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1.数据采样：通过snmp、ssh、telnet、agent、ipmi、jmx等通道采集被监控主机的数据。可以自定义检测机制和自定义时间间隔；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2.实时绘图：展示，读取数据绘图，支持graph，map，screen，幻灯片（slide show）；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3.告警：（升级告警，规定时间内内解决不了的事情往上传）；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4.数据存储：数据库有mysql，pgsql，时间序列数据库等；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5.主机的性能监控、网络设备性能监控、数据库性能监控、多种告警方式、详细的报表图表绘制；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6.监控主机有专用的agent，可以监控Linux，Windows，FreeBSD等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7.通过SNMP，ssh(不多用)监控网络设备；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8.可监控设备：服务器，路由器，交换机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软件：OS，网络，应用程序；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9.主机性能指标监控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故障监控： down机，服务不可用，主机不可达,网络不可达。</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tabs>
                <w:tab w:val="left" w:pos="372"/>
              </w:tabs>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利用旧服务器</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4C8G配置win10环境</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安装</w:t>
            </w: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备品备件更换服务</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提供三年备品备件更换服务，范围如下：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1、定期巡检集成指挥平台硬件使用情况，发现故障及时处理。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2、更换部件时做好数据备件，保障数据安全。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3、更换服务包含以下部件：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1）服务器核心组件：CPU、内存、硬盘（HDD/SSD）、电源、风扇、RAID卡等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2）外围设备：服务器导轨、线缆（电源线/数据线）、机柜配件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3）专用模块：HBA卡、网络扩展卡等</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szCs w:val="21"/>
              </w:rPr>
            </w:pPr>
          </w:p>
          <w:p>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color w:val="000000"/>
                <w:kern w:val="0"/>
                <w:szCs w:val="21"/>
                <w:lang w:bidi="ar"/>
              </w:rPr>
              <w:t>现有平台共26台服务器，使用超过8年，本项服务为随时更换部件。</w:t>
            </w: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数据迁移服务</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集成指挥平台数据迁移工作，其中包括集成指挥平台的优化、大数据系统数据迁移、非现场违法数据迁移、Oralce数据迁移、警务通app迁移等。</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集成部署实施服务</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含集成指挥平台重新部署、系统安装、系统对接、调试、辅材、培训等。</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基础迁移服务</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6180" w:type="dxa"/>
            <w:tcBorders>
              <w:top w:val="single" w:color="000000" w:sz="4" w:space="0"/>
              <w:left w:val="single" w:color="000000" w:sz="4" w:space="0"/>
              <w:bottom w:val="single" w:color="000000" w:sz="4" w:space="0"/>
              <w:right w:val="single" w:color="000000" w:sz="4" w:space="0"/>
            </w:tcBorders>
            <w:noWrap/>
            <w:vAlign w:val="top"/>
          </w:tcPr>
          <w:p>
            <w:pPr>
              <w:widowControl/>
              <w:spacing w:line="360" w:lineRule="auto"/>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1、详细记录机房内所有设备的型号、数量、配置和位置，进行设备清点，对设备及其连接线缆进行标记和记录。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2、对所有服务器上的数据进行全量备份，验证备份数据的完整性和可恢复。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3、按照规范流程关闭设备并切断电源拆卸设备。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4、根据设备的体积和重量，选择合适的运输工具。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5、安排专人跟踪运输过程，确保设备安全到达新机房。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6、根据新机房的布局，安装机柜并固定设备，将服务器、网络设备、存储设备等安装到机柜中。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7、根据标记恢复设备之间的连接，包括电源线、网络线、数据线等上架。</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现有平台共26台服务器</w:t>
            </w: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系统调试服务</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61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1、设备开机测试，检查硬件是否正常运行，检查服务器的操作系统、网络配置、存储状态等是否正常。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2、测试设备之间的网络连通性，确保网络拓扑结构正确，测试网络的带宽、延迟、丢包率等性能指标。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3、配置防火墙、入侵检测系统等安全设备，确保网络安全。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4、应用服务服务器、二次识别服务器、关系数据库服务器、分布式数据库服务器、流计算服务器、管理服务器等服务器在部局系统重新备案。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调试设备：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国产信创笔记本电脑：核数≥4，内存≥16G，集成显卡，硬盘≥1TB（SSD），显示器≥14 英寸，国产操作系统。</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84" w:hRule="atLeast"/>
          <w:jc w:val="center"/>
        </w:trPr>
        <w:tc>
          <w:tcPr>
            <w:tcW w:w="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业务恢复服务</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6180" w:type="dxa"/>
            <w:tcBorders>
              <w:top w:val="single" w:color="000000" w:sz="4" w:space="0"/>
              <w:left w:val="single" w:color="000000" w:sz="4" w:space="0"/>
              <w:bottom w:val="single" w:color="000000" w:sz="4" w:space="0"/>
              <w:right w:val="single" w:color="000000" w:sz="4" w:space="0"/>
            </w:tcBorders>
            <w:noWrap/>
            <w:vAlign w:val="top"/>
          </w:tcPr>
          <w:p>
            <w:pPr>
              <w:widowControl/>
              <w:spacing w:line="360" w:lineRule="auto"/>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1、备份数据恢复到新机房的服务器中，验证恢复后的数据完整性和一致性。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2、应用服务、二次识别、分布式数据库、流计算、视频网关、警务通 APP 等对接调试。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3、对业务应用进行功能测试和性能测试，确保业务正常运行。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4、制定业务切换的具体步骤，在确保测试无误后，将业务正式切换到新机房。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5、将原有集成指挥平台系统数据进行汇聚，保证历史数据不能损失，迁移后的系统确保与大数据系统、网关设备、接入服务等实现接入，同时保证上级平台无缝对接。</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512" w:hRule="atLeast"/>
          <w:jc w:val="center"/>
        </w:trPr>
        <w:tc>
          <w:tcPr>
            <w:tcW w:w="10138"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商务条款</w:t>
            </w:r>
          </w:p>
        </w:tc>
      </w:tr>
      <w:tr>
        <w:tblPrEx>
          <w:tblCellMar>
            <w:top w:w="0" w:type="dxa"/>
            <w:left w:w="108" w:type="dxa"/>
            <w:bottom w:w="0" w:type="dxa"/>
            <w:right w:w="108" w:type="dxa"/>
          </w:tblCellMar>
        </w:tblPrEx>
        <w:trPr>
          <w:trHeight w:val="562"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项号</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商务内容</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商务需求</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投标报价要求</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w:t>
            </w:r>
            <w:r>
              <w:rPr>
                <w:rFonts w:hint="eastAsia"/>
                <w:highlight w:val="none"/>
              </w:rPr>
              <w:t>响应报价</w:t>
            </w:r>
            <w:r>
              <w:rPr>
                <w:rFonts w:hint="eastAsia" w:ascii="宋体" w:hAnsi="宋体" w:eastAsia="宋体" w:cs="宋体"/>
                <w:color w:val="auto"/>
                <w:kern w:val="0"/>
                <w:sz w:val="21"/>
                <w:szCs w:val="21"/>
                <w:highlight w:val="none"/>
              </w:rPr>
              <w:t>为采购人提供的所有服务的报价，报价含括：</w:t>
            </w:r>
          </w:p>
          <w:p>
            <w:pPr>
              <w:pStyle w:val="36"/>
              <w:spacing w:after="0" w:line="360" w:lineRule="auto"/>
              <w:ind w:left="0" w:leftChars="0" w:firstLine="0" w:firstLineChars="0"/>
              <w:rPr>
                <w:highlight w:val="none"/>
              </w:rPr>
            </w:pPr>
            <w:r>
              <w:rPr>
                <w:rFonts w:hint="eastAsia"/>
                <w:highlight w:val="none"/>
              </w:rPr>
              <w:t>（1）</w:t>
            </w:r>
            <w:bookmarkStart w:id="50" w:name="OLE_LINK3"/>
            <w:r>
              <w:rPr>
                <w:rFonts w:hint="eastAsia"/>
                <w:highlight w:val="none"/>
              </w:rPr>
              <w:t>响应报价</w:t>
            </w:r>
            <w:bookmarkEnd w:id="50"/>
            <w:r>
              <w:rPr>
                <w:rFonts w:hint="eastAsia"/>
                <w:highlight w:val="none"/>
              </w:rPr>
              <w:t>形式：固定总价报价</w:t>
            </w:r>
          </w:p>
          <w:p>
            <w:pPr>
              <w:pStyle w:val="36"/>
              <w:spacing w:after="0" w:line="360" w:lineRule="auto"/>
              <w:ind w:left="0" w:leftChars="0" w:firstLine="0" w:firstLineChars="0"/>
              <w:rPr>
                <w:rFonts w:hint="eastAsia" w:ascii="宋体" w:hAnsi="宋体" w:eastAsia="宋体" w:cs="宋体"/>
                <w:color w:val="auto"/>
                <w:kern w:val="0"/>
                <w:sz w:val="21"/>
                <w:szCs w:val="21"/>
                <w:highlight w:val="none"/>
                <w:lang w:eastAsia="zh-CN"/>
              </w:rPr>
            </w:pPr>
            <w:r>
              <w:rPr>
                <w:rFonts w:hint="eastAsia"/>
                <w:highlight w:val="none"/>
              </w:rPr>
              <w:t>（2）响应报价有效报价范围：不得超过采购预算价</w:t>
            </w:r>
            <w:r>
              <w:rPr>
                <w:rFonts w:hint="eastAsia"/>
                <w:highlight w:val="none"/>
                <w:lang w:eastAsia="zh-CN"/>
              </w:rPr>
              <w:t>，</w:t>
            </w:r>
            <w:r>
              <w:rPr>
                <w:rFonts w:hint="eastAsia"/>
                <w:highlight w:val="none"/>
              </w:rPr>
              <w:t>否则作无效响应处理。</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cs="宋体"/>
                <w:b/>
                <w:szCs w:val="21"/>
              </w:rPr>
              <w:t xml:space="preserve"> </w:t>
            </w:r>
            <w:r>
              <w:rPr>
                <w:rFonts w:hint="eastAsia" w:ascii="宋体" w:hAnsi="宋体" w:cs="宋体"/>
                <w:kern w:val="0"/>
                <w:szCs w:val="21"/>
              </w:rPr>
              <w:t>交付使用时间及交付地点</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cs="宋体"/>
                <w:kern w:val="0"/>
                <w:szCs w:val="21"/>
              </w:rPr>
            </w:pPr>
            <w:r>
              <w:rPr>
                <w:rFonts w:hint="eastAsia" w:ascii="宋体" w:hAnsi="宋体" w:cs="宋体"/>
                <w:kern w:val="0"/>
                <w:szCs w:val="21"/>
              </w:rPr>
              <w:t>1.自中标通知书发出之日起15日内签订合同。</w:t>
            </w:r>
          </w:p>
          <w:p>
            <w:pPr>
              <w:spacing w:line="360" w:lineRule="auto"/>
              <w:rPr>
                <w:rFonts w:ascii="宋体" w:hAnsi="宋体" w:cs="宋体"/>
                <w:kern w:val="0"/>
                <w:szCs w:val="21"/>
              </w:rPr>
            </w:pPr>
            <w:r>
              <w:rPr>
                <w:rFonts w:hint="eastAsia"/>
              </w:rPr>
              <w:t>★</w:t>
            </w:r>
            <w:r>
              <w:rPr>
                <w:rFonts w:hint="eastAsia" w:ascii="宋体" w:hAnsi="宋体" w:cs="宋体"/>
                <w:kern w:val="0"/>
                <w:szCs w:val="21"/>
              </w:rPr>
              <w:t>2.交付使用时间：</w:t>
            </w:r>
            <w:r>
              <w:rPr>
                <w:rFonts w:hint="eastAsia"/>
              </w:rPr>
              <w:t>合同签订起40天</w:t>
            </w:r>
            <w:r>
              <w:rPr>
                <w:rFonts w:hint="eastAsia"/>
                <w:lang w:val="en-US" w:eastAsia="zh-CN"/>
              </w:rPr>
              <w:t>交付完毕并达到验收合格</w:t>
            </w:r>
            <w:r>
              <w:rPr>
                <w:rFonts w:hint="eastAsia"/>
              </w:rPr>
              <w:t>。</w:t>
            </w:r>
          </w:p>
          <w:p>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kern w:val="0"/>
                <w:szCs w:val="21"/>
              </w:rPr>
              <w:t>3.交付地点：钦州市公安局交通警察支队。</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pacing w:val="-6"/>
                <w:kern w:val="0"/>
                <w:sz w:val="21"/>
                <w:szCs w:val="21"/>
                <w:highlight w:val="none"/>
                <w:lang w:eastAsia="zh-CN"/>
              </w:rPr>
            </w:pPr>
            <w:r>
              <w:rPr>
                <w:rFonts w:hint="eastAsia" w:ascii="宋体" w:hAnsi="宋体" w:cs="宋体"/>
                <w:color w:val="auto"/>
                <w:spacing w:val="-6"/>
                <w:kern w:val="0"/>
                <w:sz w:val="21"/>
                <w:szCs w:val="21"/>
                <w:highlight w:val="none"/>
                <w:lang w:val="en-US" w:eastAsia="zh-CN"/>
              </w:rPr>
              <w:t>3</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cs="宋体"/>
                <w:kern w:val="0"/>
                <w:szCs w:val="21"/>
                <w:highlight w:val="none"/>
              </w:rPr>
              <w:t>付款条件</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ascii="宋体" w:hAnsi="宋体" w:eastAsia="宋体" w:cs="宋体"/>
                <w:color w:val="auto"/>
                <w:kern w:val="0"/>
                <w:sz w:val="21"/>
                <w:szCs w:val="21"/>
                <w:highlight w:val="none"/>
                <w:lang w:val="en-US" w:eastAsia="zh-CN"/>
              </w:rPr>
            </w:pPr>
            <w:r>
              <w:rPr>
                <w:rFonts w:hint="eastAsia" w:ascii="宋体" w:hAnsi="宋体" w:cs="宋体"/>
                <w:color w:val="000000"/>
                <w:kern w:val="0"/>
                <w:highlight w:val="none"/>
              </w:rPr>
              <w:t>签订合同后1个月内支付合同总金额的30%，项目验收合格正常使用后1个月内支付合同总金额的70%。</w:t>
            </w:r>
          </w:p>
        </w:tc>
      </w:tr>
      <w:tr>
        <w:tblPrEx>
          <w:tblCellMar>
            <w:top w:w="0" w:type="dxa"/>
            <w:left w:w="108" w:type="dxa"/>
            <w:bottom w:w="0" w:type="dxa"/>
            <w:right w:w="108" w:type="dxa"/>
          </w:tblCellMar>
        </w:tblPrEx>
        <w:trPr>
          <w:trHeight w:val="782"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 w:val="21"/>
                <w:szCs w:val="21"/>
                <w:highlight w:val="none"/>
              </w:rPr>
            </w:pPr>
            <w:r>
              <w:rPr>
                <w:rFonts w:hint="eastAsia"/>
                <w:highlight w:val="none"/>
              </w:rPr>
              <w:t>★售后服务及响应时间要求</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highlight w:val="none"/>
              </w:rPr>
            </w:pPr>
            <w:r>
              <w:rPr>
                <w:rFonts w:hint="eastAsia"/>
                <w:highlight w:val="none"/>
              </w:rPr>
              <w:t>1.质量保证期：满足国家、行业有关要求（自提交服务成果并验收合格之日起计）。</w:t>
            </w:r>
          </w:p>
          <w:p>
            <w:pPr>
              <w:pStyle w:val="36"/>
              <w:spacing w:line="360" w:lineRule="auto"/>
              <w:ind w:left="0" w:leftChars="0" w:firstLine="0" w:firstLineChars="0"/>
              <w:rPr>
                <w:rFonts w:hint="default"/>
                <w:color w:val="auto"/>
                <w:highlight w:val="none"/>
                <w:lang w:val="en-US" w:eastAsia="zh-CN"/>
              </w:rPr>
            </w:pPr>
            <w:r>
              <w:rPr>
                <w:rFonts w:hint="eastAsia"/>
                <w:highlight w:val="none"/>
              </w:rPr>
              <w:t>2.处理问题响应时间：电话响应时间要求为7×8小时，中标供应商在接到采购人处理问题通知后8小时内响应，3小时内到达现场。</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rFonts w:hint="eastAsia" w:ascii="宋体" w:hAnsi="宋体" w:eastAsia="宋体" w:cs="宋体"/>
                <w:color w:val="auto"/>
                <w:kern w:val="0"/>
                <w:sz w:val="21"/>
                <w:szCs w:val="21"/>
                <w:highlight w:val="none"/>
              </w:rPr>
            </w:pPr>
            <w:r>
              <w:rPr>
                <w:rFonts w:hint="eastAsia"/>
                <w:highlight w:val="none"/>
              </w:rPr>
              <w:t>★验收标准</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highlight w:val="none"/>
              </w:rPr>
            </w:pPr>
            <w:r>
              <w:rPr>
                <w:rFonts w:hint="eastAsia"/>
                <w:highlight w:val="none"/>
              </w:rPr>
              <w:t>1.货物验收由供应商或制造商到现场安装调试，并按照合同和供应商的响应承诺及产品技术标准进行验收。</w:t>
            </w:r>
          </w:p>
          <w:p>
            <w:pPr>
              <w:pStyle w:val="36"/>
              <w:spacing w:line="360" w:lineRule="auto"/>
              <w:ind w:left="0" w:leftChars="0" w:firstLine="0" w:firstLineChars="0"/>
              <w:rPr>
                <w:highlight w:val="none"/>
              </w:rPr>
            </w:pPr>
            <w:r>
              <w:rPr>
                <w:rFonts w:hint="eastAsia"/>
                <w:highlight w:val="none"/>
              </w:rPr>
              <w:t>2.由于成交供应商原因，未能按本采购要求规定的内容、时间及相关要求向采购人交付验收使用的，采购人有权按成交供应商提供虚假材料骗取成交处理, 并报相关部门查处，则按有关的法律、法规追究其相应的法律责任，并赔偿采购人由此产生的经济损失。</w:t>
            </w:r>
          </w:p>
          <w:p>
            <w:pPr>
              <w:pStyle w:val="36"/>
              <w:spacing w:line="360" w:lineRule="auto"/>
              <w:ind w:left="0" w:leftChars="0" w:firstLine="0" w:firstLineChars="0"/>
              <w:rPr>
                <w:rFonts w:hint="eastAsia" w:eastAsia="宋体"/>
                <w:highlight w:val="none"/>
                <w:lang w:eastAsia="zh-CN"/>
              </w:rPr>
            </w:pPr>
            <w:r>
              <w:rPr>
                <w:rFonts w:hint="eastAsia"/>
                <w:highlight w:val="none"/>
              </w:rPr>
              <w:t>3.自</w:t>
            </w:r>
            <w:bookmarkStart w:id="51" w:name="OLE_LINK2"/>
            <w:r>
              <w:rPr>
                <w:rFonts w:hint="eastAsia"/>
                <w:highlight w:val="none"/>
              </w:rPr>
              <w:t>签订合同之日起</w:t>
            </w:r>
            <w:r>
              <w:rPr>
                <w:rFonts w:hint="eastAsia"/>
                <w:highlight w:val="none"/>
                <w:lang w:val="en-US" w:eastAsia="zh-CN"/>
              </w:rPr>
              <w:t>40天</w:t>
            </w:r>
            <w:bookmarkEnd w:id="51"/>
            <w:r>
              <w:rPr>
                <w:rFonts w:hint="eastAsia"/>
                <w:highlight w:val="none"/>
                <w:lang w:val="en-US" w:eastAsia="zh-CN"/>
              </w:rPr>
              <w:t>交付完毕并达到验收合格，</w:t>
            </w:r>
            <w:r>
              <w:rPr>
                <w:rFonts w:hint="eastAsia"/>
                <w:highlight w:val="none"/>
              </w:rPr>
              <w:t>如在期限满</w:t>
            </w:r>
            <w:r>
              <w:rPr>
                <w:rFonts w:hint="eastAsia"/>
                <w:highlight w:val="none"/>
                <w:lang w:eastAsia="zh-CN"/>
              </w:rPr>
              <w:t>（</w:t>
            </w:r>
            <w:r>
              <w:rPr>
                <w:rFonts w:hint="eastAsia"/>
                <w:highlight w:val="none"/>
                <w:lang w:val="en-US" w:eastAsia="zh-CN"/>
              </w:rPr>
              <w:t>即：</w:t>
            </w:r>
            <w:r>
              <w:rPr>
                <w:rFonts w:hint="eastAsia"/>
                <w:highlight w:val="none"/>
              </w:rPr>
              <w:t>签订合同之日起</w:t>
            </w:r>
            <w:r>
              <w:rPr>
                <w:rFonts w:hint="eastAsia"/>
                <w:highlight w:val="none"/>
                <w:lang w:val="en-US" w:eastAsia="zh-CN"/>
              </w:rPr>
              <w:t>40天</w:t>
            </w:r>
            <w:r>
              <w:rPr>
                <w:rFonts w:hint="eastAsia"/>
                <w:highlight w:val="none"/>
                <w:lang w:eastAsia="zh-CN"/>
              </w:rPr>
              <w:t>）</w:t>
            </w:r>
            <w:r>
              <w:rPr>
                <w:rFonts w:hint="eastAsia"/>
                <w:highlight w:val="none"/>
              </w:rPr>
              <w:t>后不能接入“公安交通集成指挥平台”的，视为不能</w:t>
            </w:r>
            <w:r>
              <w:rPr>
                <w:rFonts w:hint="eastAsia"/>
                <w:highlight w:val="none"/>
                <w:lang w:val="en-US" w:eastAsia="zh-CN"/>
              </w:rPr>
              <w:t>完整</w:t>
            </w:r>
            <w:r>
              <w:rPr>
                <w:rFonts w:hint="eastAsia"/>
                <w:highlight w:val="none"/>
              </w:rPr>
              <w:t>履行合同</w:t>
            </w:r>
            <w:r>
              <w:rPr>
                <w:rFonts w:hint="eastAsia"/>
                <w:highlight w:val="none"/>
                <w:lang w:eastAsia="zh-CN"/>
              </w:rPr>
              <w:t>。</w:t>
            </w:r>
          </w:p>
          <w:p>
            <w:pPr>
              <w:pStyle w:val="15"/>
              <w:spacing w:line="360" w:lineRule="auto"/>
              <w:rPr>
                <w:rFonts w:hint="eastAsia"/>
                <w:highlight w:val="none"/>
              </w:rPr>
            </w:pPr>
            <w:r>
              <w:rPr>
                <w:rFonts w:hint="eastAsia"/>
                <w:highlight w:val="none"/>
                <w:lang w:eastAsia="zh-CN"/>
              </w:rPr>
              <w:t>注：</w:t>
            </w:r>
            <w:r>
              <w:rPr>
                <w:rFonts w:hint="eastAsia"/>
              </w:rPr>
              <w:t>全国交管部门统一版公安交通集成指挥平台，版本号：V2.0.0，对接联系电话：0777-2883009</w:t>
            </w:r>
            <w:r>
              <w:rPr>
                <w:rFonts w:hint="eastAsia"/>
                <w:highlight w:val="none"/>
                <w:lang w:val="en-US" w:eastAsia="zh-CN"/>
              </w:rPr>
              <w:t>。</w:t>
            </w:r>
          </w:p>
          <w:p>
            <w:pPr>
              <w:pStyle w:val="36"/>
              <w:spacing w:line="360" w:lineRule="auto"/>
              <w:ind w:left="0" w:leftChars="0" w:firstLine="0" w:firstLineChars="0"/>
              <w:rPr>
                <w:highlight w:val="none"/>
              </w:rPr>
            </w:pPr>
            <w:r>
              <w:rPr>
                <w:rFonts w:hint="eastAsia"/>
                <w:highlight w:val="none"/>
              </w:rPr>
              <w:t>4.系统测试上线后即由采购人组织进行性能测试，要求测试结果能满足相关业务的技术要求。</w:t>
            </w:r>
          </w:p>
          <w:p>
            <w:pPr>
              <w:pStyle w:val="36"/>
              <w:spacing w:line="360" w:lineRule="auto"/>
              <w:ind w:left="0" w:leftChars="0" w:firstLine="0" w:firstLineChars="0"/>
              <w:rPr>
                <w:highlight w:val="none"/>
              </w:rPr>
            </w:pPr>
            <w:r>
              <w:rPr>
                <w:rFonts w:hint="eastAsia"/>
                <w:highlight w:val="none"/>
              </w:rPr>
              <w:t>5.试运行期为7个日历日，试运行期间若发现系统与技术规范或业务需求不符的情况时，成交人应按要求进行调整，并视具体情况确定是否需要顺延试运行期。试运行期满，由采购人按要求安排终验，并形成终验报告。</w:t>
            </w:r>
          </w:p>
          <w:p>
            <w:pPr>
              <w:pStyle w:val="36"/>
              <w:spacing w:line="360" w:lineRule="auto"/>
              <w:ind w:left="0" w:leftChars="0" w:firstLine="0" w:firstLineChars="0"/>
              <w:rPr>
                <w:rFonts w:hint="eastAsia" w:eastAsia="宋体"/>
                <w:sz w:val="21"/>
                <w:szCs w:val="21"/>
                <w:highlight w:val="none"/>
                <w:lang w:val="en-US" w:eastAsia="zh-CN"/>
              </w:rPr>
            </w:pPr>
            <w:r>
              <w:rPr>
                <w:rFonts w:hint="eastAsia"/>
                <w:highlight w:val="none"/>
              </w:rPr>
              <w:t>6.项目试运行期满后进行最终验收，最终验收过程须严格按照采购人相关验收标准进行。</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p>
        </w:tc>
        <w:tc>
          <w:tcPr>
            <w:tcW w:w="1310"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kern w:val="0"/>
                <w:sz w:val="21"/>
                <w:szCs w:val="21"/>
                <w:highlight w:val="none"/>
              </w:rPr>
            </w:pPr>
            <w:r>
              <w:rPr>
                <w:rFonts w:hint="eastAsia"/>
                <w:highlight w:val="none"/>
              </w:rPr>
              <w:t>其他要求</w:t>
            </w:r>
          </w:p>
        </w:tc>
        <w:tc>
          <w:tcPr>
            <w:tcW w:w="8397" w:type="dxa"/>
            <w:gridSpan w:val="4"/>
            <w:tcBorders>
              <w:top w:val="single" w:color="000000" w:sz="4" w:space="0"/>
              <w:left w:val="single" w:color="000000" w:sz="4" w:space="0"/>
              <w:bottom w:val="single" w:color="000000" w:sz="4" w:space="0"/>
              <w:right w:val="single" w:color="000000" w:sz="4" w:space="0"/>
            </w:tcBorders>
            <w:noWrap/>
            <w:vAlign w:val="center"/>
          </w:tcPr>
          <w:p>
            <w:pPr>
              <w:pStyle w:val="36"/>
              <w:spacing w:line="360" w:lineRule="auto"/>
              <w:ind w:left="0" w:leftChars="0" w:firstLine="0" w:firstLineChars="0"/>
              <w:rPr>
                <w:highlight w:val="none"/>
              </w:rPr>
            </w:pPr>
            <w:r>
              <w:rPr>
                <w:rFonts w:hint="eastAsia"/>
                <w:highlight w:val="none"/>
              </w:rPr>
              <w:t>1.本项目货物不接受进口产品（即通过中国海关报关验放进入中国境内且产自关境外的产品）参与竞标，如有此类产品参与竞标的做无效标处理。</w:t>
            </w:r>
          </w:p>
          <w:p>
            <w:pPr>
              <w:pStyle w:val="36"/>
              <w:spacing w:line="360" w:lineRule="auto"/>
              <w:ind w:left="0" w:leftChars="0" w:firstLine="0" w:firstLineChars="0"/>
              <w:rPr>
                <w:rFonts w:hint="eastAsia"/>
                <w:highlight w:val="none"/>
              </w:rPr>
            </w:pPr>
            <w:r>
              <w:rPr>
                <w:rFonts w:hint="eastAsia"/>
                <w:highlight w:val="none"/>
                <w:lang w:val="en-US" w:eastAsia="zh-CN"/>
              </w:rPr>
              <w:t>2</w:t>
            </w:r>
            <w:r>
              <w:rPr>
                <w:rFonts w:hint="eastAsia"/>
                <w:highlight w:val="none"/>
              </w:rPr>
              <w:t>.评审标准中涉及到的信誉、业绩、检测证明材料等仅作为评审因素，不作为废标条款。</w:t>
            </w:r>
          </w:p>
          <w:p>
            <w:pPr>
              <w:pStyle w:val="15"/>
              <w:spacing w:line="360" w:lineRule="auto"/>
              <w:rPr>
                <w:rFonts w:hint="default" w:eastAsia="宋体"/>
                <w:highlight w:val="none"/>
                <w:lang w:val="en-US" w:eastAsia="zh-CN"/>
              </w:rPr>
            </w:pPr>
            <w:r>
              <w:rPr>
                <w:rFonts w:hint="eastAsia"/>
                <w:highlight w:val="none"/>
                <w:lang w:val="en-US" w:eastAsia="zh-CN"/>
              </w:rPr>
              <w:t>3.</w:t>
            </w:r>
            <w:r>
              <w:rPr>
                <w:rFonts w:hint="eastAsia"/>
                <w:lang w:eastAsia="zh-CN"/>
              </w:rPr>
              <w:t>供应商</w:t>
            </w:r>
            <w:r>
              <w:rPr>
                <w:rFonts w:hint="eastAsia"/>
              </w:rPr>
              <w:t>拟投入本项目的项目负责人具有国家人力资源和社会保障部、工业和信息化部颁发的系统集成项目管理类</w:t>
            </w:r>
            <w:r>
              <w:rPr>
                <w:rFonts w:hint="eastAsia"/>
                <w:lang w:eastAsia="zh-CN"/>
              </w:rPr>
              <w:t>、软件设计师和网络工程师证书</w:t>
            </w:r>
            <w:r>
              <w:rPr>
                <w:rFonts w:hint="eastAsia"/>
                <w:lang w:val="en-US" w:eastAsia="zh-CN"/>
              </w:rPr>
              <w:t>等</w:t>
            </w:r>
            <w:r>
              <w:rPr>
                <w:rFonts w:hint="eastAsia"/>
              </w:rPr>
              <w:t>证书职称</w:t>
            </w:r>
            <w:r>
              <w:rPr>
                <w:rFonts w:hint="eastAsia"/>
                <w:lang w:eastAsia="zh-CN"/>
              </w:rPr>
              <w:t>的</w:t>
            </w:r>
            <w:r>
              <w:rPr>
                <w:rFonts w:hint="eastAsia"/>
                <w:lang w:val="en-US" w:eastAsia="zh-CN"/>
              </w:rPr>
              <w:t>优先考虑</w:t>
            </w:r>
          </w:p>
        </w:tc>
      </w:tr>
    </w:tbl>
    <w:p>
      <w:pPr>
        <w:pStyle w:val="46"/>
        <w:rPr>
          <w:rFonts w:hint="eastAsia" w:ascii="宋体" w:hAnsi="宋体"/>
          <w:color w:val="auto"/>
          <w:szCs w:val="21"/>
          <w:highlight w:val="none"/>
        </w:rPr>
      </w:pPr>
      <w:r>
        <w:rPr>
          <w:rFonts w:hint="eastAsia" w:ascii="宋体" w:hAnsi="宋体"/>
          <w:b/>
          <w:color w:val="auto"/>
          <w:sz w:val="32"/>
          <w:highlight w:val="none"/>
        </w:rPr>
        <w:br w:type="page"/>
      </w:r>
    </w:p>
    <w:p>
      <w:pPr>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pStyle w:val="46"/>
        <w:rPr>
          <w:rFonts w:hint="eastAsia"/>
          <w:color w:val="auto"/>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3"/>
        <w:spacing w:line="400" w:lineRule="exact"/>
        <w:rPr>
          <w:rFonts w:ascii="方正小标宋简体" w:eastAsia="方正小标宋简体"/>
          <w:color w:val="auto"/>
          <w:highlight w:val="none"/>
        </w:rPr>
      </w:pPr>
      <w:bookmarkStart w:id="52" w:name="_Toc92355025"/>
      <w:r>
        <w:rPr>
          <w:rFonts w:hint="eastAsia" w:ascii="方正小标宋简体" w:eastAsia="方正小标宋简体"/>
          <w:color w:val="auto"/>
          <w:highlight w:val="none"/>
        </w:rPr>
        <w:t>第三章  供应商须知</w:t>
      </w:r>
      <w:bookmarkEnd w:id="48"/>
      <w:bookmarkEnd w:id="49"/>
      <w:bookmarkEnd w:id="52"/>
    </w:p>
    <w:p>
      <w:pPr>
        <w:jc w:val="center"/>
        <w:rPr>
          <w:rFonts w:hint="eastAsia" w:ascii="仿宋_GB2312" w:hAnsi="宋体" w:eastAsia="仿宋_GB2312"/>
          <w:b/>
          <w:color w:val="auto"/>
          <w:sz w:val="32"/>
          <w:szCs w:val="32"/>
          <w:highlight w:val="none"/>
        </w:rPr>
      </w:pPr>
      <w:bookmarkStart w:id="53" w:name="_Toc357157408"/>
      <w:bookmarkStart w:id="54" w:name="_Toc350325671"/>
      <w:bookmarkStart w:id="55" w:name="_Toc358477281"/>
      <w:bookmarkStart w:id="56" w:name="_Toc354479499"/>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4"/>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4"/>
                <w:rFonts w:hint="eastAsia" w:ascii="宋体" w:hAnsi="宋体" w:cs="宋体"/>
                <w:color w:val="auto"/>
                <w:kern w:val="0"/>
                <w:szCs w:val="21"/>
                <w:highlight w:val="none"/>
                <w:u w:val="none"/>
              </w:rPr>
              <w:t>项目名称：</w:t>
            </w:r>
            <w:r>
              <w:rPr>
                <w:rStyle w:val="44"/>
                <w:rFonts w:hint="eastAsia" w:ascii="宋体" w:hAnsi="宋体" w:cs="宋体"/>
                <w:color w:val="auto"/>
                <w:kern w:val="0"/>
                <w:szCs w:val="21"/>
                <w:highlight w:val="none"/>
                <w:u w:val="none"/>
                <w:lang w:eastAsia="zh-CN"/>
              </w:rPr>
              <w:t>钦州市公安局交警支队公安交通集成指挥平台扩容升级改造</w:t>
            </w:r>
          </w:p>
          <w:p>
            <w:pPr>
              <w:widowControl/>
              <w:spacing w:line="440" w:lineRule="exact"/>
              <w:rPr>
                <w:rFonts w:hint="eastAsia" w:ascii="宋体" w:hAnsi="宋体" w:eastAsia="宋体"/>
                <w:color w:val="auto"/>
                <w:szCs w:val="21"/>
                <w:highlight w:val="none"/>
                <w:lang w:eastAsia="zh-CN"/>
              </w:rPr>
            </w:pPr>
            <w:r>
              <w:rPr>
                <w:rStyle w:val="44"/>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QZZC2025-C3-990369-QZSZ</w:t>
            </w:r>
          </w:p>
        </w:tc>
      </w:tr>
      <w:tr>
        <w:tblPrEx>
          <w:tblCellMar>
            <w:top w:w="0" w:type="dxa"/>
            <w:left w:w="108" w:type="dxa"/>
            <w:bottom w:w="0" w:type="dxa"/>
            <w:right w:w="108" w:type="dxa"/>
          </w:tblCellMar>
        </w:tblPrEx>
        <w:trPr>
          <w:trHeight w:val="25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hint="eastAsia" w:ascii="宋体" w:hAnsi="宋体"/>
                <w:color w:val="auto"/>
                <w:szCs w:val="21"/>
                <w:highlight w:val="none"/>
                <w:u w:val="none"/>
              </w:rPr>
            </w:pPr>
            <w:r>
              <w:rPr>
                <w:rStyle w:val="44"/>
                <w:rFonts w:ascii="宋体" w:hAnsi="宋体"/>
                <w:color w:val="auto"/>
                <w:szCs w:val="21"/>
                <w:highlight w:val="none"/>
                <w:u w:val="none"/>
              </w:rPr>
              <w:fldChar w:fldCharType="begin"/>
            </w:r>
            <w:r>
              <w:rPr>
                <w:rStyle w:val="44"/>
                <w:rFonts w:ascii="宋体" w:hAnsi="宋体"/>
                <w:color w:val="auto"/>
                <w:szCs w:val="21"/>
                <w:highlight w:val="none"/>
                <w:u w:val="none"/>
              </w:rPr>
              <w:instrText xml:space="preserve"> </w:instrText>
            </w:r>
            <w:r>
              <w:rPr>
                <w:rStyle w:val="44"/>
                <w:rFonts w:hint="eastAsia" w:ascii="宋体" w:hAnsi="宋体"/>
                <w:color w:val="auto"/>
                <w:szCs w:val="21"/>
                <w:highlight w:val="none"/>
                <w:u w:val="none"/>
              </w:rPr>
              <w:instrText xml:space="preserve">HYPERLINK </w:instrText>
            </w:r>
            <w:r>
              <w:rPr>
                <w:rStyle w:val="44"/>
                <w:rFonts w:ascii="宋体" w:hAnsi="宋体"/>
                <w:color w:val="auto"/>
                <w:szCs w:val="21"/>
                <w:highlight w:val="none"/>
                <w:u w:val="none"/>
              </w:rPr>
              <w:instrText xml:space="preserve"> \l "_一、总_则" </w:instrText>
            </w:r>
            <w:r>
              <w:rPr>
                <w:rStyle w:val="44"/>
                <w:rFonts w:ascii="宋体" w:hAnsi="宋体"/>
                <w:color w:val="auto"/>
                <w:szCs w:val="21"/>
                <w:highlight w:val="none"/>
                <w:u w:val="none"/>
              </w:rPr>
              <w:fldChar w:fldCharType="separate"/>
            </w:r>
            <w:r>
              <w:rPr>
                <w:rStyle w:val="44"/>
                <w:rFonts w:hint="eastAsia" w:ascii="宋体" w:hAnsi="宋体"/>
                <w:color w:val="auto"/>
                <w:szCs w:val="21"/>
                <w:highlight w:val="none"/>
                <w:u w:val="none"/>
              </w:rPr>
              <w:t>供应商资格：</w:t>
            </w:r>
          </w:p>
          <w:p>
            <w:pPr>
              <w:spacing w:line="440" w:lineRule="exact"/>
              <w:rPr>
                <w:rStyle w:val="44"/>
                <w:rFonts w:hint="eastAsia" w:ascii="宋体" w:hAnsi="宋体"/>
                <w:color w:val="auto"/>
                <w:szCs w:val="21"/>
                <w:highlight w:val="none"/>
                <w:u w:val="none"/>
              </w:rPr>
            </w:pPr>
            <w:r>
              <w:rPr>
                <w:rStyle w:val="44"/>
                <w:rFonts w:hint="eastAsia" w:ascii="宋体" w:hAnsi="宋体"/>
                <w:color w:val="auto"/>
                <w:szCs w:val="21"/>
                <w:highlight w:val="none"/>
                <w:u w:val="none"/>
              </w:rPr>
              <w:t>1.满足《中华人民共和国政府采购法》第二十二条规定</w:t>
            </w:r>
          </w:p>
          <w:p>
            <w:pPr>
              <w:spacing w:line="440" w:lineRule="exact"/>
              <w:rPr>
                <w:rStyle w:val="44"/>
                <w:rFonts w:hint="eastAsia" w:ascii="宋体" w:hAnsi="宋体" w:eastAsia="宋体"/>
                <w:color w:val="auto"/>
                <w:szCs w:val="21"/>
                <w:highlight w:val="none"/>
                <w:u w:val="none"/>
                <w:lang w:eastAsia="zh-CN"/>
              </w:rPr>
            </w:pPr>
            <w:r>
              <w:rPr>
                <w:rStyle w:val="44"/>
                <w:rFonts w:hint="eastAsia" w:ascii="宋体" w:hAnsi="宋体"/>
                <w:color w:val="auto"/>
                <w:szCs w:val="21"/>
                <w:highlight w:val="none"/>
                <w:u w:val="none"/>
              </w:rPr>
              <w:t>2.落实政府采购政策需满足的资格要求：</w:t>
            </w:r>
            <w:r>
              <w:rPr>
                <w:rStyle w:val="44"/>
                <w:rFonts w:hint="eastAsia" w:ascii="宋体" w:hAnsi="宋体"/>
                <w:color w:val="auto"/>
                <w:szCs w:val="21"/>
                <w:highlight w:val="none"/>
                <w:u w:val="none"/>
                <w:lang w:val="en-US" w:eastAsia="zh-CN"/>
              </w:rPr>
              <w:t>无</w:t>
            </w:r>
          </w:p>
          <w:p>
            <w:pPr>
              <w:spacing w:line="440" w:lineRule="exact"/>
              <w:rPr>
                <w:rFonts w:hint="eastAsia" w:ascii="宋体" w:hAnsi="宋体"/>
                <w:color w:val="auto"/>
                <w:szCs w:val="21"/>
                <w:highlight w:val="none"/>
              </w:rPr>
            </w:pPr>
            <w:r>
              <w:rPr>
                <w:rStyle w:val="44"/>
                <w:rFonts w:hint="eastAsia" w:ascii="宋体" w:hAnsi="宋体"/>
                <w:color w:val="auto"/>
                <w:szCs w:val="21"/>
                <w:highlight w:val="none"/>
                <w:u w:val="none"/>
              </w:rPr>
              <w:t>3.本项目的特定资格要求：无</w:t>
            </w:r>
            <w:r>
              <w:rPr>
                <w:rStyle w:val="44"/>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4"/>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4"/>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4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4"/>
                <w:rFonts w:hint="eastAsia" w:ascii="宋体" w:hAnsi="宋体" w:cs="宋体"/>
                <w:color w:val="auto"/>
                <w:kern w:val="0"/>
                <w:szCs w:val="21"/>
                <w:highlight w:val="none"/>
                <w:u w:val="none"/>
              </w:rPr>
              <w:t>响应文件提交截止时间及开启时间：</w:t>
            </w:r>
            <w:r>
              <w:rPr>
                <w:rStyle w:val="44"/>
                <w:rFonts w:hint="eastAsia" w:ascii="宋体" w:hAnsi="宋体"/>
                <w:color w:val="auto"/>
                <w:szCs w:val="21"/>
                <w:highlight w:val="none"/>
                <w:u w:val="none"/>
                <w:lang w:eastAsia="zh-CN"/>
              </w:rPr>
              <w:t>2026年</w:t>
            </w:r>
            <w:r>
              <w:rPr>
                <w:rStyle w:val="44"/>
                <w:rFonts w:hint="eastAsia" w:ascii="宋体" w:hAnsi="宋体"/>
                <w:color w:val="auto"/>
                <w:szCs w:val="21"/>
                <w:highlight w:val="none"/>
                <w:u w:val="none"/>
                <w:lang w:val="en-US" w:eastAsia="zh-CN"/>
              </w:rPr>
              <w:t>1月20</w:t>
            </w:r>
            <w:r>
              <w:rPr>
                <w:rStyle w:val="44"/>
                <w:rFonts w:hint="eastAsia" w:ascii="宋体" w:hAnsi="宋体"/>
                <w:color w:val="auto"/>
                <w:szCs w:val="21"/>
                <w:highlight w:val="none"/>
                <w:u w:val="none"/>
              </w:rPr>
              <w:t>日</w:t>
            </w:r>
            <w:r>
              <w:rPr>
                <w:rStyle w:val="44"/>
                <w:rFonts w:ascii="宋体" w:hAnsi="宋体"/>
                <w:color w:val="auto"/>
                <w:szCs w:val="21"/>
                <w:highlight w:val="none"/>
                <w:u w:val="none"/>
              </w:rPr>
              <w:t>09</w:t>
            </w:r>
            <w:r>
              <w:rPr>
                <w:rStyle w:val="44"/>
                <w:rFonts w:hint="eastAsia" w:ascii="宋体" w:hAnsi="宋体"/>
                <w:color w:val="auto"/>
                <w:szCs w:val="21"/>
                <w:highlight w:val="none"/>
                <w:u w:val="none"/>
              </w:rPr>
              <w:t>时</w:t>
            </w:r>
            <w:r>
              <w:rPr>
                <w:rStyle w:val="44"/>
                <w:rFonts w:ascii="宋体" w:hAnsi="宋体"/>
                <w:color w:val="auto"/>
                <w:szCs w:val="21"/>
                <w:highlight w:val="none"/>
                <w:u w:val="none"/>
              </w:rPr>
              <w:t>3</w:t>
            </w:r>
            <w:r>
              <w:rPr>
                <w:rStyle w:val="44"/>
                <w:rFonts w:hint="eastAsia" w:ascii="宋体" w:hAnsi="宋体"/>
                <w:color w:val="auto"/>
                <w:szCs w:val="21"/>
                <w:highlight w:val="none"/>
                <w:u w:val="none"/>
              </w:rPr>
              <w:t>0分。</w:t>
            </w:r>
          </w:p>
          <w:p>
            <w:pPr>
              <w:widowControl/>
              <w:spacing w:line="440" w:lineRule="exact"/>
              <w:rPr>
                <w:color w:val="auto"/>
                <w:highlight w:val="none"/>
              </w:rPr>
            </w:pPr>
            <w:r>
              <w:rPr>
                <w:rStyle w:val="44"/>
                <w:rFonts w:hint="eastAsia"/>
                <w:b/>
                <w:color w:val="auto"/>
                <w:szCs w:val="21"/>
                <w:highlight w:val="none"/>
                <w:u w:val="none"/>
              </w:rPr>
              <w:t>注意事项：</w:t>
            </w:r>
            <w:r>
              <w:rPr>
                <w:rStyle w:val="44"/>
                <w:rFonts w:hint="eastAsia"/>
                <w:bCs/>
                <w:color w:val="auto"/>
                <w:highlight w:val="none"/>
                <w:u w:val="none"/>
              </w:rPr>
              <w:t>供应商法定代表人</w:t>
            </w:r>
            <w:r>
              <w:rPr>
                <w:rStyle w:val="44"/>
                <w:rFonts w:hint="eastAsia"/>
                <w:bCs/>
                <w:color w:val="auto"/>
                <w:highlight w:val="none"/>
                <w:u w:val="none"/>
                <w:lang w:eastAsia="zh-CN"/>
              </w:rPr>
              <w:t>（</w:t>
            </w:r>
            <w:r>
              <w:rPr>
                <w:rStyle w:val="44"/>
                <w:rFonts w:hint="eastAsia"/>
                <w:bCs/>
                <w:color w:val="auto"/>
                <w:highlight w:val="none"/>
                <w:u w:val="none"/>
                <w:lang w:val="en-US" w:eastAsia="zh-CN"/>
              </w:rPr>
              <w:t>负责人</w:t>
            </w:r>
            <w:r>
              <w:rPr>
                <w:rStyle w:val="44"/>
                <w:rFonts w:hint="eastAsia"/>
                <w:bCs/>
                <w:color w:val="auto"/>
                <w:highlight w:val="none"/>
                <w:u w:val="none"/>
                <w:lang w:eastAsia="zh-CN"/>
              </w:rPr>
              <w:t>）</w:t>
            </w:r>
            <w:r>
              <w:rPr>
                <w:rStyle w:val="44"/>
                <w:rFonts w:hint="eastAsia"/>
                <w:bCs/>
                <w:color w:val="auto"/>
                <w:highlight w:val="none"/>
                <w:u w:val="none"/>
              </w:rPr>
              <w:t>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94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4"/>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4"/>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4"/>
                <w:rFonts w:hint="eastAsia" w:ascii="宋体" w:hAnsi="宋体" w:cs="宋体"/>
                <w:color w:val="auto"/>
                <w:kern w:val="0"/>
                <w:szCs w:val="21"/>
                <w:highlight w:val="none"/>
                <w:u w:val="none"/>
              </w:rPr>
              <w:t>评定方法：</w:t>
            </w:r>
            <w:r>
              <w:rPr>
                <w:rStyle w:val="44"/>
                <w:rFonts w:hint="eastAsia"/>
                <w:color w:val="auto"/>
                <w:highlight w:val="none"/>
                <w:u w:val="none"/>
              </w:rPr>
              <w:t>详见第四章《评定标准及推荐原则》。</w:t>
            </w:r>
            <w:r>
              <w:rPr>
                <w:rStyle w:val="44"/>
                <w:rFonts w:hint="eastAsia"/>
                <w:color w:val="auto"/>
                <w:highlight w:val="none"/>
                <w:u w:val="none"/>
              </w:rPr>
              <w:fldChar w:fldCharType="end"/>
            </w:r>
          </w:p>
        </w:tc>
      </w:tr>
      <w:tr>
        <w:tblPrEx>
          <w:tblCellMar>
            <w:top w:w="0" w:type="dxa"/>
            <w:left w:w="108" w:type="dxa"/>
            <w:bottom w:w="0" w:type="dxa"/>
            <w:right w:w="108" w:type="dxa"/>
          </w:tblCellMar>
        </w:tblPrEx>
        <w:trPr>
          <w:trHeight w:val="171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4"/>
                <w:rFonts w:hint="eastAsia" w:ascii="宋体" w:hAnsi="宋体" w:cs="宋体"/>
                <w:color w:val="auto"/>
                <w:kern w:val="0"/>
                <w:szCs w:val="21"/>
                <w:highlight w:val="none"/>
                <w:u w:val="none"/>
              </w:rPr>
              <w:t>代理服务费：</w:t>
            </w:r>
            <w:bookmarkStart w:id="57" w:name="OLE_LINK7"/>
            <w:r>
              <w:rPr>
                <w:rStyle w:val="44"/>
                <w:rFonts w:hint="eastAsia" w:ascii="宋体" w:hAnsi="宋体" w:cs="宋体"/>
                <w:color w:val="auto"/>
                <w:kern w:val="0"/>
                <w:szCs w:val="21"/>
                <w:highlight w:val="none"/>
                <w:u w:val="none"/>
              </w:rPr>
              <w:t>按钦州市物价局“钦市价费〔2013﹞4号”文件，以差额定率累进法计算。成交供应商须按成交金额缴纳相应的代理服务费。</w:t>
            </w:r>
            <w:bookmarkEnd w:id="57"/>
            <w:r>
              <w:rPr>
                <w:rStyle w:val="44"/>
                <w:rFonts w:hint="eastAsia" w:ascii="宋体" w:hAnsi="宋体" w:cs="宋体"/>
                <w:color w:val="auto"/>
                <w:kern w:val="0"/>
                <w:szCs w:val="21"/>
                <w:highlight w:val="none"/>
                <w:u w:val="none"/>
              </w:rPr>
              <w:fldChar w:fldCharType="end"/>
            </w:r>
          </w:p>
        </w:tc>
      </w:tr>
    </w:tbl>
    <w:p>
      <w:pPr>
        <w:rPr>
          <w:rFonts w:hint="eastAsia" w:ascii="黑体" w:hAnsi="黑体" w:eastAsia="黑体"/>
          <w:b/>
          <w:bCs/>
          <w:color w:val="auto"/>
          <w:sz w:val="32"/>
          <w:szCs w:val="32"/>
          <w:highlight w:val="none"/>
        </w:rPr>
      </w:pPr>
      <w:bookmarkStart w:id="58" w:name="_Toc420505403"/>
      <w:r>
        <w:rPr>
          <w:rFonts w:hint="eastAsia" w:ascii="黑体" w:hAnsi="黑体" w:eastAsia="黑体"/>
          <w:b/>
          <w:bCs/>
          <w:color w:val="auto"/>
          <w:sz w:val="32"/>
          <w:szCs w:val="32"/>
          <w:highlight w:val="none"/>
        </w:rPr>
        <w:br w:type="page"/>
      </w:r>
    </w:p>
    <w:p>
      <w:pPr>
        <w:pStyle w:val="2"/>
        <w:rPr>
          <w:rFonts w:hint="eastAsia"/>
        </w:rPr>
      </w:pP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8"/>
    </w:p>
    <w:p>
      <w:pPr>
        <w:pStyle w:val="4"/>
        <w:spacing w:line="420" w:lineRule="exact"/>
        <w:rPr>
          <w:color w:val="auto"/>
          <w:highlight w:val="none"/>
        </w:rPr>
      </w:pPr>
      <w:bookmarkStart w:id="59" w:name="_一、总_则"/>
      <w:bookmarkEnd w:id="59"/>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钦州市公安局交警支队公安交通集成指挥平台扩容升级改造</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QZZC2025-C3-990369-QZSZ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无</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60" w:name="_Toc353785281"/>
      <w:bookmarkStart w:id="61" w:name="_Toc254970530"/>
      <w:bookmarkStart w:id="62" w:name="_Toc254970671"/>
      <w:bookmarkStart w:id="63" w:name="_Toc352700410"/>
      <w:r>
        <w:rPr>
          <w:rFonts w:hint="eastAsia"/>
          <w:b/>
          <w:bCs/>
          <w:color w:val="auto"/>
          <w:highlight w:val="none"/>
        </w:rPr>
        <w:t>（五）代理委托</w:t>
      </w:r>
      <w:bookmarkEnd w:id="60"/>
      <w:bookmarkEnd w:id="61"/>
      <w:bookmarkEnd w:id="62"/>
      <w:bookmarkEnd w:id="63"/>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4" w:name="_Toc353785282"/>
      <w:bookmarkStart w:id="65" w:name="_Toc254970672"/>
      <w:bookmarkStart w:id="66" w:name="_Toc254970531"/>
      <w:bookmarkStart w:id="67" w:name="_Toc352700411"/>
      <w:r>
        <w:rPr>
          <w:rFonts w:hint="eastAsia"/>
          <w:b/>
          <w:bCs/>
          <w:color w:val="auto"/>
          <w:highlight w:val="none"/>
        </w:rPr>
        <w:t>（六）磋商费用</w:t>
      </w:r>
      <w:bookmarkEnd w:id="64"/>
      <w:bookmarkEnd w:id="65"/>
      <w:bookmarkEnd w:id="66"/>
      <w:bookmarkEnd w:id="67"/>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8" w:name="_Toc353785283"/>
      <w:bookmarkStart w:id="69" w:name="_Toc352700413"/>
      <w:r>
        <w:rPr>
          <w:rFonts w:hint="eastAsia"/>
          <w:b/>
          <w:bCs/>
          <w:color w:val="auto"/>
          <w:highlight w:val="none"/>
        </w:rPr>
        <w:t>（七）转包与分包</w:t>
      </w:r>
      <w:bookmarkEnd w:id="68"/>
      <w:bookmarkEnd w:id="69"/>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70" w:name="_Toc353785284"/>
      <w:bookmarkStart w:id="71" w:name="_Toc254970673"/>
      <w:bookmarkStart w:id="72" w:name="_Toc254970532"/>
      <w:bookmarkStart w:id="73" w:name="_Toc352700414"/>
      <w:r>
        <w:rPr>
          <w:rFonts w:hint="eastAsia"/>
          <w:b/>
          <w:bCs/>
          <w:color w:val="auto"/>
          <w:highlight w:val="none"/>
        </w:rPr>
        <w:t>（八）特别说明</w:t>
      </w:r>
      <w:bookmarkEnd w:id="70"/>
      <w:bookmarkEnd w:id="71"/>
      <w:bookmarkEnd w:id="72"/>
      <w:bookmarkEnd w:id="73"/>
    </w:p>
    <w:p>
      <w:pPr>
        <w:pStyle w:val="22"/>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2"/>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2"/>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3.本项目接受银行、保险、石油石化、电力、电信行业的供应商分支机构参与投标。</w:t>
      </w:r>
    </w:p>
    <w:p>
      <w:pPr>
        <w:spacing w:line="406" w:lineRule="exact"/>
        <w:ind w:firstLine="211" w:firstLineChars="100"/>
        <w:rPr>
          <w:b/>
          <w:bCs/>
          <w:color w:val="auto"/>
          <w:highlight w:val="none"/>
        </w:rPr>
      </w:pPr>
      <w:bookmarkStart w:id="74" w:name="_Toc352700415"/>
      <w:bookmarkStart w:id="75" w:name="_Toc254970674"/>
      <w:bookmarkStart w:id="76" w:name="_Toc254970533"/>
      <w:bookmarkStart w:id="77" w:name="_Toc353785285"/>
      <w:r>
        <w:rPr>
          <w:rFonts w:hint="eastAsia"/>
          <w:b/>
          <w:bCs/>
          <w:color w:val="auto"/>
          <w:highlight w:val="none"/>
        </w:rPr>
        <w:t>（九）询问、质疑和投诉</w:t>
      </w:r>
      <w:bookmarkEnd w:id="74"/>
      <w:bookmarkEnd w:id="75"/>
      <w:bookmarkEnd w:id="76"/>
      <w:bookmarkEnd w:id="77"/>
    </w:p>
    <w:p>
      <w:pPr>
        <w:pStyle w:val="22"/>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2"/>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2"/>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2"/>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2"/>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4"/>
          <w:rFonts w:hint="eastAsia" w:hAnsi="宋体"/>
          <w:color w:val="auto"/>
          <w:highlight w:val="none"/>
          <w:u w:val="none"/>
        </w:rPr>
        <w:t>广西政府采购网</w:t>
      </w:r>
      <w:r>
        <w:rPr>
          <w:rStyle w:val="44"/>
          <w:rFonts w:hint="eastAsia" w:hAnsi="宋体"/>
          <w:color w:val="auto"/>
          <w:highlight w:val="none"/>
          <w:u w:val="none"/>
        </w:rPr>
        <w:fldChar w:fldCharType="end"/>
      </w:r>
      <w:r>
        <w:rPr>
          <w:rFonts w:hint="eastAsia" w:hAnsi="宋体"/>
          <w:color w:val="auto"/>
          <w:highlight w:val="none"/>
        </w:rPr>
        <w:t>。</w:t>
      </w:r>
    </w:p>
    <w:p>
      <w:pPr>
        <w:pStyle w:val="4"/>
        <w:spacing w:line="406" w:lineRule="exact"/>
        <w:rPr>
          <w:color w:val="auto"/>
          <w:highlight w:val="none"/>
        </w:rPr>
      </w:pPr>
      <w:bookmarkStart w:id="78" w:name="_Toc352700416"/>
      <w:bookmarkStart w:id="79" w:name="_Toc353785286"/>
      <w:r>
        <w:rPr>
          <w:rFonts w:hint="eastAsia"/>
          <w:color w:val="auto"/>
          <w:highlight w:val="none"/>
        </w:rPr>
        <w:t>二、竞争性磋商采购文件</w:t>
      </w:r>
      <w:bookmarkEnd w:id="78"/>
      <w:bookmarkEnd w:id="79"/>
    </w:p>
    <w:p>
      <w:pPr>
        <w:spacing w:line="406" w:lineRule="exact"/>
        <w:ind w:firstLine="211" w:firstLineChars="100"/>
        <w:rPr>
          <w:b/>
          <w:bCs/>
          <w:color w:val="auto"/>
          <w:highlight w:val="none"/>
        </w:rPr>
      </w:pPr>
      <w:bookmarkStart w:id="80" w:name="_Toc353785287"/>
      <w:bookmarkStart w:id="81" w:name="_Toc352700417"/>
      <w:r>
        <w:rPr>
          <w:rFonts w:hint="eastAsia"/>
          <w:b/>
          <w:bCs/>
          <w:color w:val="auto"/>
          <w:highlight w:val="none"/>
        </w:rPr>
        <w:t>（一）竞争性磋商采购文件的组成</w:t>
      </w:r>
      <w:bookmarkEnd w:id="80"/>
      <w:bookmarkEnd w:id="81"/>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2" w:name="_Toc352700419"/>
      <w:bookmarkStart w:id="83" w:name="_Toc353785289"/>
      <w:r>
        <w:rPr>
          <w:rFonts w:hint="eastAsia"/>
          <w:b/>
          <w:bCs/>
          <w:color w:val="auto"/>
          <w:highlight w:val="none"/>
        </w:rPr>
        <w:t>（二）竞争性磋商采购文件的澄清与修改</w:t>
      </w:r>
      <w:bookmarkEnd w:id="82"/>
      <w:bookmarkEnd w:id="83"/>
    </w:p>
    <w:p>
      <w:pPr>
        <w:pStyle w:val="22"/>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2"/>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4"/>
        <w:spacing w:line="406" w:lineRule="exact"/>
        <w:rPr>
          <w:color w:val="auto"/>
          <w:highlight w:val="none"/>
        </w:rPr>
      </w:pPr>
      <w:bookmarkStart w:id="84" w:name="_三、响应文件"/>
      <w:bookmarkEnd w:id="84"/>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5"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6"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6"/>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7" w:name="_Hlk108683109"/>
      <w:r>
        <w:rPr>
          <w:rFonts w:hint="eastAsia" w:hAnsi="宋体"/>
          <w:color w:val="auto"/>
          <w:spacing w:val="-4"/>
          <w:highlight w:val="none"/>
        </w:rPr>
        <w:t>(格式见第六章)</w:t>
      </w:r>
      <w:bookmarkEnd w:id="87"/>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授权委托书和代理人身份证（委托代理时必须提供，格式见第六章）</w:t>
      </w:r>
    </w:p>
    <w:p>
      <w:pPr>
        <w:snapToGrid w:val="0"/>
        <w:spacing w:line="406" w:lineRule="exact"/>
        <w:ind w:firstLine="422"/>
        <w:rPr>
          <w:rFonts w:hint="eastAsia"/>
        </w:rPr>
      </w:pPr>
      <w:r>
        <w:rPr>
          <w:rFonts w:hint="eastAsia" w:ascii="宋体" w:hAnsi="宋体"/>
          <w:b w:val="0"/>
          <w:bCs/>
          <w:color w:val="auto"/>
          <w:szCs w:val="21"/>
          <w:highlight w:val="none"/>
        </w:rPr>
        <w:t>★(4)商务技术响应表(格式见第六章)</w:t>
      </w:r>
    </w:p>
    <w:p>
      <w:pPr>
        <w:numPr>
          <w:ilvl w:val="0"/>
          <w:numId w:val="5"/>
        </w:numPr>
        <w:snapToGrid w:val="0"/>
        <w:spacing w:line="406" w:lineRule="exact"/>
        <w:ind w:firstLine="630" w:firstLineChars="300"/>
        <w:rPr>
          <w:rFonts w:hint="eastAsia"/>
        </w:rPr>
      </w:pPr>
      <w:r>
        <w:rPr>
          <w:rFonts w:hint="eastAsia" w:ascii="宋体" w:hAnsi="宋体"/>
          <w:b w:val="0"/>
          <w:bCs/>
          <w:color w:val="auto"/>
          <w:szCs w:val="21"/>
          <w:highlight w:val="none"/>
        </w:rPr>
        <w:t>《项目需求》中要求必须提供的材料</w:t>
      </w:r>
    </w:p>
    <w:p>
      <w:pPr>
        <w:numPr>
          <w:ilvl w:val="0"/>
          <w:numId w:val="5"/>
        </w:numPr>
        <w:snapToGrid w:val="0"/>
        <w:spacing w:line="406" w:lineRule="exact"/>
        <w:ind w:firstLine="630" w:firstLineChars="300"/>
        <w:rPr>
          <w:rFonts w:hint="eastAsia"/>
        </w:rPr>
      </w:pPr>
      <w:r>
        <w:rPr>
          <w:rFonts w:hint="eastAsia"/>
          <w:highlight w:val="none"/>
        </w:rPr>
        <w:t>供应商自2020年以来，</w:t>
      </w:r>
      <w:r>
        <w:rPr>
          <w:rFonts w:hint="eastAsia"/>
          <w:highlight w:val="none"/>
          <w:lang w:val="en-US" w:eastAsia="zh-CN"/>
        </w:rPr>
        <w:t>有类似</w:t>
      </w:r>
      <w:r>
        <w:rPr>
          <w:rFonts w:hint="eastAsia"/>
          <w:highlight w:val="none"/>
        </w:rPr>
        <w:t>项目合同</w:t>
      </w:r>
      <w:r>
        <w:rPr>
          <w:rFonts w:hint="eastAsia"/>
          <w:highlight w:val="none"/>
          <w:lang w:val="en-US" w:eastAsia="zh-CN"/>
        </w:rPr>
        <w:t>等</w:t>
      </w:r>
      <w:r>
        <w:rPr>
          <w:rFonts w:hint="eastAsia"/>
          <w:highlight w:val="none"/>
          <w:lang w:eastAsia="zh-CN"/>
        </w:rPr>
        <w:t>的</w:t>
      </w:r>
      <w:r>
        <w:rPr>
          <w:rFonts w:hint="eastAsia"/>
          <w:highlight w:val="none"/>
          <w:lang w:val="en-US" w:eastAsia="zh-CN"/>
        </w:rPr>
        <w:t>证明材料；</w:t>
      </w:r>
    </w:p>
    <w:p>
      <w:pPr>
        <w:numPr>
          <w:ilvl w:val="0"/>
          <w:numId w:val="5"/>
        </w:numPr>
        <w:snapToGrid w:val="0"/>
        <w:spacing w:line="406" w:lineRule="exact"/>
        <w:ind w:firstLine="630" w:firstLineChars="300"/>
        <w:rPr>
          <w:rFonts w:hint="eastAsia"/>
        </w:rPr>
      </w:pPr>
      <w:r>
        <w:rPr>
          <w:rFonts w:hint="eastAsia" w:ascii="宋体" w:hAnsi="宋体"/>
        </w:rPr>
        <w:t>供应商认为有必要提供的声明或材料</w:t>
      </w:r>
      <w:r>
        <w:rPr>
          <w:rFonts w:hint="eastAsia" w:ascii="宋体" w:hAnsi="宋体" w:eastAsia="宋体" w:cs="Times New Roman"/>
          <w:color w:val="000000" w:themeColor="text1"/>
          <w:szCs w:val="24"/>
          <w14:textFill>
            <w14:solidFill>
              <w14:schemeClr w14:val="tx1"/>
            </w14:solidFill>
          </w14:textFill>
        </w:rPr>
        <w:t>(中小企业声明函、监狱企业证明材料、残疾人福利性单位声明函等)</w:t>
      </w:r>
    </w:p>
    <w:p>
      <w:pPr>
        <w:numPr>
          <w:ilvl w:val="0"/>
          <w:numId w:val="0"/>
        </w:numPr>
        <w:snapToGrid w:val="0"/>
        <w:spacing w:line="406" w:lineRule="exact"/>
        <w:ind w:firstLine="422" w:firstLineChars="200"/>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88"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88"/>
      <w:r>
        <w:rPr>
          <w:rFonts w:hint="eastAsia" w:ascii="宋体" w:hAnsi="宋体"/>
          <w:bCs/>
          <w:color w:val="auto"/>
          <w:szCs w:val="21"/>
          <w:highlight w:val="none"/>
        </w:rPr>
        <w:t>(格式见第六章)。</w:t>
      </w:r>
    </w:p>
    <w:bookmarkEnd w:id="85"/>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签名，否则视为无效响应文件。</w:t>
      </w:r>
    </w:p>
    <w:p>
      <w:pPr>
        <w:spacing w:line="406" w:lineRule="exact"/>
        <w:ind w:firstLine="210" w:firstLineChars="100"/>
        <w:rPr>
          <w:rFonts w:hint="eastAsia" w:ascii="宋体" w:hAnsi="宋体" w:cs="Courier New"/>
          <w:color w:val="auto"/>
          <w:szCs w:val="21"/>
          <w:highlight w:val="none"/>
        </w:rPr>
      </w:pPr>
      <w:bookmarkStart w:id="89" w:name="_Hlk90906323"/>
      <w:r>
        <w:rPr>
          <w:rFonts w:hint="eastAsia" w:ascii="宋体" w:hAnsi="宋体"/>
          <w:color w:val="auto"/>
          <w:szCs w:val="21"/>
          <w:highlight w:val="none"/>
        </w:rPr>
        <w:t>②</w:t>
      </w:r>
      <w:bookmarkStart w:id="90"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90"/>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1" w:name="_Toc254970537"/>
      <w:bookmarkStart w:id="92" w:name="_Toc353785292"/>
      <w:bookmarkStart w:id="93" w:name="_Toc352700422"/>
      <w:bookmarkStart w:id="94" w:name="_Toc254970678"/>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负责人</w:t>
      </w:r>
      <w:r>
        <w:rPr>
          <w:rFonts w:hint="eastAsia" w:ascii="宋体" w:hAnsi="宋体"/>
          <w:b/>
          <w:bCs/>
          <w:color w:val="auto"/>
          <w:szCs w:val="21"/>
          <w:highlight w:val="none"/>
          <w:lang w:eastAsia="zh-CN"/>
        </w:rPr>
        <w:t>）</w:t>
      </w:r>
      <w:r>
        <w:rPr>
          <w:rFonts w:hint="eastAsia" w:ascii="宋体" w:hAnsi="宋体"/>
          <w:b/>
          <w:bCs/>
          <w:color w:val="auto"/>
          <w:szCs w:val="21"/>
          <w:highlight w:val="none"/>
        </w:rPr>
        <w:t>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89"/>
    <w:p>
      <w:pPr>
        <w:spacing w:line="406" w:lineRule="exact"/>
        <w:ind w:firstLine="211" w:firstLineChars="100"/>
        <w:rPr>
          <w:color w:val="auto"/>
          <w:highlight w:val="none"/>
        </w:rPr>
      </w:pPr>
      <w:r>
        <w:rPr>
          <w:rFonts w:hint="eastAsia"/>
          <w:b/>
          <w:bCs/>
          <w:color w:val="auto"/>
          <w:highlight w:val="none"/>
        </w:rPr>
        <w:t>（四）响应文件的语言及计量</w:t>
      </w:r>
      <w:bookmarkEnd w:id="91"/>
      <w:bookmarkEnd w:id="92"/>
      <w:bookmarkEnd w:id="93"/>
      <w:bookmarkEnd w:id="94"/>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06" w:lineRule="exact"/>
        <w:ind w:firstLine="211" w:firstLineChars="100"/>
        <w:rPr>
          <w:rFonts w:hint="eastAsia" w:ascii="宋体" w:hAnsi="宋体" w:eastAsia="宋体"/>
          <w:color w:val="auto"/>
          <w:sz w:val="21"/>
          <w:szCs w:val="21"/>
          <w:highlight w:val="none"/>
        </w:rPr>
      </w:pPr>
      <w:bookmarkStart w:id="95" w:name="_（五）报价"/>
      <w:bookmarkEnd w:id="95"/>
      <w:bookmarkStart w:id="96" w:name="_Toc254970538"/>
      <w:bookmarkStart w:id="97" w:name="_Toc352700423"/>
      <w:bookmarkStart w:id="98" w:name="_Toc254970679"/>
      <w:bookmarkStart w:id="99" w:name="_Toc353785293"/>
      <w:r>
        <w:rPr>
          <w:rFonts w:hint="eastAsia" w:ascii="宋体" w:hAnsi="宋体" w:eastAsia="宋体"/>
          <w:color w:val="auto"/>
          <w:sz w:val="21"/>
          <w:szCs w:val="21"/>
          <w:highlight w:val="none"/>
        </w:rPr>
        <w:t>（五）报价</w:t>
      </w:r>
      <w:bookmarkEnd w:id="96"/>
      <w:bookmarkEnd w:id="97"/>
      <w:bookmarkEnd w:id="98"/>
      <w:bookmarkEnd w:id="99"/>
    </w:p>
    <w:p>
      <w:pPr>
        <w:pStyle w:val="22"/>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2"/>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4"/>
        <w:spacing w:before="0" w:after="0" w:line="406" w:lineRule="exact"/>
        <w:ind w:firstLine="211" w:firstLineChars="100"/>
        <w:rPr>
          <w:rFonts w:hint="eastAsia" w:ascii="宋体" w:hAnsi="宋体" w:eastAsia="宋体"/>
          <w:color w:val="auto"/>
          <w:sz w:val="21"/>
          <w:szCs w:val="21"/>
          <w:highlight w:val="none"/>
        </w:rPr>
      </w:pPr>
      <w:bookmarkStart w:id="100" w:name="_（六）磋商保证金"/>
      <w:bookmarkEnd w:id="100"/>
      <w:bookmarkStart w:id="101" w:name="_Toc254970682"/>
      <w:bookmarkStart w:id="102" w:name="_Toc352700425"/>
      <w:bookmarkStart w:id="103" w:name="_Toc254970541"/>
      <w:bookmarkStart w:id="104" w:name="_Toc353785295"/>
      <w:r>
        <w:rPr>
          <w:rFonts w:hint="eastAsia" w:ascii="宋体" w:hAnsi="宋体" w:eastAsia="宋体"/>
          <w:color w:val="auto"/>
          <w:sz w:val="21"/>
          <w:szCs w:val="21"/>
          <w:highlight w:val="none"/>
        </w:rPr>
        <w:t>（六）磋商保证金</w:t>
      </w:r>
      <w:bookmarkEnd w:id="101"/>
      <w:bookmarkEnd w:id="102"/>
      <w:bookmarkEnd w:id="103"/>
      <w:bookmarkEnd w:id="104"/>
    </w:p>
    <w:p>
      <w:pPr>
        <w:snapToGrid w:val="0"/>
        <w:spacing w:line="406" w:lineRule="exact"/>
        <w:ind w:firstLine="420" w:firstLineChars="200"/>
        <w:rPr>
          <w:color w:val="auto"/>
          <w:highlight w:val="none"/>
        </w:rPr>
      </w:pPr>
      <w:bookmarkStart w:id="105" w:name="_Toc353785296"/>
      <w:bookmarkStart w:id="106" w:name="_Toc254970542"/>
      <w:bookmarkStart w:id="107" w:name="_Toc352700426"/>
      <w:bookmarkStart w:id="108" w:name="_Toc254970683"/>
      <w:r>
        <w:rPr>
          <w:rFonts w:hint="eastAsia" w:ascii="宋体" w:hAnsi="宋体"/>
          <w:color w:val="auto"/>
          <w:szCs w:val="21"/>
          <w:highlight w:val="none"/>
        </w:rPr>
        <w:t>本项目免收磋商保证金。</w:t>
      </w:r>
    </w:p>
    <w:bookmarkEnd w:id="105"/>
    <w:bookmarkEnd w:id="106"/>
    <w:bookmarkEnd w:id="107"/>
    <w:bookmarkEnd w:id="108"/>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09" w:name="_Hlk91772691"/>
      <w:r>
        <w:rPr>
          <w:rFonts w:hint="eastAsia" w:ascii="宋体" w:hAnsi="宋体"/>
          <w:color w:val="auto"/>
          <w:szCs w:val="21"/>
          <w:highlight w:val="none"/>
        </w:rPr>
        <w:t>政府采购云平台</w:t>
      </w:r>
      <w:bookmarkEnd w:id="109"/>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4"/>
        <w:spacing w:line="406" w:lineRule="exact"/>
        <w:rPr>
          <w:color w:val="auto"/>
          <w:highlight w:val="none"/>
        </w:rPr>
      </w:pPr>
      <w:bookmarkStart w:id="110" w:name="_四、响应文件开启"/>
      <w:bookmarkEnd w:id="110"/>
      <w:r>
        <w:rPr>
          <w:rFonts w:hint="eastAsia"/>
          <w:color w:val="auto"/>
          <w:highlight w:val="none"/>
        </w:rPr>
        <w:t>四、</w:t>
      </w:r>
      <w:bookmarkStart w:id="111" w:name="_Toc353785300"/>
      <w:bookmarkStart w:id="112" w:name="_Toc352700430"/>
      <w:r>
        <w:rPr>
          <w:rFonts w:hint="eastAsia"/>
          <w:color w:val="auto"/>
          <w:highlight w:val="none"/>
        </w:rPr>
        <w:t>响应文件开启</w:t>
      </w:r>
    </w:p>
    <w:bookmarkEnd w:id="111"/>
    <w:bookmarkEnd w:id="112"/>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3" w:name="_Hlk90300735"/>
      <w:r>
        <w:rPr>
          <w:rFonts w:hint="eastAsia"/>
          <w:color w:val="auto"/>
          <w:highlight w:val="none"/>
        </w:rPr>
        <w:t>政采云远程开标大厅</w:t>
      </w:r>
      <w:bookmarkEnd w:id="113"/>
      <w:r>
        <w:rPr>
          <w:rFonts w:hint="eastAsia"/>
          <w:color w:val="auto"/>
          <w:highlight w:val="none"/>
        </w:rPr>
        <w:t>进行响应文件开启，供应商法定代表人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color w:val="auto"/>
          <w:highlight w:val="none"/>
        </w:rPr>
        <w:t>或委托代理人须按时登录</w:t>
      </w:r>
      <w:bookmarkStart w:id="114" w:name="_Hlk90300780"/>
      <w:r>
        <w:rPr>
          <w:rFonts w:hint="eastAsia"/>
          <w:color w:val="auto"/>
          <w:highlight w:val="none"/>
        </w:rPr>
        <w:t>政采云远程开标大厅</w:t>
      </w:r>
      <w:bookmarkEnd w:id="114"/>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5" w:name="_Toc353785301"/>
      <w:bookmarkStart w:id="116" w:name="_Toc35270043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5"/>
      <w:bookmarkEnd w:id="116"/>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06" w:lineRule="exact"/>
        <w:rPr>
          <w:rFonts w:hint="eastAsia" w:ascii="宋体" w:hAnsi="宋体"/>
          <w:color w:val="auto"/>
          <w:szCs w:val="21"/>
          <w:highlight w:val="none"/>
        </w:rPr>
      </w:pPr>
      <w:bookmarkStart w:id="117" w:name="_五、评审与磋商"/>
      <w:bookmarkEnd w:id="117"/>
      <w:bookmarkStart w:id="118" w:name="_Toc352700432"/>
      <w:bookmarkStart w:id="119" w:name="_Toc353785302"/>
      <w:bookmarkStart w:id="120" w:name="_Toc254970686"/>
      <w:bookmarkStart w:id="121" w:name="_Toc254970545"/>
      <w:r>
        <w:rPr>
          <w:rFonts w:hint="eastAsia"/>
          <w:color w:val="auto"/>
          <w:highlight w:val="none"/>
        </w:rPr>
        <w:t>五、</w:t>
      </w:r>
      <w:bookmarkEnd w:id="118"/>
      <w:bookmarkEnd w:id="119"/>
      <w:bookmarkEnd w:id="120"/>
      <w:bookmarkEnd w:id="121"/>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2" w:name="_Toc353785303"/>
      <w:bookmarkStart w:id="123" w:name="_Toc35270043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2"/>
      <w:bookmarkEnd w:id="123"/>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2"/>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2"/>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2"/>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2"/>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w:t>
      </w:r>
      <w:r>
        <w:rPr>
          <w:rFonts w:hint="eastAsia" w:hAnsi="宋体"/>
          <w:bCs/>
          <w:color w:val="auto"/>
          <w:highlight w:val="none"/>
          <w:lang w:eastAsia="zh-CN"/>
        </w:rPr>
        <w:t>（</w:t>
      </w:r>
      <w:r>
        <w:rPr>
          <w:rFonts w:hint="eastAsia" w:hAnsi="宋体"/>
          <w:bCs/>
          <w:color w:val="auto"/>
          <w:highlight w:val="none"/>
          <w:lang w:val="en-US" w:eastAsia="zh-CN"/>
        </w:rPr>
        <w:t>负责人</w:t>
      </w:r>
      <w:r>
        <w:rPr>
          <w:rFonts w:hint="eastAsia" w:hAnsi="宋体"/>
          <w:bCs/>
          <w:color w:val="auto"/>
          <w:highlight w:val="none"/>
          <w:lang w:eastAsia="zh-CN"/>
        </w:rPr>
        <w:t>）</w:t>
      </w:r>
      <w:r>
        <w:rPr>
          <w:rFonts w:hint="eastAsia" w:hAnsi="宋体"/>
          <w:bCs/>
          <w:color w:val="auto"/>
          <w:highlight w:val="none"/>
        </w:rPr>
        <w:t>或授权代表签名或者加盖公章。由授权代表签名的，应当附法定代表人</w:t>
      </w:r>
      <w:r>
        <w:rPr>
          <w:rFonts w:hint="eastAsia" w:hAnsi="宋体"/>
          <w:bCs/>
          <w:color w:val="auto"/>
          <w:highlight w:val="none"/>
          <w:lang w:eastAsia="zh-CN"/>
        </w:rPr>
        <w:t>（</w:t>
      </w:r>
      <w:r>
        <w:rPr>
          <w:rFonts w:hint="eastAsia" w:hAnsi="宋体"/>
          <w:bCs/>
          <w:color w:val="auto"/>
          <w:highlight w:val="none"/>
          <w:lang w:val="en-US" w:eastAsia="zh-CN"/>
        </w:rPr>
        <w:t>负责人</w:t>
      </w:r>
      <w:r>
        <w:rPr>
          <w:rFonts w:hint="eastAsia" w:hAnsi="宋体"/>
          <w:bCs/>
          <w:color w:val="auto"/>
          <w:highlight w:val="none"/>
          <w:lang w:eastAsia="zh-CN"/>
        </w:rPr>
        <w:t>）</w:t>
      </w:r>
      <w:r>
        <w:rPr>
          <w:rFonts w:hint="eastAsia" w:hAnsi="宋体"/>
          <w:bCs/>
          <w:color w:val="auto"/>
          <w:highlight w:val="none"/>
        </w:rPr>
        <w:t>授权书。供应商为自然人的，应当由本人签名并附身份证明。逾时不提交的，视同退出磋商。</w:t>
      </w:r>
    </w:p>
    <w:p>
      <w:pPr>
        <w:pStyle w:val="22"/>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4" w:name="_Hlk101270484"/>
      <w:r>
        <w:rPr>
          <w:rFonts w:hint="eastAsia"/>
          <w:color w:val="auto"/>
          <w:highlight w:val="none"/>
        </w:rPr>
        <w:t>市场竞争不充分的科研项目，以及需要扶持的科技成果转化项目</w:t>
      </w:r>
      <w:bookmarkEnd w:id="124"/>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color w:val="auto"/>
          <w:highlight w:val="none"/>
        </w:rPr>
        <w:t>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2"/>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5" w:name="_Hlk92462362"/>
      <w:r>
        <w:rPr>
          <w:rFonts w:hint="eastAsia" w:hAnsi="宋体"/>
          <w:bCs/>
          <w:color w:val="auto"/>
          <w:highlight w:val="none"/>
        </w:rPr>
        <w:t>澄清、说明或者更正</w:t>
      </w:r>
      <w:bookmarkEnd w:id="125"/>
      <w:r>
        <w:rPr>
          <w:rFonts w:hint="eastAsia" w:hAnsi="宋体"/>
          <w:bCs/>
          <w:color w:val="auto"/>
          <w:highlight w:val="none"/>
        </w:rPr>
        <w:t>。供应商的澄清、说明或者更正不得超出响应文件的范围或者改变响应文件的实质性内容。</w:t>
      </w:r>
    </w:p>
    <w:p>
      <w:pPr>
        <w:pStyle w:val="22"/>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w:t>
      </w:r>
      <w:r>
        <w:rPr>
          <w:rFonts w:hint="eastAsia" w:hAnsi="宋体"/>
          <w:bCs/>
          <w:color w:val="auto"/>
          <w:highlight w:val="none"/>
          <w:lang w:eastAsia="zh-CN"/>
        </w:rPr>
        <w:t>（</w:t>
      </w:r>
      <w:r>
        <w:rPr>
          <w:rFonts w:hint="eastAsia" w:hAnsi="宋体"/>
          <w:bCs/>
          <w:color w:val="auto"/>
          <w:highlight w:val="none"/>
          <w:lang w:val="en-US" w:eastAsia="zh-CN"/>
        </w:rPr>
        <w:t>负责人</w:t>
      </w:r>
      <w:r>
        <w:rPr>
          <w:rFonts w:hint="eastAsia" w:hAnsi="宋体"/>
          <w:bCs/>
          <w:color w:val="auto"/>
          <w:highlight w:val="none"/>
          <w:lang w:eastAsia="zh-CN"/>
        </w:rPr>
        <w:t>）</w:t>
      </w:r>
      <w:r>
        <w:rPr>
          <w:rFonts w:hint="eastAsia" w:hAnsi="宋体"/>
          <w:bCs/>
          <w:color w:val="auto"/>
          <w:highlight w:val="none"/>
        </w:rPr>
        <w:t>或其授权代表签名或者加盖公章。由授权代表签名的，应当附法定代表人</w:t>
      </w:r>
      <w:r>
        <w:rPr>
          <w:rFonts w:hint="eastAsia" w:hAnsi="宋体"/>
          <w:bCs/>
          <w:color w:val="auto"/>
          <w:highlight w:val="none"/>
          <w:lang w:eastAsia="zh-CN"/>
        </w:rPr>
        <w:t>（</w:t>
      </w:r>
      <w:r>
        <w:rPr>
          <w:rFonts w:hint="eastAsia" w:hAnsi="宋体"/>
          <w:bCs/>
          <w:color w:val="auto"/>
          <w:highlight w:val="none"/>
          <w:lang w:val="en-US" w:eastAsia="zh-CN"/>
        </w:rPr>
        <w:t>负责人</w:t>
      </w:r>
      <w:r>
        <w:rPr>
          <w:rFonts w:hint="eastAsia" w:hAnsi="宋体"/>
          <w:bCs/>
          <w:color w:val="auto"/>
          <w:highlight w:val="none"/>
          <w:lang w:eastAsia="zh-CN"/>
        </w:rPr>
        <w:t>）</w:t>
      </w:r>
      <w:r>
        <w:rPr>
          <w:rFonts w:hint="eastAsia" w:hAnsi="宋体"/>
          <w:bCs/>
          <w:color w:val="auto"/>
          <w:highlight w:val="none"/>
        </w:rPr>
        <w:t>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2"/>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2"/>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2"/>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2"/>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2"/>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2"/>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4"/>
        <w:spacing w:line="406" w:lineRule="exact"/>
        <w:rPr>
          <w:color w:val="auto"/>
          <w:highlight w:val="none"/>
        </w:rPr>
      </w:pPr>
      <w:r>
        <w:rPr>
          <w:rFonts w:hint="eastAsia"/>
          <w:color w:val="auto"/>
          <w:highlight w:val="none"/>
        </w:rPr>
        <w:t>六、确定成交供应商</w:t>
      </w:r>
    </w:p>
    <w:p>
      <w:pPr>
        <w:pStyle w:val="22"/>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2"/>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4"/>
        <w:spacing w:line="406" w:lineRule="exact"/>
        <w:rPr>
          <w:color w:val="auto"/>
          <w:highlight w:val="none"/>
        </w:rPr>
      </w:pPr>
      <w:r>
        <w:rPr>
          <w:rFonts w:hint="eastAsia"/>
          <w:color w:val="auto"/>
          <w:highlight w:val="none"/>
        </w:rPr>
        <w:t>七、结果公告</w:t>
      </w:r>
    </w:p>
    <w:p>
      <w:pPr>
        <w:pStyle w:val="22"/>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4"/>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6"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6"/>
    <w:p>
      <w:pPr>
        <w:pStyle w:val="4"/>
        <w:spacing w:line="406" w:lineRule="exact"/>
        <w:rPr>
          <w:color w:val="auto"/>
          <w:highlight w:val="none"/>
        </w:rPr>
      </w:pPr>
      <w:bookmarkStart w:id="127" w:name="_十、其他事项"/>
      <w:bookmarkEnd w:id="127"/>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28" w:name="_Hlk94168058"/>
      <w:r>
        <w:rPr>
          <w:rFonts w:hint="eastAsia" w:hAnsi="宋体"/>
          <w:color w:val="auto"/>
          <w:highlight w:val="none"/>
        </w:rPr>
        <w:t>（一）</w:t>
      </w:r>
      <w:bookmarkEnd w:id="128"/>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7"/>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2"/>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2"/>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2"/>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29"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w:t>
      </w:r>
      <w:r>
        <w:rPr>
          <w:rFonts w:hint="eastAsia"/>
          <w:color w:val="auto"/>
          <w:highlight w:val="none"/>
        </w:rPr>
        <w:t xml:space="preserve">陈启梅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29"/>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3"/>
        <w:spacing w:line="400" w:lineRule="exact"/>
        <w:rPr>
          <w:rFonts w:hint="eastAsia" w:ascii="方正小标宋_GBK" w:hAnsi="宋体" w:eastAsia="方正小标宋_GBK"/>
          <w:color w:val="auto"/>
          <w:highlight w:val="none"/>
        </w:rPr>
      </w:pPr>
      <w:bookmarkStart w:id="130" w:name="_第四章__评定标准及推荐原则"/>
      <w:bookmarkEnd w:id="130"/>
      <w:bookmarkStart w:id="131" w:name="_Toc92355026"/>
      <w:r>
        <w:rPr>
          <w:rFonts w:hint="eastAsia" w:ascii="方正小标宋_GBK" w:hAnsi="宋体" w:eastAsia="方正小标宋_GBK"/>
          <w:color w:val="auto"/>
          <w:highlight w:val="none"/>
        </w:rPr>
        <w:t>第四章  评定标准及推荐原则</w:t>
      </w:r>
      <w:bookmarkEnd w:id="131"/>
    </w:p>
    <w:p>
      <w:pPr>
        <w:pStyle w:val="22"/>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2"/>
        <w:spacing w:line="500" w:lineRule="exact"/>
        <w:jc w:val="center"/>
        <w:rPr>
          <w:rFonts w:hint="eastAsia" w:hAnsi="宋体"/>
          <w:b/>
          <w:bCs/>
          <w:color w:val="auto"/>
          <w:sz w:val="44"/>
          <w:szCs w:val="44"/>
          <w:highlight w:val="none"/>
        </w:rPr>
      </w:pPr>
      <w:bookmarkStart w:id="132" w:name="_Hlk92463826"/>
      <w:r>
        <w:rPr>
          <w:rFonts w:hint="eastAsia" w:hAnsi="宋体"/>
          <w:b/>
          <w:bCs/>
          <w:color w:val="auto"/>
          <w:sz w:val="44"/>
          <w:szCs w:val="44"/>
          <w:highlight w:val="none"/>
        </w:rPr>
        <w:t>评定标准及推荐原则</w:t>
      </w:r>
    </w:p>
    <w:bookmarkEnd w:id="132"/>
    <w:p>
      <w:pPr>
        <w:rPr>
          <w:color w:val="auto"/>
          <w:highlight w:val="none"/>
        </w:rPr>
      </w:pPr>
    </w:p>
    <w:p>
      <w:pPr>
        <w:pStyle w:val="22"/>
        <w:spacing w:line="460" w:lineRule="exact"/>
        <w:rPr>
          <w:rFonts w:hint="eastAsia" w:hAnsi="宋体"/>
          <w:b/>
          <w:bCs/>
          <w:color w:val="auto"/>
          <w:highlight w:val="none"/>
        </w:rPr>
      </w:pPr>
      <w:r>
        <w:rPr>
          <w:rFonts w:hint="eastAsia" w:hAnsi="宋体"/>
          <w:b/>
          <w:bCs/>
          <w:color w:val="auto"/>
          <w:highlight w:val="none"/>
        </w:rPr>
        <w:t>一、评审原则</w:t>
      </w:r>
    </w:p>
    <w:p>
      <w:pPr>
        <w:pStyle w:val="22"/>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2"/>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3" w:name="_Hlk89353643"/>
      <w:r>
        <w:rPr>
          <w:rFonts w:hint="eastAsia" w:hAnsi="宋体"/>
          <w:bCs/>
          <w:color w:val="auto"/>
          <w:highlight w:val="none"/>
        </w:rPr>
        <w:t>由采购人代表和评审专家共3人以上单数组成，其中评审专家人数不得少于磋商小组成员总数的2/3。</w:t>
      </w:r>
      <w:bookmarkEnd w:id="133"/>
    </w:p>
    <w:p>
      <w:pPr>
        <w:pStyle w:val="22"/>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2"/>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b/>
          <w:bCs/>
          <w:color w:val="auto"/>
          <w:highlight w:val="none"/>
        </w:rPr>
      </w:pPr>
      <w:r>
        <w:rPr>
          <w:rFonts w:hint="eastAsia"/>
          <w:b/>
          <w:bCs/>
          <w:color w:val="auto"/>
          <w:highlight w:val="none"/>
        </w:rPr>
        <w:t>（一）磋商报价得分（</w:t>
      </w:r>
      <w:r>
        <w:rPr>
          <w:rFonts w:hint="eastAsia"/>
          <w:b/>
          <w:bCs/>
          <w:color w:val="auto"/>
          <w:highlight w:val="none"/>
          <w:lang w:val="en-US" w:eastAsia="zh-CN"/>
        </w:rPr>
        <w:t>30</w:t>
      </w:r>
      <w:r>
        <w:rPr>
          <w:rFonts w:hint="eastAsia"/>
          <w:b/>
          <w:bCs/>
          <w:color w:val="auto"/>
          <w:highlight w:val="none"/>
        </w:rPr>
        <w:t>分）</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满足磋商文件要求且最后报价最低的供应商的价格为磋商基准价，其价格分为满分。其他供应商的价格分统一按照下列公式计算：</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磋商报价得分=（磋商基准价/最后</w:t>
      </w:r>
      <w:r>
        <w:rPr>
          <w:rFonts w:hint="eastAsia" w:ascii="宋体" w:hAnsi="宋体" w:cs="Courier New"/>
          <w:color w:val="auto"/>
          <w:szCs w:val="21"/>
          <w:highlight w:val="none"/>
        </w:rPr>
        <w:t>磋商</w:t>
      </w:r>
      <w:r>
        <w:rPr>
          <w:rFonts w:ascii="宋体" w:hAnsi="宋体" w:cs="Courier New"/>
          <w:color w:val="auto"/>
          <w:szCs w:val="21"/>
          <w:highlight w:val="none"/>
        </w:rPr>
        <w:t>报价）×</w:t>
      </w:r>
      <w:r>
        <w:rPr>
          <w:rFonts w:hint="eastAsia" w:ascii="宋体" w:hAnsi="宋体" w:cs="Courier New"/>
          <w:color w:val="auto"/>
          <w:szCs w:val="21"/>
          <w:highlight w:val="none"/>
          <w:lang w:val="en-US" w:eastAsia="zh-CN"/>
        </w:rPr>
        <w:t>30</w:t>
      </w:r>
      <w:r>
        <w:rPr>
          <w:rFonts w:hint="eastAsia" w:ascii="宋体" w:hAnsi="宋体" w:cs="Courier New"/>
          <w:color w:val="auto"/>
          <w:szCs w:val="21"/>
          <w:highlight w:val="none"/>
        </w:rPr>
        <w:t>分</w:t>
      </w:r>
    </w:p>
    <w:p>
      <w:pPr>
        <w:widowControl/>
        <w:spacing w:line="500" w:lineRule="exact"/>
        <w:ind w:firstLine="42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注：</w:t>
      </w:r>
    </w:p>
    <w:p>
      <w:pPr>
        <w:widowControl/>
        <w:spacing w:line="500"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提供的</w:t>
      </w:r>
      <w:r>
        <w:rPr>
          <w:rFonts w:hint="eastAsia" w:ascii="宋体" w:hAnsi="宋体" w:cs="Courier New"/>
          <w:color w:val="auto"/>
          <w:szCs w:val="21"/>
          <w:highlight w:val="none"/>
          <w:lang w:val="en-US" w:eastAsia="zh-CN"/>
        </w:rPr>
        <w:t>服务</w:t>
      </w:r>
      <w:r>
        <w:rPr>
          <w:rFonts w:hint="eastAsia" w:ascii="宋体" w:hAnsi="宋体" w:cs="Courier New"/>
          <w:color w:val="auto"/>
          <w:szCs w:val="21"/>
          <w:highlight w:val="none"/>
        </w:rPr>
        <w:t>符合《政府采购促进中小企业发展管理办法》（财库﹝2020﹞46号）规定，并在</w:t>
      </w:r>
      <w:r>
        <w:rPr>
          <w:rFonts w:hint="eastAsia" w:ascii="宋体" w:hAnsi="宋体" w:cs="Courier New"/>
          <w:color w:val="auto"/>
          <w:szCs w:val="21"/>
          <w:highlight w:val="none"/>
          <w:lang w:val="en-US" w:eastAsia="zh-CN"/>
        </w:rPr>
        <w:t>响应</w:t>
      </w:r>
      <w:r>
        <w:rPr>
          <w:rFonts w:hint="eastAsia" w:ascii="宋体" w:hAnsi="宋体" w:cs="Courier New"/>
          <w:color w:val="auto"/>
          <w:szCs w:val="21"/>
          <w:highlight w:val="none"/>
        </w:rPr>
        <w:t>文件中提供《中小企业声明函》（格式见第六章，</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须对声明的真实性负责）。评审中将对小微型企业报价给予</w:t>
      </w:r>
      <w:r>
        <w:rPr>
          <w:rFonts w:ascii="宋体" w:hAnsi="宋体" w:cs="Courier New"/>
          <w:color w:val="auto"/>
          <w:szCs w:val="21"/>
          <w:highlight w:val="none"/>
        </w:rPr>
        <w:t>2</w:t>
      </w:r>
      <w:r>
        <w:rPr>
          <w:rFonts w:hint="eastAsia" w:ascii="宋体" w:hAnsi="宋体" w:cs="Courier New"/>
          <w:color w:val="auto"/>
          <w:szCs w:val="21"/>
          <w:highlight w:val="none"/>
        </w:rPr>
        <w:t>0%的扣除，扣除后的价格为评标价。</w:t>
      </w:r>
    </w:p>
    <w:p>
      <w:pPr>
        <w:widowControl/>
        <w:spacing w:line="500"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highlight w:val="none"/>
        </w:rPr>
      </w:pPr>
      <w:bookmarkStart w:id="134" w:name="_Hlk93484329"/>
      <w:r>
        <w:rPr>
          <w:rFonts w:hint="eastAsia" w:ascii="Calibri" w:hAnsi="宋体" w:cs="Courier New"/>
          <w:color w:val="auto"/>
          <w:highlight w:val="none"/>
          <w:lang w:eastAsia="zh-CN"/>
        </w:rPr>
        <w:t>供应商</w:t>
      </w:r>
      <w:r>
        <w:rPr>
          <w:rFonts w:hint="eastAsia" w:hAnsi="宋体" w:cs="Courier New"/>
          <w:color w:val="auto"/>
          <w:highlight w:val="none"/>
        </w:rPr>
        <w:t>获得政策性价格扣除的，评标价=</w:t>
      </w:r>
      <w:r>
        <w:rPr>
          <w:rFonts w:hint="eastAsia" w:hAnsi="宋体" w:cs="Courier New"/>
          <w:color w:val="auto"/>
          <w:highlight w:val="none"/>
          <w:lang w:val="en-US" w:eastAsia="zh-CN"/>
        </w:rPr>
        <w:t>供应商最后磋商</w:t>
      </w:r>
      <w:r>
        <w:rPr>
          <w:rFonts w:hint="eastAsia" w:hAnsi="宋体" w:cs="Courier New"/>
          <w:color w:val="auto"/>
          <w:highlight w:val="none"/>
        </w:rPr>
        <w:t>报价×（1-</w:t>
      </w:r>
      <w:r>
        <w:rPr>
          <w:rFonts w:hAnsi="宋体" w:cs="Courier New"/>
          <w:color w:val="auto"/>
          <w:highlight w:val="none"/>
        </w:rPr>
        <w:t>2</w:t>
      </w:r>
      <w:r>
        <w:rPr>
          <w:rFonts w:hint="eastAsia" w:hAnsi="宋体" w:cs="Courier New"/>
          <w:color w:val="auto"/>
          <w:highlight w:val="none"/>
        </w:rPr>
        <w:t>0%），否则评标价=</w:t>
      </w:r>
      <w:r>
        <w:rPr>
          <w:rFonts w:hint="eastAsia" w:hAnsi="宋体" w:cs="Courier New"/>
          <w:color w:val="auto"/>
          <w:highlight w:val="none"/>
          <w:lang w:val="en-US" w:eastAsia="zh-CN"/>
        </w:rPr>
        <w:t>供应商最后磋商</w:t>
      </w:r>
      <w:r>
        <w:rPr>
          <w:rFonts w:hint="eastAsia" w:hAnsi="宋体" w:cs="Courier New"/>
          <w:color w:val="auto"/>
          <w:highlight w:val="none"/>
        </w:rPr>
        <w:t>报价。满足招标文件全部实质性要求的</w:t>
      </w:r>
      <w:r>
        <w:rPr>
          <w:rFonts w:hint="eastAsia" w:hAnsi="宋体" w:cs="Courier New"/>
          <w:color w:val="auto"/>
          <w:highlight w:val="none"/>
          <w:lang w:eastAsia="zh-CN"/>
        </w:rPr>
        <w:t>供应商</w:t>
      </w:r>
      <w:r>
        <w:rPr>
          <w:rFonts w:hint="eastAsia" w:hAnsi="宋体" w:cs="Courier New"/>
          <w:color w:val="auto"/>
          <w:highlight w:val="none"/>
        </w:rPr>
        <w:t>最低评标价为</w:t>
      </w:r>
      <w:r>
        <w:rPr>
          <w:rFonts w:hint="eastAsia" w:hAnsi="宋体" w:cs="Courier New"/>
          <w:color w:val="auto"/>
          <w:highlight w:val="none"/>
          <w:lang w:val="en-US" w:eastAsia="zh-CN"/>
        </w:rPr>
        <w:t>磋商</w:t>
      </w:r>
      <w:r>
        <w:rPr>
          <w:rFonts w:hint="eastAsia" w:hAnsi="宋体" w:cs="Courier New"/>
          <w:color w:val="auto"/>
          <w:highlight w:val="none"/>
        </w:rPr>
        <w:t>基准价。</w:t>
      </w:r>
      <w:r>
        <w:rPr>
          <w:rFonts w:hint="eastAsia" w:ascii="Calibri" w:hAnsi="宋体" w:cs="Courier New"/>
          <w:color w:val="auto"/>
          <w:highlight w:val="none"/>
        </w:rPr>
        <w:t>评标价仅作评标时使用，</w:t>
      </w:r>
      <w:r>
        <w:rPr>
          <w:rFonts w:hint="eastAsia" w:ascii="Calibri" w:hAnsi="宋体" w:cs="Courier New"/>
          <w:color w:val="auto"/>
          <w:highlight w:val="none"/>
          <w:lang w:val="en-US" w:eastAsia="zh-CN"/>
        </w:rPr>
        <w:t>成交</w:t>
      </w:r>
      <w:r>
        <w:rPr>
          <w:rFonts w:hint="eastAsia" w:ascii="Calibri" w:hAnsi="宋体" w:cs="Courier New"/>
          <w:color w:val="auto"/>
          <w:highlight w:val="none"/>
        </w:rPr>
        <w:t>金额＝</w:t>
      </w:r>
      <w:r>
        <w:rPr>
          <w:rFonts w:hint="eastAsia" w:ascii="Calibri" w:hAnsi="宋体" w:cs="Courier New"/>
          <w:color w:val="auto"/>
          <w:highlight w:val="none"/>
          <w:lang w:val="en-US" w:eastAsia="zh-CN"/>
        </w:rPr>
        <w:t>磋商</w:t>
      </w:r>
      <w:r>
        <w:rPr>
          <w:rFonts w:hint="eastAsia" w:ascii="Calibri" w:hAnsi="宋体" w:cs="Courier New"/>
          <w:color w:val="auto"/>
          <w:highlight w:val="none"/>
        </w:rPr>
        <w:t>报价</w:t>
      </w:r>
      <w:r>
        <w:rPr>
          <w:rFonts w:hint="eastAsia" w:hAnsi="宋体" w:cs="Courier New"/>
          <w:color w:val="auto"/>
          <w:highlight w:val="none"/>
        </w:rPr>
        <w:t>。</w:t>
      </w:r>
      <w:bookmarkEnd w:id="134"/>
    </w:p>
    <w:p>
      <w:pPr>
        <w:spacing w:line="460" w:lineRule="exact"/>
        <w:ind w:firstLine="211" w:firstLineChars="100"/>
        <w:rPr>
          <w:rFonts w:ascii="宋体" w:cs="Courier New"/>
          <w:b/>
          <w:bCs/>
          <w:szCs w:val="21"/>
          <w:highlight w:val="none"/>
        </w:rPr>
      </w:pPr>
      <w:r>
        <w:rPr>
          <w:rFonts w:hint="eastAsia" w:ascii="宋体" w:cs="Courier New"/>
          <w:b/>
          <w:bCs/>
          <w:szCs w:val="21"/>
          <w:highlight w:val="none"/>
        </w:rPr>
        <w:t>（二）商务技术分</w:t>
      </w:r>
      <w:r>
        <w:rPr>
          <w:rFonts w:hint="eastAsia"/>
          <w:b/>
          <w:bCs/>
          <w:highlight w:val="none"/>
        </w:rPr>
        <w:t>（</w:t>
      </w:r>
      <w:r>
        <w:rPr>
          <w:rFonts w:hint="eastAsia"/>
          <w:b/>
          <w:bCs/>
          <w:highlight w:val="none"/>
          <w:lang w:val="en-US" w:eastAsia="zh-CN"/>
        </w:rPr>
        <w:t>7</w:t>
      </w:r>
      <w:r>
        <w:rPr>
          <w:rFonts w:hint="eastAsia"/>
          <w:b/>
          <w:bCs/>
          <w:highlight w:val="none"/>
        </w:rPr>
        <w:t>0分）</w:t>
      </w:r>
    </w:p>
    <w:p>
      <w:pPr>
        <w:pStyle w:val="22"/>
        <w:spacing w:line="460" w:lineRule="exact"/>
        <w:ind w:firstLine="420"/>
        <w:rPr>
          <w:highlight w:val="none"/>
        </w:rPr>
      </w:pPr>
      <w:r>
        <w:rPr>
          <w:rFonts w:hint="eastAsia"/>
          <w:highlight w:val="none"/>
        </w:rPr>
        <w:t>1、性能参数分………………………………………………</w:t>
      </w:r>
      <w:r>
        <w:rPr>
          <w:rFonts w:hint="eastAsia"/>
          <w:highlight w:val="none"/>
          <w:lang w:val="en-US" w:eastAsia="zh-CN"/>
        </w:rPr>
        <w:t>10</w:t>
      </w:r>
      <w:r>
        <w:rPr>
          <w:rFonts w:hint="eastAsia"/>
          <w:highlight w:val="none"/>
        </w:rPr>
        <w:t>分</w:t>
      </w:r>
    </w:p>
    <w:p>
      <w:pPr>
        <w:pStyle w:val="22"/>
        <w:spacing w:line="460" w:lineRule="exact"/>
        <w:ind w:firstLine="420"/>
        <w:rPr>
          <w:rFonts w:hint="default" w:eastAsia="宋体"/>
          <w:highlight w:val="none"/>
          <w:lang w:val="en-US" w:eastAsia="zh-CN"/>
        </w:rPr>
      </w:pPr>
      <w:r>
        <w:rPr>
          <w:highlight w:val="none"/>
        </w:rPr>
        <w:t>《项目需求一览表》中</w:t>
      </w:r>
      <w:r>
        <w:rPr>
          <w:rFonts w:hint="eastAsia" w:hAnsi="宋体"/>
          <w:bCs/>
          <w:highlight w:val="none"/>
        </w:rPr>
        <w:t>标注▲号</w:t>
      </w:r>
      <w:r>
        <w:rPr>
          <w:highlight w:val="none"/>
        </w:rPr>
        <w:t>内容为本系统的重要技术指标、功能项，</w:t>
      </w:r>
      <w:r>
        <w:rPr>
          <w:rFonts w:hint="eastAsia"/>
          <w:highlight w:val="none"/>
          <w:lang w:val="en-US" w:eastAsia="zh-CN"/>
        </w:rPr>
        <w:t>须</w:t>
      </w:r>
      <w:r>
        <w:rPr>
          <w:rFonts w:hint="eastAsia"/>
          <w:lang w:val="en-US" w:eastAsia="zh-CN"/>
        </w:rPr>
        <w:t>提供包括但不限于国家认可的三方认证(检测)机构出具的测试报告或厂家证明并加盖供应商公章。每有一项得2分，满分10分。</w:t>
      </w:r>
    </w:p>
    <w:p>
      <w:pPr>
        <w:spacing w:line="460" w:lineRule="exact"/>
        <w:rPr>
          <w:rFonts w:hint="eastAsia"/>
          <w:highlight w:val="none"/>
        </w:rPr>
      </w:pPr>
      <w:r>
        <w:rPr>
          <w:rFonts w:hint="eastAsia"/>
          <w:highlight w:val="none"/>
        </w:rPr>
        <w:t>2、技术方案分  ……………………………………………15分</w:t>
      </w:r>
    </w:p>
    <w:p>
      <w:pPr>
        <w:spacing w:line="460" w:lineRule="exact"/>
        <w:rPr>
          <w:rFonts w:hint="eastAsia"/>
          <w:highlight w:val="none"/>
        </w:rPr>
      </w:pPr>
      <w:r>
        <w:rPr>
          <w:rFonts w:hint="eastAsia"/>
          <w:highlight w:val="none"/>
        </w:rPr>
        <w:t>评委根据供应商提供的技术方案优劣，独立打分。</w:t>
      </w:r>
    </w:p>
    <w:p>
      <w:pPr>
        <w:spacing w:line="460" w:lineRule="exact"/>
        <w:rPr>
          <w:rFonts w:hint="eastAsia"/>
          <w:highlight w:val="none"/>
        </w:rPr>
      </w:pPr>
      <w:r>
        <w:rPr>
          <w:rFonts w:hint="eastAsia"/>
          <w:highlight w:val="none"/>
        </w:rPr>
        <w:t>一档（5分）：供应商有对项目建设背景、现状、需求分析，建设目标、总体架构、总体部署等认识与理解，有技术方案且描述满足招标文件要求的；</w:t>
      </w:r>
    </w:p>
    <w:p>
      <w:pPr>
        <w:spacing w:line="460" w:lineRule="exact"/>
        <w:rPr>
          <w:rFonts w:hint="eastAsia"/>
          <w:highlight w:val="none"/>
        </w:rPr>
      </w:pPr>
      <w:r>
        <w:rPr>
          <w:rFonts w:hint="eastAsia"/>
          <w:highlight w:val="none"/>
        </w:rPr>
        <w:t>二档（10分）：在满足一档的基础上，供应商应有对分布式数据库软件、流处理软件及视频图像融合接入网关等核心产品的系统架构、流程、功能方案描述，内容完善，提供分布式数据库软件、流处理软件及视频图像融合接入网关等系统介绍材料，方案完整、项目技术方案可落地，能够完全满足招标文件的功能要求、性能要求；</w:t>
      </w:r>
    </w:p>
    <w:p>
      <w:pPr>
        <w:spacing w:line="460" w:lineRule="exact"/>
        <w:rPr>
          <w:rFonts w:hint="eastAsia"/>
          <w:highlight w:val="none"/>
        </w:rPr>
      </w:pPr>
      <w:r>
        <w:rPr>
          <w:rFonts w:hint="eastAsia"/>
          <w:highlight w:val="none"/>
        </w:rPr>
        <w:t>三档（15分）：在满足二档的基础上，提供详细的数据迁移及系统调试技术方案，涵盖集指平台数据库、集指APP、二次识别等内容，对迁移回退问题、系统优化等内容详细描述，能充分考虑到项目的具体情况并采取针对性措施，方法合理、完整、具有可操作性。</w:t>
      </w:r>
    </w:p>
    <w:p>
      <w:pPr>
        <w:spacing w:line="460" w:lineRule="exact"/>
        <w:rPr>
          <w:rFonts w:hint="eastAsia"/>
          <w:highlight w:val="none"/>
        </w:rPr>
      </w:pPr>
      <w:r>
        <w:rPr>
          <w:rFonts w:hint="eastAsia"/>
          <w:highlight w:val="none"/>
        </w:rPr>
        <w:t>3、项目实施分…………………………………………………10分</w:t>
      </w:r>
    </w:p>
    <w:p>
      <w:pPr>
        <w:spacing w:line="460" w:lineRule="exact"/>
        <w:rPr>
          <w:rFonts w:hint="eastAsia"/>
          <w:highlight w:val="none"/>
        </w:rPr>
      </w:pPr>
      <w:r>
        <w:rPr>
          <w:rFonts w:hint="eastAsia"/>
          <w:highlight w:val="none"/>
        </w:rPr>
        <w:t>评委根据供应商提供的实施方案优劣，独立打分。</w:t>
      </w:r>
    </w:p>
    <w:p>
      <w:pPr>
        <w:spacing w:line="460" w:lineRule="exact"/>
        <w:rPr>
          <w:rFonts w:hint="eastAsia"/>
          <w:highlight w:val="none"/>
        </w:rPr>
      </w:pPr>
      <w:r>
        <w:rPr>
          <w:rFonts w:hint="eastAsia"/>
          <w:highlight w:val="none"/>
        </w:rPr>
        <w:t>一档（5分）：供应商提供的项目实施方案，有对本项目的理解、项目实施计划、技术人员安排表述，方案包含项目实施班组介绍、实施进度计划表、实施保障措施等基本满足项目要求；</w:t>
      </w:r>
    </w:p>
    <w:p>
      <w:pPr>
        <w:spacing w:line="460" w:lineRule="exact"/>
        <w:rPr>
          <w:rFonts w:hint="eastAsia"/>
          <w:highlight w:val="none"/>
        </w:rPr>
      </w:pPr>
      <w:r>
        <w:rPr>
          <w:rFonts w:hint="eastAsia"/>
          <w:highlight w:val="none"/>
        </w:rPr>
        <w:t>二档（</w:t>
      </w:r>
      <w:r>
        <w:rPr>
          <w:rFonts w:hint="eastAsia"/>
          <w:highlight w:val="none"/>
          <w:lang w:val="en-US" w:eastAsia="zh-CN"/>
        </w:rPr>
        <w:t>10</w:t>
      </w:r>
      <w:r>
        <w:rPr>
          <w:rFonts w:hint="eastAsia"/>
          <w:highlight w:val="none"/>
        </w:rPr>
        <w:t xml:space="preserve">分）：在满足一档的基础上，供应商拟投入实施团队技术人员所具备专业能力的相关说明，如项目管理能力、现场协调能力、自身的技术和国产化适配能力等，与本项目契合度强、服务完整、高效、可实施性强； </w:t>
      </w:r>
    </w:p>
    <w:p>
      <w:pPr>
        <w:spacing w:line="460" w:lineRule="exact"/>
        <w:rPr>
          <w:rFonts w:hint="eastAsia"/>
          <w:highlight w:val="none"/>
        </w:rPr>
      </w:pPr>
      <w:r>
        <w:rPr>
          <w:rFonts w:hint="eastAsia"/>
          <w:highlight w:val="none"/>
        </w:rPr>
        <w:t>4、服务方案分…………………………………………………15分</w:t>
      </w:r>
    </w:p>
    <w:p>
      <w:pPr>
        <w:spacing w:line="460" w:lineRule="exact"/>
        <w:rPr>
          <w:rFonts w:hint="eastAsia"/>
          <w:highlight w:val="none"/>
        </w:rPr>
      </w:pPr>
      <w:r>
        <w:rPr>
          <w:rFonts w:hint="eastAsia"/>
          <w:highlight w:val="none"/>
        </w:rPr>
        <w:t>评标根据投标文件中服务方案优劣，独立打分。</w:t>
      </w:r>
    </w:p>
    <w:p>
      <w:pPr>
        <w:spacing w:line="460" w:lineRule="exact"/>
        <w:rPr>
          <w:rFonts w:hint="eastAsia"/>
          <w:highlight w:val="none"/>
        </w:rPr>
      </w:pPr>
      <w:r>
        <w:rPr>
          <w:rFonts w:hint="eastAsia"/>
          <w:highlight w:val="none"/>
        </w:rPr>
        <w:t>一档（5分）：供应商所提供的项目服务方案可行，服务体系、组织架构、服务人员配置、系统故障响应处理、定期巡检服务基本合理，售后服务响应时间、维修人员到达时间满足招标文件要求。</w:t>
      </w:r>
    </w:p>
    <w:p>
      <w:pPr>
        <w:spacing w:line="460" w:lineRule="exact"/>
        <w:rPr>
          <w:rFonts w:hint="eastAsia"/>
          <w:highlight w:val="none"/>
        </w:rPr>
      </w:pPr>
      <w:r>
        <w:rPr>
          <w:rFonts w:hint="eastAsia"/>
          <w:highlight w:val="none"/>
        </w:rPr>
        <w:t>二档（10分）：在满足一档的基础上，供应商能够充分理解项目服务需求，对集成指挥平台组件产品情况分析合理，有详细且健全的巡检调优、网关常见问题处理、关键组件等服务方法说明。提供智能化运维软件工具，保障项目运维服务质量，提供高效的专业服务工作，需提供智能化运维软件安装、配置等使用说明。</w:t>
      </w:r>
    </w:p>
    <w:p>
      <w:pPr>
        <w:spacing w:line="460" w:lineRule="exact"/>
        <w:rPr>
          <w:rFonts w:hint="eastAsia"/>
          <w:highlight w:val="none"/>
        </w:rPr>
      </w:pPr>
      <w:r>
        <w:rPr>
          <w:rFonts w:hint="eastAsia"/>
          <w:highlight w:val="none"/>
        </w:rPr>
        <w:t>三档（15分）：在满足二档的基础上，供应商所提供的项目服务方案有针对服务内容具体的设计，所提供的服务方案应包含售后服务流程、应急预案及措施、备品备件准备措施、培训服务规划等内容，服务人员兼具总队与支队管理协调经验及产品运维能力，提供运维人员项目服务证明材料和产品服务能力资质证明。</w:t>
      </w:r>
    </w:p>
    <w:p>
      <w:pPr>
        <w:spacing w:line="460" w:lineRule="exact"/>
        <w:rPr>
          <w:rFonts w:hint="eastAsia"/>
          <w:highlight w:val="none"/>
        </w:rPr>
      </w:pPr>
      <w:r>
        <w:rPr>
          <w:rFonts w:hint="eastAsia"/>
          <w:highlight w:val="none"/>
          <w:lang w:val="en-US" w:eastAsia="zh-CN"/>
        </w:rPr>
        <w:t>5</w:t>
      </w:r>
      <w:r>
        <w:rPr>
          <w:rFonts w:hint="eastAsia"/>
          <w:highlight w:val="none"/>
        </w:rPr>
        <w:t>.人员配备……………………………………………………10分</w:t>
      </w:r>
    </w:p>
    <w:p>
      <w:pPr>
        <w:spacing w:line="460" w:lineRule="exact"/>
        <w:ind w:firstLine="420" w:firstLineChars="200"/>
        <w:rPr>
          <w:rFonts w:hint="eastAsia"/>
          <w:highlight w:val="none"/>
        </w:rPr>
      </w:pPr>
      <w:r>
        <w:rPr>
          <w:rFonts w:hint="eastAsia"/>
          <w:highlight w:val="none"/>
          <w:lang w:val="en-US" w:eastAsia="zh-CN"/>
        </w:rPr>
        <w:t>5.1</w:t>
      </w:r>
      <w:r>
        <w:rPr>
          <w:rFonts w:hint="eastAsia"/>
          <w:highlight w:val="none"/>
        </w:rPr>
        <w:t>供应商对本项目拟派遣的项目负责人</w:t>
      </w:r>
      <w:r>
        <w:rPr>
          <w:rFonts w:hint="eastAsia"/>
          <w:highlight w:val="none"/>
          <w:lang w:val="en-US" w:eastAsia="zh-CN"/>
        </w:rPr>
        <w:t>或</w:t>
      </w:r>
      <w:r>
        <w:rPr>
          <w:rFonts w:hint="eastAsia"/>
          <w:highlight w:val="none"/>
        </w:rPr>
        <w:t>技术负责人具有国家人力资源和社会保障部、工业和信息化部颁发的系统集成项目管理类证书中级职称或以上的</w:t>
      </w:r>
      <w:r>
        <w:rPr>
          <w:rFonts w:hint="eastAsia"/>
          <w:highlight w:val="none"/>
          <w:lang w:eastAsia="zh-CN"/>
        </w:rPr>
        <w:t>、</w:t>
      </w:r>
      <w:r>
        <w:rPr>
          <w:rFonts w:hint="eastAsia"/>
          <w:highlight w:val="none"/>
        </w:rPr>
        <w:t>软件设计师和网络工程师证书</w:t>
      </w:r>
      <w:r>
        <w:rPr>
          <w:rFonts w:hint="eastAsia"/>
          <w:highlight w:val="none"/>
          <w:lang w:eastAsia="zh-CN"/>
        </w:rPr>
        <w:t>的</w:t>
      </w:r>
      <w:r>
        <w:rPr>
          <w:rFonts w:hint="eastAsia"/>
          <w:highlight w:val="none"/>
        </w:rPr>
        <w:t>，</w:t>
      </w:r>
      <w:r>
        <w:rPr>
          <w:rFonts w:hint="eastAsia"/>
          <w:highlight w:val="none"/>
          <w:lang w:val="en-US" w:eastAsia="zh-CN"/>
        </w:rPr>
        <w:t>每有1个得1分，满分</w:t>
      </w:r>
      <w:r>
        <w:rPr>
          <w:rFonts w:hint="eastAsia"/>
          <w:highlight w:val="none"/>
        </w:rPr>
        <w:t>3分；</w:t>
      </w:r>
    </w:p>
    <w:p>
      <w:pPr>
        <w:spacing w:line="460" w:lineRule="exact"/>
        <w:ind w:firstLine="420" w:firstLineChars="200"/>
        <w:rPr>
          <w:rFonts w:hint="eastAsia"/>
          <w:highlight w:val="none"/>
        </w:rPr>
      </w:pPr>
      <w:r>
        <w:rPr>
          <w:rFonts w:hint="eastAsia"/>
          <w:highlight w:val="none"/>
          <w:lang w:val="en-US" w:eastAsia="zh-CN"/>
        </w:rPr>
        <w:t>5.2</w:t>
      </w:r>
      <w:r>
        <w:rPr>
          <w:rFonts w:hint="eastAsia"/>
          <w:highlight w:val="none"/>
        </w:rPr>
        <w:t>拟投入本项目的运维负责人具有信息系统运维管理工程师（高级）证书得2分；</w:t>
      </w:r>
    </w:p>
    <w:p>
      <w:pPr>
        <w:spacing w:line="460" w:lineRule="exact"/>
        <w:ind w:firstLine="420" w:firstLineChars="200"/>
        <w:rPr>
          <w:rFonts w:hint="eastAsia"/>
          <w:highlight w:val="none"/>
        </w:rPr>
      </w:pPr>
      <w:r>
        <w:rPr>
          <w:rFonts w:hint="eastAsia"/>
          <w:highlight w:val="none"/>
          <w:lang w:val="en-US" w:eastAsia="zh-CN"/>
        </w:rPr>
        <w:t>5.3</w:t>
      </w:r>
      <w:r>
        <w:rPr>
          <w:rFonts w:hint="eastAsia"/>
          <w:highlight w:val="none"/>
        </w:rPr>
        <w:t>其他拟投入本项目的实施人员具有相关初级职称或以上的</w:t>
      </w:r>
      <w:r>
        <w:rPr>
          <w:rFonts w:hint="eastAsia"/>
          <w:highlight w:val="none"/>
          <w:lang w:eastAsia="zh-CN"/>
        </w:rPr>
        <w:t>，</w:t>
      </w:r>
      <w:r>
        <w:rPr>
          <w:rFonts w:hint="eastAsia"/>
          <w:highlight w:val="none"/>
          <w:lang w:val="en-US" w:eastAsia="zh-CN"/>
        </w:rPr>
        <w:t>每有1个</w:t>
      </w:r>
      <w:r>
        <w:rPr>
          <w:rFonts w:hint="eastAsia"/>
          <w:highlight w:val="none"/>
        </w:rPr>
        <w:t>得</w:t>
      </w:r>
      <w:r>
        <w:rPr>
          <w:rFonts w:hint="eastAsia"/>
          <w:highlight w:val="none"/>
          <w:lang w:val="en-US" w:eastAsia="zh-CN"/>
        </w:rPr>
        <w:t>1</w:t>
      </w:r>
      <w:r>
        <w:rPr>
          <w:rFonts w:hint="eastAsia"/>
          <w:highlight w:val="none"/>
        </w:rPr>
        <w:t>分</w:t>
      </w:r>
      <w:r>
        <w:rPr>
          <w:rFonts w:hint="eastAsia"/>
          <w:highlight w:val="none"/>
          <w:lang w:eastAsia="zh-CN"/>
        </w:rPr>
        <w:t>，</w:t>
      </w:r>
      <w:r>
        <w:rPr>
          <w:rFonts w:hint="eastAsia"/>
          <w:highlight w:val="none"/>
        </w:rPr>
        <w:t>满分</w:t>
      </w:r>
      <w:r>
        <w:rPr>
          <w:rFonts w:hint="eastAsia"/>
          <w:highlight w:val="none"/>
          <w:lang w:val="en-US" w:eastAsia="zh-CN"/>
        </w:rPr>
        <w:t>5</w:t>
      </w:r>
      <w:r>
        <w:rPr>
          <w:rFonts w:hint="eastAsia"/>
          <w:highlight w:val="none"/>
        </w:rPr>
        <w:t>分。</w:t>
      </w:r>
    </w:p>
    <w:p>
      <w:pPr>
        <w:spacing w:line="460" w:lineRule="exact"/>
        <w:ind w:firstLine="420" w:firstLineChars="200"/>
        <w:rPr>
          <w:rFonts w:hint="default" w:eastAsia="宋体"/>
          <w:highlight w:val="none"/>
          <w:lang w:val="en-US" w:eastAsia="zh-CN"/>
        </w:rPr>
      </w:pPr>
      <w:r>
        <w:rPr>
          <w:rFonts w:hint="eastAsia"/>
          <w:highlight w:val="none"/>
          <w:lang w:val="en-US" w:eastAsia="zh-CN"/>
        </w:rPr>
        <w:t>本项满分10分。</w:t>
      </w:r>
    </w:p>
    <w:p>
      <w:pPr>
        <w:spacing w:line="460" w:lineRule="exact"/>
        <w:rPr>
          <w:rFonts w:hint="eastAsia"/>
          <w:highlight w:val="none"/>
        </w:rPr>
      </w:pPr>
      <w:r>
        <w:rPr>
          <w:rFonts w:hint="eastAsia"/>
          <w:highlight w:val="none"/>
          <w:lang w:val="en-US" w:eastAsia="zh-CN"/>
        </w:rPr>
        <w:t>6</w:t>
      </w:r>
      <w:r>
        <w:rPr>
          <w:rFonts w:hint="eastAsia"/>
          <w:highlight w:val="none"/>
        </w:rPr>
        <w:t>.业绩分……………………………………………………10分</w:t>
      </w:r>
    </w:p>
    <w:p>
      <w:pPr>
        <w:spacing w:line="460" w:lineRule="exact"/>
        <w:ind w:firstLine="420" w:firstLineChars="200"/>
        <w:rPr>
          <w:rFonts w:hint="eastAsia"/>
          <w:highlight w:val="none"/>
        </w:rPr>
      </w:pPr>
      <w:bookmarkStart w:id="135" w:name="OLE_LINK10"/>
      <w:r>
        <w:rPr>
          <w:rFonts w:hint="eastAsia"/>
          <w:highlight w:val="none"/>
        </w:rPr>
        <w:t>供应商自2020年以来，</w:t>
      </w:r>
      <w:r>
        <w:rPr>
          <w:rFonts w:hint="eastAsia"/>
          <w:highlight w:val="none"/>
          <w:lang w:val="en-US" w:eastAsia="zh-CN"/>
        </w:rPr>
        <w:t>有类似</w:t>
      </w:r>
      <w:r>
        <w:rPr>
          <w:rFonts w:hint="eastAsia"/>
          <w:highlight w:val="none"/>
        </w:rPr>
        <w:t>项目（公安交通集成指挥平台</w:t>
      </w:r>
      <w:r>
        <w:rPr>
          <w:rFonts w:hint="eastAsia"/>
          <w:highlight w:val="none"/>
          <w:lang w:val="en-US" w:eastAsia="zh-CN"/>
        </w:rPr>
        <w:t>等</w:t>
      </w:r>
      <w:r>
        <w:rPr>
          <w:rFonts w:hint="eastAsia"/>
          <w:highlight w:val="none"/>
        </w:rPr>
        <w:t>）合同</w:t>
      </w:r>
      <w:r>
        <w:rPr>
          <w:rFonts w:hint="eastAsia"/>
          <w:highlight w:val="none"/>
          <w:lang w:eastAsia="zh-CN"/>
        </w:rPr>
        <w:t>的</w:t>
      </w:r>
      <w:r>
        <w:rPr>
          <w:rFonts w:hint="eastAsia"/>
          <w:highlight w:val="none"/>
        </w:rPr>
        <w:t>，每提供一个得2分，最高得10分。(提供合同</w:t>
      </w:r>
      <w:r>
        <w:rPr>
          <w:rFonts w:hint="eastAsia"/>
          <w:highlight w:val="none"/>
          <w:lang w:val="en-US" w:eastAsia="zh-CN"/>
        </w:rPr>
        <w:t>相关内容</w:t>
      </w:r>
      <w:bookmarkStart w:id="155" w:name="_GoBack"/>
      <w:bookmarkEnd w:id="155"/>
      <w:r>
        <w:rPr>
          <w:rFonts w:hint="eastAsia"/>
          <w:highlight w:val="none"/>
          <w:lang w:val="en-US" w:eastAsia="zh-CN"/>
        </w:rPr>
        <w:t>关键页</w:t>
      </w:r>
      <w:r>
        <w:rPr>
          <w:rFonts w:hint="eastAsia"/>
          <w:highlight w:val="none"/>
        </w:rPr>
        <w:t>并加盖公章，否则不得分)。</w:t>
      </w:r>
    </w:p>
    <w:bookmarkEnd w:id="135"/>
    <w:p>
      <w:pPr>
        <w:spacing w:line="460" w:lineRule="exact"/>
        <w:rPr>
          <w:rFonts w:hint="eastAsia" w:ascii="宋体" w:hAnsi="宋体" w:cs="Courier New"/>
          <w:b/>
          <w:bCs/>
          <w:color w:val="auto"/>
          <w:szCs w:val="21"/>
          <w:highlight w:val="none"/>
          <w:lang w:val="en-US" w:eastAsia="zh-CN"/>
        </w:rPr>
      </w:pPr>
      <w:r>
        <w:rPr>
          <w:rFonts w:hint="eastAsia"/>
        </w:rPr>
        <w:t>三、总得分=磋商报价得分+商务技术分</w:t>
      </w:r>
    </w:p>
    <w:p>
      <w:pPr>
        <w:pStyle w:val="22"/>
        <w:spacing w:line="460" w:lineRule="exact"/>
        <w:ind w:firstLine="422" w:firstLineChars="200"/>
        <w:rPr>
          <w:rFonts w:hint="eastAsia" w:hAnsi="宋体"/>
          <w:b/>
          <w:bCs/>
          <w:color w:val="auto"/>
          <w:highlight w:val="none"/>
        </w:rPr>
      </w:pPr>
      <w:r>
        <w:rPr>
          <w:rFonts w:hint="eastAsia"/>
          <w:b/>
          <w:bCs/>
          <w:color w:val="auto"/>
          <w:highlight w:val="none"/>
        </w:rPr>
        <w:t>四</w:t>
      </w:r>
      <w:r>
        <w:rPr>
          <w:rFonts w:hint="eastAsia" w:hAnsi="宋体"/>
          <w:b/>
          <w:bCs/>
          <w:color w:val="auto"/>
          <w:highlight w:val="none"/>
        </w:rPr>
        <w:t>、成交供应商的推荐</w:t>
      </w:r>
    </w:p>
    <w:p>
      <w:pPr>
        <w:pStyle w:val="22"/>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ascii="方正小标宋_GBK" w:eastAsia="方正小标宋_GBK"/>
          <w:color w:val="auto"/>
          <w:highlight w:val="none"/>
        </w:rPr>
      </w:pPr>
      <w:bookmarkStart w:id="136" w:name="_Toc92355027"/>
      <w:r>
        <w:rPr>
          <w:rFonts w:hint="eastAsia" w:ascii="方正小标宋_GBK" w:eastAsia="方正小标宋_GBK"/>
          <w:color w:val="auto"/>
          <w:highlight w:val="none"/>
        </w:rPr>
        <w:t>第五章  合同文本</w:t>
      </w:r>
      <w:bookmarkEnd w:id="136"/>
    </w:p>
    <w:p>
      <w:pPr>
        <w:pStyle w:val="22"/>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2"/>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2"/>
        <w:spacing w:line="500" w:lineRule="exact"/>
        <w:jc w:val="center"/>
        <w:rPr>
          <w:rFonts w:ascii="方正小标宋_GBK" w:hAnsi="宋体" w:eastAsia="方正小标宋_GBK"/>
          <w:color w:val="auto"/>
          <w:sz w:val="48"/>
          <w:szCs w:val="48"/>
          <w:highlight w:val="none"/>
        </w:rPr>
      </w:pPr>
      <w:r>
        <w:rPr>
          <w:rFonts w:hint="eastAsia" w:ascii="方正小标宋_GBK" w:hAnsi="宋体" w:eastAsia="方正小标宋_GBK"/>
          <w:color w:val="auto"/>
          <w:sz w:val="48"/>
          <w:szCs w:val="48"/>
          <w:highlight w:val="none"/>
        </w:rPr>
        <w:t>钦州市政府采购合同</w:t>
      </w:r>
    </w:p>
    <w:p>
      <w:pPr>
        <w:snapToGrid w:val="0"/>
        <w:rPr>
          <w:rFonts w:ascii="宋体" w:hAnsi="宋体"/>
          <w:color w:val="auto"/>
          <w:szCs w:val="21"/>
          <w:highlight w:val="none"/>
        </w:rPr>
      </w:pPr>
    </w:p>
    <w:p>
      <w:pPr>
        <w:snapToGrid w:val="0"/>
        <w:spacing w:before="120" w:line="360" w:lineRule="auto"/>
        <w:ind w:left="6930" w:leftChars="3200" w:right="480" w:hanging="210" w:hangingChars="100"/>
        <w:jc w:val="left"/>
        <w:rPr>
          <w:rFonts w:ascii="宋体" w:hAnsi="宋体" w:eastAsia="宋体" w:cs="Times New Roman"/>
          <w:bCs/>
          <w:color w:val="auto"/>
          <w:szCs w:val="21"/>
          <w:highlight w:val="none"/>
          <w:u w:val="singl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eastAsia="宋体" w:cs="Times New Roman"/>
          <w:bCs/>
          <w:color w:val="auto"/>
          <w:szCs w:val="21"/>
          <w:highlight w:val="none"/>
        </w:rPr>
        <w:t>合同编号：</w:t>
      </w:r>
    </w:p>
    <w:p>
      <w:pPr>
        <w:wordWrap w:val="0"/>
        <w:spacing w:line="360" w:lineRule="auto"/>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项目名称：</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项目编号：</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分标号（有分标时填写）：</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采购单位（甲方）：</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成交供应商（乙方）：</w:t>
      </w:r>
      <w:r>
        <w:rPr>
          <w:rFonts w:hint="eastAsia" w:ascii="宋体" w:hAnsi="宋体" w:eastAsia="宋体" w:cs="Times New Roman"/>
          <w:color w:val="auto"/>
          <w:szCs w:val="20"/>
          <w:highlight w:val="none"/>
          <w:u w:val="single"/>
        </w:rPr>
        <w:t xml:space="preserve">                              </w:t>
      </w:r>
    </w:p>
    <w:p>
      <w:pPr>
        <w:spacing w:line="360" w:lineRule="auto"/>
        <w:ind w:firstLine="420" w:firstLineChars="200"/>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 xml:space="preserve">根据 </w:t>
      </w:r>
      <w:r>
        <w:rPr>
          <w:rFonts w:hint="eastAsia"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项目的采购结果，甲方接受乙方对本项目的竞标，甲、乙双方同意签署本合同（以下简称合同）。</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  采购内容</w:t>
      </w:r>
    </w:p>
    <w:p>
      <w:pPr>
        <w:tabs>
          <w:tab w:val="left" w:pos="5220"/>
        </w:tabs>
        <w:spacing w:line="360" w:lineRule="auto"/>
        <w:ind w:firstLine="420" w:firstLineChars="200"/>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1.1 服务名称：</w:t>
      </w:r>
      <w:r>
        <w:rPr>
          <w:rFonts w:hint="eastAsia" w:ascii="宋体" w:hAnsi="宋体" w:eastAsia="宋体" w:cs="Times New Roman"/>
          <w:color w:val="auto"/>
          <w:szCs w:val="20"/>
          <w:highlight w:val="none"/>
          <w:u w:val="single"/>
        </w:rPr>
        <w:t xml:space="preserve">                        </w:t>
      </w:r>
    </w:p>
    <w:p>
      <w:pPr>
        <w:tabs>
          <w:tab w:val="left" w:pos="522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1.2 数量：</w:t>
      </w:r>
      <w:r>
        <w:rPr>
          <w:rFonts w:hint="eastAsia" w:ascii="宋体" w:hAnsi="宋体" w:eastAsia="宋体" w:cs="Times New Roman"/>
          <w:color w:val="auto"/>
          <w:szCs w:val="20"/>
          <w:highlight w:val="none"/>
          <w:u w:val="single"/>
        </w:rPr>
        <w:t xml:space="preserve">                           </w:t>
      </w:r>
    </w:p>
    <w:p>
      <w:pPr>
        <w:tabs>
          <w:tab w:val="left" w:pos="522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 xml:space="preserve">1.2 </w:t>
      </w:r>
      <w:r>
        <w:rPr>
          <w:rFonts w:hint="eastAsia" w:ascii="宋体" w:hAnsi="Courier New" w:eastAsia="宋体" w:cs="Times New Roman"/>
          <w:color w:val="auto"/>
          <w:szCs w:val="21"/>
          <w:highlight w:val="none"/>
        </w:rPr>
        <w:t>服务内容及要求</w:t>
      </w:r>
      <w:r>
        <w:rPr>
          <w:rFonts w:hint="eastAsia" w:ascii="Times New Roman" w:hAnsi="Times New Roman" w:eastAsia="宋体" w:cs="Times New Roman"/>
          <w:color w:val="auto"/>
          <w:szCs w:val="20"/>
          <w:highlight w:val="none"/>
        </w:rPr>
        <w:t>：</w:t>
      </w:r>
      <w:r>
        <w:rPr>
          <w:rFonts w:hint="eastAsia" w:ascii="宋体" w:hAnsi="宋体" w:eastAsia="宋体" w:cs="Times New Roman"/>
          <w:color w:val="auto"/>
          <w:szCs w:val="20"/>
          <w:highlight w:val="none"/>
          <w:u w:val="single"/>
        </w:rPr>
        <w:t>详见合同附件中技术要求偏离表</w:t>
      </w:r>
    </w:p>
    <w:p>
      <w:pPr>
        <w:tabs>
          <w:tab w:val="left" w:pos="5145"/>
        </w:tabs>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2.  合同金额</w:t>
      </w:r>
    </w:p>
    <w:p>
      <w:pPr>
        <w:spacing w:line="360" w:lineRule="auto"/>
        <w:ind w:firstLine="411" w:firstLineChars="196"/>
        <w:rPr>
          <w:rFonts w:ascii="宋体" w:hAnsi="宋体" w:eastAsia="宋体" w:cs="Times New Roman"/>
          <w:b/>
          <w:bCs/>
          <w:color w:val="auto"/>
          <w:sz w:val="24"/>
          <w:szCs w:val="20"/>
          <w:highlight w:val="none"/>
        </w:rPr>
      </w:pPr>
      <w:r>
        <w:rPr>
          <w:rFonts w:hint="eastAsia" w:ascii="宋体" w:hAnsi="宋体" w:eastAsia="宋体" w:cs="Times New Roman"/>
          <w:color w:val="auto"/>
          <w:szCs w:val="20"/>
          <w:highlight w:val="none"/>
        </w:rPr>
        <w:t>2.1 本合同金额为（大写）人民币</w:t>
      </w:r>
      <w:r>
        <w:rPr>
          <w:rFonts w:hint="eastAsia"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w:t>
      </w:r>
      <w:r>
        <w:rPr>
          <w:rFonts w:hint="eastAsia"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元）。（详见竞标报价表）</w:t>
      </w:r>
    </w:p>
    <w:p>
      <w:pPr>
        <w:tabs>
          <w:tab w:val="left" w:pos="5940"/>
        </w:tabs>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3.  提交服务成果时间和地点</w:t>
      </w:r>
    </w:p>
    <w:p>
      <w:pPr>
        <w:tabs>
          <w:tab w:val="left" w:pos="5250"/>
          <w:tab w:val="left" w:pos="5940"/>
        </w:tabs>
        <w:spacing w:line="360" w:lineRule="auto"/>
        <w:ind w:firstLine="411" w:firstLineChars="196"/>
        <w:rPr>
          <w:rFonts w:ascii="宋体" w:hAnsi="宋体" w:eastAsia="宋体" w:cs="Times New Roman"/>
          <w:bCs/>
          <w:color w:val="auto"/>
          <w:szCs w:val="20"/>
          <w:highlight w:val="none"/>
        </w:rPr>
      </w:pPr>
      <w:r>
        <w:rPr>
          <w:rFonts w:hint="eastAsia" w:ascii="宋体" w:hAnsi="宋体" w:eastAsia="宋体" w:cs="Times New Roman"/>
          <w:bCs/>
          <w:color w:val="auto"/>
          <w:szCs w:val="20"/>
          <w:highlight w:val="none"/>
        </w:rPr>
        <w:t>3.1 服务时间</w:t>
      </w:r>
      <w:r>
        <w:rPr>
          <w:rFonts w:hint="eastAsia" w:ascii="宋体" w:hAnsi="Courier New" w:eastAsia="宋体" w:cs="Times New Roman"/>
          <w:bCs/>
          <w:color w:val="auto"/>
          <w:szCs w:val="20"/>
          <w:highlight w:val="none"/>
        </w:rPr>
        <w:t>：</w:t>
      </w:r>
      <w:r>
        <w:rPr>
          <w:rFonts w:hint="eastAsia" w:ascii="宋体" w:hAnsi="Courier New" w:eastAsia="宋体" w:cs="Times New Roman"/>
          <w:bCs/>
          <w:color w:val="auto"/>
          <w:szCs w:val="20"/>
          <w:highlight w:val="none"/>
          <w:u w:val="single"/>
        </w:rPr>
        <w:t xml:space="preserve">                         </w:t>
      </w:r>
    </w:p>
    <w:p>
      <w:pPr>
        <w:tabs>
          <w:tab w:val="left" w:pos="5940"/>
        </w:tabs>
        <w:spacing w:line="360" w:lineRule="auto"/>
        <w:ind w:firstLine="411" w:firstLineChars="196"/>
        <w:rPr>
          <w:rFonts w:ascii="宋体" w:hAnsi="宋体" w:eastAsia="宋体" w:cs="Times New Roman"/>
          <w:b/>
          <w:bCs/>
          <w:color w:val="auto"/>
          <w:sz w:val="24"/>
          <w:szCs w:val="20"/>
          <w:highlight w:val="none"/>
        </w:rPr>
      </w:pPr>
      <w:r>
        <w:rPr>
          <w:rFonts w:hint="eastAsia" w:ascii="宋体" w:hAnsi="宋体" w:eastAsia="宋体" w:cs="Times New Roman"/>
          <w:bCs/>
          <w:color w:val="auto"/>
          <w:szCs w:val="20"/>
          <w:highlight w:val="none"/>
        </w:rPr>
        <w:t xml:space="preserve">3.2 </w:t>
      </w:r>
      <w:r>
        <w:rPr>
          <w:rFonts w:hint="eastAsia" w:ascii="宋体" w:hAnsi="Courier New" w:eastAsia="宋体" w:cs="Times New Roman"/>
          <w:bCs/>
          <w:color w:val="auto"/>
          <w:szCs w:val="20"/>
          <w:highlight w:val="none"/>
        </w:rPr>
        <w:t>提交服务成果</w:t>
      </w:r>
      <w:r>
        <w:rPr>
          <w:rFonts w:hint="eastAsia" w:ascii="宋体" w:hAnsi="宋体" w:eastAsia="宋体" w:cs="Times New Roman"/>
          <w:bCs/>
          <w:color w:val="auto"/>
          <w:szCs w:val="20"/>
          <w:highlight w:val="none"/>
        </w:rPr>
        <w:t>地点：</w:t>
      </w:r>
      <w:r>
        <w:rPr>
          <w:rFonts w:hint="eastAsia" w:ascii="宋体" w:hAnsi="宋体" w:eastAsia="宋体" w:cs="Times New Roman"/>
          <w:color w:val="auto"/>
          <w:szCs w:val="20"/>
          <w:highlight w:val="none"/>
          <w:u w:val="single"/>
        </w:rPr>
        <w:t xml:space="preserve">                 </w:t>
      </w:r>
    </w:p>
    <w:p>
      <w:pPr>
        <w:tabs>
          <w:tab w:val="left" w:pos="5940"/>
        </w:tabs>
        <w:spacing w:line="360" w:lineRule="auto"/>
        <w:ind w:firstLine="411" w:firstLineChars="196"/>
        <w:rPr>
          <w:rFonts w:ascii="宋体" w:hAnsi="宋体" w:eastAsia="宋体" w:cs="Times New Roman"/>
          <w:b/>
          <w:bCs/>
          <w:color w:val="auto"/>
          <w:sz w:val="24"/>
          <w:szCs w:val="20"/>
          <w:highlight w:val="none"/>
        </w:rPr>
      </w:pPr>
      <w:r>
        <w:rPr>
          <w:rFonts w:hint="eastAsia" w:ascii="宋体" w:hAnsi="宋体" w:eastAsia="宋体" w:cs="Times New Roman"/>
          <w:bCs/>
          <w:color w:val="auto"/>
          <w:szCs w:val="20"/>
          <w:highlight w:val="none"/>
        </w:rPr>
        <w:t xml:space="preserve">3.3 </w:t>
      </w:r>
      <w:r>
        <w:rPr>
          <w:rFonts w:hint="eastAsia" w:ascii="宋体" w:hAnsi="宋体" w:eastAsia="宋体" w:cs="Times New Roman"/>
          <w:color w:val="auto"/>
          <w:szCs w:val="20"/>
          <w:highlight w:val="none"/>
        </w:rPr>
        <w:t>乙方必须按竞标文件承诺的服务响应条款向甲方提供服务。</w:t>
      </w:r>
    </w:p>
    <w:p>
      <w:pPr>
        <w:spacing w:line="360" w:lineRule="auto"/>
        <w:ind w:left="410" w:hanging="410" w:hangingChars="170"/>
        <w:rPr>
          <w:rFonts w:ascii="宋体" w:hAnsi="宋体" w:eastAsia="宋体" w:cs="Times New Roman"/>
          <w:b/>
          <w:color w:val="auto"/>
          <w:szCs w:val="20"/>
          <w:highlight w:val="none"/>
        </w:rPr>
      </w:pPr>
      <w:r>
        <w:rPr>
          <w:rFonts w:hint="eastAsia" w:ascii="宋体" w:hAnsi="宋体" w:eastAsia="宋体" w:cs="Times New Roman"/>
          <w:b/>
          <w:bCs/>
          <w:color w:val="auto"/>
          <w:sz w:val="24"/>
          <w:szCs w:val="20"/>
          <w:highlight w:val="none"/>
        </w:rPr>
        <w:t>4.  产权</w:t>
      </w:r>
    </w:p>
    <w:p>
      <w:pPr>
        <w:spacing w:line="360" w:lineRule="auto"/>
        <w:ind w:firstLine="420" w:firstLineChars="200"/>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 xml:space="preserve">4.1 </w:t>
      </w:r>
      <w:r>
        <w:rPr>
          <w:rFonts w:hint="eastAsia" w:ascii="Times New Roman" w:hAnsi="Times New Roman" w:eastAsia="宋体" w:cs="Times New Roman"/>
          <w:color w:val="auto"/>
          <w:szCs w:val="20"/>
          <w:highlight w:val="none"/>
        </w:rPr>
        <w:t>乙方应保证所提供的服务或其任何一部分均不会侵犯任何第三方的专利权、商标权或著作权</w:t>
      </w:r>
      <w:r>
        <w:rPr>
          <w:rFonts w:hint="eastAsia" w:ascii="宋体" w:hAnsi="宋体" w:eastAsia="宋体" w:cs="Times New Roman"/>
          <w:bCs/>
          <w:color w:val="auto"/>
          <w:szCs w:val="20"/>
          <w:highlight w:val="none"/>
        </w:rPr>
        <w:t>。</w:t>
      </w:r>
    </w:p>
    <w:p>
      <w:pPr>
        <w:spacing w:line="360" w:lineRule="auto"/>
        <w:ind w:firstLine="420" w:firstLineChars="200"/>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4.2 乙方保证所交付服务的所有权完全属于乙方且无任何抵押、查封等产权瑕疵。如乙方所交付服务有产权瑕疵的，视为乙方违约，按照本合同第10.</w:t>
      </w:r>
      <w:r>
        <w:rPr>
          <w:rFonts w:ascii="宋体" w:hAnsi="宋体" w:eastAsia="宋体" w:cs="Times New Roman"/>
          <w:color w:val="auto"/>
          <w:szCs w:val="20"/>
          <w:highlight w:val="none"/>
        </w:rPr>
        <w:t>6</w:t>
      </w:r>
      <w:r>
        <w:rPr>
          <w:rFonts w:hint="eastAsia" w:ascii="宋体" w:hAnsi="宋体" w:eastAsia="宋体" w:cs="Times New Roman"/>
          <w:color w:val="auto"/>
          <w:szCs w:val="20"/>
          <w:highlight w:val="none"/>
        </w:rPr>
        <w:t>款的约定处理。但在已经全部支付完合同款后才发现有产权瑕疵的，乙方除了支付违约金还应负担甲方由此产生的一切损失。</w:t>
      </w:r>
    </w:p>
    <w:p>
      <w:pPr>
        <w:spacing w:line="360" w:lineRule="auto"/>
        <w:rPr>
          <w:rFonts w:ascii="宋体" w:hAnsi="宋体" w:eastAsia="宋体" w:cs="Times New Roman"/>
          <w:b/>
          <w:color w:val="auto"/>
          <w:szCs w:val="20"/>
          <w:highlight w:val="none"/>
        </w:rPr>
      </w:pPr>
      <w:r>
        <w:rPr>
          <w:rFonts w:hint="eastAsia" w:ascii="宋体" w:hAnsi="宋体" w:eastAsia="宋体" w:cs="Times New Roman"/>
          <w:b/>
          <w:bCs/>
          <w:color w:val="auto"/>
          <w:sz w:val="24"/>
          <w:szCs w:val="20"/>
          <w:highlight w:val="none"/>
        </w:rPr>
        <w:t>5.  技术资料</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5.1 甲方应向乙方提供提交服务成果所必需的有关数据、资料等。</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6.  验收</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6.1 乙方应对提交的服务成果作出全面检查和整理，并列出清单，作为甲方验收和使用的技术条件依据，清单应随提交的服务成果交给甲方。</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6.2 乙方在指定地点提交服务成果后，甲方应在规定的时间内依据采购合同、竞争性磋商文件、乙方的响应文件等组织验收，验收完毕后作出书面验收报告。验收时乙方必须在现场。</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6.3 对复杂的服务，甲方可请国家认可的专业机构参与验收，并由其出具验收报告，相关费用由甲方承担。</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7.  合同款支付</w:t>
      </w:r>
    </w:p>
    <w:p>
      <w:pPr>
        <w:widowControl/>
        <w:numPr>
          <w:ilvl w:val="0"/>
          <w:numId w:val="0"/>
        </w:numPr>
        <w:spacing w:before="0" w:line="440" w:lineRule="exact"/>
        <w:ind w:firstLine="0"/>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rPr>
        <w:t>付款条件：</w:t>
      </w:r>
      <w:r>
        <w:rPr>
          <w:rFonts w:hint="eastAsia" w:ascii="宋体" w:hAnsi="宋体" w:eastAsia="宋体" w:cs="Times New Roman"/>
          <w:color w:val="auto"/>
          <w:szCs w:val="20"/>
          <w:highlight w:val="none"/>
          <w:u w:val="single"/>
          <w:lang w:val="en-US" w:eastAsia="zh-CN"/>
        </w:rPr>
        <w:t xml:space="preserve">      </w:t>
      </w:r>
      <w:r>
        <w:rPr>
          <w:rFonts w:hint="eastAsia" w:ascii="宋体" w:hAnsi="宋体" w:eastAsia="宋体" w:cs="Times New Roman"/>
          <w:color w:val="auto"/>
          <w:szCs w:val="20"/>
          <w:highlight w:val="none"/>
          <w:lang w:val="en-US" w:eastAsia="zh-CN"/>
        </w:rPr>
        <w:t xml:space="preserve">   。</w:t>
      </w:r>
    </w:p>
    <w:p>
      <w:pPr>
        <w:widowControl/>
        <w:numPr>
          <w:ilvl w:val="0"/>
          <w:numId w:val="0"/>
        </w:numPr>
        <w:spacing w:line="440" w:lineRule="exact"/>
        <w:rPr>
          <w:rFonts w:hint="eastAsia" w:ascii="Times New Roman" w:hAnsi="Times New Roman" w:eastAsia="宋体" w:cs="Times New Roman"/>
          <w:color w:val="auto"/>
          <w:highlight w:val="none"/>
          <w:u w:val="single"/>
          <w:lang w:val="en-US" w:eastAsia="zh-CN"/>
        </w:rPr>
      </w:pPr>
      <w:r>
        <w:rPr>
          <w:rFonts w:hint="eastAsia" w:ascii="宋体" w:hAnsi="宋体" w:eastAsia="宋体" w:cs="Times New Roman"/>
          <w:b/>
          <w:bCs/>
          <w:color w:val="auto"/>
          <w:sz w:val="24"/>
          <w:szCs w:val="20"/>
          <w:highlight w:val="none"/>
        </w:rPr>
        <w:t>履约保证金</w:t>
      </w:r>
      <w:r>
        <w:rPr>
          <w:rFonts w:hint="eastAsia" w:ascii="Times New Roman" w:hAnsi="Times New Roman" w:eastAsia="宋体" w:cs="Times New Roman"/>
          <w:color w:val="auto"/>
          <w:highlight w:val="none"/>
          <w:u w:val="single"/>
          <w:lang w:eastAsia="zh-CN"/>
        </w:rPr>
        <w:t xml:space="preserve"> </w:t>
      </w:r>
      <w:r>
        <w:rPr>
          <w:rFonts w:hint="eastAsia" w:ascii="Times New Roman" w:hAnsi="Times New Roman" w:eastAsia="宋体" w:cs="Times New Roman"/>
          <w:color w:val="auto"/>
          <w:highlight w:val="none"/>
          <w:u w:val="single"/>
          <w:lang w:val="en-US" w:eastAsia="zh-CN"/>
        </w:rPr>
        <w:t xml:space="preserve">            。</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9.  售后服务要求</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9</w:t>
      </w:r>
      <w:r>
        <w:rPr>
          <w:rFonts w:hint="eastAsia" w:ascii="宋体" w:hAnsi="宋体" w:eastAsia="宋体" w:cs="Times New Roman"/>
          <w:color w:val="auto"/>
          <w:szCs w:val="20"/>
          <w:highlight w:val="none"/>
        </w:rPr>
        <w:t>.1 乙方提供服务的质量保证期为：</w:t>
      </w:r>
      <w:r>
        <w:rPr>
          <w:rFonts w:hint="eastAsia" w:ascii="宋体" w:hAnsi="宋体" w:eastAsia="宋体" w:cs="Times New Roman"/>
          <w:color w:val="auto"/>
          <w:szCs w:val="20"/>
          <w:highlight w:val="none"/>
          <w:u w:val="single"/>
        </w:rPr>
        <w:t xml:space="preserve">　　　3年　　　   </w:t>
      </w:r>
      <w:r>
        <w:rPr>
          <w:rFonts w:hint="eastAsia" w:ascii="宋体" w:hAnsi="宋体" w:eastAsia="宋体" w:cs="Times New Roman"/>
          <w:color w:val="auto"/>
          <w:szCs w:val="20"/>
          <w:highlight w:val="none"/>
        </w:rPr>
        <w:t>（自提交服务验收合格之日起计）</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9</w:t>
      </w:r>
      <w:r>
        <w:rPr>
          <w:rFonts w:hint="eastAsia" w:ascii="宋体" w:hAnsi="宋体" w:eastAsia="宋体" w:cs="Times New Roman"/>
          <w:color w:val="auto"/>
          <w:szCs w:val="20"/>
          <w:highlight w:val="none"/>
        </w:rPr>
        <w:t>.2在本合同约定的质量保证期内，乙方应对服务出现的问题负责处理解决并承担一切费用。</w:t>
      </w:r>
    </w:p>
    <w:p>
      <w:pPr>
        <w:tabs>
          <w:tab w:val="left" w:pos="5250"/>
        </w:tabs>
        <w:spacing w:line="360" w:lineRule="auto"/>
        <w:ind w:firstLine="420" w:firstLineChars="200"/>
        <w:rPr>
          <w:rFonts w:ascii="宋体" w:hAnsi="宋体" w:eastAsia="宋体" w:cs="Times New Roman"/>
          <w:color w:val="auto"/>
          <w:szCs w:val="20"/>
          <w:highlight w:val="none"/>
          <w:u w:val="single"/>
        </w:rPr>
      </w:pPr>
      <w:r>
        <w:rPr>
          <w:rFonts w:ascii="宋体" w:hAnsi="宋体" w:eastAsia="宋体" w:cs="Times New Roman"/>
          <w:color w:val="auto"/>
          <w:szCs w:val="20"/>
          <w:highlight w:val="none"/>
        </w:rPr>
        <w:t>9</w:t>
      </w:r>
      <w:r>
        <w:rPr>
          <w:rFonts w:hint="eastAsia" w:ascii="宋体" w:hAnsi="宋体" w:eastAsia="宋体" w:cs="Times New Roman"/>
          <w:color w:val="auto"/>
          <w:szCs w:val="20"/>
          <w:highlight w:val="none"/>
        </w:rPr>
        <w:t>.3 其他售后服务要求：</w:t>
      </w:r>
      <w:r>
        <w:rPr>
          <w:rFonts w:hint="eastAsia" w:ascii="宋体" w:hAnsi="宋体" w:eastAsia="宋体" w:cs="Times New Roman"/>
          <w:color w:val="auto"/>
          <w:szCs w:val="20"/>
          <w:highlight w:val="none"/>
          <w:u w:val="single"/>
        </w:rPr>
        <w:t>按响应文件商务条款偏离表内容执行。</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10.  违约责任</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10</w:t>
      </w:r>
      <w:r>
        <w:rPr>
          <w:rFonts w:hint="eastAsia" w:ascii="宋体" w:hAnsi="宋体" w:eastAsia="宋体" w:cs="Times New Roman"/>
          <w:color w:val="auto"/>
          <w:szCs w:val="20"/>
          <w:highlight w:val="none"/>
        </w:rPr>
        <w:t>.1 甲方无正当理由拒收服务的，甲方向乙方偿付拒收服务费总值的百分之五违约金。</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10</w:t>
      </w:r>
      <w:r>
        <w:rPr>
          <w:rFonts w:hint="eastAsia" w:ascii="宋体" w:hAnsi="宋体" w:eastAsia="宋体" w:cs="Times New Roman"/>
          <w:color w:val="auto"/>
          <w:szCs w:val="20"/>
          <w:highlight w:val="none"/>
        </w:rPr>
        <w:t>.2 甲方无故逾期验收或办理合同款支付手续的，甲方应按逾期付款总额每日万分之五向乙方支付违约金。</w:t>
      </w:r>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szCs w:val="20"/>
          <w:highlight w:val="none"/>
        </w:rPr>
        <w:t>10</w:t>
      </w:r>
      <w:r>
        <w:rPr>
          <w:rFonts w:hint="eastAsia" w:ascii="宋体" w:hAnsi="宋体" w:eastAsia="宋体" w:cs="Times New Roman"/>
          <w:color w:val="auto"/>
          <w:szCs w:val="20"/>
          <w:highlight w:val="none"/>
        </w:rPr>
        <w:t>.3</w:t>
      </w:r>
      <w:r>
        <w:rPr>
          <w:rFonts w:hint="eastAsia" w:ascii="宋体" w:hAnsi="宋体" w:eastAsia="宋体" w:cs="Times New Roman"/>
          <w:color w:val="auto"/>
          <w:highlight w:val="none"/>
        </w:rPr>
        <w:t>甲方有权依据磋商文件、响应文件及乙方的磋商承诺对乙方的服务人员进行管理或要求更换，对于甲方要求更换服务人员的，乙方应无条件及时更换；乙方拒绝更换的，甲方有权终止合同，不予支付剩余服务费用，乙方按本合同总价的</w:t>
      </w:r>
      <w:r>
        <w:rPr>
          <w:rFonts w:ascii="宋体" w:hAnsi="宋体" w:eastAsia="宋体" w:cs="Times New Roman"/>
          <w:color w:val="auto"/>
          <w:highlight w:val="none"/>
        </w:rPr>
        <w:t>2</w:t>
      </w:r>
      <w:r>
        <w:rPr>
          <w:rFonts w:hint="eastAsia" w:ascii="宋体" w:hAnsi="宋体" w:eastAsia="宋体" w:cs="Times New Roman"/>
          <w:color w:val="auto"/>
          <w:highlight w:val="none"/>
        </w:rPr>
        <w:t>0%向甲方支付违约金，由此导致甲方其他损失的，乙方应当承担责任。</w:t>
      </w:r>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10.</w:t>
      </w:r>
      <w:r>
        <w:rPr>
          <w:rFonts w:hint="eastAsia" w:ascii="宋体" w:hAnsi="宋体" w:eastAsia="宋体" w:cs="Times New Roman"/>
          <w:color w:val="auto"/>
          <w:highlight w:val="none"/>
        </w:rPr>
        <w:t>4</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乙方提供的服务按合同约定考核不合格的，按合同总金额的5%承担违约责任并应当及时进行整改。如乙方拒绝整改或考核多次不合格的，</w:t>
      </w:r>
      <w:bookmarkStart w:id="137" w:name="_Hlk77949524"/>
      <w:r>
        <w:rPr>
          <w:rFonts w:hint="eastAsia" w:ascii="宋体" w:hAnsi="宋体" w:eastAsia="宋体" w:cs="Times New Roman"/>
          <w:color w:val="auto"/>
          <w:highlight w:val="none"/>
        </w:rPr>
        <w:t>甲方有权解除合同，并不予支付相应服务费用，乙方按合同总金额的20%向甲方支付违约金，造成甲方损失的，还应赔偿甲方损失。</w:t>
      </w:r>
      <w:bookmarkEnd w:id="137"/>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10.5</w:t>
      </w:r>
      <w:r>
        <w:rPr>
          <w:rFonts w:hint="eastAsia" w:ascii="宋体" w:hAnsi="宋体" w:eastAsia="宋体" w:cs="Times New Roman"/>
          <w:color w:val="auto"/>
          <w:highlight w:val="none"/>
        </w:rPr>
        <w:t>乙方未按磋商文件、响应文件及合同约定对故障设备等进行维修、更换处理的，应当及时整改，保证系统的正常运行。如乙方不及时整改或拒绝整改，甲方有权解除合同，并不予支付相应服务费用，乙方按合同总金额的20%向甲方支付违约金，造成甲方损失的，还应赔偿甲方损失。</w:t>
      </w:r>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10.6</w:t>
      </w:r>
      <w:r>
        <w:rPr>
          <w:rFonts w:hint="eastAsia" w:ascii="宋体" w:hAnsi="宋体" w:eastAsia="宋体" w:cs="Times New Roman"/>
          <w:color w:val="auto"/>
          <w:highlight w:val="none"/>
        </w:rPr>
        <w:t>乙方提供的服务（包括设备等）如侵犯了第三方合法权益而引发的任何纠纷或诉讼，均由乙方负责交涉并承担全部责任。甲方有权解除合同，合同金额没有支付的，不再支付；已经支付的，甲方有权追回，且乙方应按合同金额20%向甲方支付违约金，造成甲方损失的，还应赔偿甲方损失。</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11.  不可抗力事件处理</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11.1 在合同有效期内，任何一方因不可抗力事件导致不能履行合同，则合同履行期可延长，其延长期与不可抗力影响期相同。</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11.2 不可抗力事件发生后，应立即通知对方，并寄送有关权威机构出具的证明。</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11.3 不可抗力事件延续120天以上，双方应通过友好协商，确定是否继续履行合同。</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12.  诉讼</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w:t>
      </w:r>
      <w:r>
        <w:rPr>
          <w:rFonts w:ascii="宋体" w:hAnsi="宋体" w:eastAsia="宋体" w:cs="Times New Roman"/>
          <w:color w:val="auto"/>
          <w:szCs w:val="20"/>
          <w:highlight w:val="none"/>
        </w:rPr>
        <w:t>2</w:t>
      </w:r>
      <w:r>
        <w:rPr>
          <w:rFonts w:hint="eastAsia" w:ascii="宋体" w:hAnsi="宋体" w:eastAsia="宋体" w:cs="Times New Roman"/>
          <w:color w:val="auto"/>
          <w:szCs w:val="20"/>
          <w:highlight w:val="none"/>
        </w:rPr>
        <w:t>.1 双方在执行合同中所发生的一切争议，应通过协商解决。如协商不成，可向甲方所在地有管辖权的人民法院提起诉讼。</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13.  合同生效及其它</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13.1 合同经双方法定代表人</w:t>
      </w:r>
      <w:r>
        <w:rPr>
          <w:rFonts w:hint="eastAsia" w:ascii="宋体" w:hAnsi="宋体" w:cs="Times New Roman"/>
          <w:color w:val="auto"/>
          <w:szCs w:val="20"/>
          <w:highlight w:val="none"/>
          <w:lang w:eastAsia="zh-CN"/>
        </w:rPr>
        <w:t>（</w:t>
      </w:r>
      <w:r>
        <w:rPr>
          <w:rFonts w:hint="eastAsia" w:ascii="宋体" w:hAnsi="宋体" w:cs="Times New Roman"/>
          <w:color w:val="auto"/>
          <w:szCs w:val="20"/>
          <w:highlight w:val="none"/>
          <w:lang w:val="en-US" w:eastAsia="zh-CN"/>
        </w:rPr>
        <w:t>负责人</w:t>
      </w:r>
      <w:r>
        <w:rPr>
          <w:rFonts w:hint="eastAsia" w:ascii="宋体" w:hAnsi="宋体" w:cs="Times New Roman"/>
          <w:color w:val="auto"/>
          <w:szCs w:val="20"/>
          <w:highlight w:val="none"/>
          <w:lang w:eastAsia="zh-CN"/>
        </w:rPr>
        <w:t>）</w:t>
      </w:r>
      <w:r>
        <w:rPr>
          <w:rFonts w:hint="eastAsia" w:ascii="宋体" w:hAnsi="宋体" w:eastAsia="宋体" w:cs="Times New Roman"/>
          <w:color w:val="auto"/>
          <w:szCs w:val="20"/>
          <w:highlight w:val="none"/>
        </w:rPr>
        <w:t>或授权委托代理人签字并加盖单位公章后生效。</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13.2下述合同附件为本合同不可分割的部分并与本合同具有同等效力：</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（1）中标（或成交）通知书；</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（2）采购文件项目需求表；</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（3）采购文件的澄清和修改；</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（4）响应函、报价表；</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（5）商务要求偏离表、技术偏离表、售后服务承诺书；</w:t>
      </w:r>
    </w:p>
    <w:p>
      <w:pPr>
        <w:spacing w:line="440" w:lineRule="exact"/>
        <w:ind w:firstLine="420" w:firstLineChars="200"/>
        <w:rPr>
          <w:color w:val="auto"/>
          <w:highlight w:val="none"/>
        </w:rPr>
      </w:pPr>
      <w:r>
        <w:rPr>
          <w:rFonts w:hint="eastAsia" w:ascii="宋体" w:hAnsi="宋体" w:eastAsia="宋体" w:cs="Times New Roman"/>
          <w:color w:val="auto"/>
          <w:highlight w:val="none"/>
        </w:rPr>
        <w:t>13.3本合同的实质性条款凡是与采购文件采购需求有冲突的，一律以采购需求的约定为准</w:t>
      </w:r>
      <w:r>
        <w:rPr>
          <w:rFonts w:hint="eastAsia" w:ascii="Times New Roman" w:hAnsi="Times New Roman" w:eastAsia="宋体" w:cs="Times New Roman"/>
          <w:color w:val="auto"/>
          <w:highlight w:val="none"/>
        </w:rPr>
        <w:t>。</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13.4 本合同未尽事宜，遵照《中华人民共和国民法典》有关条文执行。</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13.5 本合同一式伍份，甲乙双方各执贰份，招标代理机构壹份。</w:t>
      </w:r>
    </w:p>
    <w:p>
      <w:pPr>
        <w:snapToGrid w:val="0"/>
        <w:spacing w:line="440" w:lineRule="exact"/>
        <w:rPr>
          <w:rFonts w:ascii="宋体" w:hAnsi="宋体"/>
          <w:color w:val="auto"/>
          <w:szCs w:val="21"/>
          <w:highlight w:val="none"/>
        </w:rPr>
      </w:pPr>
    </w:p>
    <w:p>
      <w:pPr>
        <w:rPr>
          <w:color w:val="auto"/>
          <w:highlight w:val="none"/>
        </w:rPr>
      </w:pPr>
      <w:r>
        <w:rPr>
          <w:color w:val="auto"/>
          <w:highlight w:val="none"/>
        </w:rPr>
        <w:br w:type="page"/>
      </w:r>
    </w:p>
    <w:p>
      <w:pPr>
        <w:rPr>
          <w:color w:val="auto"/>
          <w:highlight w:val="none"/>
        </w:rPr>
      </w:pPr>
    </w:p>
    <w:tbl>
      <w:tblPr>
        <w:tblStyle w:val="37"/>
        <w:tblpPr w:leftFromText="180" w:rightFromText="180" w:vertAnchor="page" w:horzAnchor="margin" w:tblpY="16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auto"/>
                <w:szCs w:val="21"/>
                <w:highlight w:val="none"/>
              </w:rPr>
            </w:pPr>
            <w:r>
              <w:rPr>
                <w:rFonts w:hint="eastAsia" w:ascii="宋体" w:hAnsi="宋体"/>
                <w:color w:val="auto"/>
                <w:szCs w:val="21"/>
                <w:highlight w:val="none"/>
              </w:rPr>
              <w:t>甲方（盖章）</w:t>
            </w:r>
          </w:p>
          <w:p>
            <w:pPr>
              <w:snapToGrid w:val="0"/>
              <w:spacing w:line="320" w:lineRule="exact"/>
              <w:jc w:val="right"/>
              <w:rPr>
                <w:rFonts w:ascii="宋体" w:hAnsi="宋体"/>
                <w:color w:val="auto"/>
                <w:szCs w:val="21"/>
                <w:highlight w:val="none"/>
              </w:rPr>
            </w:pPr>
          </w:p>
          <w:p>
            <w:pPr>
              <w:snapToGrid w:val="0"/>
              <w:spacing w:line="320" w:lineRule="exact"/>
              <w:jc w:val="right"/>
              <w:rPr>
                <w:rFonts w:ascii="宋体" w:hAnsi="宋体"/>
                <w:color w:val="auto"/>
                <w:szCs w:val="21"/>
                <w:highlight w:val="none"/>
              </w:rPr>
            </w:pPr>
            <w:r>
              <w:rPr>
                <w:rFonts w:hint="eastAsia" w:ascii="宋体" w:hAnsi="宋体"/>
                <w:color w:val="auto"/>
                <w:szCs w:val="21"/>
                <w:highlight w:val="none"/>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35" w:firstLineChars="17"/>
              <w:rPr>
                <w:rFonts w:ascii="宋体" w:hAnsi="宋体"/>
                <w:color w:val="auto"/>
                <w:szCs w:val="21"/>
                <w:highlight w:val="none"/>
              </w:rPr>
            </w:pPr>
            <w:r>
              <w:rPr>
                <w:rFonts w:hint="eastAsia" w:ascii="宋体" w:hAnsi="宋体"/>
                <w:color w:val="auto"/>
                <w:szCs w:val="21"/>
                <w:highlight w:val="none"/>
              </w:rPr>
              <w:t>乙方（盖章）</w:t>
            </w:r>
          </w:p>
          <w:p>
            <w:pPr>
              <w:snapToGrid w:val="0"/>
              <w:spacing w:line="320" w:lineRule="exact"/>
              <w:ind w:firstLine="35" w:firstLineChars="17"/>
              <w:jc w:val="right"/>
              <w:rPr>
                <w:rFonts w:ascii="宋体" w:hAnsi="宋体"/>
                <w:color w:val="auto"/>
                <w:szCs w:val="21"/>
                <w:highlight w:val="none"/>
              </w:rPr>
            </w:pPr>
            <w:r>
              <w:rPr>
                <w:rFonts w:hint="eastAsia" w:ascii="宋体" w:hAnsi="宋体"/>
                <w:color w:val="auto"/>
                <w:szCs w:val="21"/>
                <w:highlight w:val="none"/>
              </w:rPr>
              <w:t xml:space="preserve"> </w:t>
            </w:r>
          </w:p>
          <w:p>
            <w:pPr>
              <w:snapToGrid w:val="0"/>
              <w:spacing w:line="320" w:lineRule="exact"/>
              <w:ind w:firstLine="35" w:firstLineChars="17"/>
              <w:jc w:val="right"/>
              <w:rPr>
                <w:rFonts w:ascii="宋体" w:hAnsi="宋体"/>
                <w:color w:val="auto"/>
                <w:szCs w:val="21"/>
                <w:highlight w:val="none"/>
              </w:rPr>
            </w:pPr>
            <w:r>
              <w:rPr>
                <w:rFonts w:hint="eastAsia" w:ascii="宋体" w:hAnsi="宋体"/>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单位地址：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rPr>
                <w:rFonts w:ascii="宋体" w:hAnsi="宋体"/>
                <w:color w:val="auto"/>
                <w:szCs w:val="21"/>
                <w:highlight w:val="none"/>
              </w:rPr>
            </w:pPr>
            <w:r>
              <w:rPr>
                <w:rFonts w:hint="eastAsia" w:ascii="宋体" w:hAnsi="宋体"/>
                <w:color w:val="auto"/>
                <w:szCs w:val="21"/>
                <w:highlight w:val="none"/>
              </w:rPr>
              <w:t>经办人：</w:t>
            </w:r>
          </w:p>
        </w:tc>
      </w:tr>
    </w:tbl>
    <w:p>
      <w:pPr>
        <w:widowControl/>
        <w:jc w:val="left"/>
        <w:rPr>
          <w:rFonts w:hint="eastAsia" w:ascii="宋体" w:hAnsi="宋体"/>
          <w:bCs/>
          <w:color w:val="auto"/>
          <w:szCs w:val="21"/>
          <w:highlight w:val="none"/>
        </w:rPr>
      </w:pPr>
      <w:r>
        <w:rPr>
          <w:color w:val="auto"/>
          <w:highlight w:val="none"/>
        </w:rPr>
        <w:br w:type="page"/>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2"/>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方正小标宋_GBK" w:eastAsia="方正小标宋_GBK"/>
          <w:color w:val="auto"/>
          <w:highlight w:val="none"/>
        </w:rPr>
      </w:pPr>
      <w:bookmarkStart w:id="138" w:name="_Toc397585460"/>
      <w:bookmarkStart w:id="139" w:name="_Toc92355028"/>
      <w:r>
        <w:rPr>
          <w:rFonts w:hint="eastAsia" w:ascii="方正小标宋_GBK" w:hAnsi="方正小标宋_GBK" w:eastAsia="方正小标宋_GBK"/>
          <w:color w:val="auto"/>
          <w:highlight w:val="none"/>
        </w:rPr>
        <w:t>第六章  响应文件格式</w:t>
      </w:r>
      <w:bookmarkEnd w:id="138"/>
      <w:bookmarkEnd w:id="139"/>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40"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41"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41"/>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2"/>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42"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42"/>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43"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43"/>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44" w:name="_Hlk60836554"/>
      <w:r>
        <w:rPr>
          <w:rFonts w:hint="eastAsia" w:ascii="宋体" w:hAnsi="宋体"/>
          <w:bCs/>
          <w:color w:val="auto"/>
          <w:szCs w:val="21"/>
          <w:highlight w:val="none"/>
        </w:rPr>
        <w:t>（财库﹝2020﹞46号）</w:t>
      </w:r>
      <w:bookmarkEnd w:id="144"/>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45" w:name="_Hlk108682836"/>
      <w:r>
        <w:rPr>
          <w:rFonts w:hint="eastAsia" w:ascii="宋体" w:hAnsi="宋体"/>
          <w:bCs/>
          <w:color w:val="auto"/>
          <w:szCs w:val="21"/>
          <w:highlight w:val="none"/>
        </w:rPr>
        <w:t>服务全部由符合政策要求的中小企业承接</w:t>
      </w:r>
      <w:bookmarkEnd w:id="145"/>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46"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46"/>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47"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47"/>
      <w:r>
        <w:rPr>
          <w:rFonts w:hint="eastAsia" w:hAnsi="宋体"/>
          <w:bCs/>
          <w:color w:val="auto"/>
          <w:sz w:val="18"/>
          <w:szCs w:val="18"/>
          <w:highlight w:val="none"/>
        </w:rPr>
        <w:t>上一年度数据，无上一年度数据的新成立企业可不填报。</w:t>
      </w:r>
      <w:bookmarkEnd w:id="140"/>
    </w:p>
    <w:p>
      <w:pPr>
        <w:pStyle w:val="2"/>
        <w:rPr>
          <w:color w:val="auto"/>
          <w:highlight w:val="none"/>
        </w:rPr>
      </w:pPr>
      <w:r>
        <w:rPr>
          <w:color w:val="auto"/>
          <w:highlight w:val="none"/>
        </w:rPr>
        <w:br w:type="page"/>
      </w:r>
    </w:p>
    <w:tbl>
      <w:tblPr>
        <w:tblStyle w:val="37"/>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48"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49"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49"/>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48"/>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2"/>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50"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50"/>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rPr>
          <w:rFonts w:ascii="黑体" w:hAnsi="黑体" w:eastAsia="黑体" w:cs="黑体"/>
          <w:b/>
          <w:color w:val="auto"/>
          <w:sz w:val="32"/>
          <w:szCs w:val="32"/>
          <w:highlight w:val="none"/>
        </w:rPr>
      </w:pPr>
      <w:r>
        <w:rPr>
          <w:rFonts w:ascii="黑体" w:hAnsi="黑体" w:eastAsia="黑体" w:cs="黑体"/>
          <w:b/>
          <w:color w:val="auto"/>
          <w:sz w:val="32"/>
          <w:szCs w:val="32"/>
          <w:highlight w:val="none"/>
        </w:rPr>
        <w:br w:type="page"/>
      </w:r>
    </w:p>
    <w:p>
      <w:pPr>
        <w:widowControl/>
        <w:jc w:val="left"/>
        <w:rPr>
          <w:rFonts w:ascii="宋体" w:hAnsi="Courier New" w:cs="Courier New"/>
          <w:color w:val="auto"/>
          <w:sz w:val="18"/>
          <w:szCs w:val="18"/>
          <w:highlight w:val="none"/>
        </w:rPr>
      </w:pP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51" w:name="_Hlk92702324"/>
      <w:r>
        <w:rPr>
          <w:rFonts w:hint="eastAsia" w:ascii="仿宋" w:hAnsi="仿宋" w:eastAsia="仿宋" w:cs="黑体"/>
          <w:b/>
          <w:color w:val="auto"/>
          <w:sz w:val="32"/>
          <w:szCs w:val="32"/>
          <w:highlight w:val="none"/>
        </w:rPr>
        <w:t>磋 商 函</w:t>
      </w:r>
      <w:bookmarkEnd w:id="15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2"/>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52"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52"/>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53" w:name="_Hlk92702799"/>
      <w:r>
        <w:rPr>
          <w:rFonts w:hint="eastAsia" w:ascii="仿宋_GB2312" w:hAnsi="宋体" w:eastAsia="仿宋_GB2312"/>
          <w:b/>
          <w:color w:val="auto"/>
          <w:sz w:val="28"/>
          <w:szCs w:val="28"/>
          <w:highlight w:val="none"/>
        </w:rPr>
        <w:t>商务</w:t>
      </w:r>
      <w:r>
        <w:rPr>
          <w:rFonts w:hint="eastAsia" w:ascii="仿宋_GB2312" w:hAnsi="宋体" w:eastAsia="仿宋_GB2312"/>
          <w:b/>
          <w:color w:val="auto"/>
          <w:sz w:val="28"/>
          <w:szCs w:val="28"/>
          <w:highlight w:val="none"/>
          <w:lang w:val="en-US" w:eastAsia="zh-CN"/>
        </w:rPr>
        <w:t>技术</w:t>
      </w:r>
      <w:r>
        <w:rPr>
          <w:rFonts w:hint="eastAsia" w:ascii="仿宋_GB2312" w:hAnsi="宋体" w:eastAsia="仿宋_GB2312"/>
          <w:b/>
          <w:color w:val="auto"/>
          <w:sz w:val="28"/>
          <w:szCs w:val="28"/>
          <w:highlight w:val="none"/>
        </w:rPr>
        <w:t>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53"/>
      <w:bookmarkStart w:id="154"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154"/>
    <w:p>
      <w:pPr>
        <w:rPr>
          <w:color w:val="auto"/>
          <w:highlight w:val="none"/>
        </w:rPr>
      </w:pPr>
    </w:p>
    <w:p>
      <w:pPr>
        <w:rPr>
          <w:color w:val="auto"/>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7"/>
        <w:tblW w:w="7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464"/>
        <w:gridCol w:w="1831"/>
        <w:gridCol w:w="109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08"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46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1831" w:type="dxa"/>
            <w:vAlign w:val="center"/>
          </w:tcPr>
          <w:p>
            <w:pPr>
              <w:autoSpaceDE w:val="0"/>
              <w:autoSpaceDN w:val="0"/>
              <w:adjustRightInd w:val="0"/>
              <w:jc w:val="center"/>
              <w:rPr>
                <w:rFonts w:hint="eastAsia" w:ascii="宋体" w:hAnsi="宋体"/>
                <w:color w:val="auto"/>
                <w:highlight w:val="none"/>
              </w:rPr>
            </w:pPr>
            <w:r>
              <w:rPr>
                <w:rFonts w:hint="eastAsia" w:ascii="宋体" w:hAnsi="宋体"/>
                <w:color w:val="auto"/>
                <w:highlight w:val="none"/>
              </w:rPr>
              <w:t>身份证号</w:t>
            </w:r>
          </w:p>
        </w:tc>
        <w:tc>
          <w:tcPr>
            <w:tcW w:w="1097"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197"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08"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464" w:type="dxa"/>
            <w:vAlign w:val="center"/>
          </w:tcPr>
          <w:p>
            <w:pPr>
              <w:autoSpaceDE w:val="0"/>
              <w:autoSpaceDN w:val="0"/>
              <w:adjustRightInd w:val="0"/>
              <w:rPr>
                <w:rFonts w:hint="eastAsia" w:ascii="宋体" w:hAnsi="宋体"/>
                <w:color w:val="auto"/>
                <w:highlight w:val="none"/>
                <w:lang w:val="zh-CN"/>
              </w:rPr>
            </w:pPr>
          </w:p>
        </w:tc>
        <w:tc>
          <w:tcPr>
            <w:tcW w:w="1831" w:type="dxa"/>
          </w:tcPr>
          <w:p>
            <w:pPr>
              <w:autoSpaceDE w:val="0"/>
              <w:autoSpaceDN w:val="0"/>
              <w:adjustRightInd w:val="0"/>
              <w:rPr>
                <w:rFonts w:hint="eastAsia" w:ascii="宋体" w:hAnsi="宋体"/>
                <w:color w:val="auto"/>
                <w:highlight w:val="none"/>
                <w:lang w:val="zh-CN"/>
              </w:rPr>
            </w:pPr>
          </w:p>
        </w:tc>
        <w:tc>
          <w:tcPr>
            <w:tcW w:w="1097" w:type="dxa"/>
          </w:tcPr>
          <w:p>
            <w:pPr>
              <w:autoSpaceDE w:val="0"/>
              <w:autoSpaceDN w:val="0"/>
              <w:adjustRightInd w:val="0"/>
              <w:rPr>
                <w:rFonts w:hint="eastAsia" w:ascii="宋体" w:hAnsi="宋体"/>
                <w:color w:val="auto"/>
                <w:highlight w:val="none"/>
                <w:lang w:val="zh-CN"/>
              </w:rPr>
            </w:pPr>
          </w:p>
        </w:tc>
        <w:tc>
          <w:tcPr>
            <w:tcW w:w="2197"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08"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464" w:type="dxa"/>
            <w:vAlign w:val="center"/>
          </w:tcPr>
          <w:p>
            <w:pPr>
              <w:autoSpaceDE w:val="0"/>
              <w:autoSpaceDN w:val="0"/>
              <w:adjustRightInd w:val="0"/>
              <w:rPr>
                <w:rFonts w:hint="eastAsia" w:ascii="宋体" w:hAnsi="宋体"/>
                <w:color w:val="auto"/>
                <w:highlight w:val="none"/>
                <w:lang w:val="zh-CN"/>
              </w:rPr>
            </w:pPr>
          </w:p>
        </w:tc>
        <w:tc>
          <w:tcPr>
            <w:tcW w:w="1831" w:type="dxa"/>
          </w:tcPr>
          <w:p>
            <w:pPr>
              <w:autoSpaceDE w:val="0"/>
              <w:autoSpaceDN w:val="0"/>
              <w:adjustRightInd w:val="0"/>
              <w:rPr>
                <w:rFonts w:hint="eastAsia" w:ascii="宋体" w:hAnsi="宋体"/>
                <w:color w:val="auto"/>
                <w:highlight w:val="none"/>
                <w:lang w:val="zh-CN"/>
              </w:rPr>
            </w:pPr>
          </w:p>
        </w:tc>
        <w:tc>
          <w:tcPr>
            <w:tcW w:w="1097" w:type="dxa"/>
          </w:tcPr>
          <w:p>
            <w:pPr>
              <w:autoSpaceDE w:val="0"/>
              <w:autoSpaceDN w:val="0"/>
              <w:adjustRightInd w:val="0"/>
              <w:rPr>
                <w:rFonts w:hint="eastAsia" w:ascii="宋体" w:hAnsi="宋体"/>
                <w:color w:val="auto"/>
                <w:highlight w:val="none"/>
                <w:lang w:val="zh-CN"/>
              </w:rPr>
            </w:pPr>
          </w:p>
        </w:tc>
        <w:tc>
          <w:tcPr>
            <w:tcW w:w="2197"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08"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464" w:type="dxa"/>
            <w:vAlign w:val="center"/>
          </w:tcPr>
          <w:p>
            <w:pPr>
              <w:autoSpaceDE w:val="0"/>
              <w:autoSpaceDN w:val="0"/>
              <w:adjustRightInd w:val="0"/>
              <w:rPr>
                <w:rFonts w:hint="eastAsia" w:ascii="宋体" w:hAnsi="宋体"/>
                <w:color w:val="auto"/>
                <w:highlight w:val="none"/>
                <w:lang w:val="zh-CN"/>
              </w:rPr>
            </w:pPr>
          </w:p>
        </w:tc>
        <w:tc>
          <w:tcPr>
            <w:tcW w:w="1831" w:type="dxa"/>
          </w:tcPr>
          <w:p>
            <w:pPr>
              <w:autoSpaceDE w:val="0"/>
              <w:autoSpaceDN w:val="0"/>
              <w:adjustRightInd w:val="0"/>
              <w:rPr>
                <w:rFonts w:hint="eastAsia" w:ascii="宋体" w:hAnsi="宋体"/>
                <w:color w:val="auto"/>
                <w:highlight w:val="none"/>
                <w:lang w:val="zh-CN"/>
              </w:rPr>
            </w:pPr>
          </w:p>
        </w:tc>
        <w:tc>
          <w:tcPr>
            <w:tcW w:w="1097" w:type="dxa"/>
          </w:tcPr>
          <w:p>
            <w:pPr>
              <w:autoSpaceDE w:val="0"/>
              <w:autoSpaceDN w:val="0"/>
              <w:adjustRightInd w:val="0"/>
              <w:rPr>
                <w:rFonts w:hint="eastAsia" w:ascii="宋体" w:hAnsi="宋体"/>
                <w:color w:val="auto"/>
                <w:highlight w:val="none"/>
                <w:lang w:val="zh-CN"/>
              </w:rPr>
            </w:pPr>
          </w:p>
        </w:tc>
        <w:tc>
          <w:tcPr>
            <w:tcW w:w="2197"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08"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464" w:type="dxa"/>
          </w:tcPr>
          <w:p>
            <w:pPr>
              <w:autoSpaceDE w:val="0"/>
              <w:autoSpaceDN w:val="0"/>
              <w:adjustRightInd w:val="0"/>
              <w:rPr>
                <w:rFonts w:hint="eastAsia" w:ascii="宋体" w:hAnsi="宋体"/>
                <w:color w:val="auto"/>
                <w:highlight w:val="none"/>
                <w:lang w:val="zh-CN"/>
              </w:rPr>
            </w:pPr>
          </w:p>
        </w:tc>
        <w:tc>
          <w:tcPr>
            <w:tcW w:w="1831" w:type="dxa"/>
          </w:tcPr>
          <w:p>
            <w:pPr>
              <w:autoSpaceDE w:val="0"/>
              <w:autoSpaceDN w:val="0"/>
              <w:adjustRightInd w:val="0"/>
              <w:rPr>
                <w:rFonts w:hint="eastAsia" w:ascii="宋体" w:hAnsi="宋体"/>
                <w:color w:val="auto"/>
                <w:highlight w:val="none"/>
                <w:lang w:val="zh-CN"/>
              </w:rPr>
            </w:pPr>
          </w:p>
        </w:tc>
        <w:tc>
          <w:tcPr>
            <w:tcW w:w="1097" w:type="dxa"/>
          </w:tcPr>
          <w:p>
            <w:pPr>
              <w:autoSpaceDE w:val="0"/>
              <w:autoSpaceDN w:val="0"/>
              <w:adjustRightInd w:val="0"/>
              <w:rPr>
                <w:rFonts w:hint="eastAsia" w:ascii="宋体" w:hAnsi="宋体"/>
                <w:color w:val="auto"/>
                <w:highlight w:val="none"/>
                <w:lang w:val="zh-CN"/>
              </w:rPr>
            </w:pPr>
          </w:p>
        </w:tc>
        <w:tc>
          <w:tcPr>
            <w:tcW w:w="2197"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rFonts w:hint="eastAsia" w:ascii="宋体" w:hAnsi="宋体"/>
          <w:bCs/>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提供所配置人员姓名、身份证、岗位、职称等证明材料。</w:t>
      </w:r>
    </w:p>
    <w:p>
      <w:pPr>
        <w:snapToGrid w:val="0"/>
        <w:spacing w:before="50" w:after="50" w:line="320" w:lineRule="exact"/>
        <w:ind w:right="-817" w:rightChars="-389"/>
        <w:rPr>
          <w:rFonts w:hint="eastAsia" w:ascii="宋体" w:hAnsi="宋体"/>
          <w:color w:val="auto"/>
          <w:szCs w:val="21"/>
          <w:highlight w:val="none"/>
        </w:rPr>
      </w:pPr>
    </w:p>
    <w:p>
      <w:pPr>
        <w:rPr>
          <w:color w:val="auto"/>
          <w:highlight w:val="none"/>
        </w:rPr>
      </w:pP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pStyle w:val="101"/>
        <w:rPr>
          <w:rFonts w:hint="eastAsia" w:ascii="宋体" w:hAnsi="宋体" w:cs="宋体"/>
          <w:color w:val="auto"/>
          <w:sz w:val="21"/>
          <w:szCs w:val="21"/>
          <w:highlight w:val="none"/>
        </w:rPr>
      </w:pPr>
    </w:p>
    <w:bookmarkEnd w:id="53"/>
    <w:bookmarkEnd w:id="54"/>
    <w:bookmarkEnd w:id="55"/>
    <w:bookmarkEnd w:id="56"/>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both"/>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2"/>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2"/>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2"/>
        <w:spacing w:line="440" w:lineRule="exact"/>
        <w:ind w:firstLine="3675" w:firstLineChars="1750"/>
        <w:rPr>
          <w:rFonts w:hint="eastAsia" w:hAnsi="宋体"/>
          <w:color w:val="auto"/>
          <w:highlight w:val="none"/>
          <w:u w:val="single"/>
        </w:rPr>
      </w:pPr>
      <w:r>
        <w:rPr>
          <w:rFonts w:hint="eastAsia" w:hAnsi="宋体"/>
          <w:color w:val="auto"/>
          <w:highlight w:val="none"/>
        </w:rPr>
        <w:t>法定代表人</w:t>
      </w:r>
      <w:r>
        <w:rPr>
          <w:rFonts w:hint="eastAsia" w:hAnsi="宋体"/>
          <w:color w:val="auto"/>
          <w:highlight w:val="none"/>
          <w:lang w:eastAsia="zh-CN"/>
        </w:rPr>
        <w:t>（</w:t>
      </w:r>
      <w:r>
        <w:rPr>
          <w:rFonts w:hint="eastAsia" w:hAnsi="宋体"/>
          <w:color w:val="auto"/>
          <w:highlight w:val="none"/>
          <w:lang w:val="en-US" w:eastAsia="zh-CN"/>
        </w:rPr>
        <w:t>负责人</w:t>
      </w:r>
      <w:r>
        <w:rPr>
          <w:rFonts w:hint="eastAsia" w:hAnsi="宋体"/>
          <w:color w:val="auto"/>
          <w:highlight w:val="none"/>
          <w:lang w:eastAsia="zh-CN"/>
        </w:rPr>
        <w:t>）</w:t>
      </w:r>
      <w:r>
        <w:rPr>
          <w:rFonts w:hint="eastAsia" w:hAnsi="宋体"/>
          <w:color w:val="auto"/>
          <w:highlight w:val="none"/>
        </w:rPr>
        <w:t>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2"/>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6"/>
          <w:jc w:val="center"/>
        </w:pPr>
        <w:r>
          <w:fldChar w:fldCharType="begin"/>
        </w:r>
        <w:r>
          <w:instrText xml:space="preserve">PAGE   \* MERGEFORMAT</w:instrText>
        </w:r>
        <w:r>
          <w:fldChar w:fldCharType="separate"/>
        </w:r>
        <w:r>
          <w:t>2</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rPr>
      <w:t xml:space="preserve">钦州市政府采购中心           </w:t>
    </w:r>
    <w:r>
      <w:rPr>
        <w:rFonts w:hint="eastAsia"/>
        <w:lang w:val="en-US" w:eastAsia="zh-CN"/>
      </w:rPr>
      <w:t xml:space="preserve">   </w:t>
    </w:r>
    <w:r>
      <w:rPr>
        <w:rFonts w:hint="eastAsia"/>
        <w:lang w:eastAsia="zh-CN"/>
      </w:rPr>
      <w:t>钦州市公安局交警支队公安交通集成指挥平台扩容升级改造</w:t>
    </w:r>
    <w:r>
      <w:rPr>
        <w:rFonts w:hint="eastAsia"/>
      </w:rPr>
      <w:t>(</w:t>
    </w:r>
    <w:r>
      <w:rPr>
        <w:rFonts w:hint="eastAsia"/>
        <w:lang w:eastAsia="zh-CN"/>
      </w:rPr>
      <w:t>QZZC2025-C3-990369-QZSZ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AD15A169"/>
    <w:multiLevelType w:val="singleLevel"/>
    <w:tmpl w:val="AD15A169"/>
    <w:lvl w:ilvl="0" w:tentative="0">
      <w:start w:val="1"/>
      <w:numFmt w:val="chineseCounting"/>
      <w:suff w:val="nothing"/>
      <w:lvlText w:val="%1、"/>
      <w:lvlJc w:val="left"/>
      <w:rPr>
        <w:rFonts w:hint="eastAsia"/>
      </w:rPr>
    </w:lvl>
  </w:abstractNum>
  <w:abstractNum w:abstractNumId="2">
    <w:nsid w:val="DC929778"/>
    <w:multiLevelType w:val="singleLevel"/>
    <w:tmpl w:val="DC929778"/>
    <w:lvl w:ilvl="0" w:tentative="0">
      <w:start w:val="1"/>
      <w:numFmt w:val="decimal"/>
      <w:suff w:val="nothing"/>
      <w:lvlText w:val="%1、"/>
      <w:lvlJc w:val="left"/>
    </w:lvl>
  </w:abstractNum>
  <w:abstractNum w:abstractNumId="3">
    <w:nsid w:val="00000007"/>
    <w:multiLevelType w:val="multilevel"/>
    <w:tmpl w:val="00000007"/>
    <w:lvl w:ilvl="0" w:tentative="0">
      <w:start w:val="1"/>
      <w:numFmt w:val="chineseCountingThousand"/>
      <w:pStyle w:val="20"/>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6"/>
      <w:suff w:val="nothing"/>
      <w:lvlText w:val=""/>
      <w:lvlJc w:val="left"/>
      <w:pPr>
        <w:ind w:left="142" w:firstLine="0"/>
      </w:pPr>
      <w:rPr>
        <w:rFonts w:hint="eastAsia"/>
      </w:rPr>
    </w:lvl>
    <w:lvl w:ilvl="5" w:tentative="0">
      <w:start w:val="1"/>
      <w:numFmt w:val="none"/>
      <w:pStyle w:val="8"/>
      <w:suff w:val="nothing"/>
      <w:lvlText w:val=""/>
      <w:lvlJc w:val="left"/>
      <w:pPr>
        <w:ind w:left="142" w:firstLine="0"/>
      </w:pPr>
      <w:rPr>
        <w:rFonts w:hint="eastAsia"/>
      </w:rPr>
    </w:lvl>
    <w:lvl w:ilvl="6" w:tentative="0">
      <w:start w:val="1"/>
      <w:numFmt w:val="none"/>
      <w:pStyle w:val="9"/>
      <w:suff w:val="nothing"/>
      <w:lvlText w:val=""/>
      <w:lvlJc w:val="left"/>
      <w:pPr>
        <w:ind w:left="142" w:firstLine="0"/>
      </w:pPr>
      <w:rPr>
        <w:rFonts w:hint="eastAsia"/>
      </w:rPr>
    </w:lvl>
    <w:lvl w:ilvl="7" w:tentative="0">
      <w:start w:val="1"/>
      <w:numFmt w:val="none"/>
      <w:pStyle w:val="10"/>
      <w:suff w:val="nothing"/>
      <w:lvlText w:val=""/>
      <w:lvlJc w:val="left"/>
      <w:pPr>
        <w:ind w:left="142" w:firstLine="0"/>
      </w:pPr>
      <w:rPr>
        <w:rFonts w:hint="eastAsia"/>
      </w:rPr>
    </w:lvl>
    <w:lvl w:ilvl="8" w:tentative="0">
      <w:start w:val="1"/>
      <w:numFmt w:val="none"/>
      <w:pStyle w:val="11"/>
      <w:suff w:val="nothing"/>
      <w:lvlText w:val=""/>
      <w:lvlJc w:val="left"/>
      <w:pPr>
        <w:ind w:left="142" w:firstLine="0"/>
      </w:pPr>
      <w:rPr>
        <w:rFonts w:hint="eastAsia"/>
      </w:rPr>
    </w:lvl>
  </w:abstractNum>
  <w:abstractNum w:abstractNumId="4">
    <w:nsid w:val="253252F4"/>
    <w:multiLevelType w:val="singleLevel"/>
    <w:tmpl w:val="253252F4"/>
    <w:lvl w:ilvl="0" w:tentative="0">
      <w:start w:val="5"/>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A7"/>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C81A59"/>
    <w:rsid w:val="01DB1C83"/>
    <w:rsid w:val="01FB5C4F"/>
    <w:rsid w:val="01FD5B11"/>
    <w:rsid w:val="020422C1"/>
    <w:rsid w:val="020957FD"/>
    <w:rsid w:val="0213141D"/>
    <w:rsid w:val="02491AB4"/>
    <w:rsid w:val="024A0BB7"/>
    <w:rsid w:val="0256548E"/>
    <w:rsid w:val="027345B1"/>
    <w:rsid w:val="027A16D0"/>
    <w:rsid w:val="02890D36"/>
    <w:rsid w:val="029370C7"/>
    <w:rsid w:val="029B0E51"/>
    <w:rsid w:val="02BD75DA"/>
    <w:rsid w:val="02CD5745"/>
    <w:rsid w:val="02D7069C"/>
    <w:rsid w:val="02FF41F8"/>
    <w:rsid w:val="0314419D"/>
    <w:rsid w:val="03AF786B"/>
    <w:rsid w:val="03B66A47"/>
    <w:rsid w:val="03D12F2D"/>
    <w:rsid w:val="03F86B1C"/>
    <w:rsid w:val="04602913"/>
    <w:rsid w:val="04E24159"/>
    <w:rsid w:val="04E81B1A"/>
    <w:rsid w:val="05097AD0"/>
    <w:rsid w:val="050A7344"/>
    <w:rsid w:val="05CC0E93"/>
    <w:rsid w:val="05D73EDE"/>
    <w:rsid w:val="06120F43"/>
    <w:rsid w:val="06443FD4"/>
    <w:rsid w:val="068273C6"/>
    <w:rsid w:val="06AA58F0"/>
    <w:rsid w:val="06AF2ACB"/>
    <w:rsid w:val="06C70D2A"/>
    <w:rsid w:val="06CB5095"/>
    <w:rsid w:val="06F47713"/>
    <w:rsid w:val="071C5217"/>
    <w:rsid w:val="07277E4A"/>
    <w:rsid w:val="0748600C"/>
    <w:rsid w:val="08073E22"/>
    <w:rsid w:val="083420ED"/>
    <w:rsid w:val="084A7A59"/>
    <w:rsid w:val="08822685"/>
    <w:rsid w:val="08B0222D"/>
    <w:rsid w:val="08C41BCC"/>
    <w:rsid w:val="08E63D19"/>
    <w:rsid w:val="08FA104A"/>
    <w:rsid w:val="08FA57C7"/>
    <w:rsid w:val="095A0B90"/>
    <w:rsid w:val="0983332C"/>
    <w:rsid w:val="09863BAB"/>
    <w:rsid w:val="09AA1547"/>
    <w:rsid w:val="09AA4D5C"/>
    <w:rsid w:val="09B07128"/>
    <w:rsid w:val="09B63701"/>
    <w:rsid w:val="09E85885"/>
    <w:rsid w:val="0A20501F"/>
    <w:rsid w:val="0A344626"/>
    <w:rsid w:val="0A765FB8"/>
    <w:rsid w:val="0A814349"/>
    <w:rsid w:val="0AA34338"/>
    <w:rsid w:val="0AED6133"/>
    <w:rsid w:val="0AF8308E"/>
    <w:rsid w:val="0B6F074F"/>
    <w:rsid w:val="0B97173B"/>
    <w:rsid w:val="0BB04180"/>
    <w:rsid w:val="0BC22AFC"/>
    <w:rsid w:val="0BCF2858"/>
    <w:rsid w:val="0BD55995"/>
    <w:rsid w:val="0BF91683"/>
    <w:rsid w:val="0C006EB6"/>
    <w:rsid w:val="0C483CB5"/>
    <w:rsid w:val="0C5F0057"/>
    <w:rsid w:val="0CC0267A"/>
    <w:rsid w:val="0D8D654B"/>
    <w:rsid w:val="0D8F7828"/>
    <w:rsid w:val="0D984ECC"/>
    <w:rsid w:val="0DA914DF"/>
    <w:rsid w:val="0DE335FC"/>
    <w:rsid w:val="0DFE7425"/>
    <w:rsid w:val="0E0130FC"/>
    <w:rsid w:val="0E080413"/>
    <w:rsid w:val="0E213113"/>
    <w:rsid w:val="0E263246"/>
    <w:rsid w:val="0E3015D7"/>
    <w:rsid w:val="0E6A02CB"/>
    <w:rsid w:val="0E9B4312"/>
    <w:rsid w:val="0EC266A4"/>
    <w:rsid w:val="0EEF1FC8"/>
    <w:rsid w:val="0F9067A2"/>
    <w:rsid w:val="0F984100"/>
    <w:rsid w:val="0FB71F81"/>
    <w:rsid w:val="0FC87CEA"/>
    <w:rsid w:val="10036F74"/>
    <w:rsid w:val="101500B2"/>
    <w:rsid w:val="10507C42"/>
    <w:rsid w:val="105A7962"/>
    <w:rsid w:val="10624C50"/>
    <w:rsid w:val="109C3C4F"/>
    <w:rsid w:val="10E36DA6"/>
    <w:rsid w:val="114F5A7F"/>
    <w:rsid w:val="11513D10"/>
    <w:rsid w:val="115C57C9"/>
    <w:rsid w:val="11692E07"/>
    <w:rsid w:val="116A4DD1"/>
    <w:rsid w:val="117143B2"/>
    <w:rsid w:val="117F087D"/>
    <w:rsid w:val="11AE4CBE"/>
    <w:rsid w:val="11C40985"/>
    <w:rsid w:val="11F62C07"/>
    <w:rsid w:val="11FA08A7"/>
    <w:rsid w:val="124F3295"/>
    <w:rsid w:val="12A54313"/>
    <w:rsid w:val="12D44BF8"/>
    <w:rsid w:val="13737B75"/>
    <w:rsid w:val="138403CC"/>
    <w:rsid w:val="13B43E61"/>
    <w:rsid w:val="13CE5AEB"/>
    <w:rsid w:val="13D53E63"/>
    <w:rsid w:val="13DD5026"/>
    <w:rsid w:val="13F84916"/>
    <w:rsid w:val="14326271"/>
    <w:rsid w:val="147719A1"/>
    <w:rsid w:val="148122B0"/>
    <w:rsid w:val="14891625"/>
    <w:rsid w:val="148C1946"/>
    <w:rsid w:val="14B8240A"/>
    <w:rsid w:val="1527796B"/>
    <w:rsid w:val="154C7218"/>
    <w:rsid w:val="15677C26"/>
    <w:rsid w:val="15FF6FFD"/>
    <w:rsid w:val="16323F16"/>
    <w:rsid w:val="165A3666"/>
    <w:rsid w:val="167F30CD"/>
    <w:rsid w:val="16826719"/>
    <w:rsid w:val="16C43094"/>
    <w:rsid w:val="16D70206"/>
    <w:rsid w:val="16D73B4B"/>
    <w:rsid w:val="16E80C72"/>
    <w:rsid w:val="16F05578"/>
    <w:rsid w:val="17016D2B"/>
    <w:rsid w:val="172A3039"/>
    <w:rsid w:val="17707100"/>
    <w:rsid w:val="177121C5"/>
    <w:rsid w:val="17853822"/>
    <w:rsid w:val="17D07FA5"/>
    <w:rsid w:val="17E06C0C"/>
    <w:rsid w:val="183343B1"/>
    <w:rsid w:val="18947263"/>
    <w:rsid w:val="18992D98"/>
    <w:rsid w:val="18B01F9D"/>
    <w:rsid w:val="18BF3C55"/>
    <w:rsid w:val="18D47700"/>
    <w:rsid w:val="18E5482D"/>
    <w:rsid w:val="196C5A40"/>
    <w:rsid w:val="198463D0"/>
    <w:rsid w:val="19BE215E"/>
    <w:rsid w:val="19BE3F0C"/>
    <w:rsid w:val="19C2556A"/>
    <w:rsid w:val="19C41B53"/>
    <w:rsid w:val="19C56CED"/>
    <w:rsid w:val="1A1A2CBB"/>
    <w:rsid w:val="1A2608F3"/>
    <w:rsid w:val="1A2C356C"/>
    <w:rsid w:val="1A336B23"/>
    <w:rsid w:val="1A6A51B6"/>
    <w:rsid w:val="1B7A20B5"/>
    <w:rsid w:val="1B9C202B"/>
    <w:rsid w:val="1BAF1D5E"/>
    <w:rsid w:val="1BCD57AB"/>
    <w:rsid w:val="1C0E1A98"/>
    <w:rsid w:val="1C444B9D"/>
    <w:rsid w:val="1C490289"/>
    <w:rsid w:val="1C5E5533"/>
    <w:rsid w:val="1C6F4FB4"/>
    <w:rsid w:val="1CA6768D"/>
    <w:rsid w:val="1CB331B1"/>
    <w:rsid w:val="1CB735C0"/>
    <w:rsid w:val="1CDB5968"/>
    <w:rsid w:val="1CDC20BC"/>
    <w:rsid w:val="1CE70364"/>
    <w:rsid w:val="1D00218C"/>
    <w:rsid w:val="1D1F6145"/>
    <w:rsid w:val="1D3F6767"/>
    <w:rsid w:val="1D4F1A4B"/>
    <w:rsid w:val="1D540E0F"/>
    <w:rsid w:val="1D54432D"/>
    <w:rsid w:val="1D9425D3"/>
    <w:rsid w:val="1DB60C13"/>
    <w:rsid w:val="1E2D620F"/>
    <w:rsid w:val="1E422931"/>
    <w:rsid w:val="1E8944C5"/>
    <w:rsid w:val="1E8F7C25"/>
    <w:rsid w:val="1EB65B04"/>
    <w:rsid w:val="1F5E4382"/>
    <w:rsid w:val="1F8F2FC4"/>
    <w:rsid w:val="1FA31BDA"/>
    <w:rsid w:val="1FF24910"/>
    <w:rsid w:val="20174376"/>
    <w:rsid w:val="20325EC0"/>
    <w:rsid w:val="203B0065"/>
    <w:rsid w:val="20621846"/>
    <w:rsid w:val="208244E5"/>
    <w:rsid w:val="210F451A"/>
    <w:rsid w:val="212154AC"/>
    <w:rsid w:val="215A09BE"/>
    <w:rsid w:val="21BD09EA"/>
    <w:rsid w:val="21C734F7"/>
    <w:rsid w:val="21D2510C"/>
    <w:rsid w:val="21E64541"/>
    <w:rsid w:val="22B60C01"/>
    <w:rsid w:val="23104625"/>
    <w:rsid w:val="231879A1"/>
    <w:rsid w:val="239A46F7"/>
    <w:rsid w:val="23C15E1B"/>
    <w:rsid w:val="23CB7951"/>
    <w:rsid w:val="24005895"/>
    <w:rsid w:val="24030E99"/>
    <w:rsid w:val="2411343C"/>
    <w:rsid w:val="24170DE9"/>
    <w:rsid w:val="24213A15"/>
    <w:rsid w:val="249B1639"/>
    <w:rsid w:val="249F6523"/>
    <w:rsid w:val="25B84A72"/>
    <w:rsid w:val="25C44DD5"/>
    <w:rsid w:val="25D42F45"/>
    <w:rsid w:val="26062EC3"/>
    <w:rsid w:val="2699467B"/>
    <w:rsid w:val="26B50755"/>
    <w:rsid w:val="26C1503C"/>
    <w:rsid w:val="26CA35AD"/>
    <w:rsid w:val="26D11723"/>
    <w:rsid w:val="27541A0C"/>
    <w:rsid w:val="27C27F53"/>
    <w:rsid w:val="27C351B9"/>
    <w:rsid w:val="27CC3C98"/>
    <w:rsid w:val="27DC6979"/>
    <w:rsid w:val="28A91541"/>
    <w:rsid w:val="28B1694E"/>
    <w:rsid w:val="28BC0562"/>
    <w:rsid w:val="2939535D"/>
    <w:rsid w:val="293A4F8A"/>
    <w:rsid w:val="29437F8A"/>
    <w:rsid w:val="29747D10"/>
    <w:rsid w:val="29787C34"/>
    <w:rsid w:val="29EE3795"/>
    <w:rsid w:val="2A2D713F"/>
    <w:rsid w:val="2A423861"/>
    <w:rsid w:val="2A63541A"/>
    <w:rsid w:val="2A8F5EDF"/>
    <w:rsid w:val="2AA84B6D"/>
    <w:rsid w:val="2ABF0192"/>
    <w:rsid w:val="2AC70BB0"/>
    <w:rsid w:val="2AFB6893"/>
    <w:rsid w:val="2B012530"/>
    <w:rsid w:val="2B844FB6"/>
    <w:rsid w:val="2B9176D3"/>
    <w:rsid w:val="2B937D0B"/>
    <w:rsid w:val="2BE90905"/>
    <w:rsid w:val="2C0C6D59"/>
    <w:rsid w:val="2C314CC2"/>
    <w:rsid w:val="2CB23755"/>
    <w:rsid w:val="2D014873"/>
    <w:rsid w:val="2D4973DC"/>
    <w:rsid w:val="2D4B38B1"/>
    <w:rsid w:val="2D9B373B"/>
    <w:rsid w:val="2DA55B88"/>
    <w:rsid w:val="2DF36570"/>
    <w:rsid w:val="2E1E06B9"/>
    <w:rsid w:val="2E786928"/>
    <w:rsid w:val="2EB61B31"/>
    <w:rsid w:val="2EF8259B"/>
    <w:rsid w:val="2EFC30B5"/>
    <w:rsid w:val="2F064E19"/>
    <w:rsid w:val="2F2954D5"/>
    <w:rsid w:val="2F5F095E"/>
    <w:rsid w:val="2F665BC2"/>
    <w:rsid w:val="2F737C64"/>
    <w:rsid w:val="2F794705"/>
    <w:rsid w:val="2F9959A7"/>
    <w:rsid w:val="2FDE4A00"/>
    <w:rsid w:val="2FFD0E93"/>
    <w:rsid w:val="30240B15"/>
    <w:rsid w:val="30450A8C"/>
    <w:rsid w:val="30A957E4"/>
    <w:rsid w:val="30AC28B9"/>
    <w:rsid w:val="30BE4A0D"/>
    <w:rsid w:val="30C56DD2"/>
    <w:rsid w:val="30EE1123"/>
    <w:rsid w:val="313F372D"/>
    <w:rsid w:val="316F5DC0"/>
    <w:rsid w:val="31843689"/>
    <w:rsid w:val="318A2BFA"/>
    <w:rsid w:val="3198766B"/>
    <w:rsid w:val="319D0DD6"/>
    <w:rsid w:val="31A812D2"/>
    <w:rsid w:val="31ED5251"/>
    <w:rsid w:val="31F2079F"/>
    <w:rsid w:val="327229DD"/>
    <w:rsid w:val="32DE1F01"/>
    <w:rsid w:val="32FA2EAF"/>
    <w:rsid w:val="32FD283D"/>
    <w:rsid w:val="331630E9"/>
    <w:rsid w:val="335F6FD7"/>
    <w:rsid w:val="34027DEA"/>
    <w:rsid w:val="34087045"/>
    <w:rsid w:val="34575A6A"/>
    <w:rsid w:val="34B52199"/>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4641B3"/>
    <w:rsid w:val="375A12C0"/>
    <w:rsid w:val="37CB5D1A"/>
    <w:rsid w:val="3859271F"/>
    <w:rsid w:val="38673C95"/>
    <w:rsid w:val="38733E42"/>
    <w:rsid w:val="38C2712E"/>
    <w:rsid w:val="38E2156D"/>
    <w:rsid w:val="39271D01"/>
    <w:rsid w:val="394F0285"/>
    <w:rsid w:val="397048F7"/>
    <w:rsid w:val="398D5418"/>
    <w:rsid w:val="39A62C24"/>
    <w:rsid w:val="39D06D45"/>
    <w:rsid w:val="39DF7ECE"/>
    <w:rsid w:val="3A0A0D7C"/>
    <w:rsid w:val="3A29797A"/>
    <w:rsid w:val="3A3E409C"/>
    <w:rsid w:val="3A432417"/>
    <w:rsid w:val="3A5B7D04"/>
    <w:rsid w:val="3A8221F6"/>
    <w:rsid w:val="3A993EAE"/>
    <w:rsid w:val="3AAC1E33"/>
    <w:rsid w:val="3ABB3E24"/>
    <w:rsid w:val="3AC53AEC"/>
    <w:rsid w:val="3AFB781A"/>
    <w:rsid w:val="3B1D351E"/>
    <w:rsid w:val="3B2575DE"/>
    <w:rsid w:val="3B2714BA"/>
    <w:rsid w:val="3B365BA1"/>
    <w:rsid w:val="3B4C2B43"/>
    <w:rsid w:val="3B60677A"/>
    <w:rsid w:val="3B941916"/>
    <w:rsid w:val="3BAC19BF"/>
    <w:rsid w:val="3C682428"/>
    <w:rsid w:val="3D3222CC"/>
    <w:rsid w:val="3D417B8C"/>
    <w:rsid w:val="3D4402AC"/>
    <w:rsid w:val="3D4C5F1D"/>
    <w:rsid w:val="3D803103"/>
    <w:rsid w:val="3D821555"/>
    <w:rsid w:val="3D88553F"/>
    <w:rsid w:val="3D8D7280"/>
    <w:rsid w:val="3DDA0A65"/>
    <w:rsid w:val="3DFF671E"/>
    <w:rsid w:val="3E157CEF"/>
    <w:rsid w:val="3E1A5671"/>
    <w:rsid w:val="3E3F4B8A"/>
    <w:rsid w:val="3E3F7E22"/>
    <w:rsid w:val="3E481E73"/>
    <w:rsid w:val="3E546A69"/>
    <w:rsid w:val="3E667CEF"/>
    <w:rsid w:val="3EAB41B0"/>
    <w:rsid w:val="3ED34AA0"/>
    <w:rsid w:val="3EF73899"/>
    <w:rsid w:val="3F2A54AE"/>
    <w:rsid w:val="3F613FD3"/>
    <w:rsid w:val="3F6E789D"/>
    <w:rsid w:val="3F747F0C"/>
    <w:rsid w:val="3FE04FF8"/>
    <w:rsid w:val="3FED2FEE"/>
    <w:rsid w:val="402356C6"/>
    <w:rsid w:val="40360E64"/>
    <w:rsid w:val="40B118C6"/>
    <w:rsid w:val="40EB11DB"/>
    <w:rsid w:val="412874F2"/>
    <w:rsid w:val="412C5A7C"/>
    <w:rsid w:val="41AD2FCF"/>
    <w:rsid w:val="41BD0482"/>
    <w:rsid w:val="41C73BAC"/>
    <w:rsid w:val="41CD680D"/>
    <w:rsid w:val="41FF0A9A"/>
    <w:rsid w:val="42014C57"/>
    <w:rsid w:val="42161379"/>
    <w:rsid w:val="42323CE4"/>
    <w:rsid w:val="424B1F31"/>
    <w:rsid w:val="42703746"/>
    <w:rsid w:val="4294099C"/>
    <w:rsid w:val="429F227D"/>
    <w:rsid w:val="42AF6075"/>
    <w:rsid w:val="42CF43AB"/>
    <w:rsid w:val="42D53EF1"/>
    <w:rsid w:val="42ED4D97"/>
    <w:rsid w:val="42EE6E5E"/>
    <w:rsid w:val="42F104FE"/>
    <w:rsid w:val="43204EC2"/>
    <w:rsid w:val="436E046A"/>
    <w:rsid w:val="438576C5"/>
    <w:rsid w:val="43AD2778"/>
    <w:rsid w:val="43C845C3"/>
    <w:rsid w:val="43E837B0"/>
    <w:rsid w:val="43FE2FD4"/>
    <w:rsid w:val="44352F81"/>
    <w:rsid w:val="448D06C0"/>
    <w:rsid w:val="45123FBD"/>
    <w:rsid w:val="45336CAD"/>
    <w:rsid w:val="455C6204"/>
    <w:rsid w:val="458B5528"/>
    <w:rsid w:val="45CF5A88"/>
    <w:rsid w:val="45D264C6"/>
    <w:rsid w:val="45E05E02"/>
    <w:rsid w:val="46737A24"/>
    <w:rsid w:val="46885E2A"/>
    <w:rsid w:val="46B207D1"/>
    <w:rsid w:val="46CA0433"/>
    <w:rsid w:val="46E52FDC"/>
    <w:rsid w:val="476C2AAB"/>
    <w:rsid w:val="47833F1C"/>
    <w:rsid w:val="47865EBD"/>
    <w:rsid w:val="47CC58C3"/>
    <w:rsid w:val="480036E9"/>
    <w:rsid w:val="48043633"/>
    <w:rsid w:val="48270D4B"/>
    <w:rsid w:val="48516FB5"/>
    <w:rsid w:val="48AF2AEE"/>
    <w:rsid w:val="48B459D5"/>
    <w:rsid w:val="48FF5A97"/>
    <w:rsid w:val="49452A17"/>
    <w:rsid w:val="49497D40"/>
    <w:rsid w:val="498875C7"/>
    <w:rsid w:val="49B303BC"/>
    <w:rsid w:val="4A8561FD"/>
    <w:rsid w:val="4A9216E3"/>
    <w:rsid w:val="4AC05B12"/>
    <w:rsid w:val="4AE820F1"/>
    <w:rsid w:val="4B4D6D1A"/>
    <w:rsid w:val="4B814AAE"/>
    <w:rsid w:val="4BC845F3"/>
    <w:rsid w:val="4BCA036B"/>
    <w:rsid w:val="4C2F6420"/>
    <w:rsid w:val="4C520360"/>
    <w:rsid w:val="4C662717"/>
    <w:rsid w:val="4C841471"/>
    <w:rsid w:val="4CB13567"/>
    <w:rsid w:val="4D037E68"/>
    <w:rsid w:val="4D0F5F5B"/>
    <w:rsid w:val="4D10647F"/>
    <w:rsid w:val="4D3B3249"/>
    <w:rsid w:val="4D5A571F"/>
    <w:rsid w:val="4DF705E5"/>
    <w:rsid w:val="4E2D4BE1"/>
    <w:rsid w:val="4E3F66C2"/>
    <w:rsid w:val="4E634927"/>
    <w:rsid w:val="4E782796"/>
    <w:rsid w:val="4E9E6D0A"/>
    <w:rsid w:val="4EFB3A84"/>
    <w:rsid w:val="4F105D44"/>
    <w:rsid w:val="4F355850"/>
    <w:rsid w:val="4F416688"/>
    <w:rsid w:val="4F5C4B3F"/>
    <w:rsid w:val="4F5D14F6"/>
    <w:rsid w:val="4F8B14B0"/>
    <w:rsid w:val="4F963C4E"/>
    <w:rsid w:val="4FB671CF"/>
    <w:rsid w:val="4FEE276A"/>
    <w:rsid w:val="4FF37764"/>
    <w:rsid w:val="4FFD7F4B"/>
    <w:rsid w:val="501F5F01"/>
    <w:rsid w:val="506D2760"/>
    <w:rsid w:val="50BF05A8"/>
    <w:rsid w:val="511F641F"/>
    <w:rsid w:val="515801C7"/>
    <w:rsid w:val="51E152C2"/>
    <w:rsid w:val="51E504F4"/>
    <w:rsid w:val="52077FA0"/>
    <w:rsid w:val="523110C2"/>
    <w:rsid w:val="52495986"/>
    <w:rsid w:val="52846D9A"/>
    <w:rsid w:val="528F2655"/>
    <w:rsid w:val="52C670DA"/>
    <w:rsid w:val="52D374D1"/>
    <w:rsid w:val="52F61E27"/>
    <w:rsid w:val="533F163E"/>
    <w:rsid w:val="53661218"/>
    <w:rsid w:val="53691AF8"/>
    <w:rsid w:val="53EB4DFF"/>
    <w:rsid w:val="53F02939"/>
    <w:rsid w:val="545A6004"/>
    <w:rsid w:val="545C6276"/>
    <w:rsid w:val="54853500"/>
    <w:rsid w:val="54892426"/>
    <w:rsid w:val="54C939AE"/>
    <w:rsid w:val="54DD6AF9"/>
    <w:rsid w:val="552542AB"/>
    <w:rsid w:val="553B7BE4"/>
    <w:rsid w:val="553E46F9"/>
    <w:rsid w:val="55546EF7"/>
    <w:rsid w:val="556C60B3"/>
    <w:rsid w:val="557E5D22"/>
    <w:rsid w:val="55910872"/>
    <w:rsid w:val="5593550C"/>
    <w:rsid w:val="55943798"/>
    <w:rsid w:val="55A35789"/>
    <w:rsid w:val="55A510D2"/>
    <w:rsid w:val="55AF412E"/>
    <w:rsid w:val="561A74D1"/>
    <w:rsid w:val="56A417B8"/>
    <w:rsid w:val="56BF34E2"/>
    <w:rsid w:val="56C4107D"/>
    <w:rsid w:val="57283E0B"/>
    <w:rsid w:val="573E4488"/>
    <w:rsid w:val="574A1DC1"/>
    <w:rsid w:val="57570AA4"/>
    <w:rsid w:val="57C00B06"/>
    <w:rsid w:val="57C546E0"/>
    <w:rsid w:val="57CC0FC7"/>
    <w:rsid w:val="58021570"/>
    <w:rsid w:val="580E5197"/>
    <w:rsid w:val="58276B38"/>
    <w:rsid w:val="5831455A"/>
    <w:rsid w:val="58485292"/>
    <w:rsid w:val="5863030F"/>
    <w:rsid w:val="5906339C"/>
    <w:rsid w:val="592616D2"/>
    <w:rsid w:val="59341B00"/>
    <w:rsid w:val="594971F2"/>
    <w:rsid w:val="59667A2A"/>
    <w:rsid w:val="59DE0E81"/>
    <w:rsid w:val="59F55223"/>
    <w:rsid w:val="59FF35B4"/>
    <w:rsid w:val="5A126D51"/>
    <w:rsid w:val="5A166E71"/>
    <w:rsid w:val="5A635857"/>
    <w:rsid w:val="5AC71F19"/>
    <w:rsid w:val="5AE470AA"/>
    <w:rsid w:val="5B242EC8"/>
    <w:rsid w:val="5B301727"/>
    <w:rsid w:val="5B5A5DEF"/>
    <w:rsid w:val="5B9F7FDF"/>
    <w:rsid w:val="5BC56904"/>
    <w:rsid w:val="5BDE576D"/>
    <w:rsid w:val="5C0A6E8C"/>
    <w:rsid w:val="5C7659A5"/>
    <w:rsid w:val="5C87614D"/>
    <w:rsid w:val="5CC1326B"/>
    <w:rsid w:val="5CC929ED"/>
    <w:rsid w:val="5CCE483C"/>
    <w:rsid w:val="5CEC2D02"/>
    <w:rsid w:val="5CF349E8"/>
    <w:rsid w:val="5D215911"/>
    <w:rsid w:val="5D2353DA"/>
    <w:rsid w:val="5D3A4C25"/>
    <w:rsid w:val="5D44739C"/>
    <w:rsid w:val="5D541157"/>
    <w:rsid w:val="5DA36C6E"/>
    <w:rsid w:val="5DAD189A"/>
    <w:rsid w:val="5DB744C7"/>
    <w:rsid w:val="5E0D40E7"/>
    <w:rsid w:val="5E4529A4"/>
    <w:rsid w:val="5E8E6FD6"/>
    <w:rsid w:val="5EBC3A41"/>
    <w:rsid w:val="5EC24ED2"/>
    <w:rsid w:val="5EC65064"/>
    <w:rsid w:val="5ECF4F5C"/>
    <w:rsid w:val="5ED864A3"/>
    <w:rsid w:val="5F074FDA"/>
    <w:rsid w:val="5F304531"/>
    <w:rsid w:val="5F6D531F"/>
    <w:rsid w:val="5FAE2505"/>
    <w:rsid w:val="5FD66420"/>
    <w:rsid w:val="5FE00EBE"/>
    <w:rsid w:val="5FE33352"/>
    <w:rsid w:val="5FE377F5"/>
    <w:rsid w:val="5FE5531C"/>
    <w:rsid w:val="60056797"/>
    <w:rsid w:val="604D556C"/>
    <w:rsid w:val="60E20F47"/>
    <w:rsid w:val="60F8107F"/>
    <w:rsid w:val="61094D40"/>
    <w:rsid w:val="612855F5"/>
    <w:rsid w:val="614172DE"/>
    <w:rsid w:val="6160574F"/>
    <w:rsid w:val="61665E0A"/>
    <w:rsid w:val="61AB7E6A"/>
    <w:rsid w:val="61DB07E9"/>
    <w:rsid w:val="61F23D20"/>
    <w:rsid w:val="61F42ED5"/>
    <w:rsid w:val="621E68C3"/>
    <w:rsid w:val="627548E7"/>
    <w:rsid w:val="62CA7939"/>
    <w:rsid w:val="62CC4571"/>
    <w:rsid w:val="62E35058"/>
    <w:rsid w:val="631A52DC"/>
    <w:rsid w:val="63411AEC"/>
    <w:rsid w:val="634405AB"/>
    <w:rsid w:val="636A546F"/>
    <w:rsid w:val="63F9261D"/>
    <w:rsid w:val="63F94221"/>
    <w:rsid w:val="64405703"/>
    <w:rsid w:val="648839FD"/>
    <w:rsid w:val="64A929D1"/>
    <w:rsid w:val="64C05CDA"/>
    <w:rsid w:val="6511265D"/>
    <w:rsid w:val="651C4271"/>
    <w:rsid w:val="652C7549"/>
    <w:rsid w:val="655D7702"/>
    <w:rsid w:val="65767F1F"/>
    <w:rsid w:val="65833B69"/>
    <w:rsid w:val="65992D50"/>
    <w:rsid w:val="65A74E21"/>
    <w:rsid w:val="65A93AD5"/>
    <w:rsid w:val="65F45900"/>
    <w:rsid w:val="661C251F"/>
    <w:rsid w:val="662B3EC2"/>
    <w:rsid w:val="663366B5"/>
    <w:rsid w:val="663F4188"/>
    <w:rsid w:val="664D59C9"/>
    <w:rsid w:val="6656236E"/>
    <w:rsid w:val="66754F1F"/>
    <w:rsid w:val="66B25BAB"/>
    <w:rsid w:val="6709601B"/>
    <w:rsid w:val="67796A91"/>
    <w:rsid w:val="67CC4F63"/>
    <w:rsid w:val="6808013C"/>
    <w:rsid w:val="681E586F"/>
    <w:rsid w:val="68490BA5"/>
    <w:rsid w:val="68686AEA"/>
    <w:rsid w:val="6872092B"/>
    <w:rsid w:val="687234C5"/>
    <w:rsid w:val="68A320F0"/>
    <w:rsid w:val="68C10A03"/>
    <w:rsid w:val="68E54CA7"/>
    <w:rsid w:val="691702F9"/>
    <w:rsid w:val="692E7F1E"/>
    <w:rsid w:val="69430A4C"/>
    <w:rsid w:val="69584DB0"/>
    <w:rsid w:val="697D0373"/>
    <w:rsid w:val="69847A9A"/>
    <w:rsid w:val="6997407C"/>
    <w:rsid w:val="6A242849"/>
    <w:rsid w:val="6A610B7E"/>
    <w:rsid w:val="6A753740"/>
    <w:rsid w:val="6A7C5CBA"/>
    <w:rsid w:val="6ADF78E5"/>
    <w:rsid w:val="6B032AFA"/>
    <w:rsid w:val="6B0B3C2C"/>
    <w:rsid w:val="6B236581"/>
    <w:rsid w:val="6B3837F7"/>
    <w:rsid w:val="6B6B7660"/>
    <w:rsid w:val="6B7874F8"/>
    <w:rsid w:val="6B8D0D02"/>
    <w:rsid w:val="6B940E9E"/>
    <w:rsid w:val="6BA51E03"/>
    <w:rsid w:val="6BD6020E"/>
    <w:rsid w:val="6BDF7FF6"/>
    <w:rsid w:val="6C0818DE"/>
    <w:rsid w:val="6C335661"/>
    <w:rsid w:val="6C5775A1"/>
    <w:rsid w:val="6C584782"/>
    <w:rsid w:val="6C6B6BA9"/>
    <w:rsid w:val="6C7C2B89"/>
    <w:rsid w:val="6CB30AE5"/>
    <w:rsid w:val="6D5A0320"/>
    <w:rsid w:val="6D5D0BE7"/>
    <w:rsid w:val="6E307E8D"/>
    <w:rsid w:val="6E92338D"/>
    <w:rsid w:val="6E9543B1"/>
    <w:rsid w:val="6E957F0D"/>
    <w:rsid w:val="6EA50F15"/>
    <w:rsid w:val="6EB215D3"/>
    <w:rsid w:val="6EE82732"/>
    <w:rsid w:val="6F1218C9"/>
    <w:rsid w:val="6F143527"/>
    <w:rsid w:val="6F35142D"/>
    <w:rsid w:val="6F392F8E"/>
    <w:rsid w:val="6F685621"/>
    <w:rsid w:val="6F6F34B7"/>
    <w:rsid w:val="6FE0340A"/>
    <w:rsid w:val="6FE10C9C"/>
    <w:rsid w:val="70257F20"/>
    <w:rsid w:val="70375E28"/>
    <w:rsid w:val="703F45D4"/>
    <w:rsid w:val="70593DDE"/>
    <w:rsid w:val="707D334E"/>
    <w:rsid w:val="70DF5DB7"/>
    <w:rsid w:val="714F4CEB"/>
    <w:rsid w:val="71883D59"/>
    <w:rsid w:val="72111FA0"/>
    <w:rsid w:val="72401A80"/>
    <w:rsid w:val="72465CF0"/>
    <w:rsid w:val="7253783B"/>
    <w:rsid w:val="7261486E"/>
    <w:rsid w:val="726D505F"/>
    <w:rsid w:val="728A58AF"/>
    <w:rsid w:val="7298562B"/>
    <w:rsid w:val="729A4E44"/>
    <w:rsid w:val="72BC63B0"/>
    <w:rsid w:val="72D46DF2"/>
    <w:rsid w:val="73047240"/>
    <w:rsid w:val="73331C5E"/>
    <w:rsid w:val="73651863"/>
    <w:rsid w:val="737361D7"/>
    <w:rsid w:val="73BC5F3C"/>
    <w:rsid w:val="73D96AEE"/>
    <w:rsid w:val="74125278"/>
    <w:rsid w:val="744A3547"/>
    <w:rsid w:val="7474619D"/>
    <w:rsid w:val="748563E6"/>
    <w:rsid w:val="749E1D55"/>
    <w:rsid w:val="74B3733F"/>
    <w:rsid w:val="74D13C69"/>
    <w:rsid w:val="74FC0CE6"/>
    <w:rsid w:val="75435570"/>
    <w:rsid w:val="75A977E2"/>
    <w:rsid w:val="762F0AE4"/>
    <w:rsid w:val="765E373E"/>
    <w:rsid w:val="768D3BBF"/>
    <w:rsid w:val="76912AA8"/>
    <w:rsid w:val="76936197"/>
    <w:rsid w:val="769413F2"/>
    <w:rsid w:val="76FA22C3"/>
    <w:rsid w:val="77000D51"/>
    <w:rsid w:val="770943E5"/>
    <w:rsid w:val="772B7660"/>
    <w:rsid w:val="775B41FB"/>
    <w:rsid w:val="77B75398"/>
    <w:rsid w:val="77B92EBE"/>
    <w:rsid w:val="77C51ADB"/>
    <w:rsid w:val="786E0F20"/>
    <w:rsid w:val="78827754"/>
    <w:rsid w:val="788F00C3"/>
    <w:rsid w:val="78A53442"/>
    <w:rsid w:val="79004B1D"/>
    <w:rsid w:val="79AE6327"/>
    <w:rsid w:val="79D209E4"/>
    <w:rsid w:val="7A1712DC"/>
    <w:rsid w:val="7A2D6D03"/>
    <w:rsid w:val="7A604F75"/>
    <w:rsid w:val="7A6510DB"/>
    <w:rsid w:val="7A947738"/>
    <w:rsid w:val="7AA15E8B"/>
    <w:rsid w:val="7AC878BC"/>
    <w:rsid w:val="7AD2618C"/>
    <w:rsid w:val="7AEA7832"/>
    <w:rsid w:val="7AF244C2"/>
    <w:rsid w:val="7B530520"/>
    <w:rsid w:val="7B674F74"/>
    <w:rsid w:val="7B6E2211"/>
    <w:rsid w:val="7BFC421E"/>
    <w:rsid w:val="7C484810"/>
    <w:rsid w:val="7C4A4A2C"/>
    <w:rsid w:val="7C8313D5"/>
    <w:rsid w:val="7C9E6B26"/>
    <w:rsid w:val="7CB1637A"/>
    <w:rsid w:val="7CCA2253"/>
    <w:rsid w:val="7CD07583"/>
    <w:rsid w:val="7D033D2B"/>
    <w:rsid w:val="7D0564AB"/>
    <w:rsid w:val="7D1961AD"/>
    <w:rsid w:val="7D382AD7"/>
    <w:rsid w:val="7D5052A6"/>
    <w:rsid w:val="7D670C49"/>
    <w:rsid w:val="7D8C697F"/>
    <w:rsid w:val="7D990C4B"/>
    <w:rsid w:val="7DC224E6"/>
    <w:rsid w:val="7DE50961"/>
    <w:rsid w:val="7E3D09A0"/>
    <w:rsid w:val="7E813419"/>
    <w:rsid w:val="7E867872"/>
    <w:rsid w:val="7F0204F0"/>
    <w:rsid w:val="7F106C3A"/>
    <w:rsid w:val="7FBE4DEA"/>
    <w:rsid w:val="7FD22FF6"/>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2">
    <w:name w:val="heading 3"/>
    <w:basedOn w:val="1"/>
    <w:next w:val="1"/>
    <w:link w:val="60"/>
    <w:qFormat/>
    <w:uiPriority w:val="9"/>
    <w:pPr>
      <w:keepNext/>
      <w:keepLines/>
      <w:spacing w:before="260" w:after="260" w:line="416" w:lineRule="auto"/>
      <w:outlineLvl w:val="2"/>
    </w:pPr>
    <w:rPr>
      <w:b/>
      <w:bCs/>
      <w:sz w:val="32"/>
      <w:szCs w:val="32"/>
    </w:rPr>
  </w:style>
  <w:style w:type="paragraph" w:styleId="5">
    <w:name w:val="heading 4"/>
    <w:basedOn w:val="1"/>
    <w:next w:val="1"/>
    <w:link w:val="1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7"/>
    <w:link w:val="128"/>
    <w:qFormat/>
    <w:uiPriority w:val="9"/>
    <w:pPr>
      <w:keepNext/>
      <w:keepLines/>
      <w:numPr>
        <w:ilvl w:val="4"/>
        <w:numId w:val="1"/>
      </w:numPr>
      <w:spacing w:before="280" w:after="290" w:line="376" w:lineRule="auto"/>
      <w:outlineLvl w:val="4"/>
    </w:pPr>
    <w:rPr>
      <w:b/>
      <w:sz w:val="28"/>
    </w:rPr>
  </w:style>
  <w:style w:type="paragraph" w:styleId="8">
    <w:name w:val="heading 6"/>
    <w:basedOn w:val="1"/>
    <w:next w:val="7"/>
    <w:link w:val="129"/>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0"/>
    <w:qFormat/>
    <w:uiPriority w:val="9"/>
    <w:pPr>
      <w:keepNext/>
      <w:keepLines/>
      <w:numPr>
        <w:ilvl w:val="6"/>
        <w:numId w:val="1"/>
      </w:numPr>
      <w:spacing w:before="240" w:after="64" w:line="320" w:lineRule="auto"/>
      <w:outlineLvl w:val="6"/>
    </w:pPr>
    <w:rPr>
      <w:b/>
      <w:sz w:val="24"/>
    </w:rPr>
  </w:style>
  <w:style w:type="paragraph" w:styleId="10">
    <w:name w:val="heading 8"/>
    <w:basedOn w:val="1"/>
    <w:next w:val="7"/>
    <w:link w:val="131"/>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2"/>
    <w:qFormat/>
    <w:uiPriority w:val="9"/>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35"/>
    <w:pPr>
      <w:spacing w:before="152" w:after="160"/>
    </w:pPr>
    <w:rPr>
      <w:rFonts w:ascii="Arial" w:hAnsi="Arial" w:eastAsia="黑体" w:cs="Arial"/>
      <w:sz w:val="20"/>
      <w:szCs w:val="20"/>
    </w:rPr>
  </w:style>
  <w:style w:type="paragraph" w:styleId="14">
    <w:name w:val="Document Map"/>
    <w:basedOn w:val="1"/>
    <w:link w:val="134"/>
    <w:qFormat/>
    <w:uiPriority w:val="99"/>
    <w:pPr>
      <w:shd w:val="clear" w:color="auto" w:fill="000080"/>
    </w:pPr>
  </w:style>
  <w:style w:type="paragraph" w:styleId="15">
    <w:name w:val="annotation text"/>
    <w:basedOn w:val="1"/>
    <w:link w:val="74"/>
    <w:qFormat/>
    <w:uiPriority w:val="99"/>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8"/>
    <w:link w:val="135"/>
    <w:qFormat/>
    <w:uiPriority w:val="0"/>
    <w:pPr>
      <w:spacing w:line="380" w:lineRule="exact"/>
    </w:pPr>
    <w:rPr>
      <w:sz w:val="24"/>
    </w:rPr>
  </w:style>
  <w:style w:type="paragraph" w:styleId="18">
    <w:name w:val="toc 2"/>
    <w:basedOn w:val="1"/>
    <w:next w:val="1"/>
    <w:qFormat/>
    <w:uiPriority w:val="39"/>
    <w:pPr>
      <w:tabs>
        <w:tab w:val="right" w:leader="dot" w:pos="9072"/>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19">
    <w:name w:val="Body Text Indent"/>
    <w:basedOn w:val="1"/>
    <w:link w:val="67"/>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5"/>
    <w:link w:val="54"/>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link w:val="73"/>
    <w:qFormat/>
    <w:uiPriority w:val="99"/>
    <w:rPr>
      <w:sz w:val="18"/>
      <w:szCs w:val="18"/>
      <w:lang w:val="zh-CN"/>
    </w:rPr>
  </w:style>
  <w:style w:type="paragraph" w:styleId="26">
    <w:name w:val="footer"/>
    <w:basedOn w:val="1"/>
    <w:link w:val="69"/>
    <w:qFormat/>
    <w:uiPriority w:val="99"/>
    <w:pPr>
      <w:tabs>
        <w:tab w:val="center" w:pos="4153"/>
        <w:tab w:val="right" w:pos="8306"/>
      </w:tabs>
      <w:snapToGrid w:val="0"/>
      <w:jc w:val="left"/>
    </w:pPr>
    <w:rPr>
      <w:sz w:val="18"/>
      <w:szCs w:val="18"/>
      <w:lang w:val="zh-CN"/>
    </w:rPr>
  </w:style>
  <w:style w:type="paragraph" w:styleId="27">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5"/>
    <w:next w:val="15"/>
    <w:link w:val="85"/>
    <w:qFormat/>
    <w:uiPriority w:val="0"/>
    <w:rPr>
      <w:b/>
      <w:bCs/>
    </w:rPr>
  </w:style>
  <w:style w:type="paragraph" w:styleId="36">
    <w:name w:val="Body Text First Indent 2"/>
    <w:basedOn w:val="19"/>
    <w:qFormat/>
    <w:uiPriority w:val="0"/>
    <w:pPr>
      <w:autoSpaceDE/>
      <w:autoSpaceDN/>
      <w:spacing w:line="312" w:lineRule="atLeast"/>
      <w:ind w:left="420" w:leftChars="200" w:firstLine="420" w:firstLineChars="200"/>
      <w:textAlignment w:val="baseline"/>
    </w:pPr>
    <w:rPr>
      <w:rFonts w:ascii="Times New Roman" w:eastAsia="宋体"/>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paragraph" w:customStyle="1" w:styleId="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3"/>
    <w:link w:val="52"/>
    <w:qFormat/>
    <w:uiPriority w:val="0"/>
    <w:pPr>
      <w:keepLines w:val="0"/>
      <w:widowControl/>
      <w:spacing w:before="0" w:after="0" w:line="240" w:lineRule="auto"/>
    </w:pPr>
    <w:rPr>
      <w:rFonts w:ascii="宋体" w:hAnsi="宋体"/>
      <w:sz w:val="36"/>
    </w:rPr>
  </w:style>
  <w:style w:type="character" w:customStyle="1" w:styleId="54">
    <w:name w:val="纯文本 字符"/>
    <w:link w:val="22"/>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2"/>
    <w:qFormat/>
    <w:uiPriority w:val="9"/>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19"/>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6"/>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29"/>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5"/>
    <w:qFormat/>
    <w:uiPriority w:val="99"/>
    <w:rPr>
      <w:rFonts w:ascii="Times New Roman" w:hAnsi="Times New Roman" w:eastAsia="宋体" w:cs="Times New Roman"/>
      <w:kern w:val="2"/>
      <w:sz w:val="18"/>
      <w:szCs w:val="18"/>
    </w:rPr>
  </w:style>
  <w:style w:type="character" w:customStyle="1" w:styleId="74">
    <w:name w:val="批注文字 字符"/>
    <w:link w:val="15"/>
    <w:qFormat/>
    <w:uiPriority w:val="99"/>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4"/>
    <w:qFormat/>
    <w:uiPriority w:val="9"/>
    <w:rPr>
      <w:rFonts w:ascii="Arial" w:hAnsi="Arial" w:eastAsia="黑体"/>
      <w:b/>
      <w:bCs/>
      <w:kern w:val="2"/>
      <w:sz w:val="24"/>
      <w:szCs w:val="32"/>
    </w:rPr>
  </w:style>
  <w:style w:type="character" w:customStyle="1" w:styleId="85">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17"/>
    <w:qFormat/>
    <w:uiPriority w:val="0"/>
    <w:pPr>
      <w:spacing w:after="120" w:line="240" w:lineRule="auto"/>
      <w:ind w:firstLine="420" w:firstLineChars="100"/>
    </w:pPr>
    <w:rPr>
      <w:sz w:val="21"/>
    </w:rPr>
  </w:style>
  <w:style w:type="paragraph" w:customStyle="1" w:styleId="90">
    <w:name w:val="Char Char1 Char Char Char Char"/>
    <w:basedOn w:val="14"/>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4"/>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4"/>
    <w:qFormat/>
    <w:uiPriority w:val="0"/>
    <w:rPr>
      <w:rFonts w:ascii="Tahoma" w:hAnsi="Tahoma"/>
      <w:sz w:val="24"/>
    </w:rPr>
  </w:style>
  <w:style w:type="paragraph" w:customStyle="1" w:styleId="96">
    <w:name w:val="_Style 35"/>
    <w:basedOn w:val="14"/>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4"/>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4"/>
    <w:qFormat/>
    <w:uiPriority w:val="0"/>
    <w:pPr>
      <w:widowControl/>
      <w:ind w:firstLine="454"/>
      <w:jc w:val="left"/>
    </w:pPr>
    <w:rPr>
      <w:rFonts w:ascii="Tahoma" w:hAnsi="Tahoma" w:cs="宋体"/>
      <w:kern w:val="0"/>
      <w:sz w:val="24"/>
      <w:szCs w:val="20"/>
    </w:rPr>
  </w:style>
  <w:style w:type="paragraph" w:customStyle="1" w:styleId="116">
    <w:name w:val="Char1"/>
    <w:basedOn w:val="14"/>
    <w:qFormat/>
    <w:uiPriority w:val="0"/>
    <w:pPr>
      <w:widowControl/>
      <w:ind w:firstLine="454"/>
      <w:jc w:val="left"/>
    </w:pPr>
    <w:rPr>
      <w:rFonts w:ascii="Tahoma" w:hAnsi="Tahoma" w:cs="宋体"/>
      <w:kern w:val="0"/>
      <w:sz w:val="24"/>
      <w:szCs w:val="20"/>
    </w:rPr>
  </w:style>
  <w:style w:type="paragraph" w:customStyle="1" w:styleId="117">
    <w:name w:val="1"/>
    <w:basedOn w:val="1"/>
    <w:next w:val="22"/>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
    <w:basedOn w:val="1"/>
    <w:qFormat/>
    <w:uiPriority w:val="34"/>
    <w:pPr>
      <w:ind w:firstLine="420" w:firstLineChars="200"/>
    </w:pPr>
    <w:rPr>
      <w:rFonts w:ascii="Calibri" w:hAnsi="Calibri"/>
      <w:szCs w:val="22"/>
    </w:rPr>
  </w:style>
  <w:style w:type="paragraph" w:customStyle="1" w:styleId="1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39"/>
    <w:unhideWhenUsed/>
    <w:qFormat/>
    <w:uiPriority w:val="99"/>
    <w:rPr>
      <w:color w:val="605E5C"/>
      <w:shd w:val="clear" w:color="auto" w:fill="E1DFDD"/>
    </w:rPr>
  </w:style>
  <w:style w:type="character" w:customStyle="1" w:styleId="123">
    <w:name w:val="font81"/>
    <w:basedOn w:val="39"/>
    <w:qFormat/>
    <w:uiPriority w:val="0"/>
    <w:rPr>
      <w:rFonts w:hint="eastAsia" w:ascii="宋体" w:hAnsi="宋体" w:eastAsia="宋体" w:cs="宋体"/>
      <w:color w:val="000000"/>
      <w:sz w:val="18"/>
      <w:szCs w:val="18"/>
      <w:u w:val="none"/>
    </w:rPr>
  </w:style>
  <w:style w:type="paragraph" w:customStyle="1" w:styleId="124">
    <w:name w:val="列表段落2"/>
    <w:basedOn w:val="1"/>
    <w:qFormat/>
    <w:uiPriority w:val="34"/>
    <w:pPr>
      <w:ind w:firstLine="420" w:firstLineChars="200"/>
    </w:pPr>
  </w:style>
  <w:style w:type="character" w:customStyle="1" w:styleId="125">
    <w:name w:val="未处理的提及2"/>
    <w:basedOn w:val="39"/>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character" w:customStyle="1" w:styleId="127">
    <w:name w:val="标题 4 字符"/>
    <w:basedOn w:val="39"/>
    <w:link w:val="5"/>
    <w:qFormat/>
    <w:uiPriority w:val="9"/>
    <w:rPr>
      <w:rFonts w:asciiTheme="majorHAnsi" w:hAnsiTheme="majorHAnsi" w:eastAsiaTheme="majorEastAsia" w:cstheme="majorBidi"/>
      <w:b/>
      <w:bCs/>
      <w:kern w:val="2"/>
      <w:sz w:val="28"/>
      <w:szCs w:val="28"/>
    </w:rPr>
  </w:style>
  <w:style w:type="character" w:customStyle="1" w:styleId="128">
    <w:name w:val="标题 5 字符"/>
    <w:basedOn w:val="39"/>
    <w:link w:val="6"/>
    <w:qFormat/>
    <w:uiPriority w:val="9"/>
    <w:rPr>
      <w:b/>
      <w:kern w:val="2"/>
      <w:sz w:val="28"/>
      <w:szCs w:val="24"/>
    </w:rPr>
  </w:style>
  <w:style w:type="character" w:customStyle="1" w:styleId="129">
    <w:name w:val="标题 6 字符"/>
    <w:basedOn w:val="39"/>
    <w:link w:val="8"/>
    <w:qFormat/>
    <w:uiPriority w:val="9"/>
    <w:rPr>
      <w:rFonts w:ascii="Arial" w:hAnsi="Arial" w:eastAsia="黑体"/>
      <w:b/>
      <w:kern w:val="2"/>
      <w:sz w:val="24"/>
      <w:szCs w:val="24"/>
    </w:rPr>
  </w:style>
  <w:style w:type="character" w:customStyle="1" w:styleId="130">
    <w:name w:val="标题 7 字符"/>
    <w:basedOn w:val="39"/>
    <w:link w:val="9"/>
    <w:qFormat/>
    <w:uiPriority w:val="9"/>
    <w:rPr>
      <w:b/>
      <w:kern w:val="2"/>
      <w:sz w:val="24"/>
      <w:szCs w:val="24"/>
    </w:rPr>
  </w:style>
  <w:style w:type="character" w:customStyle="1" w:styleId="131">
    <w:name w:val="标题 8 字符"/>
    <w:basedOn w:val="39"/>
    <w:link w:val="10"/>
    <w:qFormat/>
    <w:uiPriority w:val="9"/>
    <w:rPr>
      <w:rFonts w:ascii="Arial" w:hAnsi="Arial" w:eastAsia="黑体"/>
      <w:kern w:val="2"/>
      <w:sz w:val="24"/>
      <w:szCs w:val="24"/>
    </w:rPr>
  </w:style>
  <w:style w:type="character" w:customStyle="1" w:styleId="132">
    <w:name w:val="标题 9 字符"/>
    <w:basedOn w:val="39"/>
    <w:link w:val="11"/>
    <w:qFormat/>
    <w:uiPriority w:val="9"/>
    <w:rPr>
      <w:rFonts w:ascii="Arial" w:hAnsi="Arial" w:eastAsia="黑体"/>
      <w:kern w:val="2"/>
      <w:sz w:val="21"/>
      <w:szCs w:val="24"/>
    </w:rPr>
  </w:style>
  <w:style w:type="paragraph" w:customStyle="1" w:styleId="133">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4">
    <w:name w:val="文档结构图 字符"/>
    <w:basedOn w:val="39"/>
    <w:link w:val="14"/>
    <w:qFormat/>
    <w:uiPriority w:val="99"/>
    <w:rPr>
      <w:kern w:val="2"/>
      <w:sz w:val="21"/>
      <w:szCs w:val="24"/>
      <w:shd w:val="clear" w:color="auto" w:fill="000080"/>
    </w:rPr>
  </w:style>
  <w:style w:type="character" w:customStyle="1" w:styleId="135">
    <w:name w:val="正文文本 字符"/>
    <w:basedOn w:val="39"/>
    <w:link w:val="17"/>
    <w:qFormat/>
    <w:uiPriority w:val="0"/>
    <w:rPr>
      <w:kern w:val="2"/>
      <w:sz w:val="24"/>
      <w:szCs w:val="24"/>
    </w:rPr>
  </w:style>
  <w:style w:type="paragraph" w:customStyle="1" w:styleId="136">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7">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8">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9">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0">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1">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2">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3">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正文文本 Char1"/>
    <w:basedOn w:val="39"/>
    <w:semiHidden/>
    <w:qFormat/>
    <w:uiPriority w:val="99"/>
    <w:rPr>
      <w:sz w:val="24"/>
    </w:rPr>
  </w:style>
  <w:style w:type="paragraph" w:customStyle="1" w:styleId="145">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6">
    <w:name w:val="占位符文本1"/>
    <w:semiHidden/>
    <w:qFormat/>
    <w:uiPriority w:val="99"/>
    <w:rPr>
      <w:color w:val="808080"/>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0">
    <w:name w:val="font01"/>
    <w:basedOn w:val="39"/>
    <w:qFormat/>
    <w:uiPriority w:val="0"/>
    <w:rPr>
      <w:rFonts w:hint="eastAsia" w:ascii="宋体" w:hAnsi="宋体" w:eastAsia="宋体" w:cs="宋体"/>
      <w:color w:val="000000"/>
      <w:sz w:val="24"/>
      <w:szCs w:val="24"/>
      <w:u w:val="none"/>
    </w:rPr>
  </w:style>
  <w:style w:type="paragraph" w:customStyle="1" w:styleId="151">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2">
    <w:name w:val="List Paragraph"/>
    <w:basedOn w:val="1"/>
    <w:qFormat/>
    <w:uiPriority w:val="99"/>
    <w:pPr>
      <w:ind w:firstLine="420" w:firstLineChars="200"/>
    </w:pPr>
  </w:style>
  <w:style w:type="character" w:customStyle="1" w:styleId="153">
    <w:name w:val="Unresolved Mention"/>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2</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2026-01-05T03:11:00Z</cp:lastPrinted>
  <dcterms:modified xsi:type="dcterms:W3CDTF">2026-01-05T08:22:09Z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007A251C16E544709032413C8292444C</vt:lpwstr>
  </property>
  <property fmtid="{D5CDD505-2E9C-101B-9397-08002B2CF9AE}" pid="4" name="KSOTemplateDocerSaveRecord">
    <vt:lpwstr>eyJoZGlkIjoiZTE3NjFiNWQzNWNhNmIzYjU1ODQ0NzE4OTUyMWI0YjEiLCJ1c2VySWQiOiI2NTY4NTEwODEifQ==</vt:lpwstr>
  </property>
</Properties>
</file>