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spacing w:before="156" w:beforeLines="50" w:line="780" w:lineRule="exact"/>
        <w:jc w:val="center"/>
        <w:rPr>
          <w:rFonts w:ascii="方正小标宋_GBK" w:hAnsi="黑体" w:eastAsia="方正小标宋_GBK"/>
          <w:b/>
          <w:sz w:val="84"/>
          <w:szCs w:val="84"/>
        </w:rPr>
      </w:pPr>
      <w:r>
        <w:rPr>
          <w:rFonts w:hint="eastAsia" w:ascii="方正小标宋_GBK" w:hAnsi="黑体" w:eastAsia="方正小标宋_GBK"/>
          <w:b/>
          <w:sz w:val="84"/>
          <w:szCs w:val="84"/>
        </w:rPr>
        <w:t>竞争性谈判采购文件</w:t>
      </w:r>
    </w:p>
    <w:p/>
    <w:p/>
    <w:p/>
    <w:p/>
    <w:p/>
    <w:p/>
    <w:p/>
    <w:p/>
    <w:p/>
    <w:p/>
    <w:p/>
    <w:p/>
    <w:p>
      <w:pPr>
        <w:spacing w:line="500" w:lineRule="exact"/>
        <w:ind w:left="3515" w:leftChars="912" w:hanging="1600" w:hangingChars="500"/>
        <w:rPr>
          <w:rFonts w:hint="eastAsia" w:ascii="方正小标宋_GBK" w:hAnsi="微软雅黑" w:eastAsia="方正小标宋_GBK"/>
          <w:sz w:val="32"/>
          <w:szCs w:val="32"/>
          <w:lang w:eastAsia="zh-CN"/>
        </w:rPr>
      </w:pPr>
      <w:r>
        <w:rPr>
          <w:rFonts w:hint="eastAsia" w:ascii="方正小标宋_GBK" w:hAnsi="微软雅黑" w:eastAsia="方正小标宋_GBK"/>
          <w:sz w:val="32"/>
          <w:szCs w:val="32"/>
        </w:rPr>
        <w:t>项目名称:</w:t>
      </w:r>
      <w:r>
        <w:rPr>
          <w:rFonts w:hint="eastAsia" w:ascii="方正小标宋_GBK" w:hAnsi="微软雅黑" w:eastAsia="方正小标宋_GBK"/>
          <w:sz w:val="32"/>
          <w:szCs w:val="32"/>
          <w:lang w:eastAsia="zh-CN"/>
        </w:rPr>
        <w:t>钦州市中医医院前置机超融合项目</w:t>
      </w:r>
    </w:p>
    <w:p>
      <w:pPr>
        <w:spacing w:line="500" w:lineRule="exact"/>
        <w:ind w:firstLine="1920" w:firstLineChars="600"/>
        <w:rPr>
          <w:rFonts w:hint="eastAsia" w:ascii="方正小标宋_GBK" w:hAnsi="微软雅黑" w:eastAsia="方正小标宋_GBK"/>
          <w:sz w:val="32"/>
          <w:szCs w:val="32"/>
          <w:lang w:eastAsia="zh-CN"/>
        </w:rPr>
      </w:pPr>
      <w:r>
        <w:rPr>
          <w:rFonts w:hint="eastAsia" w:ascii="方正小标宋_GBK" w:hAnsi="微软雅黑" w:eastAsia="方正小标宋_GBK"/>
          <w:sz w:val="32"/>
          <w:szCs w:val="32"/>
        </w:rPr>
        <w:t>项目编号:</w:t>
      </w:r>
      <w:r>
        <w:rPr>
          <w:rFonts w:hint="eastAsia" w:ascii="方正小标宋_GBK" w:hAnsi="微软雅黑" w:eastAsia="方正小标宋_GBK"/>
          <w:sz w:val="32"/>
          <w:szCs w:val="32"/>
          <w:lang w:eastAsia="zh-CN"/>
        </w:rPr>
        <w:t>QZZC2025-J1-990416-QZSZ</w:t>
      </w:r>
    </w:p>
    <w:p/>
    <w:p/>
    <w:p/>
    <w:p/>
    <w:p/>
    <w:p/>
    <w:p/>
    <w:p/>
    <w:p/>
    <w:p/>
    <w:p/>
    <w:p/>
    <w:p/>
    <w:p/>
    <w:p/>
    <w:p/>
    <w:p/>
    <w:p/>
    <w:p/>
    <w:p>
      <w:pPr>
        <w:spacing w:line="360" w:lineRule="exact"/>
        <w:jc w:val="center"/>
        <w:rPr>
          <w:rFonts w:ascii="方正小标宋_GBK" w:hAnsi="微软雅黑" w:eastAsia="方正小标宋_GBK"/>
          <w:sz w:val="32"/>
          <w:szCs w:val="32"/>
        </w:rPr>
      </w:pPr>
      <w:r>
        <w:rPr>
          <w:rFonts w:hint="eastAsia" w:ascii="方正小标宋_GBK" w:hAnsi="微软雅黑" w:eastAsia="方正小标宋_GBK"/>
          <w:sz w:val="32"/>
          <w:szCs w:val="32"/>
        </w:rPr>
        <w:t>钦州市政府采购中心</w:t>
      </w:r>
    </w:p>
    <w:p>
      <w:pPr>
        <w:tabs>
          <w:tab w:val="left" w:pos="360"/>
        </w:tabs>
        <w:spacing w:line="440" w:lineRule="exact"/>
        <w:jc w:val="center"/>
        <w:rPr>
          <w:rFonts w:hint="eastAsia" w:ascii="仿宋_GB2312" w:hAnsi="宋体" w:eastAsia="方正小标宋_GBK"/>
          <w:sz w:val="32"/>
          <w:szCs w:val="32"/>
          <w:lang w:eastAsia="zh-CN"/>
        </w:rPr>
      </w:pPr>
      <w:r>
        <w:rPr>
          <w:rFonts w:hint="eastAsia" w:ascii="方正小标宋_GBK" w:hAnsi="微软雅黑" w:eastAsia="方正小标宋_GBK"/>
          <w:sz w:val="32"/>
          <w:szCs w:val="32"/>
          <w:lang w:eastAsia="zh-CN"/>
        </w:rPr>
        <w:t>2026年1月</w:t>
      </w:r>
    </w:p>
    <w:p/>
    <w:p/>
    <w:p>
      <w:pPr>
        <w:spacing w:line="640" w:lineRule="exact"/>
        <w:jc w:val="center"/>
        <w:rPr>
          <w:rFonts w:ascii="方正小标宋_GBK" w:hAnsi="宋体" w:eastAsia="方正小标宋_GBK"/>
          <w:b/>
          <w:sz w:val="32"/>
          <w:szCs w:val="32"/>
        </w:rPr>
      </w:pPr>
      <w:r>
        <w:rPr>
          <w:rFonts w:hint="eastAsia" w:ascii="方正小标宋_GBK" w:hAnsi="宋体" w:eastAsia="方正小标宋_GBK"/>
          <w:b/>
          <w:sz w:val="44"/>
          <w:szCs w:val="44"/>
        </w:rPr>
        <w:t>目   录</w:t>
      </w:r>
    </w:p>
    <w:p/>
    <w:p>
      <w:pPr>
        <w:pStyle w:val="27"/>
        <w:tabs>
          <w:tab w:val="right" w:leader="dot" w:pos="9514"/>
        </w:tabs>
        <w:spacing w:line="1000" w:lineRule="exact"/>
        <w:rPr>
          <w:rFonts w:asciiTheme="minorHAnsi" w:hAnsiTheme="minorHAnsi" w:eastAsiaTheme="minorEastAsia" w:cstheme="minorBidi"/>
          <w:sz w:val="28"/>
          <w:szCs w:val="28"/>
        </w:rPr>
      </w:pPr>
      <w:bookmarkStart w:id="0" w:name="_Toc354479497"/>
      <w:r>
        <w:rPr>
          <w:rFonts w:hint="eastAsia" w:ascii="方正小标宋_GBK" w:hAnsi="仿宋" w:eastAsia="方正小标宋_GBK"/>
          <w:b/>
          <w:sz w:val="28"/>
          <w:szCs w:val="28"/>
        </w:rPr>
        <w:fldChar w:fldCharType="begin"/>
      </w:r>
      <w:r>
        <w:rPr>
          <w:rFonts w:hint="eastAsia" w:ascii="方正小标宋_GBK" w:hAnsi="仿宋" w:eastAsia="方正小标宋_GBK"/>
          <w:b/>
          <w:sz w:val="28"/>
          <w:szCs w:val="28"/>
        </w:rPr>
        <w:instrText xml:space="preserve"> TOC \o "1-1" \h \z \u </w:instrText>
      </w:r>
      <w:r>
        <w:rPr>
          <w:rFonts w:hint="eastAsia" w:ascii="方正小标宋_GBK" w:hAnsi="仿宋" w:eastAsia="方正小标宋_GBK"/>
          <w:b/>
          <w:sz w:val="28"/>
          <w:szCs w:val="28"/>
        </w:rPr>
        <w:fldChar w:fldCharType="separate"/>
      </w:r>
      <w:r>
        <w:fldChar w:fldCharType="begin"/>
      </w:r>
      <w:r>
        <w:instrText xml:space="preserve"> HYPERLINK \l "_Toc92355023" </w:instrText>
      </w:r>
      <w:r>
        <w:fldChar w:fldCharType="separate"/>
      </w:r>
      <w:r>
        <w:rPr>
          <w:rStyle w:val="42"/>
          <w:rFonts w:ascii="方正小标宋_GBK" w:hAnsi="宋体" w:eastAsia="方正小标宋_GBK"/>
          <w:color w:val="auto"/>
          <w:sz w:val="28"/>
          <w:szCs w:val="28"/>
        </w:rPr>
        <w:t>第一章  竞争性谈判公告</w:t>
      </w:r>
      <w:r>
        <w:rPr>
          <w:sz w:val="28"/>
          <w:szCs w:val="28"/>
        </w:rPr>
        <w:tab/>
      </w:r>
      <w:r>
        <w:rPr>
          <w:sz w:val="28"/>
          <w:szCs w:val="28"/>
        </w:rPr>
        <w:fldChar w:fldCharType="begin"/>
      </w:r>
      <w:r>
        <w:rPr>
          <w:sz w:val="28"/>
          <w:szCs w:val="28"/>
        </w:rPr>
        <w:instrText xml:space="preserve"> PAGEREF _Toc92355023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"_Toc92355024" </w:instrText>
      </w:r>
      <w:r>
        <w:fldChar w:fldCharType="separate"/>
      </w:r>
      <w:r>
        <w:rPr>
          <w:rStyle w:val="42"/>
          <w:rFonts w:ascii="方正小标宋_GBK" w:hAnsi="宋体" w:eastAsia="方正小标宋_GBK"/>
          <w:color w:val="auto"/>
          <w:sz w:val="28"/>
          <w:szCs w:val="28"/>
        </w:rPr>
        <w:t>第二章  项目需求</w:t>
      </w:r>
      <w:r>
        <w:rPr>
          <w:sz w:val="28"/>
          <w:szCs w:val="28"/>
        </w:rPr>
        <w:tab/>
      </w:r>
      <w:r>
        <w:rPr>
          <w:sz w:val="28"/>
          <w:szCs w:val="28"/>
        </w:rPr>
        <w:fldChar w:fldCharType="begin"/>
      </w:r>
      <w:r>
        <w:rPr>
          <w:sz w:val="28"/>
          <w:szCs w:val="28"/>
        </w:rPr>
        <w:instrText xml:space="preserve"> PAGEREF _Toc92355024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"_Toc92355025" </w:instrText>
      </w:r>
      <w:r>
        <w:fldChar w:fldCharType="separate"/>
      </w:r>
      <w:r>
        <w:rPr>
          <w:rStyle w:val="42"/>
          <w:rFonts w:ascii="方正小标宋简体" w:eastAsia="方正小标宋简体"/>
          <w:color w:val="auto"/>
          <w:sz w:val="28"/>
          <w:szCs w:val="28"/>
        </w:rPr>
        <w:t>第三章  供应商须知</w:t>
      </w:r>
      <w:r>
        <w:rPr>
          <w:sz w:val="28"/>
          <w:szCs w:val="28"/>
        </w:rPr>
        <w:tab/>
      </w:r>
      <w:r>
        <w:rPr>
          <w:sz w:val="28"/>
          <w:szCs w:val="28"/>
        </w:rPr>
        <w:fldChar w:fldCharType="begin"/>
      </w:r>
      <w:r>
        <w:rPr>
          <w:sz w:val="28"/>
          <w:szCs w:val="28"/>
        </w:rPr>
        <w:instrText xml:space="preserve"> PAGEREF _Toc92355025 \h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"_Toc92355026" </w:instrText>
      </w:r>
      <w:r>
        <w:fldChar w:fldCharType="separate"/>
      </w:r>
      <w:r>
        <w:rPr>
          <w:rStyle w:val="42"/>
          <w:rFonts w:ascii="方正小标宋_GBK" w:hAnsi="宋体" w:eastAsia="方正小标宋_GBK"/>
          <w:color w:val="auto"/>
          <w:sz w:val="28"/>
          <w:szCs w:val="28"/>
        </w:rPr>
        <w:t>第四章  评定标准及推荐原则</w:t>
      </w:r>
      <w:r>
        <w:rPr>
          <w:sz w:val="28"/>
          <w:szCs w:val="28"/>
        </w:rPr>
        <w:tab/>
      </w:r>
      <w:r>
        <w:rPr>
          <w:sz w:val="28"/>
          <w:szCs w:val="28"/>
        </w:rPr>
        <w:fldChar w:fldCharType="begin"/>
      </w:r>
      <w:r>
        <w:rPr>
          <w:sz w:val="28"/>
          <w:szCs w:val="28"/>
        </w:rPr>
        <w:instrText xml:space="preserve"> PAGEREF _Toc92355026 \h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"_Toc92355027" </w:instrText>
      </w:r>
      <w:r>
        <w:fldChar w:fldCharType="separate"/>
      </w:r>
      <w:r>
        <w:rPr>
          <w:rStyle w:val="42"/>
          <w:rFonts w:ascii="方正小标宋_GBK" w:eastAsia="方正小标宋_GBK"/>
          <w:color w:val="auto"/>
          <w:sz w:val="28"/>
          <w:szCs w:val="28"/>
        </w:rPr>
        <w:t>第五章  合同文本</w:t>
      </w:r>
      <w:r>
        <w:rPr>
          <w:sz w:val="28"/>
          <w:szCs w:val="28"/>
        </w:rPr>
        <w:tab/>
      </w:r>
      <w:r>
        <w:rPr>
          <w:sz w:val="28"/>
          <w:szCs w:val="28"/>
        </w:rPr>
        <w:fldChar w:fldCharType="begin"/>
      </w:r>
      <w:r>
        <w:rPr>
          <w:sz w:val="28"/>
          <w:szCs w:val="28"/>
        </w:rPr>
        <w:instrText xml:space="preserve"> PAGEREF _Toc92355027 \h </w:instrText>
      </w:r>
      <w:r>
        <w:rPr>
          <w:sz w:val="28"/>
          <w:szCs w:val="28"/>
        </w:rPr>
        <w:fldChar w:fldCharType="separate"/>
      </w:r>
      <w:r>
        <w:rPr>
          <w:sz w:val="28"/>
          <w:szCs w:val="28"/>
        </w:rPr>
        <w:t>27</w:t>
      </w:r>
      <w:r>
        <w:rPr>
          <w:sz w:val="28"/>
          <w:szCs w:val="28"/>
        </w:rPr>
        <w:fldChar w:fldCharType="end"/>
      </w:r>
      <w:r>
        <w:rPr>
          <w:sz w:val="28"/>
          <w:szCs w:val="28"/>
        </w:rPr>
        <w:fldChar w:fldCharType="end"/>
      </w:r>
    </w:p>
    <w:p>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"_Toc92355028" </w:instrText>
      </w:r>
      <w:r>
        <w:fldChar w:fldCharType="separate"/>
      </w:r>
      <w:r>
        <w:rPr>
          <w:rStyle w:val="42"/>
          <w:rFonts w:ascii="方正小标宋_GBK" w:hAnsi="方正小标宋_GBK" w:eastAsia="方正小标宋_GBK"/>
          <w:color w:val="auto"/>
          <w:sz w:val="28"/>
          <w:szCs w:val="28"/>
        </w:rPr>
        <w:t>第六章  响应文件格式</w:t>
      </w:r>
      <w:r>
        <w:rPr>
          <w:sz w:val="28"/>
          <w:szCs w:val="28"/>
        </w:rPr>
        <w:tab/>
      </w:r>
      <w:r>
        <w:rPr>
          <w:sz w:val="28"/>
          <w:szCs w:val="28"/>
        </w:rPr>
        <w:fldChar w:fldCharType="begin"/>
      </w:r>
      <w:r>
        <w:rPr>
          <w:sz w:val="28"/>
          <w:szCs w:val="28"/>
        </w:rPr>
        <w:instrText xml:space="preserve"> PAGEREF _Toc92355028 \h </w:instrText>
      </w:r>
      <w:r>
        <w:rPr>
          <w:sz w:val="28"/>
          <w:szCs w:val="28"/>
        </w:rPr>
        <w:fldChar w:fldCharType="separate"/>
      </w:r>
      <w:r>
        <w:rPr>
          <w:sz w:val="28"/>
          <w:szCs w:val="28"/>
        </w:rPr>
        <w:t>42</w:t>
      </w:r>
      <w:r>
        <w:rPr>
          <w:sz w:val="28"/>
          <w:szCs w:val="28"/>
        </w:rPr>
        <w:fldChar w:fldCharType="end"/>
      </w:r>
      <w:r>
        <w:rPr>
          <w:sz w:val="28"/>
          <w:szCs w:val="28"/>
        </w:rPr>
        <w:fldChar w:fldCharType="end"/>
      </w:r>
    </w:p>
    <w:p>
      <w:pPr>
        <w:sectPr>
          <w:footerReference r:id="rId4" w:type="first"/>
          <w:footerReference r:id="rId3" w:type="default"/>
          <w:pgSz w:w="11906" w:h="16838"/>
          <w:pgMar w:top="936" w:right="1191" w:bottom="936" w:left="1191" w:header="851" w:footer="992" w:gutter="0"/>
          <w:pgNumType w:start="1"/>
          <w:cols w:space="720" w:num="1"/>
          <w:docGrid w:type="lines" w:linePitch="312" w:charSpace="0"/>
        </w:sectPr>
      </w:pPr>
      <w:r>
        <w:rPr>
          <w:rFonts w:hint="eastAsia"/>
        </w:rPr>
        <w:fldChar w:fldCharType="end"/>
      </w:r>
    </w:p>
    <w:p/>
    <w:p>
      <w:pPr>
        <w:widowControl/>
        <w:jc w:val="left"/>
      </w:pPr>
    </w:p>
    <w:p/>
    <w:p/>
    <w:p/>
    <w:p/>
    <w:p/>
    <w:p/>
    <w:p/>
    <w:p/>
    <w:p/>
    <w:p/>
    <w:p/>
    <w:p/>
    <w:p>
      <w:pPr>
        <w:pStyle w:val="3"/>
        <w:spacing w:line="400" w:lineRule="exact"/>
        <w:rPr>
          <w:rFonts w:ascii="方正小标宋_GBK" w:hAnsi="宋体" w:eastAsia="方正小标宋_GBK"/>
        </w:rPr>
      </w:pPr>
      <w:bookmarkStart w:id="1" w:name="_Toc92355023"/>
      <w:r>
        <w:rPr>
          <w:rFonts w:hint="eastAsia" w:ascii="方正小标宋_GBK" w:hAnsi="宋体" w:eastAsia="方正小标宋_GBK"/>
        </w:rPr>
        <w:t>第一章  竞争性谈判公告</w:t>
      </w:r>
      <w:bookmarkEnd w:id="0"/>
      <w:bookmarkEnd w:id="1"/>
    </w:p>
    <w:p>
      <w:pPr>
        <w:spacing w:line="600" w:lineRule="exact"/>
        <w:jc w:val="center"/>
        <w:rPr>
          <w:rFonts w:ascii="黑体" w:hAnsi="宋体" w:eastAsia="黑体"/>
          <w:b/>
          <w:sz w:val="32"/>
          <w:szCs w:val="32"/>
        </w:rPr>
      </w:pPr>
      <w:r>
        <w:rPr>
          <w:rFonts w:ascii="黑体" w:hAnsi="宋体" w:eastAsia="黑体"/>
          <w:b/>
          <w:sz w:val="32"/>
          <w:szCs w:val="32"/>
        </w:rPr>
        <w:br w:type="page"/>
      </w:r>
    </w:p>
    <w:p>
      <w:pPr>
        <w:spacing w:line="600" w:lineRule="exact"/>
        <w:jc w:val="center"/>
        <w:rPr>
          <w:rFonts w:ascii="方正小标宋_GBK" w:hAnsi="宋体" w:eastAsia="方正小标宋_GBK"/>
          <w:b/>
          <w:sz w:val="34"/>
          <w:szCs w:val="34"/>
        </w:rPr>
      </w:pPr>
      <w:r>
        <w:rPr>
          <w:rFonts w:hint="eastAsia" w:ascii="方正小标宋_GBK" w:hAnsi="宋体" w:eastAsia="方正小标宋_GBK"/>
          <w:b/>
          <w:sz w:val="34"/>
          <w:szCs w:val="34"/>
        </w:rPr>
        <w:t>钦州市政府采购中心关于</w:t>
      </w:r>
      <w:r>
        <w:rPr>
          <w:rFonts w:hint="eastAsia" w:ascii="方正小标宋_GBK" w:hAnsi="宋体" w:eastAsia="方正小标宋_GBK"/>
          <w:b/>
          <w:sz w:val="34"/>
          <w:szCs w:val="34"/>
          <w:lang w:eastAsia="zh-CN"/>
        </w:rPr>
        <w:t>钦州市中医医院前置机超融合项目</w:t>
      </w:r>
      <w:r>
        <w:rPr>
          <w:rFonts w:ascii="方正小标宋_GBK" w:hAnsi="宋体" w:eastAsia="方正小标宋_GBK"/>
          <w:b/>
          <w:sz w:val="34"/>
          <w:szCs w:val="34"/>
        </w:rPr>
        <w:t>(</w:t>
      </w:r>
      <w:r>
        <w:rPr>
          <w:rFonts w:hint="eastAsia" w:ascii="方正小标宋_GBK" w:hAnsi="宋体" w:eastAsia="方正小标宋_GBK"/>
          <w:b/>
          <w:sz w:val="34"/>
          <w:szCs w:val="34"/>
          <w:lang w:eastAsia="zh-CN"/>
        </w:rPr>
        <w:t>QZZC2025-J1-990416-QZSZ</w:t>
      </w:r>
      <w:r>
        <w:rPr>
          <w:rFonts w:ascii="方正小标宋_GBK" w:hAnsi="宋体" w:eastAsia="方正小标宋_GBK"/>
          <w:b/>
          <w:sz w:val="34"/>
          <w:szCs w:val="34"/>
        </w:rPr>
        <w:t>)</w:t>
      </w:r>
      <w:r>
        <w:rPr>
          <w:rFonts w:hint="eastAsia" w:ascii="方正小标宋_GBK" w:hAnsi="宋体" w:eastAsia="方正小标宋_GBK"/>
          <w:b/>
          <w:sz w:val="34"/>
          <w:szCs w:val="34"/>
        </w:rPr>
        <w:t>的竞争性谈判公告</w:t>
      </w:r>
    </w:p>
    <w:p>
      <w:pPr>
        <w:pBdr>
          <w:top w:val="single" w:color="auto" w:sz="4" w:space="0"/>
          <w:left w:val="single" w:color="auto" w:sz="4" w:space="4"/>
          <w:bottom w:val="single" w:color="auto" w:sz="4" w:space="1"/>
          <w:right w:val="single" w:color="auto" w:sz="4" w:space="4"/>
        </w:pBdr>
        <w:spacing w:line="400" w:lineRule="exact"/>
        <w:rPr>
          <w:rFonts w:ascii="方正小标宋简体" w:hAnsi="宋体" w:eastAsia="方正小标宋简体"/>
          <w:b/>
          <w:sz w:val="32"/>
          <w:szCs w:val="32"/>
        </w:rPr>
      </w:pPr>
      <w:bookmarkStart w:id="2" w:name="_Toc38370138"/>
      <w:r>
        <w:rPr>
          <w:rFonts w:hint="eastAsia" w:ascii="宋体" w:hAnsi="宋体"/>
          <w:szCs w:val="21"/>
        </w:rPr>
        <w:t>项目概况</w:t>
      </w:r>
    </w:p>
    <w:p>
      <w:pPr>
        <w:pBdr>
          <w:top w:val="single" w:color="auto" w:sz="4" w:space="0"/>
          <w:left w:val="single" w:color="auto" w:sz="4" w:space="4"/>
          <w:bottom w:val="single" w:color="auto" w:sz="4" w:space="1"/>
          <w:right w:val="single" w:color="auto" w:sz="4" w:space="4"/>
        </w:pBdr>
        <w:spacing w:line="400" w:lineRule="exact"/>
        <w:ind w:firstLine="420" w:firstLineChars="200"/>
        <w:rPr>
          <w:rFonts w:ascii="宋体" w:hAnsi="宋体"/>
          <w:szCs w:val="21"/>
        </w:rPr>
      </w:pPr>
      <w:r>
        <w:rPr>
          <w:rFonts w:hint="eastAsia" w:ascii="宋体" w:hAnsi="宋体"/>
          <w:szCs w:val="21"/>
          <w:lang w:eastAsia="zh-CN"/>
        </w:rPr>
        <w:t>钦州市中医医院前置机超融合项目</w:t>
      </w:r>
      <w:r>
        <w:rPr>
          <w:rFonts w:hint="eastAsia" w:ascii="宋体" w:hAnsi="宋体"/>
          <w:szCs w:val="21"/>
        </w:rPr>
        <w:t>的潜在供应商应在广西政府采购云平台（https://www.gcy.zfcg.gxzf.gov.cn/）获取采购文件，并于</w:t>
      </w:r>
      <w:r>
        <w:rPr>
          <w:rFonts w:hint="eastAsia" w:ascii="宋体" w:hAnsi="宋体"/>
          <w:szCs w:val="21"/>
          <w:lang w:eastAsia="zh-CN"/>
        </w:rPr>
        <w:t>2026年</w:t>
      </w:r>
      <w:r>
        <w:rPr>
          <w:rFonts w:hint="eastAsia" w:ascii="宋体" w:hAnsi="宋体"/>
          <w:bCs/>
          <w:szCs w:val="21"/>
          <w:lang w:eastAsia="zh-CN"/>
        </w:rPr>
        <w:t>1月</w:t>
      </w:r>
      <w:r>
        <w:rPr>
          <w:rFonts w:hint="eastAsia" w:ascii="宋体" w:hAnsi="宋体"/>
          <w:bCs/>
          <w:szCs w:val="21"/>
          <w:lang w:val="en-US" w:eastAsia="zh-CN"/>
        </w:rPr>
        <w:t>14</w:t>
      </w:r>
      <w:r>
        <w:rPr>
          <w:rFonts w:hint="eastAsia" w:ascii="宋体" w:hAnsi="宋体"/>
          <w:bCs/>
          <w:szCs w:val="21"/>
          <w:lang w:eastAsia="zh-CN"/>
        </w:rPr>
        <w:t>日</w:t>
      </w:r>
      <w:r>
        <w:rPr>
          <w:rFonts w:hint="eastAsia" w:ascii="宋体" w:hAnsi="宋体"/>
          <w:bCs/>
          <w:szCs w:val="21"/>
          <w:lang w:val="en-US" w:eastAsia="zh-CN"/>
        </w:rPr>
        <w:t>9</w:t>
      </w:r>
      <w:r>
        <w:rPr>
          <w:rFonts w:hint="eastAsia" w:ascii="宋体" w:hAnsi="宋体"/>
          <w:bCs/>
          <w:szCs w:val="21"/>
          <w:lang w:eastAsia="zh-CN"/>
        </w:rPr>
        <w:t>:</w:t>
      </w:r>
      <w:r>
        <w:rPr>
          <w:rFonts w:hint="eastAsia" w:ascii="宋体" w:hAnsi="宋体"/>
          <w:bCs/>
          <w:szCs w:val="21"/>
          <w:lang w:val="en-US" w:eastAsia="zh-CN"/>
        </w:rPr>
        <w:t>3</w:t>
      </w:r>
      <w:r>
        <w:rPr>
          <w:rFonts w:hint="eastAsia" w:ascii="宋体" w:hAnsi="宋体"/>
          <w:bCs/>
          <w:szCs w:val="21"/>
          <w:lang w:eastAsia="zh-CN"/>
        </w:rPr>
        <w:t>0</w:t>
      </w:r>
      <w:r>
        <w:rPr>
          <w:rFonts w:hint="eastAsia" w:ascii="宋体" w:hAnsi="宋体"/>
          <w:bCs/>
          <w:szCs w:val="21"/>
        </w:rPr>
        <w:t>（北京时间）前提交响应</w:t>
      </w:r>
      <w:r>
        <w:rPr>
          <w:rFonts w:ascii="宋体" w:hAnsi="宋体"/>
          <w:bCs/>
          <w:szCs w:val="21"/>
        </w:rPr>
        <w:t>文件</w:t>
      </w:r>
      <w:r>
        <w:rPr>
          <w:rFonts w:hint="eastAsia" w:ascii="宋体" w:hAnsi="宋体"/>
          <w:szCs w:val="21"/>
        </w:rPr>
        <w:t>。</w:t>
      </w:r>
    </w:p>
    <w:bookmarkEnd w:id="2"/>
    <w:p>
      <w:pPr>
        <w:spacing w:line="400" w:lineRule="exact"/>
        <w:rPr>
          <w:b/>
        </w:rPr>
      </w:pPr>
      <w:bookmarkStart w:id="3" w:name="_Toc28359079"/>
      <w:bookmarkStart w:id="4" w:name="_Toc35393790"/>
      <w:bookmarkStart w:id="5" w:name="_Toc35393621"/>
      <w:bookmarkStart w:id="6" w:name="_Toc28359002"/>
      <w:bookmarkStart w:id="7" w:name="_Hlk24379207"/>
      <w:bookmarkStart w:id="8" w:name="_Toc38370146"/>
      <w:r>
        <w:rPr>
          <w:rFonts w:hint="eastAsia"/>
          <w:b/>
        </w:rPr>
        <w:t>一、项目基本情况</w:t>
      </w:r>
      <w:bookmarkEnd w:id="3"/>
      <w:bookmarkEnd w:id="4"/>
      <w:bookmarkEnd w:id="5"/>
      <w:bookmarkEnd w:id="6"/>
    </w:p>
    <w:p>
      <w:pPr>
        <w:spacing w:line="400" w:lineRule="exact"/>
        <w:ind w:firstLine="420"/>
        <w:rPr>
          <w:rFonts w:hint="eastAsia" w:eastAsia="宋体"/>
          <w:lang w:eastAsia="zh-CN"/>
        </w:rPr>
      </w:pPr>
      <w:r>
        <w:rPr>
          <w:rFonts w:hint="eastAsia"/>
        </w:rPr>
        <w:t>项目编号：</w:t>
      </w:r>
      <w:r>
        <w:rPr>
          <w:rFonts w:hint="eastAsia"/>
          <w:lang w:eastAsia="zh-CN"/>
        </w:rPr>
        <w:t>QZZC2025-J1-990416-QZSZ</w:t>
      </w:r>
    </w:p>
    <w:p>
      <w:pPr>
        <w:spacing w:line="400" w:lineRule="exact"/>
        <w:ind w:firstLine="420"/>
        <w:rPr>
          <w:rFonts w:hint="eastAsia" w:eastAsia="宋体"/>
          <w:lang w:eastAsia="zh-CN"/>
        </w:rPr>
      </w:pPr>
      <w:r>
        <w:rPr>
          <w:rFonts w:hint="eastAsia"/>
        </w:rPr>
        <w:t>项目名称：</w:t>
      </w:r>
      <w:bookmarkStart w:id="9" w:name="OLE_LINK3"/>
      <w:r>
        <w:rPr>
          <w:rFonts w:hint="eastAsia"/>
          <w:lang w:eastAsia="zh-CN"/>
        </w:rPr>
        <w:t>钦州市中医医院前置机超融合项目</w:t>
      </w:r>
    </w:p>
    <w:bookmarkEnd w:id="7"/>
    <w:bookmarkEnd w:id="9"/>
    <w:p>
      <w:pPr>
        <w:spacing w:line="400" w:lineRule="exact"/>
        <w:ind w:firstLine="420"/>
        <w:rPr>
          <w:rFonts w:hint="eastAsia" w:eastAsia="宋体"/>
          <w:lang w:eastAsia="zh-CN"/>
        </w:rPr>
      </w:pPr>
      <w:r>
        <w:rPr>
          <w:rFonts w:hint="eastAsia"/>
        </w:rPr>
        <w:t>预算总金额(元</w:t>
      </w:r>
      <w:r>
        <w:t>)</w:t>
      </w:r>
      <w:r>
        <w:rPr>
          <w:rFonts w:hint="eastAsia"/>
        </w:rPr>
        <w:t>：</w:t>
      </w:r>
      <w:r>
        <w:rPr>
          <w:rFonts w:hint="eastAsia"/>
          <w:lang w:eastAsia="zh-CN"/>
        </w:rPr>
        <w:t>632,000.00</w:t>
      </w:r>
    </w:p>
    <w:p>
      <w:pPr>
        <w:spacing w:line="400" w:lineRule="exact"/>
        <w:ind w:firstLine="420"/>
      </w:pPr>
      <w:r>
        <w:rPr>
          <w:rFonts w:hint="eastAsia"/>
        </w:rPr>
        <w:t>采购需求：</w:t>
      </w:r>
    </w:p>
    <w:p>
      <w:pPr>
        <w:spacing w:line="400" w:lineRule="exact"/>
        <w:ind w:firstLine="420"/>
      </w:pPr>
    </w:p>
    <w:p>
      <w:pPr>
        <w:spacing w:line="400" w:lineRule="exact"/>
        <w:ind w:firstLine="420"/>
        <w:rPr>
          <w:rFonts w:hint="eastAsia" w:eastAsia="宋体"/>
          <w:lang w:eastAsia="zh-CN"/>
        </w:rPr>
      </w:pPr>
      <w:r>
        <w:rPr>
          <w:rFonts w:hint="eastAsia"/>
        </w:rPr>
        <w:t>标项名称：</w:t>
      </w:r>
      <w:r>
        <w:t xml:space="preserve"> </w:t>
      </w:r>
      <w:r>
        <w:rPr>
          <w:rFonts w:hint="eastAsia"/>
          <w:lang w:eastAsia="zh-CN"/>
        </w:rPr>
        <w:t>钦州市中医医院前置机超融合项目</w:t>
      </w:r>
    </w:p>
    <w:p>
      <w:pPr>
        <w:spacing w:line="400" w:lineRule="exact"/>
        <w:ind w:firstLine="420"/>
      </w:pPr>
      <w:r>
        <w:rPr>
          <w:rFonts w:hint="eastAsia"/>
        </w:rPr>
        <w:t>数量：1</w:t>
      </w:r>
    </w:p>
    <w:p>
      <w:pPr>
        <w:spacing w:line="400" w:lineRule="exact"/>
        <w:ind w:firstLine="420"/>
        <w:rPr>
          <w:rFonts w:hint="eastAsia" w:eastAsia="宋体"/>
          <w:lang w:eastAsia="zh-CN"/>
        </w:rPr>
      </w:pPr>
      <w:r>
        <w:rPr>
          <w:rFonts w:hint="eastAsia"/>
        </w:rPr>
        <w:t>预算金额(元</w:t>
      </w:r>
      <w:r>
        <w:t>)</w:t>
      </w:r>
      <w:r>
        <w:rPr>
          <w:rFonts w:hint="eastAsia"/>
        </w:rPr>
        <w:t>：</w:t>
      </w:r>
      <w:r>
        <w:rPr>
          <w:rFonts w:hint="eastAsia"/>
          <w:lang w:eastAsia="zh-CN"/>
        </w:rPr>
        <w:t>632,000.00</w:t>
      </w:r>
    </w:p>
    <w:p>
      <w:pPr>
        <w:spacing w:line="400" w:lineRule="exact"/>
        <w:ind w:firstLine="420"/>
      </w:pPr>
      <w:r>
        <w:rPr>
          <w:rFonts w:hint="eastAsia"/>
        </w:rPr>
        <w:t>简要规格描述或项目基本概况介绍、用途：</w:t>
      </w:r>
      <w:bookmarkStart w:id="10" w:name="OLE_LINK13"/>
      <w:r>
        <w:rPr>
          <w:rFonts w:hint="eastAsia"/>
          <w:lang w:eastAsia="zh-CN"/>
        </w:rPr>
        <w:t>前置机超融合项目</w:t>
      </w:r>
      <w:r>
        <w:rPr>
          <w:rFonts w:hint="eastAsia"/>
        </w:rPr>
        <w:t>，具体详见采购文件。</w:t>
      </w:r>
      <w:bookmarkEnd w:id="10"/>
    </w:p>
    <w:p>
      <w:pPr>
        <w:spacing w:line="400" w:lineRule="exact"/>
        <w:ind w:firstLine="420"/>
      </w:pPr>
      <w:r>
        <w:rPr>
          <w:rFonts w:hint="eastAsia"/>
        </w:rPr>
        <w:t>最高限价(如有</w:t>
      </w:r>
      <w:r>
        <w:t>)</w:t>
      </w:r>
      <w:r>
        <w:rPr>
          <w:rFonts w:hint="eastAsia"/>
        </w:rPr>
        <w:t>：</w:t>
      </w:r>
    </w:p>
    <w:p>
      <w:pPr>
        <w:spacing w:line="400" w:lineRule="exact"/>
        <w:ind w:left="1890" w:leftChars="200" w:hanging="1470" w:hangingChars="700"/>
      </w:pPr>
      <w:r>
        <w:rPr>
          <w:rFonts w:hint="eastAsia"/>
        </w:rPr>
        <w:t>合同履行期限：自签订合同之日起30个工作日内完成所有相关系统、设备、软件等内容的集成调试服务工作。</w:t>
      </w:r>
    </w:p>
    <w:p>
      <w:pPr>
        <w:spacing w:line="400" w:lineRule="exact"/>
        <w:ind w:firstLine="420"/>
      </w:pPr>
      <w:r>
        <w:rPr>
          <w:rFonts w:hint="eastAsia"/>
        </w:rPr>
        <w:t>本标项(否</w:t>
      </w:r>
      <w:r>
        <w:t>)</w:t>
      </w:r>
      <w:r>
        <w:rPr>
          <w:rFonts w:hint="eastAsia"/>
        </w:rPr>
        <w:t>接受联合体投标。</w:t>
      </w:r>
    </w:p>
    <w:p>
      <w:pPr>
        <w:spacing w:line="400" w:lineRule="exact"/>
        <w:ind w:firstLine="420"/>
      </w:pPr>
      <w:r>
        <w:rPr>
          <w:rFonts w:hint="eastAsia"/>
        </w:rPr>
        <w:t>备注：</w:t>
      </w:r>
    </w:p>
    <w:p>
      <w:pPr>
        <w:spacing w:line="400" w:lineRule="exact"/>
        <w:ind w:firstLine="420"/>
      </w:pPr>
    </w:p>
    <w:p>
      <w:pPr>
        <w:spacing w:line="400" w:lineRule="exact"/>
        <w:rPr>
          <w:b/>
        </w:rPr>
      </w:pPr>
      <w:bookmarkStart w:id="11" w:name="_Toc35393622"/>
      <w:bookmarkStart w:id="12" w:name="_Toc35393791"/>
      <w:bookmarkStart w:id="13" w:name="_Toc28359080"/>
      <w:bookmarkStart w:id="14" w:name="_Toc28359003"/>
      <w:r>
        <w:rPr>
          <w:rFonts w:hint="eastAsia"/>
          <w:b/>
        </w:rPr>
        <w:t>二、申请人的资格要求：</w:t>
      </w:r>
      <w:bookmarkEnd w:id="11"/>
      <w:bookmarkEnd w:id="12"/>
      <w:bookmarkEnd w:id="13"/>
      <w:bookmarkEnd w:id="14"/>
      <w:bookmarkStart w:id="15" w:name="_Toc35393623"/>
      <w:bookmarkStart w:id="16" w:name="_Toc28359004"/>
      <w:bookmarkStart w:id="17" w:name="_Toc28359081"/>
      <w:bookmarkStart w:id="18" w:name="_Toc35393792"/>
    </w:p>
    <w:p>
      <w:pPr>
        <w:spacing w:line="400" w:lineRule="exact"/>
        <w:ind w:firstLine="420"/>
        <w:rPr>
          <w:b/>
        </w:rPr>
      </w:pPr>
      <w:r>
        <w:rPr>
          <w:rFonts w:hint="eastAsia"/>
        </w:rPr>
        <w:t>1.满足《中华人民共和国政府采购法》第二十二条规定</w:t>
      </w:r>
    </w:p>
    <w:p>
      <w:pPr>
        <w:spacing w:line="400" w:lineRule="exact"/>
        <w:ind w:firstLine="420"/>
        <w:rPr>
          <w:rFonts w:hint="eastAsia" w:eastAsia="宋体"/>
          <w:lang w:eastAsia="zh-CN"/>
        </w:rPr>
      </w:pPr>
      <w:r>
        <w:rPr>
          <w:rFonts w:hint="eastAsia"/>
        </w:rPr>
        <w:t>2.落实政府采购政策需满足的资格要求：</w:t>
      </w:r>
      <w:r>
        <w:rPr>
          <w:rFonts w:hint="eastAsia"/>
          <w:lang w:eastAsia="zh-CN"/>
        </w:rPr>
        <w:t>无</w:t>
      </w:r>
    </w:p>
    <w:p>
      <w:pPr>
        <w:spacing w:line="400" w:lineRule="exact"/>
        <w:ind w:firstLine="435"/>
      </w:pPr>
      <w:r>
        <w:rPr>
          <w:rFonts w:hint="eastAsia"/>
        </w:rPr>
        <w:t>3.本项目的特定资格要求：无</w:t>
      </w:r>
    </w:p>
    <w:p>
      <w:pPr>
        <w:spacing w:line="400" w:lineRule="exact"/>
        <w:rPr>
          <w:b/>
        </w:rPr>
      </w:pPr>
      <w:r>
        <w:rPr>
          <w:rFonts w:hint="eastAsia"/>
          <w:b/>
        </w:rPr>
        <w:t>三、获取采购文件</w:t>
      </w:r>
      <w:bookmarkEnd w:id="15"/>
      <w:bookmarkEnd w:id="16"/>
      <w:bookmarkEnd w:id="17"/>
      <w:bookmarkEnd w:id="18"/>
    </w:p>
    <w:p>
      <w:pPr>
        <w:spacing w:line="400" w:lineRule="exact"/>
        <w:ind w:firstLine="420"/>
        <w:jc w:val="left"/>
      </w:pPr>
      <w:bookmarkStart w:id="19" w:name="_Toc38370141"/>
      <w:r>
        <w:rPr>
          <w:rFonts w:hint="eastAsia"/>
        </w:rPr>
        <w:t>时间：</w:t>
      </w:r>
      <w:r>
        <w:rPr>
          <w:rFonts w:hint="eastAsia"/>
          <w:lang w:eastAsia="zh-CN"/>
        </w:rPr>
        <w:t>2026年1月</w:t>
      </w:r>
      <w:r>
        <w:rPr>
          <w:rFonts w:hint="eastAsia"/>
          <w:lang w:val="en-US" w:eastAsia="zh-CN"/>
        </w:rPr>
        <w:t>6</w:t>
      </w:r>
      <w:r>
        <w:rPr>
          <w:rFonts w:hint="eastAsia"/>
        </w:rPr>
        <w:t>日至</w:t>
      </w:r>
      <w:r>
        <w:rPr>
          <w:rFonts w:hint="eastAsia"/>
          <w:lang w:eastAsia="zh-CN"/>
        </w:rPr>
        <w:t>2026年1月</w:t>
      </w:r>
      <w:r>
        <w:rPr>
          <w:rFonts w:hint="eastAsia"/>
          <w:lang w:val="en-US" w:eastAsia="zh-CN"/>
        </w:rPr>
        <w:t>12</w:t>
      </w:r>
      <w:r>
        <w:rPr>
          <w:rFonts w:hint="eastAsia"/>
        </w:rPr>
        <w:t>日 ，每天上午00:00至12:00，下午12:00至23:59（北京时间，法定节假日除外）</w:t>
      </w:r>
    </w:p>
    <w:p>
      <w:pPr>
        <w:spacing w:line="400" w:lineRule="exact"/>
        <w:ind w:firstLine="420"/>
      </w:pPr>
      <w:r>
        <w:rPr>
          <w:rFonts w:hint="eastAsia"/>
        </w:rPr>
        <w:t>地点(网址</w:t>
      </w:r>
      <w:r>
        <w:t>)</w:t>
      </w:r>
      <w:r>
        <w:rPr>
          <w:rFonts w:hint="eastAsia"/>
        </w:rPr>
        <w:t>：</w:t>
      </w:r>
      <w:bookmarkStart w:id="20" w:name="OLE_LINK9"/>
      <w:bookmarkStart w:id="21" w:name="OLE_LINK4"/>
      <w:r>
        <w:rPr>
          <w:rFonts w:hint="eastAsia" w:ascii="宋体" w:hAnsi="宋体"/>
          <w:szCs w:val="21"/>
        </w:rPr>
        <w:t>广西政府采购云平台（https://www.gcy.zfcg.gxzf.gov.cn/）</w:t>
      </w:r>
      <w:bookmarkEnd w:id="20"/>
    </w:p>
    <w:bookmarkEnd w:id="21"/>
    <w:p>
      <w:pPr>
        <w:spacing w:line="400" w:lineRule="exact"/>
        <w:ind w:firstLine="420"/>
      </w:pPr>
      <w:r>
        <w:rPr>
          <w:rFonts w:hint="eastAsia"/>
        </w:rPr>
        <w:t>方式：</w:t>
      </w:r>
      <w:bookmarkStart w:id="22" w:name="OLE_LINK5"/>
      <w:r>
        <w:rPr>
          <w:rFonts w:hint="eastAsia"/>
        </w:rPr>
        <w:t>供应商登录广西政府采购云平台(以下称“政采云平台”)在线获取采购文件（进入“项目采购”应用选择项目，获取采购文件）</w:t>
      </w:r>
      <w:bookmarkEnd w:id="22"/>
    </w:p>
    <w:p>
      <w:pPr>
        <w:spacing w:line="400" w:lineRule="exact"/>
        <w:ind w:firstLine="420"/>
      </w:pPr>
      <w:r>
        <w:rPr>
          <w:rFonts w:hint="eastAsia"/>
        </w:rPr>
        <w:t>售价(元</w:t>
      </w:r>
      <w:r>
        <w:t>)</w:t>
      </w:r>
      <w:r>
        <w:rPr>
          <w:rFonts w:hint="eastAsia"/>
        </w:rPr>
        <w:t xml:space="preserve">：0 </w:t>
      </w:r>
    </w:p>
    <w:p>
      <w:pPr>
        <w:spacing w:line="400" w:lineRule="exact"/>
        <w:rPr>
          <w:b/>
        </w:rPr>
      </w:pPr>
      <w:r>
        <w:rPr>
          <w:rFonts w:hint="eastAsia"/>
          <w:b/>
          <w:bCs/>
        </w:rPr>
        <w:t>四、</w:t>
      </w:r>
      <w:bookmarkEnd w:id="19"/>
      <w:bookmarkStart w:id="23" w:name="_Toc28359005"/>
      <w:bookmarkStart w:id="24" w:name="_Toc28359082"/>
      <w:bookmarkStart w:id="25" w:name="_Toc35393624"/>
      <w:bookmarkStart w:id="26" w:name="_Toc35393793"/>
      <w:r>
        <w:rPr>
          <w:rFonts w:hint="eastAsia"/>
          <w:b/>
        </w:rPr>
        <w:t>响应文件</w:t>
      </w:r>
      <w:bookmarkEnd w:id="23"/>
      <w:bookmarkEnd w:id="24"/>
      <w:r>
        <w:rPr>
          <w:rFonts w:hint="eastAsia"/>
          <w:b/>
        </w:rPr>
        <w:t>提交</w:t>
      </w:r>
      <w:bookmarkEnd w:id="25"/>
      <w:bookmarkEnd w:id="26"/>
    </w:p>
    <w:p>
      <w:pPr>
        <w:spacing w:line="400" w:lineRule="exact"/>
        <w:ind w:firstLine="420"/>
      </w:pPr>
      <w:r>
        <w:rPr>
          <w:rFonts w:hint="eastAsia"/>
        </w:rPr>
        <w:t>截止时间：</w:t>
      </w:r>
      <w:r>
        <w:rPr>
          <w:rFonts w:hint="eastAsia"/>
          <w:lang w:eastAsia="zh-CN"/>
        </w:rPr>
        <w:t>2026年1月</w:t>
      </w:r>
      <w:r>
        <w:rPr>
          <w:rFonts w:hint="eastAsia"/>
          <w:lang w:val="en-US" w:eastAsia="zh-CN"/>
        </w:rPr>
        <w:t>14</w:t>
      </w:r>
      <w:r>
        <w:rPr>
          <w:rFonts w:hint="eastAsia"/>
          <w:lang w:eastAsia="zh-CN"/>
        </w:rPr>
        <w:t>日9:30</w:t>
      </w:r>
      <w:r>
        <w:rPr>
          <w:rFonts w:hint="eastAsia"/>
        </w:rPr>
        <w:t>（北京时间）</w:t>
      </w:r>
    </w:p>
    <w:p>
      <w:pPr>
        <w:spacing w:line="400" w:lineRule="exact"/>
        <w:ind w:firstLine="420"/>
        <w:rPr>
          <w:rFonts w:ascii="宋体" w:hAnsi="宋体" w:cs="Courier New"/>
          <w:szCs w:val="21"/>
        </w:rPr>
      </w:pPr>
      <w:r>
        <w:rPr>
          <w:rFonts w:hint="eastAsia"/>
        </w:rPr>
        <w:t>地点(网址）：</w:t>
      </w:r>
      <w:bookmarkStart w:id="27" w:name="OLE_LINK10"/>
      <w:bookmarkStart w:id="28" w:name="OLE_LINK6"/>
      <w:r>
        <w:rPr>
          <w:rFonts w:hint="eastAsia" w:ascii="宋体" w:hAnsi="宋体" w:cs="Courier New"/>
          <w:szCs w:val="21"/>
        </w:rPr>
        <w:t>广西政府采购云平台（https://www.gcy.zfcg.gxzf.gov.cn/）</w:t>
      </w:r>
      <w:bookmarkEnd w:id="27"/>
    </w:p>
    <w:bookmarkEnd w:id="28"/>
    <w:p>
      <w:pPr>
        <w:spacing w:line="400" w:lineRule="exact"/>
        <w:rPr>
          <w:rFonts w:ascii="宋体" w:hAnsi="宋体" w:cs="Courier New"/>
          <w:b/>
          <w:bCs/>
          <w:szCs w:val="21"/>
        </w:rPr>
      </w:pPr>
      <w:r>
        <w:rPr>
          <w:rFonts w:hint="eastAsia" w:ascii="宋体" w:hAnsi="宋体" w:cs="Courier New"/>
          <w:b/>
          <w:bCs/>
          <w:szCs w:val="21"/>
        </w:rPr>
        <w:t>五、响应文件开启</w:t>
      </w:r>
    </w:p>
    <w:p>
      <w:pPr>
        <w:spacing w:line="400" w:lineRule="exact"/>
        <w:ind w:firstLine="420" w:firstLineChars="200"/>
        <w:rPr>
          <w:rFonts w:ascii="宋体" w:hAnsi="宋体" w:cs="Courier New"/>
          <w:szCs w:val="21"/>
        </w:rPr>
      </w:pPr>
      <w:r>
        <w:rPr>
          <w:rFonts w:hint="eastAsia" w:ascii="宋体" w:hAnsi="宋体" w:cs="Courier New"/>
          <w:szCs w:val="21"/>
        </w:rPr>
        <w:t>开启时间：</w:t>
      </w:r>
      <w:r>
        <w:rPr>
          <w:rFonts w:hint="eastAsia"/>
          <w:lang w:eastAsia="zh-CN"/>
        </w:rPr>
        <w:t>2026年1月</w:t>
      </w:r>
      <w:r>
        <w:rPr>
          <w:rFonts w:hint="eastAsia"/>
          <w:lang w:val="en-US" w:eastAsia="zh-CN"/>
        </w:rPr>
        <w:t>14</w:t>
      </w:r>
      <w:r>
        <w:rPr>
          <w:rFonts w:hint="eastAsia"/>
          <w:lang w:eastAsia="zh-CN"/>
        </w:rPr>
        <w:t>日9:30</w:t>
      </w:r>
      <w:r>
        <w:rPr>
          <w:rFonts w:hint="eastAsia"/>
        </w:rPr>
        <w:t>（北京时间）</w:t>
      </w:r>
    </w:p>
    <w:p>
      <w:pPr>
        <w:spacing w:line="400" w:lineRule="exact"/>
        <w:ind w:firstLine="420"/>
        <w:rPr>
          <w:rFonts w:ascii="宋体" w:hAnsi="宋体" w:cs="Courier New"/>
          <w:szCs w:val="21"/>
        </w:rPr>
      </w:pPr>
      <w:r>
        <w:rPr>
          <w:rFonts w:hint="eastAsia" w:ascii="宋体" w:hAnsi="宋体" w:cs="Courier New"/>
          <w:szCs w:val="21"/>
        </w:rPr>
        <w:t>地点：</w:t>
      </w:r>
      <w:bookmarkStart w:id="29" w:name="_Toc28359007"/>
      <w:bookmarkStart w:id="30" w:name="_Toc35393794"/>
      <w:bookmarkStart w:id="31" w:name="_Toc35393625"/>
      <w:bookmarkStart w:id="32" w:name="_Toc28359084"/>
      <w:r>
        <w:rPr>
          <w:rFonts w:hint="eastAsia"/>
        </w:rPr>
        <w:t>广西钦州市金海湾东大街8号市政务服务中心三楼开标室</w:t>
      </w:r>
    </w:p>
    <w:p>
      <w:pPr>
        <w:spacing w:line="400" w:lineRule="exact"/>
        <w:rPr>
          <w:b/>
        </w:rPr>
      </w:pPr>
      <w:r>
        <w:rPr>
          <w:rFonts w:hint="eastAsia"/>
          <w:b/>
        </w:rPr>
        <w:t>六、公告期限</w:t>
      </w:r>
      <w:bookmarkEnd w:id="29"/>
      <w:bookmarkEnd w:id="30"/>
      <w:bookmarkEnd w:id="31"/>
      <w:bookmarkEnd w:id="32"/>
    </w:p>
    <w:p>
      <w:pPr>
        <w:spacing w:line="400" w:lineRule="exact"/>
        <w:ind w:firstLine="420"/>
      </w:pPr>
      <w:r>
        <w:rPr>
          <w:rFonts w:hint="eastAsia"/>
        </w:rPr>
        <w:t>自本公告发布之日起</w:t>
      </w:r>
      <w:r>
        <w:t>3</w:t>
      </w:r>
      <w:r>
        <w:rPr>
          <w:rFonts w:hint="eastAsia"/>
        </w:rPr>
        <w:t>个工作日。</w:t>
      </w:r>
    </w:p>
    <w:p>
      <w:pPr>
        <w:spacing w:line="400" w:lineRule="exact"/>
        <w:rPr>
          <w:b/>
        </w:rPr>
      </w:pPr>
      <w:bookmarkStart w:id="33" w:name="_Toc28359085"/>
      <w:bookmarkStart w:id="34" w:name="_Toc35393796"/>
      <w:bookmarkStart w:id="35" w:name="_Toc28359008"/>
      <w:bookmarkStart w:id="36" w:name="_Toc35393627"/>
      <w:r>
        <w:rPr>
          <w:rFonts w:hint="eastAsia"/>
          <w:b/>
        </w:rPr>
        <w:t>七、其他补充事宜</w:t>
      </w:r>
    </w:p>
    <w:p>
      <w:pPr>
        <w:spacing w:line="400" w:lineRule="exact"/>
        <w:ind w:firstLine="420"/>
      </w:pPr>
      <w:bookmarkStart w:id="37" w:name="OLE_LINK11"/>
      <w:r>
        <w:rPr>
          <w:rFonts w:hint="eastAsia"/>
        </w:rPr>
        <w:t>1</w:t>
      </w:r>
      <w:r>
        <w:t>.</w:t>
      </w:r>
      <w:r>
        <w:rPr>
          <w:rFonts w:hint="eastAsia"/>
          <w:bCs/>
        </w:rPr>
        <w:t>本项目需落实的政府采购政策</w:t>
      </w:r>
      <w:r>
        <w:rPr>
          <w:rFonts w:hint="eastAsia"/>
          <w:b/>
        </w:rPr>
        <w:t>：</w:t>
      </w:r>
    </w:p>
    <w:p>
      <w:pPr>
        <w:spacing w:line="400" w:lineRule="exact"/>
        <w:ind w:firstLine="420"/>
      </w:pPr>
      <w:r>
        <w:rPr>
          <w:rFonts w:hint="eastAsia"/>
        </w:rPr>
        <w:t>(1)财政部 工业和信息化部关于印发《政府采购促进中小企业发展管理办法》的通知(财库﹝2020﹞46号)</w:t>
      </w:r>
    </w:p>
    <w:p>
      <w:pPr>
        <w:spacing w:line="400" w:lineRule="exact"/>
        <w:ind w:firstLine="420"/>
      </w:pPr>
      <w:r>
        <w:rPr>
          <w:rFonts w:hint="eastAsia"/>
        </w:rPr>
        <w:t>(2)财政部 司法部关于政府采购支持监狱企业发展有关问题的通知 (财库﹝2014﹞68号)</w:t>
      </w:r>
    </w:p>
    <w:p>
      <w:pPr>
        <w:spacing w:line="400" w:lineRule="exact"/>
        <w:ind w:firstLine="420"/>
      </w:pPr>
      <w:r>
        <w:rPr>
          <w:rFonts w:hint="eastAsia"/>
        </w:rPr>
        <w:t>(3)财政部 民政部 中国残疾人联合会关于促进残疾人就业政府采购政策的通知 (财库﹝2017﹞141号)</w:t>
      </w:r>
    </w:p>
    <w:p>
      <w:pPr>
        <w:spacing w:line="400" w:lineRule="exact"/>
        <w:ind w:firstLine="420" w:firstLineChars="200"/>
      </w:pPr>
      <w:r>
        <w:t>(4)</w:t>
      </w:r>
      <w:r>
        <w:rPr>
          <w:rFonts w:hint="eastAsia"/>
        </w:rPr>
        <w:t>财政部</w:t>
      </w:r>
      <w:r>
        <w:t xml:space="preserve"> </w:t>
      </w:r>
      <w:r>
        <w:rPr>
          <w:rFonts w:hint="eastAsia"/>
        </w:rPr>
        <w:t>发展改革委</w:t>
      </w:r>
      <w:r>
        <w:t xml:space="preserve"> </w:t>
      </w:r>
      <w:r>
        <w:rPr>
          <w:rFonts w:hint="eastAsia"/>
        </w:rPr>
        <w:t>生态环境部</w:t>
      </w:r>
      <w:r>
        <w:t xml:space="preserve"> </w:t>
      </w:r>
      <w:r>
        <w:rPr>
          <w:rFonts w:hint="eastAsia"/>
        </w:rPr>
        <w:t>市场监管总局关于调整优化节能产品、环境标志产品政府采购执行机制的通知（财库〔</w:t>
      </w:r>
      <w:r>
        <w:t>2019</w:t>
      </w:r>
      <w:r>
        <w:rPr>
          <w:rFonts w:hint="eastAsia"/>
        </w:rPr>
        <w:t>〕</w:t>
      </w:r>
      <w:r>
        <w:t>9</w:t>
      </w:r>
      <w:r>
        <w:rPr>
          <w:rFonts w:hint="eastAsia"/>
        </w:rPr>
        <w:t>号）</w:t>
      </w:r>
    </w:p>
    <w:p>
      <w:pPr>
        <w:spacing w:line="400" w:lineRule="exact"/>
        <w:ind w:firstLine="420" w:firstLineChars="200"/>
        <w:rPr>
          <w:rFonts w:hint="eastAsia"/>
        </w:rPr>
      </w:pPr>
      <w:r>
        <w:rPr>
          <w:rFonts w:hint="eastAsia"/>
        </w:rPr>
        <w:t>(5) 财政部 发展改革委 关于印发节能产品政府采购品目清单的通知（财库〔2019〕19号）</w:t>
      </w:r>
    </w:p>
    <w:p>
      <w:pPr>
        <w:pStyle w:val="16"/>
        <w:rPr>
          <w:rFonts w:hint="eastAsia" w:ascii="Times New Roman" w:hAnsi="Times New Roman" w:eastAsia="宋体" w:cs="Times New Roman"/>
          <w:kern w:val="2"/>
          <w:sz w:val="21"/>
          <w:szCs w:val="24"/>
          <w:lang w:val="en-US" w:eastAsia="zh-CN" w:bidi="ar-SA"/>
        </w:rPr>
      </w:pPr>
      <w:r>
        <w:rPr>
          <w:rFonts w:hint="eastAsia"/>
          <w:lang w:val="en-US" w:eastAsia="zh-CN"/>
        </w:rPr>
        <w:t xml:space="preserve">  </w:t>
      </w:r>
      <w:r>
        <w:rPr>
          <w:rFonts w:hint="eastAsia" w:ascii="Times New Roman" w:hAnsi="Times New Roman" w:eastAsia="宋体" w:cs="Times New Roman"/>
          <w:kern w:val="2"/>
          <w:sz w:val="21"/>
          <w:szCs w:val="24"/>
          <w:lang w:val="en-US" w:eastAsia="zh-CN" w:bidi="ar-SA"/>
        </w:rPr>
        <w:t>（6）国家市场监督管理总局</w:t>
      </w:r>
      <w:r>
        <w:rPr>
          <w:rFonts w:hint="eastAsia" w:cs="Times New Roman"/>
          <w:kern w:val="2"/>
          <w:sz w:val="21"/>
          <w:szCs w:val="24"/>
          <w:lang w:val="en-US" w:eastAsia="zh-CN" w:bidi="ar-SA"/>
        </w:rPr>
        <w:t xml:space="preserve"> </w:t>
      </w:r>
      <w:r>
        <w:rPr>
          <w:rFonts w:hint="eastAsia" w:ascii="Times New Roman" w:hAnsi="Times New Roman" w:eastAsia="宋体" w:cs="Times New Roman"/>
          <w:kern w:val="2"/>
          <w:sz w:val="21"/>
          <w:szCs w:val="24"/>
          <w:lang w:val="en-US" w:eastAsia="zh-CN" w:bidi="ar-SA"/>
        </w:rPr>
        <w:t>《强制性产品认证管理规定》</w:t>
      </w:r>
    </w:p>
    <w:p>
      <w:pPr>
        <w:pStyle w:val="17"/>
        <w:ind w:left="0" w:leftChars="0" w:firstLine="0" w:firstLineChars="0"/>
        <w:rPr>
          <w:rFonts w:hint="default"/>
          <w:lang w:val="en-US" w:eastAsia="zh-CN"/>
        </w:rPr>
      </w:pPr>
      <w:r>
        <w:rPr>
          <w:rFonts w:hint="eastAsia" w:ascii="Times New Roman" w:hAnsi="Times New Roman" w:cs="Times New Roman"/>
          <w:kern w:val="2"/>
          <w:sz w:val="21"/>
          <w:szCs w:val="24"/>
          <w:lang w:val="en-US" w:eastAsia="zh-CN" w:bidi="ar-SA"/>
        </w:rPr>
        <w:t xml:space="preserve">    (7)国务院办公厅关于在政府采购中 实施本国产品标准及相关政策的通知(国办发〔2025〕34号)</w:t>
      </w:r>
    </w:p>
    <w:p>
      <w:pPr>
        <w:spacing w:line="400" w:lineRule="exact"/>
        <w:ind w:firstLine="420"/>
      </w:pPr>
      <w:r>
        <w:rPr>
          <w:rFonts w:hint="eastAsia"/>
        </w:rPr>
        <w:t>2</w:t>
      </w:r>
      <w:r>
        <w:t>.</w:t>
      </w:r>
      <w:bookmarkStart w:id="38" w:name="_Hlk91598380"/>
      <w:r>
        <w:rPr>
          <w:rFonts w:hint="eastAsia"/>
        </w:rPr>
        <w:t>全流程电子化</w:t>
      </w:r>
      <w:bookmarkEnd w:id="38"/>
      <w:r>
        <w:rPr>
          <w:rFonts w:hint="eastAsia"/>
        </w:rPr>
        <w:t>要求：</w:t>
      </w:r>
    </w:p>
    <w:p>
      <w:pPr>
        <w:spacing w:line="400" w:lineRule="exact"/>
        <w:ind w:firstLine="420"/>
      </w:pPr>
      <w:bookmarkStart w:id="39" w:name="_Hlk147760486"/>
      <w:r>
        <w:rPr>
          <w:rFonts w:hint="eastAsia"/>
        </w:rPr>
        <w:t>本项目为全流程电子化项目，供应商应做好参与全流程电子化交易的充分准备，熟悉掌握电子化采购项目操作指南(操作指南：</w:t>
      </w:r>
      <w:r>
        <w:fldChar w:fldCharType="begin"/>
      </w:r>
      <w:r>
        <w:instrText xml:space="preserve"> HYPERLINK "https://helpcenter.zcygov.cn/document/" \l "/document/dashboard?siteCode=beijing&amp;channel=dt" </w:instrText>
      </w:r>
      <w:r>
        <w:fldChar w:fldCharType="separate"/>
      </w:r>
      <w:r>
        <w:rPr>
          <w:rStyle w:val="42"/>
          <w:rFonts w:hint="eastAsia"/>
          <w:color w:val="auto"/>
        </w:rPr>
        <w:t>政采云电子卖场首页右上角—服务中心—帮助文档—项目采购</w:t>
      </w:r>
      <w:r>
        <w:rPr>
          <w:rStyle w:val="42"/>
          <w:rFonts w:hint="eastAsia"/>
          <w:color w:val="auto"/>
        </w:rPr>
        <w:fldChar w:fldCharType="end"/>
      </w:r>
      <w:r>
        <w:rPr>
          <w:rFonts w:hint="eastAsia"/>
        </w:rPr>
        <w:t>)，及时完成CA申领和绑定(操作指南：</w:t>
      </w:r>
      <w:r>
        <w:fldChar w:fldCharType="begin"/>
      </w:r>
      <w:r>
        <w:instrText xml:space="preserve"> HYPERLINK "https://helpcenter.zcygov.cn/document/" \l "/document/detail?siteCode=beijing&amp;manualId=795&amp;topicId=4081" </w:instrText>
      </w:r>
      <w:r>
        <w:fldChar w:fldCharType="separate"/>
      </w:r>
      <w:r>
        <w:rPr>
          <w:rStyle w:val="42"/>
          <w:rFonts w:hint="eastAsia"/>
          <w:color w:val="auto"/>
        </w:rPr>
        <w:t>政采云电子卖场首页右上角—帮助文档—入驻与配置—CA管理</w:t>
      </w:r>
      <w:r>
        <w:rPr>
          <w:rStyle w:val="42"/>
          <w:rFonts w:hint="eastAsia"/>
          <w:color w:val="auto"/>
        </w:rPr>
        <w:fldChar w:fldCharType="end"/>
      </w:r>
      <w:r>
        <w:rPr>
          <w:rFonts w:hint="eastAsia"/>
        </w:rPr>
        <w:t>；CA证书申领路径：</w:t>
      </w:r>
      <w:r>
        <w:fldChar w:fldCharType="begin"/>
      </w:r>
      <w:r>
        <w:instrText xml:space="preserve"> HYPERLINK "https://helpcenter.zcygov.cn/document/" \l "/document/detail?siteCode=beijing&amp;manualId=795&amp;topicId=4083" </w:instrText>
      </w:r>
      <w:r>
        <w:fldChar w:fldCharType="separate"/>
      </w:r>
      <w:r>
        <w:rPr>
          <w:rStyle w:val="42"/>
          <w:rFonts w:hint="eastAsia"/>
          <w:color w:val="auto"/>
        </w:rPr>
        <w:t>政采云平台—我的工作台右上角—CA管理—CA证书申领</w:t>
      </w:r>
      <w:r>
        <w:rPr>
          <w:rStyle w:val="42"/>
          <w:rFonts w:hint="eastAsia"/>
          <w:color w:val="auto"/>
        </w:rPr>
        <w:fldChar w:fldCharType="end"/>
      </w:r>
      <w:r>
        <w:rPr>
          <w:rFonts w:hint="eastAsia"/>
        </w:rPr>
        <w:t>)。因未注册入库、未办理CA数字证书、CA证书故障、操作不当等原因造成谈判失败等后果由供应商承担。</w:t>
      </w:r>
    </w:p>
    <w:bookmarkEnd w:id="39"/>
    <w:p>
      <w:pPr>
        <w:spacing w:line="400" w:lineRule="exact"/>
        <w:ind w:firstLine="420"/>
      </w:pPr>
      <w:r>
        <w:t>(1)</w:t>
      </w:r>
      <w:r>
        <w:rPr>
          <w:rFonts w:hint="eastAsia"/>
        </w:rPr>
        <w:t>依法获取采购文件：供应商须在获取采购文件时间内登录</w:t>
      </w:r>
      <w:r>
        <w:fldChar w:fldCharType="begin"/>
      </w:r>
      <w:r>
        <w:instrText xml:space="preserve"> HYPERLINK "https://www.zcygov.cn/" </w:instrText>
      </w:r>
      <w:r>
        <w:fldChar w:fldCharType="separate"/>
      </w:r>
      <w:r>
        <w:rPr>
          <w:rStyle w:val="42"/>
          <w:rFonts w:hint="eastAsia"/>
          <w:color w:val="auto"/>
        </w:rPr>
        <w:t>政府采购云平台</w:t>
      </w:r>
      <w:r>
        <w:rPr>
          <w:rStyle w:val="42"/>
          <w:rFonts w:hint="eastAsia"/>
          <w:color w:val="auto"/>
        </w:rPr>
        <w:fldChar w:fldCharType="end"/>
      </w:r>
      <w:r>
        <w:rPr>
          <w:rFonts w:hint="eastAsia"/>
        </w:rPr>
        <w:t>申请下载采购文件才视作依法获取采购文件。</w:t>
      </w:r>
    </w:p>
    <w:p>
      <w:pPr>
        <w:spacing w:line="400" w:lineRule="exact"/>
        <w:ind w:firstLine="420"/>
        <w:rPr>
          <w:b/>
        </w:rPr>
      </w:pPr>
      <w:r>
        <w:rPr>
          <w:rFonts w:hint="eastAsia"/>
        </w:rPr>
        <w:t>(</w:t>
      </w:r>
      <w:r>
        <w:t>2)</w:t>
      </w:r>
      <w:r>
        <w:rPr>
          <w:rFonts w:hint="eastAsia"/>
        </w:rPr>
        <w:t>供应商应通过广西政府采购云平台客户端制作响应文件，供应商自行前往下载安装（</w:t>
      </w:r>
      <w:r>
        <w:fldChar w:fldCharType="begin"/>
      </w:r>
      <w:r>
        <w:instrText xml:space="preserve"> HYPERLINK "https://sitecdn.zcycdn.com/zcy-client/bidding-client-new/official/guangxi/GuangXiSetup.exe" </w:instrText>
      </w:r>
      <w:r>
        <w:fldChar w:fldCharType="separate"/>
      </w:r>
      <w:r>
        <w:rPr>
          <w:rFonts w:hint="eastAsia"/>
        </w:rPr>
        <w:t>客户端下载</w:t>
      </w:r>
      <w:r>
        <w:rPr>
          <w:rFonts w:hint="eastAsia"/>
        </w:rPr>
        <w:fldChar w:fldCharType="end"/>
      </w:r>
      <w:r>
        <w:rPr>
          <w:rFonts w:hint="eastAsia"/>
        </w:rPr>
        <w:t>）。</w:t>
      </w:r>
    </w:p>
    <w:p>
      <w:pPr>
        <w:spacing w:line="400" w:lineRule="exact"/>
        <w:ind w:firstLine="420"/>
      </w:pPr>
      <w:r>
        <w:rPr>
          <w:rFonts w:hint="eastAsia"/>
        </w:rPr>
        <w:t>(</w:t>
      </w:r>
      <w:r>
        <w:t>3)</w:t>
      </w:r>
      <w:r>
        <w:rPr>
          <w:rFonts w:hint="eastAsia"/>
        </w:rPr>
        <w:t>供应商须按照采购文件和政府采购云平台的要求进行编制、上传、加密、提交、解密响应文件，响应文件提交截止时间后，政府采购云平台自动提取全部响应文件，各供应商须在提交截止时间后30分钟内对已上传政府采购云平台的响应文件进行解密，参与本项目的全部供应商在规定的解密时限内解密完成或解密时限结束后，我中心开启响应文件；供应商在解密时限内未完成解密的，政府采购云平台默认为供应商放弃参与本项目。</w:t>
      </w:r>
    </w:p>
    <w:p>
      <w:pPr>
        <w:spacing w:line="400" w:lineRule="exact"/>
        <w:ind w:firstLine="420"/>
        <w:rPr>
          <w:b/>
        </w:rPr>
      </w:pPr>
      <w:r>
        <w:rPr>
          <w:rFonts w:hint="eastAsia"/>
        </w:rPr>
        <w:t>(</w:t>
      </w:r>
      <w:r>
        <w:t>4)</w:t>
      </w:r>
      <w:r>
        <w:rPr>
          <w:rFonts w:hint="eastAsia"/>
        </w:rPr>
        <w:t>供应商法定代表人或委托代理人须按时登录</w:t>
      </w:r>
      <w:bookmarkStart w:id="40" w:name="_Hlk90367388"/>
      <w:r>
        <w:rPr>
          <w:rFonts w:hint="eastAsia" w:ascii="宋体" w:hAnsi="宋体" w:cs="Courier New"/>
          <w:szCs w:val="21"/>
        </w:rPr>
        <w:t>政采云远程开标大厅</w:t>
      </w:r>
      <w:bookmarkEnd w:id="40"/>
      <w:r>
        <w:rPr>
          <w:rFonts w:hint="eastAsia"/>
        </w:rPr>
        <w:t>，保持全程在线并关注评审谈判进度，评审期间谈判小组提出澄清等要求时，供应商须在规定时间内进行应答，否则按采购文件或政采云平台的相关规定执行。</w:t>
      </w:r>
    </w:p>
    <w:p>
      <w:pPr>
        <w:spacing w:line="400" w:lineRule="exact"/>
        <w:ind w:firstLine="420"/>
        <w:rPr>
          <w:rFonts w:hAnsi="宋体"/>
        </w:rPr>
      </w:pPr>
      <w:r>
        <w:rPr>
          <w:rFonts w:hint="eastAsia"/>
        </w:rPr>
        <w:t>(</w:t>
      </w:r>
      <w:r>
        <w:t>5)</w:t>
      </w:r>
      <w:r>
        <w:rPr>
          <w:rFonts w:hint="eastAsia"/>
        </w:rPr>
        <w:t>供应商参与谈判过程中涉及政府采购云平台的问题，请咨询政采云</w:t>
      </w:r>
      <w:r>
        <w:rPr>
          <w:rFonts w:hint="eastAsia" w:hAnsi="宋体"/>
        </w:rPr>
        <w:t>技术支持热线：</w:t>
      </w:r>
      <w:r>
        <w:rPr>
          <w:rFonts w:hAnsi="宋体"/>
        </w:rPr>
        <w:t>95763</w:t>
      </w:r>
      <w:r>
        <w:rPr>
          <w:rFonts w:hint="eastAsia" w:hAnsi="宋体"/>
        </w:rPr>
        <w:t>。</w:t>
      </w:r>
    </w:p>
    <w:p>
      <w:pPr>
        <w:spacing w:line="400" w:lineRule="exact"/>
        <w:ind w:firstLine="420"/>
        <w:jc w:val="left"/>
        <w:rPr>
          <w:rFonts w:hAnsi="宋体"/>
        </w:rPr>
      </w:pPr>
      <w:r>
        <w:rPr>
          <w:rFonts w:hint="eastAsia" w:hAnsi="宋体"/>
        </w:rPr>
        <w:t>3</w:t>
      </w:r>
      <w:r>
        <w:rPr>
          <w:rFonts w:hAnsi="宋体"/>
        </w:rPr>
        <w:t>.</w:t>
      </w:r>
      <w:r>
        <w:rPr>
          <w:rFonts w:hint="eastAsia" w:hAnsi="宋体"/>
        </w:rPr>
        <w:t>查询媒体：中国政府采购网、</w:t>
      </w:r>
      <w:r>
        <w:fldChar w:fldCharType="begin"/>
      </w:r>
      <w:r>
        <w:instrText xml:space="preserve"> HYPERLINK "http://zfcg.gxzf.gov.cn/" </w:instrText>
      </w:r>
      <w:r>
        <w:fldChar w:fldCharType="separate"/>
      </w:r>
      <w:r>
        <w:rPr>
          <w:rStyle w:val="42"/>
          <w:rFonts w:hint="eastAsia" w:hAnsi="宋体"/>
          <w:color w:val="auto"/>
          <w:u w:val="none"/>
        </w:rPr>
        <w:t>广西政府采购网</w:t>
      </w:r>
      <w:r>
        <w:rPr>
          <w:rStyle w:val="42"/>
          <w:rFonts w:hint="eastAsia" w:hAnsi="宋体"/>
          <w:color w:val="auto"/>
          <w:u w:val="none"/>
        </w:rPr>
        <w:fldChar w:fldCharType="end"/>
      </w:r>
      <w:r>
        <w:rPr>
          <w:rFonts w:hint="eastAsia" w:hAnsi="宋体"/>
        </w:rPr>
        <w:t>。</w:t>
      </w:r>
    </w:p>
    <w:p>
      <w:pPr>
        <w:spacing w:line="400" w:lineRule="exact"/>
        <w:ind w:firstLine="420"/>
        <w:jc w:val="left"/>
        <w:rPr>
          <w:rFonts w:hAnsi="宋体"/>
        </w:rPr>
      </w:pPr>
      <w:bookmarkStart w:id="41" w:name="_Hlk107409555"/>
      <w:r>
        <w:rPr>
          <w:rFonts w:hint="eastAsia" w:hAnsi="宋体"/>
        </w:rPr>
        <w:t>4</w:t>
      </w:r>
      <w:r>
        <w:rPr>
          <w:rFonts w:hAnsi="宋体"/>
        </w:rPr>
        <w:t>.</w:t>
      </w:r>
      <w:r>
        <w:rPr>
          <w:rFonts w:hint="eastAsia" w:hAnsi="宋体"/>
        </w:rPr>
        <w:t>钦州市政府采购中心联系方式：</w:t>
      </w:r>
    </w:p>
    <w:p>
      <w:pPr>
        <w:spacing w:line="400" w:lineRule="exact"/>
        <w:ind w:firstLine="420"/>
        <w:jc w:val="left"/>
        <w:rPr>
          <w:rFonts w:hAnsi="宋体"/>
        </w:rPr>
      </w:pPr>
      <w:r>
        <w:rPr>
          <w:rFonts w:hAnsi="宋体"/>
        </w:rPr>
        <w:t>(1)</w:t>
      </w:r>
      <w:r>
        <w:rPr>
          <w:rFonts w:hint="eastAsia" w:hAnsi="宋体"/>
        </w:rPr>
        <w:t>采购部(采购文件</w:t>
      </w:r>
      <w:r>
        <w:rPr>
          <w:rFonts w:hAnsi="宋体"/>
        </w:rPr>
        <w:t>)</w:t>
      </w:r>
    </w:p>
    <w:p>
      <w:pPr>
        <w:spacing w:line="400" w:lineRule="exact"/>
        <w:ind w:firstLine="420"/>
        <w:jc w:val="left"/>
        <w:rPr>
          <w:rFonts w:hAnsi="宋体"/>
        </w:rPr>
      </w:pPr>
      <w:r>
        <w:rPr>
          <w:rFonts w:hint="eastAsia" w:hAnsi="宋体"/>
        </w:rPr>
        <w:t>联系人：黄忠秀</w:t>
      </w:r>
      <w:r>
        <w:rPr>
          <w:rFonts w:hAnsi="宋体"/>
        </w:rPr>
        <w:t xml:space="preserve">  </w:t>
      </w:r>
      <w:r>
        <w:rPr>
          <w:rFonts w:hint="eastAsia" w:hAnsi="宋体"/>
        </w:rPr>
        <w:t xml:space="preserve"> 联系方式：0777-2886022</w:t>
      </w:r>
    </w:p>
    <w:p>
      <w:pPr>
        <w:spacing w:line="400" w:lineRule="exact"/>
        <w:ind w:firstLine="420"/>
        <w:jc w:val="left"/>
        <w:rPr>
          <w:rFonts w:hAnsi="宋体"/>
        </w:rPr>
      </w:pPr>
      <w:r>
        <w:rPr>
          <w:rFonts w:hint="eastAsia" w:hAnsi="宋体"/>
        </w:rPr>
        <w:t>(</w:t>
      </w:r>
      <w:r>
        <w:rPr>
          <w:rFonts w:hAnsi="宋体"/>
        </w:rPr>
        <w:t>2)</w:t>
      </w:r>
      <w:r>
        <w:rPr>
          <w:rFonts w:hint="eastAsia" w:hAnsi="宋体"/>
        </w:rPr>
        <w:t>综合二部(评审、谈判、成交及合同管理)</w:t>
      </w:r>
    </w:p>
    <w:p>
      <w:pPr>
        <w:spacing w:line="400" w:lineRule="exact"/>
        <w:ind w:firstLine="420"/>
        <w:jc w:val="left"/>
        <w:rPr>
          <w:rFonts w:hAnsi="宋体"/>
        </w:rPr>
      </w:pPr>
      <w:r>
        <w:rPr>
          <w:rFonts w:hint="eastAsia" w:hAnsi="宋体"/>
        </w:rPr>
        <w:t>联系人：</w:t>
      </w:r>
      <w:bookmarkStart w:id="42" w:name="OLE_LINK1"/>
      <w:r>
        <w:rPr>
          <w:rFonts w:hint="eastAsia" w:hAnsi="宋体"/>
        </w:rPr>
        <w:t>陈侃</w:t>
      </w:r>
      <w:r>
        <w:rPr>
          <w:rFonts w:hint="eastAsia" w:hAnsi="宋体"/>
          <w:lang w:eastAsia="zh-CN"/>
        </w:rPr>
        <w:t>、</w:t>
      </w:r>
      <w:r>
        <w:rPr>
          <w:rFonts w:hint="eastAsia" w:hAnsi="宋体"/>
        </w:rPr>
        <w:t>陈启梅</w:t>
      </w:r>
      <w:bookmarkEnd w:id="42"/>
      <w:r>
        <w:rPr>
          <w:rFonts w:hAnsi="宋体"/>
        </w:rPr>
        <w:t xml:space="preserve"> </w:t>
      </w:r>
      <w:r>
        <w:rPr>
          <w:rFonts w:hint="eastAsia" w:hAnsi="宋体"/>
        </w:rPr>
        <w:t>联系方式：0777-2886006</w:t>
      </w:r>
      <w:bookmarkEnd w:id="41"/>
    </w:p>
    <w:bookmarkEnd w:id="37"/>
    <w:p>
      <w:pPr>
        <w:spacing w:line="400" w:lineRule="exact"/>
        <w:rPr>
          <w:b/>
        </w:rPr>
      </w:pPr>
      <w:r>
        <w:rPr>
          <w:rFonts w:hint="eastAsia"/>
          <w:b/>
        </w:rPr>
        <w:t>八、对本次采购项目提出询问，请按</w:t>
      </w:r>
      <w:r>
        <w:rPr>
          <w:b/>
        </w:rPr>
        <w:t>以下方式</w:t>
      </w:r>
      <w:r>
        <w:rPr>
          <w:rFonts w:hint="eastAsia"/>
          <w:b/>
        </w:rPr>
        <w:t>联系</w:t>
      </w:r>
      <w:bookmarkEnd w:id="33"/>
      <w:bookmarkEnd w:id="34"/>
      <w:bookmarkEnd w:id="35"/>
      <w:bookmarkEnd w:id="36"/>
    </w:p>
    <w:p>
      <w:pPr>
        <w:spacing w:line="400" w:lineRule="exact"/>
        <w:ind w:firstLine="420" w:firstLineChars="200"/>
      </w:pPr>
      <w:r>
        <w:rPr>
          <w:rFonts w:hint="eastAsia"/>
        </w:rPr>
        <w:t>1.采购人信息</w:t>
      </w:r>
      <w:bookmarkEnd w:id="8"/>
    </w:p>
    <w:p>
      <w:pPr>
        <w:spacing w:line="400" w:lineRule="exact"/>
        <w:ind w:firstLine="420" w:firstLineChars="200"/>
        <w:rPr>
          <w:rFonts w:hint="eastAsia"/>
        </w:rPr>
      </w:pPr>
      <w:r>
        <w:rPr>
          <w:rFonts w:hint="eastAsia"/>
        </w:rPr>
        <w:t>名称：钦州市中医医院</w:t>
      </w:r>
    </w:p>
    <w:p>
      <w:pPr>
        <w:spacing w:line="400" w:lineRule="exact"/>
        <w:ind w:firstLine="420" w:firstLineChars="200"/>
        <w:rPr>
          <w:rFonts w:hint="eastAsia"/>
        </w:rPr>
      </w:pPr>
      <w:r>
        <w:rPr>
          <w:rFonts w:hint="eastAsia"/>
        </w:rPr>
        <w:t>地址：钦州市蓬莱北大道66号</w:t>
      </w:r>
    </w:p>
    <w:p>
      <w:pPr>
        <w:spacing w:line="400" w:lineRule="exact"/>
        <w:ind w:firstLine="420" w:firstLineChars="200"/>
        <w:rPr>
          <w:rFonts w:hint="eastAsia"/>
        </w:rPr>
      </w:pPr>
      <w:r>
        <w:rPr>
          <w:rFonts w:hint="eastAsia"/>
        </w:rPr>
        <w:t>项目联系人：</w:t>
      </w:r>
      <w:bookmarkStart w:id="43" w:name="OLE_LINK8"/>
      <w:r>
        <w:rPr>
          <w:rFonts w:hint="eastAsia"/>
        </w:rPr>
        <w:t>凌光锋</w:t>
      </w:r>
      <w:bookmarkEnd w:id="43"/>
    </w:p>
    <w:p>
      <w:pPr>
        <w:spacing w:line="400" w:lineRule="exact"/>
        <w:ind w:firstLine="420" w:firstLineChars="200"/>
        <w:rPr>
          <w:rFonts w:hint="eastAsia"/>
        </w:rPr>
      </w:pPr>
      <w:r>
        <w:rPr>
          <w:rFonts w:hint="eastAsia"/>
        </w:rPr>
        <w:t>联系方式：</w:t>
      </w:r>
      <w:bookmarkStart w:id="44" w:name="OLE_LINK12"/>
      <w:r>
        <w:rPr>
          <w:rFonts w:hint="eastAsia"/>
        </w:rPr>
        <w:t>0777-3786108</w:t>
      </w:r>
      <w:bookmarkEnd w:id="44"/>
    </w:p>
    <w:p>
      <w:pPr>
        <w:spacing w:line="400" w:lineRule="exact"/>
        <w:ind w:firstLine="420" w:firstLineChars="200"/>
      </w:pPr>
      <w:r>
        <w:rPr>
          <w:rFonts w:hint="eastAsia"/>
        </w:rPr>
        <w:t>2.采购代理机构信息</w:t>
      </w:r>
    </w:p>
    <w:p>
      <w:pPr>
        <w:spacing w:line="400" w:lineRule="exact"/>
        <w:ind w:firstLine="420" w:firstLineChars="200"/>
      </w:pPr>
      <w:r>
        <w:rPr>
          <w:rFonts w:hint="eastAsia"/>
        </w:rPr>
        <w:t>名称：钦州市政府采购中心</w:t>
      </w:r>
    </w:p>
    <w:p>
      <w:pPr>
        <w:spacing w:line="400" w:lineRule="exact"/>
        <w:ind w:firstLine="420" w:firstLineChars="200"/>
      </w:pPr>
      <w:r>
        <w:rPr>
          <w:rFonts w:hint="eastAsia"/>
        </w:rPr>
        <w:t>地址：钦州市金海湾东大街8号</w:t>
      </w:r>
    </w:p>
    <w:p>
      <w:pPr>
        <w:spacing w:line="400" w:lineRule="exact"/>
        <w:ind w:firstLine="420" w:firstLineChars="200"/>
        <w:rPr>
          <w:rFonts w:hint="eastAsia" w:eastAsia="宋体"/>
          <w:lang w:eastAsia="zh-CN"/>
        </w:rPr>
      </w:pPr>
      <w:r>
        <w:rPr>
          <w:rFonts w:hint="eastAsia"/>
        </w:rPr>
        <w:t>项目联系人：</w:t>
      </w:r>
      <w:bookmarkStart w:id="45" w:name="_Toc28359010"/>
      <w:bookmarkStart w:id="46" w:name="_Toc28359087"/>
      <w:r>
        <w:rPr>
          <w:rFonts w:hint="eastAsia"/>
        </w:rPr>
        <w:t>黄忠秀</w:t>
      </w:r>
      <w:r>
        <w:rPr>
          <w:rFonts w:hint="eastAsia"/>
          <w:lang w:eastAsia="zh-CN"/>
        </w:rPr>
        <w:t>、陈侃、陈启梅</w:t>
      </w:r>
    </w:p>
    <w:p>
      <w:pPr>
        <w:spacing w:line="400" w:lineRule="exact"/>
        <w:ind w:firstLine="420" w:firstLineChars="200"/>
        <w:rPr>
          <w:rFonts w:hint="default" w:eastAsia="宋体"/>
          <w:lang w:val="en-US" w:eastAsia="zh-CN"/>
        </w:rPr>
      </w:pPr>
      <w:r>
        <w:rPr>
          <w:rFonts w:hint="eastAsia"/>
        </w:rPr>
        <w:t>项目联系方式：0777-2886022</w:t>
      </w:r>
      <w:r>
        <w:rPr>
          <w:rFonts w:hint="eastAsia"/>
          <w:lang w:eastAsia="zh-CN"/>
        </w:rPr>
        <w:t>、</w:t>
      </w:r>
      <w:r>
        <w:rPr>
          <w:rFonts w:hint="eastAsia"/>
          <w:lang w:val="en-US" w:eastAsia="zh-CN"/>
        </w:rPr>
        <w:t>2886006</w:t>
      </w:r>
    </w:p>
    <w:p>
      <w:pPr>
        <w:widowControl/>
        <w:jc w:val="left"/>
      </w:pPr>
      <w:r>
        <w:br w:type="page"/>
      </w:r>
    </w:p>
    <w:p>
      <w:pPr>
        <w:spacing w:line="400" w:lineRule="exact"/>
        <w:ind w:firstLine="420" w:firstLineChars="200"/>
      </w:pPr>
    </w:p>
    <w:p/>
    <w:bookmarkEnd w:id="45"/>
    <w:bookmarkEnd w:id="46"/>
    <w:p/>
    <w:p/>
    <w:p/>
    <w:p/>
    <w:p/>
    <w:p/>
    <w:p/>
    <w:p/>
    <w:p/>
    <w:p/>
    <w:p/>
    <w:p/>
    <w:p>
      <w:pPr>
        <w:pStyle w:val="3"/>
        <w:spacing w:line="400" w:lineRule="exact"/>
        <w:rPr>
          <w:rFonts w:ascii="方正小标宋_GBK" w:hAnsi="宋体" w:eastAsia="方正小标宋_GBK"/>
        </w:rPr>
      </w:pPr>
      <w:bookmarkStart w:id="47" w:name="_Toc92355024"/>
      <w:r>
        <w:rPr>
          <w:rFonts w:hint="eastAsia" w:ascii="方正小标宋_GBK" w:hAnsi="宋体" w:eastAsia="方正小标宋_GBK"/>
        </w:rPr>
        <w:t>第二章  项目需求</w:t>
      </w:r>
      <w:bookmarkEnd w:id="47"/>
    </w:p>
    <w:p>
      <w:pPr>
        <w:spacing w:line="440" w:lineRule="exact"/>
        <w:jc w:val="center"/>
        <w:rPr>
          <w:rFonts w:ascii="宋体" w:hAnsi="宋体"/>
          <w:b/>
          <w:sz w:val="36"/>
          <w:szCs w:val="36"/>
        </w:rPr>
      </w:pPr>
      <w:r>
        <w:rPr>
          <w:rFonts w:ascii="宋体" w:hAnsi="宋体"/>
          <w:b/>
          <w:szCs w:val="21"/>
        </w:rPr>
        <w:br w:type="page"/>
      </w:r>
      <w:r>
        <w:rPr>
          <w:rFonts w:hint="eastAsia" w:ascii="宋体" w:hAnsi="宋体"/>
          <w:b/>
          <w:sz w:val="36"/>
          <w:szCs w:val="36"/>
        </w:rPr>
        <w:t>项目需求</w:t>
      </w:r>
    </w:p>
    <w:p>
      <w:pPr>
        <w:spacing w:line="396" w:lineRule="exact"/>
        <w:rPr>
          <w:rFonts w:ascii="宋体" w:hAnsi="宋体"/>
          <w:b/>
          <w:szCs w:val="21"/>
        </w:rPr>
      </w:pPr>
    </w:p>
    <w:p>
      <w:pPr>
        <w:spacing w:line="430" w:lineRule="exact"/>
        <w:rPr>
          <w:rFonts w:ascii="宋体" w:hAnsi="宋体"/>
          <w:szCs w:val="21"/>
          <w:u w:val="single"/>
        </w:rPr>
      </w:pPr>
      <w:bookmarkStart w:id="48" w:name="_Hlk89960406"/>
      <w:r>
        <w:rPr>
          <w:rFonts w:hint="eastAsia" w:ascii="宋体" w:hAnsi="宋体"/>
          <w:szCs w:val="21"/>
        </w:rPr>
        <w:t>一、采购预算：￥</w:t>
      </w:r>
      <w:r>
        <w:rPr>
          <w:rFonts w:hint="eastAsia" w:ascii="宋体" w:hAnsi="宋体"/>
          <w:szCs w:val="21"/>
          <w:lang w:eastAsia="zh-CN"/>
        </w:rPr>
        <w:t>632,000.00</w:t>
      </w:r>
      <w:r>
        <w:rPr>
          <w:rFonts w:hint="eastAsia" w:ascii="宋体" w:hAnsi="宋体"/>
          <w:szCs w:val="21"/>
        </w:rPr>
        <w:t>元</w:t>
      </w:r>
    </w:p>
    <w:p>
      <w:pPr>
        <w:spacing w:line="430" w:lineRule="exact"/>
        <w:rPr>
          <w:rFonts w:ascii="宋体" w:hAnsi="宋体"/>
          <w:szCs w:val="21"/>
        </w:rPr>
      </w:pPr>
      <w:r>
        <w:rPr>
          <w:rFonts w:hint="eastAsia" w:ascii="宋体" w:hAnsi="宋体"/>
          <w:szCs w:val="21"/>
        </w:rPr>
        <w:t>二、项目需求：</w:t>
      </w:r>
    </w:p>
    <w:p>
      <w:pPr>
        <w:spacing w:line="430" w:lineRule="exact"/>
        <w:rPr>
          <w:rFonts w:ascii="宋体" w:hAnsi="宋体"/>
          <w:szCs w:val="21"/>
        </w:rPr>
      </w:pPr>
      <w:bookmarkStart w:id="49" w:name="_Toc354479498"/>
      <w:bookmarkStart w:id="50" w:name="_Toc358477280"/>
      <w:r>
        <w:rPr>
          <w:rFonts w:hint="eastAsia" w:ascii="宋体" w:hAnsi="宋体"/>
          <w:szCs w:val="21"/>
        </w:rPr>
        <w:t>说明：</w:t>
      </w:r>
    </w:p>
    <w:p>
      <w:pPr>
        <w:spacing w:line="430" w:lineRule="exact"/>
        <w:ind w:firstLine="420" w:firstLineChars="200"/>
        <w:rPr>
          <w:rFonts w:ascii="宋体" w:hAnsi="宋体"/>
          <w:szCs w:val="21"/>
        </w:rPr>
      </w:pPr>
      <w:r>
        <w:rPr>
          <w:rFonts w:hint="eastAsia" w:ascii="宋体" w:hAnsi="宋体"/>
          <w:szCs w:val="21"/>
        </w:rPr>
        <w:t>1.本表中的品牌型号、技术参数及其性能（规格）仅起参考作用，供应商可选用其他品牌型号替代，</w:t>
      </w:r>
      <w:r>
        <w:rPr>
          <w:rFonts w:hint="eastAsia" w:ascii="宋体" w:hAnsi="宋体"/>
        </w:rPr>
        <w:t>但替代的产品整体上要相当于或优于参考品牌型号或其技术参数性能（规格）要求。</w:t>
      </w:r>
    </w:p>
    <w:p>
      <w:pPr>
        <w:spacing w:line="430" w:lineRule="exact"/>
        <w:ind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供应商必须自行为其产品侵犯其他供应商或专利人的专利成果承担相应法律责任；同时，具有产品专利的供应商应在其响应文件中提供与其自有产品专利相关的有效证明材料，否则，不能就其产品的专利在本项目谈判过程中被侵权问题提出异议。</w:t>
      </w:r>
    </w:p>
    <w:p>
      <w:pPr>
        <w:spacing w:line="430" w:lineRule="exact"/>
        <w:ind w:firstLine="420" w:firstLineChars="200"/>
        <w:rPr>
          <w:rFonts w:ascii="宋体" w:hAnsi="宋体"/>
          <w:szCs w:val="21"/>
        </w:rPr>
      </w:pPr>
      <w:r>
        <w:rPr>
          <w:rFonts w:hint="eastAsia" w:ascii="宋体" w:hAnsi="宋体"/>
          <w:szCs w:val="21"/>
        </w:rPr>
        <w:t>3.本项目不接受供应商提供通过中国海关报关验放进入中国境内且产自关境外的产品。</w:t>
      </w:r>
    </w:p>
    <w:p>
      <w:pPr>
        <w:spacing w:line="430" w:lineRule="exact"/>
        <w:ind w:firstLine="420" w:firstLineChars="200"/>
        <w:rPr>
          <w:rFonts w:ascii="宋体" w:hAnsi="宋体"/>
          <w:szCs w:val="21"/>
        </w:rPr>
      </w:pPr>
      <w:r>
        <w:rPr>
          <w:rFonts w:ascii="宋体" w:hAnsi="宋体"/>
          <w:szCs w:val="21"/>
        </w:rPr>
        <w:t>4.</w:t>
      </w:r>
      <w:r>
        <w:rPr>
          <w:rFonts w:hint="eastAsia" w:ascii="宋体" w:hAnsi="宋体"/>
          <w:szCs w:val="21"/>
        </w:rPr>
        <w:t>谈判文件中可能实质性变动的内容：</w:t>
      </w:r>
      <w:r>
        <w:rPr>
          <w:rFonts w:hint="eastAsia" w:ascii="宋体" w:hAnsi="宋体" w:cs="宋体"/>
          <w:kern w:val="0"/>
          <w:szCs w:val="21"/>
          <w:u w:val="single"/>
        </w:rPr>
        <w:t>采购需求的技术、服务要求以及合同草案条款</w:t>
      </w:r>
      <w:r>
        <w:rPr>
          <w:rFonts w:hint="eastAsia" w:ascii="宋体" w:hAnsi="宋体" w:cs="宋体"/>
          <w:b/>
          <w:kern w:val="0"/>
          <w:szCs w:val="21"/>
        </w:rPr>
        <w:t>。</w:t>
      </w:r>
    </w:p>
    <w:p>
      <w:pPr>
        <w:spacing w:line="430" w:lineRule="exact"/>
        <w:ind w:firstLine="420" w:firstLineChars="200"/>
        <w:rPr>
          <w:rFonts w:ascii="宋体" w:hAnsi="宋体"/>
          <w:szCs w:val="21"/>
        </w:rPr>
      </w:pPr>
      <w:r>
        <w:rPr>
          <w:rFonts w:ascii="宋体" w:hAnsi="宋体"/>
          <w:szCs w:val="21"/>
        </w:rPr>
        <w:t>5.</w:t>
      </w:r>
      <w:r>
        <w:rPr>
          <w:rFonts w:hint="eastAsia" w:ascii="宋体" w:hAnsi="宋体"/>
          <w:szCs w:val="21"/>
        </w:rPr>
        <w:t>标注</w:t>
      </w:r>
      <w:bookmarkStart w:id="51" w:name="OLE_LINK2"/>
      <w:r>
        <w:rPr>
          <w:rFonts w:hint="eastAsia" w:ascii="宋体" w:hAnsi="宋体"/>
          <w:szCs w:val="21"/>
        </w:rPr>
        <w:t>★</w:t>
      </w:r>
      <w:bookmarkEnd w:id="51"/>
      <w:r>
        <w:rPr>
          <w:rFonts w:hint="eastAsia" w:ascii="宋体" w:hAnsi="宋体"/>
          <w:szCs w:val="21"/>
        </w:rPr>
        <w:t>号的技术参数为实质性响应条款，要求必须满足或优于，否则视为无效响应文件。</w:t>
      </w:r>
    </w:p>
    <w:p>
      <w:pPr>
        <w:spacing w:line="430" w:lineRule="exact"/>
        <w:ind w:firstLine="420" w:firstLineChars="200"/>
        <w:rPr>
          <w:rFonts w:ascii="宋体" w:hAnsi="宋体"/>
          <w:szCs w:val="21"/>
        </w:rPr>
      </w:pPr>
      <w:r>
        <w:rPr>
          <w:rFonts w:ascii="宋体" w:hAnsi="宋体"/>
          <w:szCs w:val="21"/>
        </w:rPr>
        <w:t>6.</w:t>
      </w:r>
      <w:r>
        <w:rPr>
          <w:rFonts w:hint="eastAsia" w:ascii="宋体" w:hAnsi="宋体"/>
          <w:szCs w:val="21"/>
        </w:rPr>
        <w:t>本项目对应的中小企业划分标准所属行业为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lang w:val="en-US" w:eastAsia="zh-CN"/>
        </w:rPr>
        <w:t>工</w:t>
      </w:r>
      <w:r>
        <w:rPr>
          <w:rFonts w:hint="eastAsia" w:ascii="宋体" w:hAnsi="宋体"/>
          <w:szCs w:val="21"/>
          <w:u w:val="single"/>
        </w:rPr>
        <w:t>业</w:t>
      </w:r>
      <w:r>
        <w:rPr>
          <w:rFonts w:ascii="宋体" w:hAnsi="宋体"/>
          <w:szCs w:val="21"/>
          <w:u w:val="single"/>
        </w:rPr>
        <w:t xml:space="preserve"> </w:t>
      </w:r>
      <w:r>
        <w:rPr>
          <w:rFonts w:hint="eastAsia" w:ascii="宋体" w:hAnsi="宋体"/>
          <w:szCs w:val="21"/>
        </w:rPr>
        <w:t>。</w:t>
      </w:r>
    </w:p>
    <w:bookmarkEnd w:id="48"/>
    <w:p>
      <w:pPr>
        <w:spacing w:line="430" w:lineRule="exact"/>
        <w:jc w:val="left"/>
        <w:rPr>
          <w:rFonts w:ascii="宋体" w:hAnsi="宋体"/>
          <w:szCs w:val="21"/>
        </w:rPr>
      </w:pPr>
      <w:r>
        <w:rPr>
          <w:rFonts w:ascii="宋体" w:hAnsi="宋体"/>
          <w:szCs w:val="21"/>
        </w:rPr>
        <w:br w:type="page"/>
      </w:r>
    </w:p>
    <w:p>
      <w:pPr>
        <w:spacing w:line="430" w:lineRule="exact"/>
        <w:jc w:val="left"/>
        <w:rPr>
          <w:rFonts w:ascii="宋体" w:hAnsi="宋体"/>
          <w:szCs w:val="21"/>
        </w:rPr>
      </w:pPr>
    </w:p>
    <w:tbl>
      <w:tblPr>
        <w:tblStyle w:val="35"/>
        <w:tblW w:w="101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80" w:type="dxa"/>
          <w:left w:w="128" w:type="dxa"/>
          <w:bottom w:w="80" w:type="dxa"/>
          <w:right w:w="128" w:type="dxa"/>
        </w:tblCellMar>
      </w:tblPr>
      <w:tblGrid>
        <w:gridCol w:w="687"/>
        <w:gridCol w:w="1142"/>
        <w:gridCol w:w="123"/>
        <w:gridCol w:w="6414"/>
        <w:gridCol w:w="809"/>
        <w:gridCol w:w="1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序号</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5B9BD5"/>
            <w:vAlign w:val="center"/>
          </w:tcPr>
          <w:p>
            <w:pPr>
              <w:snapToGrid w:val="0"/>
              <w:jc w:val="center"/>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产品名称</w:t>
            </w:r>
          </w:p>
        </w:tc>
        <w:tc>
          <w:tcPr>
            <w:tcW w:w="6414" w:type="dxa"/>
            <w:tcBorders>
              <w:top w:val="single" w:color="000000" w:sz="4" w:space="0"/>
              <w:left w:val="single" w:color="000000" w:sz="4" w:space="0"/>
              <w:bottom w:val="single" w:color="000000" w:sz="4" w:space="0"/>
              <w:right w:val="single" w:color="000000" w:sz="4" w:space="0"/>
            </w:tcBorders>
            <w:shd w:val="clear" w:color="auto" w:fill="5B9BD5"/>
            <w:vAlign w:val="center"/>
          </w:tcPr>
          <w:p>
            <w:pPr>
              <w:snapToGrid w:val="0"/>
              <w:jc w:val="center"/>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技术需求</w:t>
            </w:r>
          </w:p>
        </w:tc>
        <w:tc>
          <w:tcPr>
            <w:tcW w:w="809" w:type="dxa"/>
            <w:tcBorders>
              <w:top w:val="single" w:color="000000" w:sz="4" w:space="0"/>
              <w:left w:val="single" w:color="000000" w:sz="4" w:space="0"/>
              <w:bottom w:val="single" w:color="000000" w:sz="4" w:space="0"/>
              <w:right w:val="single" w:color="000000" w:sz="4" w:space="0"/>
            </w:tcBorders>
            <w:shd w:val="clear" w:color="auto" w:fill="5B9BD5"/>
            <w:vAlign w:val="center"/>
          </w:tcPr>
          <w:p>
            <w:pPr>
              <w:snapToGrid w:val="0"/>
              <w:jc w:val="center"/>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单位</w:t>
            </w:r>
          </w:p>
        </w:tc>
        <w:tc>
          <w:tcPr>
            <w:tcW w:w="1022" w:type="dxa"/>
            <w:tcBorders>
              <w:top w:val="single" w:color="000000" w:sz="4" w:space="0"/>
              <w:left w:val="single" w:color="000000" w:sz="4" w:space="0"/>
              <w:bottom w:val="single" w:color="000000" w:sz="4" w:space="0"/>
              <w:right w:val="single" w:color="000000" w:sz="4" w:space="0"/>
            </w:tcBorders>
            <w:shd w:val="clear" w:color="auto" w:fill="5B9BD5"/>
            <w:vAlign w:val="center"/>
          </w:tcPr>
          <w:p>
            <w:pPr>
              <w:snapToGrid w:val="0"/>
              <w:jc w:val="center"/>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国产化超融合一体机</w:t>
            </w:r>
          </w:p>
        </w:tc>
        <w:tc>
          <w:tcPr>
            <w:tcW w:w="6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1、规格：2U机架式服务器，可以放入42U标准机柜；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2、★处理器：配置≥2颗国产C86 架构 CPU，单颗CPU主频≥2.5GHz，核数≥32C；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3、★内存：配置≥256GB 5600MHz DDR5内存；内存插槽数量≥16个，最大内存可扩展至1TB；具备内存回收机制，实现内存资源的动态复用，保障服务器的性能；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4、硬盘：配置≥2块480 SSD系统盘（不占用前置硬盘槽）、≥2块10T SATA数据盘、≥2块960G SSD缓存盘，支持热插拔SAS/SATA硬盘，配备≥12个2.5/3.5寸硬盘槽；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5、端口：配备≥4个GE端口和2个10GE端口；配置冗余电源；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6、提供至少3年硬件保修服务；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7、★为了保证平台的兼容性和稳定性，要求与“计算服务器虚拟化软件”、“网络虚拟化软件”、“存储虚拟化软件”为同一品牌；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为提升医院的运维效率和提高多集群的统一监测和管理能力，要求本次建设的国产化超融合一体机能够与医院当前正在运行的超融合平台进行统一纳管运维且医院现有超融合平台与本次建设的国产超融合平台可以互相迁移业务虚拟机。（医院当前正在运行的超融合平台品牌为：深信服科技股份有限公司；型号为：aServer-R-2205；版本为：SANGFOR HCI 6.8.0 Build20220930）；</w:t>
            </w:r>
            <w:r>
              <w:rPr>
                <w:rFonts w:hint="eastAsia" w:ascii="宋体" w:hAnsi="宋体" w:cs="宋体"/>
                <w:sz w:val="21"/>
                <w:szCs w:val="21"/>
                <w:lang w:val="en-US" w:eastAsia="zh-CN"/>
              </w:rPr>
              <w:t>9.</w:t>
            </w:r>
            <w:r>
              <w:rPr>
                <w:rFonts w:hint="eastAsia" w:ascii="宋体" w:hAnsi="宋体" w:eastAsia="宋体" w:cs="宋体"/>
                <w:sz w:val="21"/>
                <w:szCs w:val="21"/>
                <w:lang w:val="en-US" w:eastAsia="zh-CN"/>
              </w:rPr>
              <w:t>该项功能支持通过</w:t>
            </w:r>
            <w:r>
              <w:rPr>
                <w:rFonts w:hint="eastAsia" w:ascii="宋体" w:hAnsi="宋体" w:cs="宋体"/>
                <w:sz w:val="21"/>
                <w:szCs w:val="21"/>
                <w:lang w:val="en-US" w:eastAsia="zh-CN"/>
              </w:rPr>
              <w:t>软件</w:t>
            </w:r>
            <w:r>
              <w:rPr>
                <w:rFonts w:hint="eastAsia" w:ascii="宋体" w:hAnsi="宋体" w:eastAsia="宋体" w:cs="宋体"/>
                <w:sz w:val="21"/>
                <w:szCs w:val="21"/>
                <w:lang w:val="en-US" w:eastAsia="zh-CN"/>
              </w:rPr>
              <w:t>定制方式实现，为保证</w:t>
            </w:r>
            <w:r>
              <w:rPr>
                <w:rFonts w:hint="eastAsia" w:ascii="宋体" w:hAnsi="宋体" w:cs="宋体"/>
                <w:sz w:val="21"/>
                <w:szCs w:val="21"/>
                <w:lang w:val="en-US" w:eastAsia="zh-CN"/>
              </w:rPr>
              <w:t>对接</w:t>
            </w:r>
            <w:r>
              <w:rPr>
                <w:rFonts w:hint="eastAsia" w:ascii="宋体" w:hAnsi="宋体" w:eastAsia="宋体" w:cs="宋体"/>
                <w:sz w:val="21"/>
                <w:szCs w:val="21"/>
                <w:lang w:val="en-US" w:eastAsia="zh-CN"/>
              </w:rPr>
              <w:t>效果，需提供满足本项要求的对接承诺函</w:t>
            </w:r>
            <w:r>
              <w:rPr>
                <w:rFonts w:hint="eastAsia" w:ascii="宋体" w:hAnsi="宋体" w:cs="宋体"/>
                <w:sz w:val="21"/>
                <w:szCs w:val="21"/>
                <w:lang w:val="en-US" w:eastAsia="zh-CN"/>
              </w:rPr>
              <w:t>（格式自拟）</w:t>
            </w:r>
            <w:r>
              <w:rPr>
                <w:rFonts w:hint="eastAsia" w:ascii="宋体" w:hAnsi="宋体" w:eastAsia="宋体" w:cs="宋体"/>
                <w:sz w:val="21"/>
                <w:szCs w:val="21"/>
                <w:lang w:val="en-US" w:eastAsia="zh-CN"/>
              </w:rPr>
              <w:t>，加盖供应商公章</w:t>
            </w:r>
            <w:r>
              <w:rPr>
                <w:rFonts w:hint="eastAsia" w:ascii="宋体" w:hAnsi="宋体" w:cs="宋体"/>
                <w:sz w:val="21"/>
                <w:szCs w:val="21"/>
                <w:lang w:val="en-US" w:eastAsia="zh-CN"/>
              </w:rPr>
              <w:t>。</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计算服务器虚拟化软件</w:t>
            </w:r>
          </w:p>
        </w:tc>
        <w:tc>
          <w:tcPr>
            <w:tcW w:w="6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虚拟化软件非OEM或贴牌产品，采用分布式管理架构，去中心化，管理平台不依赖于某一个虚拟机或物理机部署，采用分布式架构保障平台更可靠，虚拟化软件应基于KVM开发，可维护性好，部署时无需绑定安装OpenStack相关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2、在超融合管理平台界面上提供虚拟机删除、开关机、挂起与恢复、重启、关闭、关闭电源、克隆、迁移、备份、模板导出、快照、标签管理等功能，并支持批量操作；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可以支持扩展同一品牌的存储虚拟化、网络功能虚拟化、虚拟应用防火墙、虚拟应用交付、日志审计软件、数据库审计软件、运维安全管理软件等功能组件，并支持统一管理，以保障平台的扩展性和兼容性；（</w:t>
            </w:r>
            <w:r>
              <w:rPr>
                <w:rFonts w:hint="eastAsia" w:ascii="宋体" w:hAnsi="宋体" w:cs="宋体"/>
                <w:color w:val="auto"/>
                <w:sz w:val="21"/>
                <w:szCs w:val="21"/>
                <w:highlight w:val="none"/>
                <w:lang w:val="en-US" w:eastAsia="zh-CN"/>
              </w:rPr>
              <w:t>需提供包括但不限于检测/检验报告或产品功能截图或生产厂家证明并加盖供应商公章</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4、支持双向迁移操作，可将VMware虚拟机迁移到超融合平台上，也可将超融合平台上的虚拟机迁移到VMware vCenter的集群中，迁移结束后的虚拟机可进行手动或自动重启操作；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5、★支持UPS QoS（UPS联动），为尽可能保障数据中心断电场景下的业务，可在市电断电时通过UPS临时供应电量，当UPS电量过低时，按照虚拟机优先级先将不重要的虚拟机进行软关机；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6、★为避免主机假死导致系列问题发生，支持识别假死主机并标签化为亚健康主机，通过邮件或短信告警提醒用户进行处理，并限制重要业务在亚健康主机上运行，规避风险；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7、支持漏洞及版本信息巡检，推送补丁及升级信息，并支持补丁管理、更新、回滚；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8、虚拟机支持部署中标麒麟、银河麒麟、麒麟信安、深度Linux、统信UOS、openEuler、Anolis、TencentOS等操作系统；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9、支持虚拟机的HA功能，当物理服务器发生故障时，该物理服务器上的所有虚拟机，可以在集群之内的其它物理服务器上重新启动，以保障业务连续性；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10、支持无代理跨物理主机的虚拟机USB映射，需要使用USB KEY时，无需在虚拟机上安装客户端插件，且虚拟机迁移到其他物理主机后，仍能正常使用迁移前所在物理主机上的USB资源；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为了更好地保护用户数据，虚拟化软件自带无代理备份功能，无需安装备份软件，支持设置定期全量备份、增量备份、差异备份，支持用户灵活配置备份策略，备份文件保留时间最高可以达到15年，支持将虚拟机的备份文件定期归档到第二存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12、支持设置告警类型（紧急和普通）、告警内容（集群、主机、虚拟机、CPU、内存、磁盘），针对告警信息平台可自动给出告警处理建议，同时支持将告警信息以短信和邮件方式发送给管理员；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13、★提供基于PowerShell的CLI命令行功能，通过命令行可以进行管理计算虚拟化、存储虚拟化、网络虚拟化模块，通过PowerShell脚本可简化用户运维操作；</w:t>
            </w:r>
            <w:r>
              <w:rPr>
                <w:rFonts w:hint="eastAsia" w:ascii="宋体" w:hAnsi="宋体" w:eastAsia="宋体" w:cs="宋体"/>
                <w:strike w:val="0"/>
                <w:dstrike w:val="0"/>
                <w:color w:val="auto"/>
                <w:sz w:val="21"/>
                <w:szCs w:val="21"/>
                <w:highlight w:val="none"/>
                <w:lang w:val="en-US" w:eastAsia="zh-CN"/>
              </w:rPr>
              <w:t>（</w:t>
            </w:r>
            <w:r>
              <w:rPr>
                <w:rFonts w:hint="eastAsia"/>
                <w:lang w:val="en-US" w:eastAsia="zh-CN"/>
              </w:rPr>
              <w:t>需提供包括但不限于</w:t>
            </w:r>
            <w:r>
              <w:rPr>
                <w:rFonts w:hint="default" w:ascii="宋体" w:hAnsi="宋体" w:cs="宋体"/>
                <w:sz w:val="21"/>
                <w:szCs w:val="24"/>
                <w:highlight w:val="none"/>
              </w:rPr>
              <w:t>检测/检验报告或产品功能截图或生产厂家证明</w:t>
            </w:r>
            <w:r>
              <w:rPr>
                <w:rFonts w:hint="eastAsia" w:ascii="宋体" w:hAnsi="宋体" w:cs="宋体"/>
                <w:sz w:val="21"/>
                <w:szCs w:val="24"/>
                <w:highlight w:val="none"/>
                <w:lang w:val="en-US" w:eastAsia="zh-CN"/>
              </w:rPr>
              <w:t>并加盖供应商公章</w:t>
            </w:r>
            <w:r>
              <w:rPr>
                <w:rFonts w:hint="eastAsia" w:ascii="宋体" w:hAnsi="宋体" w:eastAsia="宋体" w:cs="宋体"/>
                <w:strike w:val="0"/>
                <w:dstrike w:val="0"/>
                <w:color w:val="auto"/>
                <w:sz w:val="21"/>
                <w:szCs w:val="21"/>
                <w:highlight w:val="none"/>
                <w:lang w:val="en-US" w:eastAsia="zh-CN"/>
              </w:rPr>
              <w:t>）</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网络虚拟化软件</w:t>
            </w:r>
          </w:p>
        </w:tc>
        <w:tc>
          <w:tcPr>
            <w:tcW w:w="6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1、★在管理平台上可以通过拖拽虚拟设备图标和连线就能完成网络拓扑的构建，快速地实现整个业务逻辑，支持对整个平台虚拟设备实现统一的管理，提升运维管理的工作效率；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支持管理网、业务网、数据通信网（VXLAN）和存储网复用相同物理网口。推荐两个或四个网口聚合，最多支持8个网口聚合。网口复用后，支持对不同网络平面进行流量控制和VLAN隔离，为网络中的每个虚拟机提供内置的网络故障切换和负载均衡能力，实现更高的硬件可用性和容错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3支持创建分布式虚拟防火墙，可基于虚拟机、虚拟机组、虚拟机标签、IP、IP范围、IP组构建安全防火墙；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分布式防火墙中可以进行创建策略操作，可以对已创建策略进行设置，包括源、目的和状态等信息，可以查看已创建的策略列表项信息，可以点击分布式防火墙中的实时拦截日志跳转到拦截日志和直通页面，可以进行实时拦截日志操作，可以查看实时拦截日志列表信息，包括时间、源、IP地址、协议（ICMP）、数据包大小和匹配策略名称，可以通过开启数据直通临时排查数据流量问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5、虚拟路由器配置不限制个数，虚拟路由器支持HA功能，当虚拟路由器运行的主机出现故障时，可以实现故障自动恢复，保障业务的高可靠性；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6、可以支持手动指定虚拟路由器运行在固定的物理主机上，可以自动将虚拟路由器规划到高性能和高吞吐的物理主机上；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7、★支持跳转连通性探测页面，可以设置探测对象信息，包括网口、对象类型、IP地址，可以点击开始探测按钮查看探测页面信息，可以在网络连通性探测页面查看网络探测是否成功；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8、★超融合需提供网络可视化组件，可在图形化界面上观察到所有虚拟机的流量走向与访问关系，包括源IP、目的IP、访问次数、服务类型等；</w:t>
            </w:r>
            <w:r>
              <w:rPr>
                <w:rFonts w:hint="eastAsia" w:ascii="宋体" w:hAnsi="宋体" w:eastAsia="宋体" w:cs="宋体"/>
                <w:strike w:val="0"/>
                <w:dstrike w:val="0"/>
                <w:color w:val="auto"/>
                <w:sz w:val="21"/>
                <w:szCs w:val="21"/>
                <w:highlight w:val="none"/>
                <w:lang w:val="en-US" w:eastAsia="zh-CN"/>
              </w:rPr>
              <w:t>（</w:t>
            </w:r>
            <w:r>
              <w:rPr>
                <w:rFonts w:hint="eastAsia"/>
                <w:lang w:val="en-US" w:eastAsia="zh-CN"/>
              </w:rPr>
              <w:t>需提供包括但不限于</w:t>
            </w:r>
            <w:r>
              <w:rPr>
                <w:rFonts w:hint="default" w:ascii="宋体" w:hAnsi="宋体" w:cs="宋体"/>
                <w:sz w:val="21"/>
                <w:szCs w:val="24"/>
                <w:highlight w:val="none"/>
              </w:rPr>
              <w:t>检测/检验报告或产品功能截图或生产厂家证明</w:t>
            </w:r>
            <w:r>
              <w:rPr>
                <w:rFonts w:hint="eastAsia" w:ascii="宋体" w:hAnsi="宋体" w:cs="宋体"/>
                <w:sz w:val="21"/>
                <w:szCs w:val="24"/>
                <w:highlight w:val="none"/>
                <w:lang w:val="en-US" w:eastAsia="zh-CN"/>
              </w:rPr>
              <w:t>并加盖供应商公章</w:t>
            </w:r>
            <w:r>
              <w:rPr>
                <w:rFonts w:hint="eastAsia" w:ascii="宋体" w:hAnsi="宋体" w:eastAsia="宋体" w:cs="宋体"/>
                <w:strike w:val="0"/>
                <w:dstrike w:val="0"/>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9、超融合能够提供端口镜像功能，支持将超融合内部网络流量镜像到内部虚拟机、nfv、外部安全设备进行流量审计，可联动安全态势感知平台进行流量检测；</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存储虚拟化软件</w:t>
            </w:r>
          </w:p>
        </w:tc>
        <w:tc>
          <w:tcPr>
            <w:tcW w:w="6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1、支持标准的iSCSI协议，允许外部物理主机或应用通过标准的iSCSI接口访问虚拟存储，实现Server SAN、IP-SAN、FC-SAN、NAS 的融合。通过iSCSI透传/非透传指令使虚拟机支持存储裸设备映射（RDM），可以将存储设备上的LUN 直接映射给虚拟机使用；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支持以磁盘为单位创建分卷，可将集群内固态硬盘组成一个高性能全闪存存储池，满足高性能应用需求，将固态硬盘和机械硬盘组成一个大容量混合存储池，满足普通应用需求，以更低成本灵活满足不同业务对存储性能容量的不同需求，并降低故障影响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3、★支持启动聚合副本后，将会有1个副本聚合在一台主机，虚拟机会优先在聚合主机运行，实现数据的本地读取，降低网络开销；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4、支持条带化功能，实现分布式raid0的性能提升效果，并且支持以虚拟磁盘为单位设置不同的条带数；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5、支持多种硬盘状态检测监控及告警，包括“健康”状态、“亚健康”状态、“故障”状态，不同状态的硬盘在UI上呈现不同的特征或告警，方便用户能够区分处理；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6、★支持数据重建智能保护业务性能，可以对数据重建速度进行智能限速，避免数据重建过程中IO性能占用导致对业务的性能造成影响；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7、支持对虚拟机业务按照小时/天/周自定义设置定时快照策略，以便业务发生故障时可以快速回滚覆盖原虚拟机或者通过对快照进行克隆的方式生成全新虚拟机，进而恢复至业务健康状态；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8、支持坏道扫描及修复功能，发现坏道后，主动修复坏道区域的数据，及时恢复数据副本的冗余性；当硬盘的坏道数过多，系统能自动将该盘的数据迁移至其他健康的硬盘上，保障数据的安全；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9、支持硬件健康状态监测，包括CPU、内存、SSD、HDD、网卡、外置存储、RAID卡等健康状况，支持邮件和短信告警；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10、★支持选择多种克隆方式，包括快速全量克隆、全量克隆和链接克隆，可查看通过链接克隆的虚拟机是否运行正常，可以设置克隆完成后自动启动克隆虚拟机操作；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支持数据重建优先级调整，可以查看数据重建任务列表信息，包括对象名称、对象类型、数据量和优先级等信息，可以点击操作中的优先级对数据重建进行优先重建，保证重要的业务优先恢复数据的安全性；</w:t>
            </w:r>
            <w:r>
              <w:rPr>
                <w:rFonts w:hint="eastAsia" w:ascii="宋体" w:hAnsi="宋体" w:eastAsia="宋体" w:cs="宋体"/>
                <w:strike w:val="0"/>
                <w:dstrike w:val="0"/>
                <w:color w:val="auto"/>
                <w:sz w:val="21"/>
                <w:szCs w:val="21"/>
                <w:highlight w:val="none"/>
                <w:lang w:val="en-US" w:eastAsia="zh-CN"/>
              </w:rPr>
              <w:t>（</w:t>
            </w:r>
            <w:r>
              <w:rPr>
                <w:rFonts w:hint="eastAsia"/>
                <w:lang w:val="en-US" w:eastAsia="zh-CN"/>
              </w:rPr>
              <w:t>需提供包括但不限于</w:t>
            </w:r>
            <w:r>
              <w:rPr>
                <w:rFonts w:hint="default" w:ascii="宋体" w:hAnsi="宋体" w:cs="宋体"/>
                <w:sz w:val="21"/>
                <w:szCs w:val="24"/>
                <w:highlight w:val="none"/>
              </w:rPr>
              <w:t>检测/检验报告或产品功能截图或生产厂家证明</w:t>
            </w:r>
            <w:r>
              <w:rPr>
                <w:rFonts w:hint="eastAsia" w:ascii="宋体" w:hAnsi="宋体" w:cs="宋体"/>
                <w:sz w:val="21"/>
                <w:szCs w:val="24"/>
                <w:highlight w:val="none"/>
                <w:lang w:val="en-US" w:eastAsia="zh-CN"/>
              </w:rPr>
              <w:t>并加盖供应商公章</w:t>
            </w:r>
            <w:r>
              <w:rPr>
                <w:rFonts w:hint="eastAsia" w:ascii="宋体" w:hAnsi="宋体" w:eastAsia="宋体" w:cs="宋体"/>
                <w:strike w:val="0"/>
                <w:dstrike w:val="0"/>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12、为保证集群业务或者oracle rac数据库业务的快照一致性，以便故障时业务可通过快照恢复，支持对虚拟机配置一致性组，对整个一致性组进行快照；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13、支持对虚拟机或虚拟磁盘设置不同的分层QoS能力，区分出高性能虚拟机、普通性能虚拟机和低性能虚拟机；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14、为了更好地进行运维，支持智能坏道预测，准确识别出接下来会出现坏道的硬盘，实现故障前预测并处理，规避故障风险；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15、★支持硬盘寿命预测功能，可预估硬盘剩余可使用时间，进行实时预警，提醒用户在寿命到期之前可实现在对业务无影响的情况下安全更换硬盘；</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配套交换机</w:t>
            </w:r>
          </w:p>
        </w:tc>
        <w:tc>
          <w:tcPr>
            <w:tcW w:w="6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1、万兆SFP+光口≥15个，10/100/1000Base-T自适应电口≥8个；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2、交换容量≥1.28Tbps/12.8Tbps，包转发率≥420Mpps；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3、支持全端口线速转发；支持NAC统一管理、统一查看状态、VLAN、堆叠等配置管理；支持终端识别、终端准入、安全防护及安全画像可视；</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万兆光模块</w:t>
            </w:r>
          </w:p>
        </w:tc>
        <w:tc>
          <w:tcPr>
            <w:tcW w:w="6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SFP+万兆多模光模块，速率：10Gb/s，波长：850nm，双LC接口</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019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829" w:type="dxa"/>
            <w:gridSpan w:val="2"/>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交付使用时间及交付地点</w:t>
            </w:r>
          </w:p>
        </w:tc>
        <w:tc>
          <w:tcPr>
            <w:tcW w:w="83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1、交付使用时间：自签订合同之日起30个工作日内完成所有相关系统、设备、软件等内容的</w:t>
            </w:r>
            <w:r>
              <w:rPr>
                <w:rFonts w:hint="eastAsia" w:ascii="宋体" w:hAnsi="宋体" w:cs="宋体"/>
                <w:i w:val="0"/>
                <w:iCs w:val="0"/>
                <w:color w:val="auto"/>
                <w:kern w:val="0"/>
                <w:sz w:val="21"/>
                <w:szCs w:val="21"/>
                <w:highlight w:val="none"/>
                <w:u w:val="none"/>
                <w:lang w:val="en-US" w:eastAsia="zh-CN" w:bidi="ar"/>
              </w:rPr>
              <w:t>货物交付及</w:t>
            </w:r>
            <w:r>
              <w:rPr>
                <w:rFonts w:hint="eastAsia" w:ascii="宋体" w:hAnsi="宋体" w:eastAsia="宋体" w:cs="宋体"/>
                <w:i w:val="0"/>
                <w:iCs w:val="0"/>
                <w:color w:val="auto"/>
                <w:kern w:val="0"/>
                <w:sz w:val="21"/>
                <w:szCs w:val="21"/>
                <w:highlight w:val="none"/>
                <w:u w:val="none"/>
                <w:lang w:val="en-US" w:eastAsia="zh-CN" w:bidi="ar"/>
              </w:rPr>
              <w:t>集成调试服务工作。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829" w:type="dxa"/>
            <w:gridSpan w:val="2"/>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p>
        </w:tc>
        <w:tc>
          <w:tcPr>
            <w:tcW w:w="83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2、交货地点：钦州市中医医院。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jc w:val="center"/>
        </w:trPr>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合同签订时间</w:t>
            </w:r>
          </w:p>
        </w:tc>
        <w:tc>
          <w:tcPr>
            <w:tcW w:w="83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自成交通知书发出之日起</w:t>
            </w:r>
            <w:r>
              <w:rPr>
                <w:rStyle w:val="44"/>
                <w:rFonts w:hint="eastAsia" w:ascii="宋体" w:hAnsi="宋体" w:cs="宋体"/>
                <w:color w:val="auto"/>
                <w:sz w:val="21"/>
                <w:szCs w:val="21"/>
                <w:highlight w:val="none"/>
                <w:lang w:val="en-US" w:eastAsia="zh-CN" w:bidi="ar"/>
              </w:rPr>
              <w:t>1</w:t>
            </w:r>
            <w:r>
              <w:rPr>
                <w:rStyle w:val="44"/>
                <w:rFonts w:hint="eastAsia" w:ascii="宋体" w:hAnsi="宋体" w:eastAsia="宋体" w:cs="宋体"/>
                <w:color w:val="auto"/>
                <w:sz w:val="21"/>
                <w:szCs w:val="21"/>
                <w:highlight w:val="none"/>
                <w:lang w:val="en-US" w:eastAsia="zh-CN" w:bidi="ar"/>
              </w:rPr>
              <w:t>5</w:t>
            </w:r>
            <w:r>
              <w:rPr>
                <w:rStyle w:val="139"/>
                <w:rFonts w:hint="eastAsia" w:ascii="宋体" w:hAnsi="宋体" w:eastAsia="宋体" w:cs="宋体"/>
                <w:color w:val="auto"/>
                <w:sz w:val="21"/>
                <w:szCs w:val="21"/>
                <w:highlight w:val="none"/>
                <w:lang w:val="en-US" w:eastAsia="zh-CN" w:bidi="ar"/>
              </w:rPr>
              <w:t>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jc w:val="center"/>
        </w:trPr>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付款方式</w:t>
            </w:r>
          </w:p>
        </w:tc>
        <w:tc>
          <w:tcPr>
            <w:tcW w:w="83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双方签订合同后，验收合格后正常使用</w:t>
            </w:r>
            <w:r>
              <w:rPr>
                <w:rFonts w:hint="eastAsia" w:ascii="宋体" w:hAnsi="宋体" w:cs="宋体"/>
                <w:color w:val="auto"/>
                <w:sz w:val="21"/>
                <w:szCs w:val="21"/>
                <w:highlight w:val="none"/>
                <w:lang w:val="en-US" w:eastAsia="zh-CN"/>
              </w:rPr>
              <w:t>60日</w:t>
            </w:r>
            <w:r>
              <w:rPr>
                <w:rFonts w:hint="eastAsia" w:ascii="宋体" w:hAnsi="宋体" w:eastAsia="宋体" w:cs="宋体"/>
                <w:color w:val="auto"/>
                <w:sz w:val="21"/>
                <w:szCs w:val="21"/>
                <w:highlight w:val="none"/>
                <w:lang w:val="en-US" w:eastAsia="zh-CN"/>
              </w:rPr>
              <w:t>内</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向</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支付合同价款</w:t>
            </w:r>
            <w:r>
              <w:rPr>
                <w:rFonts w:hint="eastAsia" w:ascii="宋体" w:hAnsi="宋体" w:cs="宋体"/>
                <w:color w:val="auto"/>
                <w:sz w:val="21"/>
                <w:szCs w:val="21"/>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4702" w:hRule="atLeast"/>
          <w:jc w:val="center"/>
        </w:trPr>
        <w:tc>
          <w:tcPr>
            <w:tcW w:w="1829" w:type="dxa"/>
            <w:gridSpan w:val="2"/>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sz w:val="21"/>
                <w:szCs w:val="21"/>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响</w:t>
            </w:r>
            <w:r>
              <w:rPr>
                <w:rStyle w:val="139"/>
                <w:rFonts w:hint="eastAsia" w:ascii="宋体" w:hAnsi="宋体" w:eastAsia="宋体" w:cs="宋体"/>
                <w:color w:val="auto"/>
                <w:sz w:val="21"/>
                <w:szCs w:val="21"/>
                <w:highlight w:val="none"/>
                <w:lang w:val="en-US" w:eastAsia="zh-CN" w:bidi="ar"/>
              </w:rPr>
              <w:t>应要求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p>
        </w:tc>
        <w:tc>
          <w:tcPr>
            <w:tcW w:w="83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自合同签订之日起负责本次项目相关工作内容，部署完成后，交付验收合格之日</w:t>
            </w:r>
            <w:r>
              <w:rPr>
                <w:rFonts w:hint="eastAsia" w:ascii="宋体" w:hAnsi="宋体" w:cs="宋体"/>
                <w:i w:val="0"/>
                <w:iCs w:val="0"/>
                <w:color w:val="auto"/>
                <w:kern w:val="0"/>
                <w:sz w:val="21"/>
                <w:szCs w:val="21"/>
                <w:highlight w:val="none"/>
                <w:u w:val="none"/>
                <w:lang w:val="en-US" w:eastAsia="zh-CN" w:bidi="ar"/>
              </w:rPr>
              <w:t>起</w:t>
            </w:r>
            <w:r>
              <w:rPr>
                <w:rFonts w:hint="eastAsia" w:ascii="宋体" w:hAnsi="宋体" w:eastAsia="宋体" w:cs="宋体"/>
                <w:i w:val="0"/>
                <w:iCs w:val="0"/>
                <w:color w:val="auto"/>
                <w:kern w:val="0"/>
                <w:sz w:val="21"/>
                <w:szCs w:val="21"/>
                <w:highlight w:val="none"/>
                <w:u w:val="none"/>
                <w:lang w:val="en-US" w:eastAsia="zh-CN" w:bidi="ar"/>
              </w:rPr>
              <w:t>售后服务按国家有关规定实行产品“三包”，提供产品</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年的质量保证服务，以保障系统正常运行，不涉及设备及软件功能更新及变更，采购人与供应商另行商讨确定。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提供系统每季度定期回访服务及巡检服务。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3.质量保证期内成交供应商负责上门提供维护服务。</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成交供应商负责培训：负责进行现场培训，内容包括平台及软件操作、维护，使技术操作人员能够熟练掌握日常使用。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集成调试：成交供应商负责本项目的实施、集成、调试。</w:t>
            </w:r>
          </w:p>
          <w:p>
            <w:pPr>
              <w:keepNext w:val="0"/>
              <w:keepLines w:val="0"/>
              <w:pageBreakBefore w:val="0"/>
              <w:widowControl/>
              <w:numPr>
                <w:ilvl w:val="0"/>
                <w:numId w:val="0"/>
              </w:numPr>
              <w:suppressLineNumbers w:val="0"/>
              <w:kinsoku/>
              <w:wordWrap/>
              <w:overflowPunct/>
              <w:topLinePunct w:val="0"/>
              <w:bidi w:val="0"/>
              <w:snapToGrid/>
              <w:spacing w:line="360" w:lineRule="auto"/>
              <w:ind w:left="0" w:leftChars="0" w:firstLine="0" w:firstLineChars="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提供7×24小时热线电话服务，接到故障通知后30分钟内响应，8小时内派工程师到达现场，一般故障24小时内修复，重大故障在48小时内修复。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jc w:val="center"/>
        </w:trPr>
        <w:tc>
          <w:tcPr>
            <w:tcW w:w="1829" w:type="dxa"/>
            <w:gridSpan w:val="2"/>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验收标准</w:t>
            </w:r>
          </w:p>
        </w:tc>
        <w:tc>
          <w:tcPr>
            <w:tcW w:w="83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1、成交供应商提供其响应文件中承诺</w:t>
            </w:r>
            <w:r>
              <w:rPr>
                <w:rFonts w:hint="eastAsia" w:ascii="宋体" w:hAnsi="宋体" w:cs="宋体"/>
                <w:i w:val="0"/>
                <w:iCs w:val="0"/>
                <w:color w:val="auto"/>
                <w:kern w:val="0"/>
                <w:sz w:val="21"/>
                <w:szCs w:val="21"/>
                <w:highlight w:val="none"/>
                <w:u w:val="none"/>
                <w:lang w:val="en-US" w:eastAsia="zh-CN" w:bidi="ar"/>
              </w:rPr>
              <w:t>提供采购货物</w:t>
            </w:r>
            <w:r>
              <w:rPr>
                <w:rFonts w:hint="eastAsia" w:ascii="宋体" w:hAnsi="宋体" w:eastAsia="宋体" w:cs="宋体"/>
                <w:i w:val="0"/>
                <w:iCs w:val="0"/>
                <w:color w:val="auto"/>
                <w:kern w:val="0"/>
                <w:sz w:val="21"/>
                <w:szCs w:val="21"/>
                <w:highlight w:val="none"/>
                <w:u w:val="none"/>
                <w:lang w:val="en-US" w:eastAsia="zh-CN" w:bidi="ar"/>
              </w:rPr>
              <w:t>的所属装置等有关技术资料作为验收的参考依据。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829" w:type="dxa"/>
            <w:gridSpan w:val="2"/>
            <w:vMerge w:val="continue"/>
            <w:tcBorders>
              <w:left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p>
        </w:tc>
        <w:tc>
          <w:tcPr>
            <w:tcW w:w="83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成交供应商提供的产品必须是具备厂家合法渠道的全新正品，若采购人对所供产品有疑问的，要求成交供应商必须提供制造商针对产品的参数真实性证明、供货证明函及质量保修函，以上材料不全者，达不到要求或提供虚假资料的不予验收，视为产品验收不合格，采购人可要求成交供应商做退/换货处理，直至验收通过或做违约处理；采购人保留进一步追究责任的权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829" w:type="dxa"/>
            <w:gridSpan w:val="2"/>
            <w:vMerge w:val="continue"/>
            <w:tcBorders>
              <w:left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p>
        </w:tc>
        <w:tc>
          <w:tcPr>
            <w:tcW w:w="83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为保证《采购需求》中带有的技术指标和性能达到采购文件要求及与合同、响应文件相符，如采购人对成交供应商所竞标产品及服务的技术指标有质疑，验收时须进行现场演示，以确认是否达到合同、采购文件、响应文件中所规定的技术功能要求；成交供应商未提供的则视为虚假应标，所有损失由成交供应商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829" w:type="dxa"/>
            <w:gridSpan w:val="2"/>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p>
        </w:tc>
        <w:tc>
          <w:tcPr>
            <w:tcW w:w="8368" w:type="dxa"/>
            <w:gridSpan w:val="4"/>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4、符合现行国家相关标准、行业标准、地方标</w:t>
            </w:r>
            <w:r>
              <w:rPr>
                <w:rStyle w:val="139"/>
                <w:rFonts w:hint="eastAsia" w:ascii="宋体" w:hAnsi="宋体" w:eastAsia="宋体" w:cs="宋体"/>
                <w:color w:val="auto"/>
                <w:sz w:val="21"/>
                <w:szCs w:val="21"/>
                <w:highlight w:val="none"/>
                <w:lang w:val="en-US" w:eastAsia="zh-CN" w:bidi="ar"/>
              </w:rPr>
              <w:t>准或者其他标准、规范。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82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836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2"/>
              </w:numPr>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采购人有权对服务完成后进行核验，如无法满足采购文件的总体要求和技术参数的，采购人有权取消合同，并上报政府采购监督管理部门，同时追究相应法律责任。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829"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p>
        </w:tc>
        <w:tc>
          <w:tcPr>
            <w:tcW w:w="836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2、报价要求：报价包括货物或服务采购、专用工具、软件提供、运输、保管、安装、调试、验收、培训等各种费用和售后服务、税金及其它所有成本费用的总和直至项目验收通过产生的所有费用。</w:t>
            </w:r>
          </w:p>
        </w:tc>
      </w:tr>
    </w:tbl>
    <w:p>
      <w:pPr>
        <w:widowControl/>
        <w:jc w:val="left"/>
        <w:rPr>
          <w:rFonts w:ascii="宋体" w:hAnsi="宋体"/>
          <w:szCs w:val="21"/>
        </w:rPr>
      </w:pPr>
      <w:r>
        <w:rPr>
          <w:rFonts w:ascii="宋体" w:hAnsi="宋体"/>
          <w:szCs w:val="21"/>
        </w:rPr>
        <w:br w:type="page"/>
      </w:r>
    </w:p>
    <w:p>
      <w:pPr>
        <w:spacing w:line="430" w:lineRule="exact"/>
        <w:jc w:val="left"/>
        <w:rPr>
          <w:rFonts w:ascii="宋体" w:hAnsi="宋体"/>
          <w:szCs w:val="21"/>
        </w:rPr>
      </w:pPr>
    </w:p>
    <w:p>
      <w:pPr>
        <w:widowControl/>
        <w:jc w:val="left"/>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
      <w:pPr>
        <w:pStyle w:val="3"/>
        <w:spacing w:line="400" w:lineRule="exact"/>
        <w:rPr>
          <w:rFonts w:ascii="方正小标宋简体" w:eastAsia="方正小标宋简体"/>
        </w:rPr>
      </w:pPr>
      <w:bookmarkStart w:id="52" w:name="_Toc92355025"/>
      <w:r>
        <w:rPr>
          <w:rFonts w:hint="eastAsia" w:ascii="方正小标宋简体" w:eastAsia="方正小标宋简体"/>
        </w:rPr>
        <w:t>第三章  供应商须知</w:t>
      </w:r>
      <w:bookmarkEnd w:id="49"/>
      <w:bookmarkEnd w:id="50"/>
      <w:bookmarkEnd w:id="52"/>
    </w:p>
    <w:p>
      <w:pPr>
        <w:jc w:val="center"/>
        <w:rPr>
          <w:rFonts w:ascii="仿宋_GB2312" w:hAnsi="宋体" w:eastAsia="仿宋_GB2312"/>
          <w:b/>
          <w:sz w:val="32"/>
          <w:szCs w:val="32"/>
        </w:rPr>
      </w:pPr>
      <w:bookmarkStart w:id="53" w:name="_Toc358477281"/>
      <w:bookmarkStart w:id="54" w:name="_Toc357157408"/>
      <w:bookmarkStart w:id="55" w:name="_Toc350325671"/>
      <w:bookmarkStart w:id="56" w:name="_Toc354479499"/>
      <w:r>
        <w:rPr>
          <w:rFonts w:ascii="仿宋_GB2312" w:hAnsi="宋体" w:eastAsia="仿宋_GB2312"/>
          <w:b/>
          <w:sz w:val="32"/>
          <w:szCs w:val="32"/>
        </w:rPr>
        <w:br w:type="page"/>
      </w:r>
    </w:p>
    <w:p/>
    <w:p>
      <w:pPr>
        <w:jc w:val="center"/>
        <w:rPr>
          <w:rFonts w:ascii="黑体" w:hAnsi="黑体" w:eastAsia="黑体"/>
          <w:b/>
          <w:sz w:val="32"/>
          <w:szCs w:val="32"/>
        </w:rPr>
      </w:pPr>
      <w:r>
        <w:rPr>
          <w:rFonts w:hint="eastAsia" w:ascii="黑体" w:hAnsi="黑体" w:eastAsia="黑体"/>
          <w:b/>
          <w:sz w:val="32"/>
          <w:szCs w:val="32"/>
        </w:rPr>
        <w:t>一、供应商须知前附表</w:t>
      </w:r>
    </w:p>
    <w:tbl>
      <w:tblPr>
        <w:tblStyle w:val="35"/>
        <w:tblW w:w="0" w:type="auto"/>
        <w:jc w:val="center"/>
        <w:tblLayout w:type="fixed"/>
        <w:tblCellMar>
          <w:top w:w="0" w:type="dxa"/>
          <w:left w:w="108" w:type="dxa"/>
          <w:bottom w:w="0" w:type="dxa"/>
          <w:right w:w="108" w:type="dxa"/>
        </w:tblCellMar>
      </w:tblPr>
      <w:tblGrid>
        <w:gridCol w:w="704"/>
        <w:gridCol w:w="8647"/>
      </w:tblGrid>
      <w:tr>
        <w:tblPrEx>
          <w:tblCellMar>
            <w:top w:w="0" w:type="dxa"/>
            <w:left w:w="108" w:type="dxa"/>
            <w:bottom w:w="0" w:type="dxa"/>
            <w:right w:w="108" w:type="dxa"/>
          </w:tblCellMar>
        </w:tblPrEx>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宋体" w:hAnsi="宋体" w:cs="宋体"/>
                <w:kern w:val="0"/>
                <w:szCs w:val="21"/>
              </w:rPr>
            </w:pPr>
            <w:r>
              <w:rPr>
                <w:rFonts w:hint="eastAsia" w:ascii="宋体" w:hAnsi="宋体" w:cs="宋体"/>
                <w:kern w:val="0"/>
                <w:szCs w:val="21"/>
              </w:rPr>
              <w:t>序号</w:t>
            </w:r>
          </w:p>
        </w:tc>
        <w:tc>
          <w:tcPr>
            <w:tcW w:w="8647" w:type="dxa"/>
            <w:tcBorders>
              <w:top w:val="single" w:color="000000" w:sz="4" w:space="0"/>
              <w:left w:val="nil"/>
              <w:bottom w:val="single" w:color="000000" w:sz="4" w:space="0"/>
              <w:right w:val="single" w:color="000000" w:sz="4" w:space="0"/>
            </w:tcBorders>
            <w:vAlign w:val="center"/>
          </w:tcPr>
          <w:p>
            <w:pPr>
              <w:widowControl/>
              <w:spacing w:line="320" w:lineRule="exact"/>
              <w:jc w:val="center"/>
              <w:rPr>
                <w:rFonts w:ascii="宋体" w:hAnsi="宋体" w:cs="宋体"/>
                <w:kern w:val="0"/>
                <w:szCs w:val="21"/>
              </w:rPr>
            </w:pPr>
            <w:r>
              <w:rPr>
                <w:rFonts w:hint="eastAsia" w:ascii="宋体" w:hAnsi="宋体" w:cs="宋体"/>
                <w:kern w:val="0"/>
                <w:szCs w:val="21"/>
              </w:rPr>
              <w:t>内    容</w:t>
            </w:r>
          </w:p>
        </w:tc>
      </w:tr>
      <w:tr>
        <w:tblPrEx>
          <w:tblCellMar>
            <w:top w:w="0" w:type="dxa"/>
            <w:left w:w="108" w:type="dxa"/>
            <w:bottom w:w="0" w:type="dxa"/>
            <w:right w:w="108" w:type="dxa"/>
          </w:tblCellMar>
        </w:tblPrEx>
        <w:trPr>
          <w:trHeight w:val="11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kern w:val="0"/>
                <w:szCs w:val="21"/>
              </w:rPr>
            </w:pPr>
            <w:r>
              <w:rPr>
                <w:rFonts w:hint="eastAsia" w:ascii="宋体" w:hAnsi="宋体" w:cs="宋体"/>
                <w:kern w:val="0"/>
                <w:szCs w:val="21"/>
              </w:rPr>
              <w:t>1</w:t>
            </w:r>
          </w:p>
        </w:tc>
        <w:tc>
          <w:tcPr>
            <w:tcW w:w="8647" w:type="dxa"/>
            <w:tcBorders>
              <w:top w:val="single" w:color="000000" w:sz="4" w:space="0"/>
              <w:left w:val="nil"/>
              <w:bottom w:val="single" w:color="000000" w:sz="4" w:space="0"/>
              <w:right w:val="single" w:color="000000" w:sz="4" w:space="0"/>
            </w:tcBorders>
            <w:vAlign w:val="center"/>
          </w:tcPr>
          <w:p>
            <w:pPr>
              <w:spacing w:line="440" w:lineRule="exact"/>
              <w:ind w:right="-334" w:rightChars="-159"/>
              <w:rPr>
                <w:rStyle w:val="42"/>
                <w:rFonts w:hint="eastAsia" w:eastAsia="宋体"/>
                <w:color w:val="auto"/>
                <w:szCs w:val="21"/>
                <w:u w:val="none"/>
                <w:lang w:eastAsia="zh-CN"/>
              </w:rPr>
            </w:pPr>
            <w:r>
              <w:rPr>
                <w:rFonts w:ascii="宋体" w:hAnsi="宋体" w:cs="宋体"/>
                <w:kern w:val="0"/>
                <w:szCs w:val="21"/>
              </w:rPr>
              <w:fldChar w:fldCharType="begin"/>
            </w:r>
            <w:r>
              <w:rPr>
                <w:rFonts w:ascii="宋体" w:hAnsi="宋体" w:cs="宋体"/>
                <w:kern w:val="0"/>
                <w:szCs w:val="21"/>
              </w:rPr>
              <w:instrText xml:space="preserve"> </w:instrText>
            </w:r>
            <w:r>
              <w:rPr>
                <w:rFonts w:hint="eastAsia" w:ascii="宋体" w:hAnsi="宋体" w:cs="宋体"/>
                <w:kern w:val="0"/>
                <w:szCs w:val="21"/>
              </w:rPr>
              <w:instrText xml:space="preserve">HYPERLINK </w:instrText>
            </w:r>
            <w:r>
              <w:rPr>
                <w:rFonts w:ascii="宋体" w:hAnsi="宋体" w:cs="宋体"/>
                <w:kern w:val="0"/>
                <w:szCs w:val="21"/>
              </w:rPr>
              <w:instrText xml:space="preserve"> \l "_一、总_则" </w:instrText>
            </w:r>
            <w:r>
              <w:rPr>
                <w:rFonts w:ascii="宋体" w:hAnsi="宋体" w:cs="宋体"/>
                <w:kern w:val="0"/>
                <w:szCs w:val="21"/>
              </w:rPr>
              <w:fldChar w:fldCharType="separate"/>
            </w:r>
            <w:r>
              <w:rPr>
                <w:rStyle w:val="42"/>
                <w:rFonts w:hint="eastAsia" w:ascii="宋体" w:hAnsi="宋体" w:cs="宋体"/>
                <w:color w:val="auto"/>
                <w:kern w:val="0"/>
                <w:szCs w:val="21"/>
                <w:u w:val="none"/>
              </w:rPr>
              <w:t>项目名称：</w:t>
            </w:r>
            <w:r>
              <w:rPr>
                <w:rFonts w:hint="eastAsia"/>
                <w:lang w:eastAsia="zh-CN"/>
              </w:rPr>
              <w:t>钦州市中医医院前置机超融合项目</w:t>
            </w:r>
          </w:p>
          <w:p>
            <w:pPr>
              <w:widowControl/>
              <w:spacing w:line="440" w:lineRule="exact"/>
              <w:rPr>
                <w:rFonts w:hint="eastAsia" w:ascii="宋体" w:hAnsi="宋体" w:eastAsia="宋体"/>
                <w:szCs w:val="21"/>
                <w:lang w:eastAsia="zh-CN"/>
              </w:rPr>
            </w:pPr>
            <w:r>
              <w:rPr>
                <w:rStyle w:val="42"/>
                <w:rFonts w:hint="eastAsia" w:ascii="宋体" w:hAnsi="宋体"/>
                <w:color w:val="auto"/>
                <w:szCs w:val="21"/>
                <w:u w:val="none"/>
              </w:rPr>
              <w:t>项目编号：</w:t>
            </w:r>
            <w:r>
              <w:rPr>
                <w:rFonts w:ascii="宋体" w:hAnsi="宋体" w:cs="宋体"/>
                <w:kern w:val="0"/>
                <w:szCs w:val="21"/>
              </w:rPr>
              <w:fldChar w:fldCharType="end"/>
            </w:r>
            <w:r>
              <w:rPr>
                <w:rFonts w:hint="eastAsia" w:ascii="宋体" w:hAnsi="宋体" w:cs="宋体"/>
                <w:kern w:val="0"/>
                <w:szCs w:val="21"/>
                <w:lang w:eastAsia="zh-CN"/>
              </w:rPr>
              <w:t>QZZC2025-J1-990416-QZSZ</w:t>
            </w:r>
          </w:p>
        </w:tc>
      </w:tr>
      <w:tr>
        <w:tblPrEx>
          <w:tblCellMar>
            <w:top w:w="0" w:type="dxa"/>
            <w:left w:w="108" w:type="dxa"/>
            <w:bottom w:w="0" w:type="dxa"/>
            <w:right w:w="108" w:type="dxa"/>
          </w:tblCellMar>
        </w:tblPrEx>
        <w:trPr>
          <w:trHeight w:val="232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kern w:val="0"/>
                <w:szCs w:val="21"/>
              </w:rPr>
            </w:pPr>
            <w:r>
              <w:rPr>
                <w:rFonts w:hint="eastAsia" w:ascii="宋体" w:hAnsi="宋体" w:cs="宋体"/>
                <w:kern w:val="0"/>
                <w:szCs w:val="21"/>
              </w:rPr>
              <w:t>2</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Style w:val="42"/>
                <w:rFonts w:ascii="宋体" w:hAnsi="宋体"/>
                <w:color w:val="auto"/>
                <w:u w:val="none"/>
              </w:rPr>
            </w:pPr>
            <w:r>
              <w:rPr>
                <w:rFonts w:ascii="宋体" w:hAnsi="宋体"/>
              </w:rPr>
              <w:fldChar w:fldCharType="begin"/>
            </w:r>
            <w:r>
              <w:rPr>
                <w:rFonts w:ascii="宋体" w:hAnsi="宋体"/>
              </w:rPr>
              <w:instrText xml:space="preserve"> </w:instrText>
            </w:r>
            <w:r>
              <w:rPr>
                <w:rFonts w:hint="eastAsia" w:ascii="宋体" w:hAnsi="宋体"/>
              </w:rPr>
              <w:instrText xml:space="preserve">HYPERLINK </w:instrText>
            </w:r>
            <w:r>
              <w:rPr>
                <w:rFonts w:ascii="宋体" w:hAnsi="宋体"/>
              </w:rPr>
              <w:instrText xml:space="preserve"> \l "_一、总_则" </w:instrText>
            </w:r>
            <w:r>
              <w:rPr>
                <w:rFonts w:ascii="宋体" w:hAnsi="宋体"/>
              </w:rPr>
              <w:fldChar w:fldCharType="separate"/>
            </w:r>
            <w:r>
              <w:rPr>
                <w:rStyle w:val="42"/>
                <w:rFonts w:hint="eastAsia" w:ascii="宋体" w:hAnsi="宋体"/>
                <w:color w:val="auto"/>
                <w:u w:val="none"/>
              </w:rPr>
              <w:t>供应商资格：</w:t>
            </w:r>
          </w:p>
          <w:p>
            <w:pPr>
              <w:spacing w:line="440" w:lineRule="exact"/>
              <w:rPr>
                <w:rFonts w:ascii="宋体" w:hAnsi="宋体"/>
              </w:rPr>
            </w:pPr>
            <w:r>
              <w:rPr>
                <w:rFonts w:ascii="宋体" w:hAnsi="宋体"/>
              </w:rPr>
              <w:fldChar w:fldCharType="end"/>
            </w:r>
            <w:r>
              <w:rPr>
                <w:rFonts w:hint="eastAsia" w:ascii="宋体" w:hAnsi="宋体"/>
              </w:rPr>
              <w:t>1.满足《中华人民共和国政府采购法》第二十二条规定</w:t>
            </w:r>
          </w:p>
          <w:p>
            <w:pPr>
              <w:spacing w:line="440" w:lineRule="exact"/>
              <w:rPr>
                <w:rFonts w:hint="eastAsia" w:ascii="宋体" w:hAnsi="宋体" w:eastAsia="宋体"/>
                <w:lang w:eastAsia="zh-CN"/>
              </w:rPr>
            </w:pPr>
            <w:r>
              <w:rPr>
                <w:rFonts w:hint="eastAsia" w:ascii="宋体" w:hAnsi="宋体"/>
              </w:rPr>
              <w:t>2.落实政府采购政策需满足的资格要求：</w:t>
            </w:r>
            <w:r>
              <w:rPr>
                <w:rFonts w:hint="eastAsia"/>
                <w:lang w:eastAsia="zh-CN"/>
              </w:rPr>
              <w:t>无</w:t>
            </w:r>
          </w:p>
          <w:p>
            <w:pPr>
              <w:spacing w:line="440" w:lineRule="exact"/>
              <w:rPr>
                <w:rFonts w:ascii="宋体" w:hAnsi="宋体"/>
              </w:rPr>
            </w:pPr>
            <w:r>
              <w:rPr>
                <w:rFonts w:hint="eastAsia" w:ascii="宋体" w:hAnsi="宋体"/>
              </w:rPr>
              <w:t>3.本项目的特定资格要求：无</w:t>
            </w:r>
          </w:p>
        </w:tc>
      </w:tr>
      <w:tr>
        <w:tblPrEx>
          <w:tblCellMar>
            <w:top w:w="0" w:type="dxa"/>
            <w:left w:w="108" w:type="dxa"/>
            <w:bottom w:w="0" w:type="dxa"/>
            <w:right w:w="108" w:type="dxa"/>
          </w:tblCellMar>
        </w:tblPrEx>
        <w:trPr>
          <w:trHeight w:val="128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kern w:val="0"/>
                <w:szCs w:val="21"/>
              </w:rPr>
            </w:pPr>
            <w:r>
              <w:rPr>
                <w:rFonts w:ascii="宋体" w:hAnsi="宋体" w:cs="宋体"/>
                <w:kern w:val="0"/>
                <w:szCs w:val="21"/>
              </w:rPr>
              <w:t>3</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Fonts w:ascii="宋体" w:hAnsi="宋体"/>
              </w:rPr>
            </w:pPr>
            <w:r>
              <w:fldChar w:fldCharType="begin"/>
            </w:r>
            <w:r>
              <w:instrText xml:space="preserve"> HYPERLINK \l "_（五）报价" </w:instrText>
            </w:r>
            <w:r>
              <w:fldChar w:fldCharType="separate"/>
            </w:r>
            <w:r>
              <w:rPr>
                <w:rStyle w:val="42"/>
                <w:rFonts w:hint="eastAsia" w:ascii="宋体" w:hAnsi="宋体" w:cs="宋体"/>
                <w:color w:val="auto"/>
                <w:kern w:val="0"/>
                <w:szCs w:val="21"/>
                <w:u w:val="none"/>
              </w:rPr>
              <w:t>报价：供应商的报价必须按采购文件或政府采购云平台规定的格式填写，并在规定时间内提交最后报价。</w:t>
            </w:r>
            <w:r>
              <w:rPr>
                <w:rStyle w:val="42"/>
                <w:rFonts w:hint="eastAsia" w:ascii="宋体" w:hAnsi="宋体" w:cs="宋体"/>
                <w:color w:val="auto"/>
                <w:kern w:val="0"/>
                <w:szCs w:val="21"/>
                <w:u w:val="none"/>
              </w:rPr>
              <w:fldChar w:fldCharType="end"/>
            </w:r>
          </w:p>
        </w:tc>
      </w:tr>
      <w:tr>
        <w:tblPrEx>
          <w:tblCellMar>
            <w:top w:w="0" w:type="dxa"/>
            <w:left w:w="108" w:type="dxa"/>
            <w:bottom w:w="0" w:type="dxa"/>
            <w:right w:w="108" w:type="dxa"/>
          </w:tblCellMar>
        </w:tblPrEx>
        <w:trPr>
          <w:trHeight w:val="244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kern w:val="0"/>
                <w:szCs w:val="21"/>
              </w:rPr>
            </w:pPr>
            <w:r>
              <w:rPr>
                <w:rFonts w:hint="eastAsia" w:ascii="宋体" w:hAnsi="宋体" w:cs="宋体"/>
                <w:kern w:val="0"/>
                <w:szCs w:val="21"/>
              </w:rPr>
              <w:t>4</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Style w:val="42"/>
                <w:rFonts w:ascii="宋体" w:hAnsi="宋体"/>
                <w:color w:val="auto"/>
                <w:szCs w:val="21"/>
                <w:u w:val="none"/>
              </w:rPr>
            </w:pPr>
            <w:r>
              <w:rPr>
                <w:rFonts w:ascii="宋体" w:hAnsi="宋体" w:cs="宋体"/>
                <w:kern w:val="0"/>
                <w:szCs w:val="21"/>
              </w:rPr>
              <w:fldChar w:fldCharType="begin"/>
            </w:r>
            <w:r>
              <w:rPr>
                <w:rFonts w:ascii="宋体" w:hAnsi="宋体" w:cs="宋体"/>
                <w:kern w:val="0"/>
                <w:szCs w:val="21"/>
              </w:rPr>
              <w:instrText xml:space="preserve"> </w:instrText>
            </w:r>
            <w:r>
              <w:rPr>
                <w:rFonts w:hint="eastAsia" w:ascii="宋体" w:hAnsi="宋体" w:cs="宋体"/>
                <w:kern w:val="0"/>
                <w:szCs w:val="21"/>
              </w:rPr>
              <w:instrText xml:space="preserve">HYPERLINK </w:instrText>
            </w:r>
            <w:r>
              <w:rPr>
                <w:rFonts w:ascii="宋体" w:hAnsi="宋体" w:cs="宋体"/>
                <w:kern w:val="0"/>
                <w:szCs w:val="21"/>
              </w:rPr>
              <w:instrText xml:space="preserve"> \l "_四、响应文件开启" </w:instrText>
            </w:r>
            <w:r>
              <w:rPr>
                <w:rFonts w:ascii="宋体" w:hAnsi="宋体" w:cs="宋体"/>
                <w:kern w:val="0"/>
                <w:szCs w:val="21"/>
              </w:rPr>
              <w:fldChar w:fldCharType="separate"/>
            </w:r>
            <w:r>
              <w:rPr>
                <w:rStyle w:val="42"/>
                <w:rFonts w:hint="eastAsia" w:ascii="宋体" w:hAnsi="宋体" w:cs="宋体"/>
                <w:color w:val="auto"/>
                <w:kern w:val="0"/>
                <w:szCs w:val="21"/>
                <w:u w:val="none"/>
              </w:rPr>
              <w:t>响应文件提交截止时间及开启时间：</w:t>
            </w:r>
            <w:r>
              <w:rPr>
                <w:rFonts w:hint="eastAsia"/>
                <w:lang w:eastAsia="zh-CN"/>
              </w:rPr>
              <w:t>2026年1月</w:t>
            </w:r>
            <w:r>
              <w:rPr>
                <w:rFonts w:hint="eastAsia"/>
                <w:lang w:val="en-US" w:eastAsia="zh-CN"/>
              </w:rPr>
              <w:t>14</w:t>
            </w:r>
            <w:r>
              <w:rPr>
                <w:rFonts w:hint="eastAsia"/>
                <w:lang w:eastAsia="zh-CN"/>
              </w:rPr>
              <w:t>日9:30</w:t>
            </w:r>
            <w:r>
              <w:rPr>
                <w:rFonts w:hint="eastAsia"/>
              </w:rPr>
              <w:t>（北京时间）</w:t>
            </w:r>
          </w:p>
          <w:p>
            <w:pPr>
              <w:widowControl/>
              <w:spacing w:line="440" w:lineRule="exact"/>
            </w:pPr>
            <w:r>
              <w:rPr>
                <w:rStyle w:val="42"/>
                <w:rFonts w:hint="eastAsia"/>
                <w:b/>
                <w:color w:val="auto"/>
                <w:szCs w:val="21"/>
                <w:u w:val="none"/>
              </w:rPr>
              <w:t>注意事项：</w:t>
            </w:r>
            <w:r>
              <w:rPr>
                <w:rStyle w:val="42"/>
                <w:rFonts w:hint="eastAsia"/>
                <w:bCs/>
                <w:color w:val="auto"/>
                <w:u w:val="none"/>
              </w:rPr>
              <w:t>供应商法定代表人或委托代理人须按时登录政采云远程开标大厅，保持全程在线并关注评审谈判进度，评审期间谈判小组提出澄清等要求时，供应商须在规定时间内进行在线应答，否则按采购文件或政采云平台的相关规定执行。</w:t>
            </w:r>
            <w:r>
              <w:rPr>
                <w:rFonts w:ascii="宋体" w:hAnsi="宋体" w:cs="宋体"/>
                <w:kern w:val="0"/>
                <w:szCs w:val="21"/>
              </w:rPr>
              <w:fldChar w:fldCharType="end"/>
            </w:r>
          </w:p>
        </w:tc>
      </w:tr>
      <w:tr>
        <w:tblPrEx>
          <w:tblCellMar>
            <w:top w:w="0" w:type="dxa"/>
            <w:left w:w="108" w:type="dxa"/>
            <w:bottom w:w="0" w:type="dxa"/>
            <w:right w:w="108" w:type="dxa"/>
          </w:tblCellMar>
        </w:tblPrEx>
        <w:trPr>
          <w:trHeight w:val="235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kern w:val="0"/>
                <w:szCs w:val="21"/>
              </w:rPr>
            </w:pPr>
            <w:r>
              <w:rPr>
                <w:rFonts w:hint="eastAsia" w:ascii="宋体" w:hAnsi="宋体" w:cs="宋体"/>
                <w:kern w:val="0"/>
                <w:szCs w:val="21"/>
              </w:rPr>
              <w:t>5</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Style w:val="42"/>
                <w:color w:val="auto"/>
                <w:u w:val="none"/>
              </w:rPr>
            </w:pPr>
            <w:r>
              <w:fldChar w:fldCharType="begin"/>
            </w:r>
            <w:r>
              <w:instrText xml:space="preserve"> </w:instrText>
            </w:r>
            <w:r>
              <w:rPr>
                <w:rFonts w:hint="eastAsia"/>
              </w:rPr>
              <w:instrText xml:space="preserve">HYPERLINK </w:instrText>
            </w:r>
            <w:r>
              <w:instrText xml:space="preserve"> \l "</w:instrText>
            </w:r>
            <w:r>
              <w:rPr>
                <w:rFonts w:hint="eastAsia"/>
              </w:rPr>
              <w:instrText xml:space="preserve">_五、评审与谈判</w:instrText>
            </w:r>
            <w:r>
              <w:instrText xml:space="preserve">" </w:instrText>
            </w:r>
            <w:r>
              <w:fldChar w:fldCharType="separate"/>
            </w:r>
            <w:r>
              <w:rPr>
                <w:rStyle w:val="42"/>
                <w:color w:val="auto"/>
                <w:u w:val="none"/>
              </w:rPr>
              <w:t>评审及谈判：</w:t>
            </w:r>
          </w:p>
          <w:p>
            <w:pPr>
              <w:spacing w:line="440" w:lineRule="exact"/>
            </w:pPr>
            <w:r>
              <w:rPr>
                <w:rStyle w:val="42"/>
                <w:rFonts w:hint="eastAsia"/>
                <w:color w:val="auto"/>
                <w:u w:val="none"/>
              </w:rPr>
              <w:t>谈判小组从符合相应资格条件的供应商名单中确定不少于3家的供应商参加谈判，对参加谈判的供应商响应文件进行评审，并根据谈判文件规定的程序、评定成交的标准等事项与实质性响应谈判文件要求的供应商进行谈判。</w:t>
            </w:r>
            <w:r>
              <w:fldChar w:fldCharType="end"/>
            </w:r>
          </w:p>
        </w:tc>
      </w:tr>
      <w:tr>
        <w:tblPrEx>
          <w:tblCellMar>
            <w:top w:w="0" w:type="dxa"/>
            <w:left w:w="108" w:type="dxa"/>
            <w:bottom w:w="0" w:type="dxa"/>
            <w:right w:w="108" w:type="dxa"/>
          </w:tblCellMar>
        </w:tblPrEx>
        <w:trPr>
          <w:trHeight w:val="108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kern w:val="0"/>
                <w:szCs w:val="21"/>
              </w:rPr>
            </w:pPr>
            <w:r>
              <w:rPr>
                <w:rFonts w:hint="eastAsia" w:ascii="宋体" w:hAnsi="宋体" w:cs="宋体"/>
                <w:kern w:val="0"/>
                <w:szCs w:val="21"/>
              </w:rPr>
              <w:t>6</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ascii="宋体" w:hAnsi="宋体" w:cs="宋体"/>
                <w:kern w:val="0"/>
                <w:szCs w:val="21"/>
              </w:rPr>
            </w:pPr>
            <w:r>
              <w:fldChar w:fldCharType="begin"/>
            </w:r>
            <w:r>
              <w:instrText xml:space="preserve"> HYPERLINK \l "_第四章__评定标准及推荐原则" </w:instrText>
            </w:r>
            <w:r>
              <w:fldChar w:fldCharType="separate"/>
            </w:r>
            <w:r>
              <w:rPr>
                <w:rStyle w:val="42"/>
                <w:rFonts w:hint="eastAsia" w:ascii="宋体" w:hAnsi="宋体" w:cs="宋体"/>
                <w:color w:val="auto"/>
                <w:kern w:val="0"/>
                <w:szCs w:val="21"/>
                <w:u w:val="none"/>
              </w:rPr>
              <w:t>评定方法：</w:t>
            </w:r>
            <w:r>
              <w:rPr>
                <w:rStyle w:val="42"/>
                <w:rFonts w:hint="eastAsia"/>
                <w:color w:val="auto"/>
                <w:u w:val="none"/>
              </w:rPr>
              <w:t>详见第四章《评定标准及推荐原则》。</w:t>
            </w:r>
            <w:r>
              <w:rPr>
                <w:rStyle w:val="42"/>
                <w:rFonts w:hint="eastAsia"/>
                <w:color w:val="auto"/>
                <w:u w:val="none"/>
              </w:rPr>
              <w:fldChar w:fldCharType="end"/>
            </w:r>
          </w:p>
        </w:tc>
      </w:tr>
      <w:tr>
        <w:tblPrEx>
          <w:tblCellMar>
            <w:top w:w="0" w:type="dxa"/>
            <w:left w:w="108" w:type="dxa"/>
            <w:bottom w:w="0" w:type="dxa"/>
            <w:right w:w="108" w:type="dxa"/>
          </w:tblCellMar>
        </w:tblPrEx>
        <w:trPr>
          <w:trHeight w:val="178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kern w:val="0"/>
                <w:szCs w:val="21"/>
              </w:rPr>
            </w:pPr>
            <w:r>
              <w:rPr>
                <w:rFonts w:hint="eastAsia" w:ascii="宋体" w:hAnsi="宋体" w:cs="宋体"/>
                <w:kern w:val="0"/>
                <w:szCs w:val="21"/>
              </w:rPr>
              <w:t>7</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ascii="宋体" w:hAnsi="宋体" w:cs="宋体"/>
                <w:kern w:val="0"/>
                <w:szCs w:val="21"/>
              </w:rPr>
            </w:pPr>
            <w:r>
              <w:fldChar w:fldCharType="begin"/>
            </w:r>
            <w:r>
              <w:instrText xml:space="preserve"> HYPERLINK \l "_十、其他事项" </w:instrText>
            </w:r>
            <w:r>
              <w:fldChar w:fldCharType="separate"/>
            </w:r>
            <w:r>
              <w:rPr>
                <w:rStyle w:val="42"/>
                <w:rFonts w:hint="eastAsia" w:ascii="宋体" w:hAnsi="宋体" w:cs="宋体"/>
                <w:color w:val="auto"/>
                <w:kern w:val="0"/>
                <w:szCs w:val="21"/>
                <w:u w:val="none"/>
              </w:rPr>
              <w:t>代理服务费：</w:t>
            </w:r>
            <w:bookmarkStart w:id="57" w:name="OLE_LINK7"/>
            <w:r>
              <w:rPr>
                <w:rStyle w:val="42"/>
                <w:rFonts w:hint="eastAsia" w:ascii="宋体" w:hAnsi="宋体" w:cs="宋体"/>
                <w:color w:val="auto"/>
                <w:kern w:val="0"/>
                <w:szCs w:val="21"/>
                <w:u w:val="none"/>
              </w:rPr>
              <w:t>按钦州市物价局“钦市价费﹝2013﹞4号”文件，以差额定率累进法计算。成交供应商须按成交金额缴纳相应的代理服务费。</w:t>
            </w:r>
            <w:bookmarkEnd w:id="57"/>
            <w:r>
              <w:rPr>
                <w:rStyle w:val="42"/>
                <w:rFonts w:hint="eastAsia" w:ascii="宋体" w:hAnsi="宋体" w:cs="宋体"/>
                <w:color w:val="auto"/>
                <w:kern w:val="0"/>
                <w:szCs w:val="21"/>
                <w:u w:val="none"/>
              </w:rPr>
              <w:fldChar w:fldCharType="end"/>
            </w:r>
          </w:p>
        </w:tc>
      </w:tr>
    </w:tbl>
    <w:p>
      <w:pPr>
        <w:pStyle w:val="4"/>
        <w:jc w:val="center"/>
      </w:pPr>
      <w:bookmarkStart w:id="58" w:name="_Toc420505403"/>
      <w:r>
        <w:br w:type="page"/>
      </w:r>
    </w:p>
    <w:p>
      <w:pPr>
        <w:jc w:val="center"/>
        <w:rPr>
          <w:rFonts w:ascii="黑体" w:hAnsi="黑体" w:eastAsia="黑体"/>
          <w:b/>
          <w:bCs/>
          <w:sz w:val="32"/>
          <w:szCs w:val="32"/>
        </w:rPr>
      </w:pPr>
      <w:r>
        <w:rPr>
          <w:rFonts w:hint="eastAsia" w:ascii="黑体" w:hAnsi="黑体" w:eastAsia="黑体"/>
          <w:b/>
          <w:bCs/>
          <w:sz w:val="32"/>
          <w:szCs w:val="32"/>
        </w:rPr>
        <w:t>二、供应商须知</w:t>
      </w:r>
      <w:bookmarkEnd w:id="58"/>
    </w:p>
    <w:p>
      <w:pPr>
        <w:pStyle w:val="4"/>
        <w:spacing w:line="420" w:lineRule="exact"/>
      </w:pPr>
      <w:bookmarkStart w:id="59" w:name="_一、总_则"/>
      <w:bookmarkEnd w:id="59"/>
      <w:r>
        <w:rPr>
          <w:rFonts w:hint="eastAsia"/>
        </w:rPr>
        <w:t>一、总　则</w:t>
      </w:r>
    </w:p>
    <w:p>
      <w:pPr>
        <w:spacing w:line="420" w:lineRule="exact"/>
        <w:ind w:firstLine="210" w:firstLineChars="100"/>
        <w:rPr>
          <w:rFonts w:ascii="宋体" w:hAnsi="宋体"/>
          <w:szCs w:val="21"/>
        </w:rPr>
      </w:pPr>
      <w:r>
        <w:rPr>
          <w:rFonts w:hint="eastAsia" w:ascii="宋体" w:hAnsi="宋体"/>
          <w:szCs w:val="21"/>
        </w:rPr>
        <w:t>（一）适用范围</w:t>
      </w:r>
    </w:p>
    <w:p>
      <w:pPr>
        <w:spacing w:line="420" w:lineRule="exact"/>
        <w:ind w:right="-334" w:rightChars="-159" w:firstLine="420"/>
        <w:rPr>
          <w:rFonts w:hint="eastAsia" w:hAnsi="宋体" w:eastAsia="宋体"/>
          <w:lang w:eastAsia="zh-CN"/>
        </w:rPr>
      </w:pPr>
      <w:r>
        <w:rPr>
          <w:rFonts w:hAnsi="宋体"/>
        </w:rPr>
        <w:t>1.</w:t>
      </w:r>
      <w:r>
        <w:rPr>
          <w:rFonts w:hint="eastAsia" w:hAnsi="宋体"/>
        </w:rPr>
        <w:t>项目名称：</w:t>
      </w:r>
      <w:r>
        <w:rPr>
          <w:rFonts w:hint="eastAsia" w:hAnsi="宋体"/>
          <w:lang w:eastAsia="zh-CN"/>
        </w:rPr>
        <w:t>钦州市中医医院前置机超融合项目</w:t>
      </w:r>
    </w:p>
    <w:p>
      <w:pPr>
        <w:spacing w:line="420" w:lineRule="exact"/>
        <w:ind w:right="-334" w:rightChars="-159" w:firstLine="420"/>
        <w:rPr>
          <w:rFonts w:hint="eastAsia" w:hAnsi="宋体" w:eastAsia="宋体"/>
          <w:lang w:eastAsia="zh-CN"/>
        </w:rPr>
      </w:pPr>
      <w:r>
        <w:rPr>
          <w:rFonts w:hAnsi="宋体"/>
        </w:rPr>
        <w:t>2</w:t>
      </w:r>
      <w:r>
        <w:rPr>
          <w:rFonts w:hint="eastAsia" w:hAnsi="宋体"/>
        </w:rPr>
        <w:t>.项目编号：</w:t>
      </w:r>
      <w:r>
        <w:rPr>
          <w:rFonts w:hint="eastAsia" w:hAnsi="宋体"/>
          <w:lang w:eastAsia="zh-CN"/>
        </w:rPr>
        <w:t>QZZC2025-J1-990416-QZSZ</w:t>
      </w:r>
    </w:p>
    <w:p>
      <w:pPr>
        <w:spacing w:line="420" w:lineRule="exact"/>
        <w:ind w:right="-334" w:rightChars="-159" w:firstLine="420"/>
        <w:rPr>
          <w:szCs w:val="21"/>
        </w:rPr>
      </w:pPr>
      <w:r>
        <w:rPr>
          <w:rFonts w:hint="eastAsia" w:hAnsi="宋体"/>
        </w:rPr>
        <w:t>本文件仅适用于本文件中所叙述的货物、服务类政府采购项目。</w:t>
      </w:r>
    </w:p>
    <w:p>
      <w:pPr>
        <w:spacing w:line="420" w:lineRule="exact"/>
        <w:ind w:firstLine="210" w:firstLineChars="100"/>
        <w:rPr>
          <w:rFonts w:ascii="宋体" w:hAnsi="宋体"/>
          <w:szCs w:val="21"/>
        </w:rPr>
      </w:pPr>
      <w:r>
        <w:rPr>
          <w:rFonts w:hint="eastAsia" w:ascii="宋体" w:hAnsi="宋体"/>
          <w:szCs w:val="21"/>
        </w:rPr>
        <w:t>（二）定义</w:t>
      </w:r>
    </w:p>
    <w:p>
      <w:pPr>
        <w:spacing w:line="420" w:lineRule="exact"/>
        <w:ind w:firstLine="420" w:firstLineChars="200"/>
        <w:rPr>
          <w:rFonts w:ascii="宋体" w:hAnsi="宋体"/>
          <w:szCs w:val="21"/>
        </w:rPr>
      </w:pPr>
      <w:r>
        <w:rPr>
          <w:rFonts w:ascii="宋体" w:hAnsi="宋体"/>
          <w:szCs w:val="21"/>
        </w:rPr>
        <w:t>1.</w:t>
      </w:r>
      <w:r>
        <w:rPr>
          <w:rFonts w:hint="eastAsia" w:ascii="宋体" w:hAnsi="宋体"/>
          <w:szCs w:val="21"/>
        </w:rPr>
        <w:t>“</w:t>
      </w:r>
      <w:r>
        <w:rPr>
          <w:rFonts w:ascii="宋体" w:hAnsi="宋体"/>
          <w:szCs w:val="21"/>
        </w:rPr>
        <w:t>采购人</w:t>
      </w:r>
      <w:r>
        <w:rPr>
          <w:rFonts w:hint="eastAsia" w:ascii="宋体" w:hAnsi="宋体"/>
          <w:szCs w:val="21"/>
        </w:rPr>
        <w:t>”</w:t>
      </w:r>
      <w:r>
        <w:rPr>
          <w:rFonts w:ascii="宋体" w:hAnsi="宋体"/>
          <w:szCs w:val="21"/>
        </w:rPr>
        <w:t>是指依法进行政府采购的国家机关、事业单位、团体组织。</w:t>
      </w:r>
    </w:p>
    <w:p>
      <w:pPr>
        <w:spacing w:line="420" w:lineRule="exact"/>
        <w:ind w:firstLine="420" w:firstLineChars="200"/>
        <w:rPr>
          <w:rFonts w:ascii="宋体" w:hAnsi="宋体"/>
          <w:szCs w:val="21"/>
        </w:rPr>
      </w:pPr>
      <w:r>
        <w:rPr>
          <w:rFonts w:hint="eastAsia" w:ascii="宋体" w:hAnsi="宋体"/>
          <w:szCs w:val="21"/>
        </w:rPr>
        <w:t>2.“供应商”是指响应本文件要求，参加谈判的法人或其他组织。如果该供应商在本次采购项目中成交,即成为“成交供应商”。</w:t>
      </w:r>
    </w:p>
    <w:p>
      <w:pPr>
        <w:spacing w:line="42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“采购代理机构”是指</w:t>
      </w:r>
      <w:r>
        <w:rPr>
          <w:rFonts w:hint="eastAsia" w:ascii="宋体" w:hAnsi="宋体"/>
        </w:rPr>
        <w:t>钦州市政府采购中心。</w:t>
      </w:r>
    </w:p>
    <w:p>
      <w:pPr>
        <w:spacing w:line="420" w:lineRule="exact"/>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“货物和服务”是指本次采购文件中所采购的各种形态和种类的产品以及其提供的服务。</w:t>
      </w:r>
    </w:p>
    <w:p>
      <w:pPr>
        <w:spacing w:line="420" w:lineRule="exact"/>
        <w:ind w:firstLine="420" w:firstLineChars="20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“竞争性谈判采购文件”是指采用竞争性谈判方式进行政府采购的指导文件，简称“谈判文件”或“采购文件”。</w:t>
      </w:r>
    </w:p>
    <w:p>
      <w:pPr>
        <w:spacing w:line="420" w:lineRule="exact"/>
        <w:ind w:firstLine="420" w:firstLineChars="200"/>
        <w:rPr>
          <w:rFonts w:ascii="宋体" w:hAnsi="宋体"/>
          <w:szCs w:val="21"/>
        </w:rPr>
      </w:pPr>
      <w:r>
        <w:rPr>
          <w:rFonts w:ascii="宋体" w:hAnsi="宋体"/>
          <w:szCs w:val="21"/>
        </w:rPr>
        <w:t>6.</w:t>
      </w:r>
      <w:r>
        <w:rPr>
          <w:rFonts w:hint="eastAsia" w:ascii="宋体" w:hAnsi="宋体"/>
          <w:szCs w:val="21"/>
        </w:rPr>
        <w:t>“响应文件”是指供应商根据采购文件要求，编制包含技术、服务和报价等所有内容的响应文件。</w:t>
      </w:r>
    </w:p>
    <w:p>
      <w:pPr>
        <w:spacing w:line="420" w:lineRule="exact"/>
        <w:ind w:firstLine="420" w:firstLineChars="200"/>
        <w:rPr>
          <w:rFonts w:ascii="宋体" w:hAnsi="宋体"/>
          <w:szCs w:val="21"/>
        </w:rPr>
      </w:pPr>
      <w:r>
        <w:rPr>
          <w:rFonts w:ascii="宋体" w:hAnsi="宋体"/>
          <w:szCs w:val="21"/>
        </w:rPr>
        <w:t>7.</w:t>
      </w:r>
      <w:r>
        <w:rPr>
          <w:rFonts w:hint="eastAsia" w:ascii="宋体" w:hAnsi="宋体"/>
          <w:szCs w:val="21"/>
        </w:rPr>
        <w:t>“书面形式”</w:t>
      </w:r>
      <w:r>
        <w:rPr>
          <w:rFonts w:ascii="Helvetica" w:hAnsi="Helvetica"/>
          <w:szCs w:val="21"/>
          <w:shd w:val="clear" w:color="auto" w:fill="FFFFFF"/>
        </w:rPr>
        <w:t>是</w:t>
      </w:r>
      <w:r>
        <w:rPr>
          <w:rFonts w:hint="eastAsia" w:ascii="Helvetica" w:hAnsi="Helvetica"/>
          <w:szCs w:val="21"/>
          <w:shd w:val="clear" w:color="auto" w:fill="FFFFFF"/>
        </w:rPr>
        <w:t>指</w:t>
      </w:r>
      <w:r>
        <w:rPr>
          <w:rFonts w:ascii="Helvetica" w:hAnsi="Helvetica"/>
          <w:szCs w:val="21"/>
          <w:shd w:val="clear" w:color="auto" w:fill="FFFFFF"/>
        </w:rPr>
        <w:t>合同书、信件、电报、电传、传真等可以有形地表现所载内容的形式。</w:t>
      </w:r>
    </w:p>
    <w:p>
      <w:pPr>
        <w:spacing w:line="420" w:lineRule="exact"/>
        <w:ind w:firstLine="211" w:firstLineChars="100"/>
        <w:rPr>
          <w:rFonts w:ascii="宋体" w:hAnsi="宋体"/>
          <w:b/>
          <w:szCs w:val="21"/>
        </w:rPr>
      </w:pPr>
      <w:r>
        <w:rPr>
          <w:rFonts w:hint="eastAsia" w:ascii="宋体" w:hAnsi="宋体"/>
          <w:b/>
          <w:szCs w:val="21"/>
        </w:rPr>
        <w:t>（三）供应商资格</w:t>
      </w:r>
    </w:p>
    <w:p>
      <w:pPr>
        <w:spacing w:line="420" w:lineRule="exact"/>
        <w:ind w:firstLine="420" w:firstLineChars="200"/>
      </w:pPr>
      <w:r>
        <w:rPr>
          <w:rFonts w:hint="eastAsia"/>
        </w:rPr>
        <w:t>1.满足《中华人民共和国政府采购法》第二十二条规定</w:t>
      </w:r>
    </w:p>
    <w:p>
      <w:pPr>
        <w:spacing w:line="420" w:lineRule="exact"/>
        <w:ind w:firstLine="420" w:firstLineChars="200"/>
        <w:rPr>
          <w:rFonts w:hint="eastAsia" w:eastAsia="宋体"/>
          <w:lang w:eastAsia="zh-CN"/>
        </w:rPr>
      </w:pPr>
      <w:r>
        <w:rPr>
          <w:rFonts w:hint="eastAsia"/>
        </w:rPr>
        <w:t>2.落实政府采购政策需满足的资格要求：</w:t>
      </w:r>
      <w:r>
        <w:rPr>
          <w:rFonts w:hint="eastAsia"/>
          <w:lang w:eastAsia="zh-CN"/>
        </w:rPr>
        <w:t>无</w:t>
      </w:r>
    </w:p>
    <w:p>
      <w:pPr>
        <w:spacing w:line="420" w:lineRule="exact"/>
        <w:ind w:firstLine="420" w:firstLineChars="200"/>
      </w:pPr>
      <w:r>
        <w:rPr>
          <w:rFonts w:hint="eastAsia"/>
        </w:rPr>
        <w:t>3.本项目的特定资格要求：无</w:t>
      </w:r>
    </w:p>
    <w:p>
      <w:pPr>
        <w:spacing w:line="420" w:lineRule="exact"/>
        <w:ind w:firstLine="422" w:firstLineChars="200"/>
        <w:rPr>
          <w:b/>
          <w:bCs/>
        </w:rPr>
      </w:pPr>
      <w:r>
        <w:rPr>
          <w:rFonts w:hint="eastAsia"/>
          <w:b/>
          <w:bCs/>
        </w:rPr>
        <w:t>（四）采购方式</w:t>
      </w:r>
    </w:p>
    <w:p>
      <w:pPr>
        <w:snapToGrid w:val="0"/>
        <w:spacing w:line="420" w:lineRule="exact"/>
        <w:ind w:firstLine="420" w:firstLineChars="200"/>
        <w:rPr>
          <w:rFonts w:ascii="宋体" w:hAnsi="宋体"/>
          <w:szCs w:val="21"/>
        </w:rPr>
      </w:pPr>
      <w:r>
        <w:rPr>
          <w:rFonts w:hint="eastAsia" w:ascii="宋体" w:hAnsi="宋体"/>
          <w:szCs w:val="21"/>
        </w:rPr>
        <w:t>竞争性谈判</w:t>
      </w:r>
    </w:p>
    <w:p>
      <w:pPr>
        <w:spacing w:line="420" w:lineRule="exact"/>
        <w:ind w:firstLine="211" w:firstLineChars="100"/>
        <w:rPr>
          <w:b/>
          <w:bCs/>
        </w:rPr>
      </w:pPr>
      <w:bookmarkStart w:id="60" w:name="_Toc353785281"/>
      <w:bookmarkStart w:id="61" w:name="_Toc352700410"/>
      <w:bookmarkStart w:id="62" w:name="_Toc254970530"/>
      <w:bookmarkStart w:id="63" w:name="_Toc254970671"/>
      <w:r>
        <w:rPr>
          <w:rFonts w:hint="eastAsia"/>
          <w:b/>
          <w:bCs/>
        </w:rPr>
        <w:t>（五）代理委托</w:t>
      </w:r>
      <w:bookmarkEnd w:id="60"/>
      <w:bookmarkEnd w:id="61"/>
      <w:bookmarkEnd w:id="62"/>
      <w:bookmarkEnd w:id="63"/>
    </w:p>
    <w:p>
      <w:pPr>
        <w:snapToGrid w:val="0"/>
        <w:spacing w:line="420" w:lineRule="exact"/>
        <w:ind w:firstLine="420" w:firstLineChars="200"/>
        <w:rPr>
          <w:rFonts w:ascii="宋体" w:hAnsi="宋体" w:cs="Courier New"/>
          <w:bCs/>
          <w:szCs w:val="21"/>
        </w:rPr>
      </w:pPr>
      <w:r>
        <w:rPr>
          <w:rFonts w:hint="eastAsia" w:ascii="宋体" w:hAnsi="宋体" w:cs="Courier New"/>
          <w:bCs/>
          <w:szCs w:val="21"/>
        </w:rPr>
        <w:t>委托谈判的供应商须提供授权委托书（格式见第六章）。</w:t>
      </w:r>
    </w:p>
    <w:p>
      <w:pPr>
        <w:spacing w:line="420" w:lineRule="exact"/>
        <w:ind w:firstLine="211" w:firstLineChars="100"/>
        <w:rPr>
          <w:b/>
          <w:bCs/>
        </w:rPr>
      </w:pPr>
      <w:bookmarkStart w:id="64" w:name="_Toc254970531"/>
      <w:bookmarkStart w:id="65" w:name="_Toc352700411"/>
      <w:bookmarkStart w:id="66" w:name="_Toc353785282"/>
      <w:bookmarkStart w:id="67" w:name="_Toc254970672"/>
      <w:r>
        <w:rPr>
          <w:rFonts w:hint="eastAsia"/>
          <w:b/>
          <w:bCs/>
        </w:rPr>
        <w:t>（六）谈判费用</w:t>
      </w:r>
      <w:bookmarkEnd w:id="64"/>
      <w:bookmarkEnd w:id="65"/>
      <w:bookmarkEnd w:id="66"/>
      <w:bookmarkEnd w:id="67"/>
    </w:p>
    <w:p>
      <w:pPr>
        <w:snapToGrid w:val="0"/>
        <w:spacing w:line="420" w:lineRule="exact"/>
        <w:ind w:firstLine="420" w:firstLineChars="200"/>
        <w:rPr>
          <w:rFonts w:ascii="宋体" w:hAnsi="宋体"/>
          <w:szCs w:val="21"/>
        </w:rPr>
      </w:pPr>
      <w:r>
        <w:rPr>
          <w:rFonts w:hint="eastAsia" w:ascii="宋体" w:hAnsi="宋体"/>
          <w:szCs w:val="21"/>
        </w:rPr>
        <w:t>供应商自行承担所有与谈判有关的全部费用。</w:t>
      </w:r>
    </w:p>
    <w:p>
      <w:pPr>
        <w:spacing w:line="420" w:lineRule="exact"/>
        <w:ind w:firstLine="211" w:firstLineChars="100"/>
        <w:rPr>
          <w:b/>
          <w:bCs/>
        </w:rPr>
      </w:pPr>
      <w:bookmarkStart w:id="68" w:name="_Toc352700413"/>
      <w:bookmarkStart w:id="69" w:name="_Toc353785283"/>
      <w:r>
        <w:rPr>
          <w:rFonts w:hint="eastAsia"/>
          <w:b/>
          <w:bCs/>
        </w:rPr>
        <w:t>（七）转包与分包</w:t>
      </w:r>
      <w:bookmarkEnd w:id="68"/>
      <w:bookmarkEnd w:id="69"/>
    </w:p>
    <w:p>
      <w:pPr>
        <w:snapToGrid w:val="0"/>
        <w:spacing w:line="420" w:lineRule="exact"/>
        <w:ind w:firstLine="420" w:firstLineChars="200"/>
        <w:rPr>
          <w:rFonts w:ascii="宋体" w:hAnsi="宋体" w:cs="宋体"/>
          <w:kern w:val="0"/>
          <w:szCs w:val="21"/>
        </w:rPr>
      </w:pPr>
      <w:r>
        <w:rPr>
          <w:rFonts w:ascii="宋体" w:hAnsi="宋体" w:cs="宋体"/>
          <w:kern w:val="0"/>
          <w:szCs w:val="21"/>
        </w:rPr>
        <w:t>1.</w:t>
      </w:r>
      <w:r>
        <w:rPr>
          <w:rFonts w:hint="eastAsia" w:ascii="宋体" w:hAnsi="宋体" w:cs="宋体"/>
          <w:kern w:val="0"/>
          <w:szCs w:val="21"/>
        </w:rPr>
        <w:t>本项目不允许转包。</w:t>
      </w:r>
    </w:p>
    <w:p>
      <w:pPr>
        <w:snapToGrid w:val="0"/>
        <w:spacing w:line="420" w:lineRule="exact"/>
        <w:ind w:firstLine="420" w:firstLineChars="200"/>
        <w:rPr>
          <w:rFonts w:ascii="宋体" w:hAnsi="宋体" w:cs="宋体"/>
          <w:kern w:val="0"/>
          <w:szCs w:val="21"/>
        </w:rPr>
      </w:pPr>
      <w:r>
        <w:rPr>
          <w:rFonts w:ascii="宋体" w:hAnsi="宋体" w:cs="宋体"/>
          <w:kern w:val="0"/>
          <w:szCs w:val="21"/>
        </w:rPr>
        <w:t>2.</w:t>
      </w:r>
      <w:r>
        <w:rPr>
          <w:rFonts w:hint="eastAsia" w:ascii="宋体" w:hAnsi="宋体" w:cs="宋体"/>
          <w:kern w:val="0"/>
          <w:szCs w:val="21"/>
        </w:rPr>
        <w:t>采购人允许采用分包方式履行合同的，应当在采购文件中明确可以分包履行的具体内容、金额或者比例。</w:t>
      </w:r>
    </w:p>
    <w:p>
      <w:pPr>
        <w:snapToGrid w:val="0"/>
        <w:spacing w:line="420" w:lineRule="exact"/>
        <w:ind w:firstLine="420" w:firstLineChars="200"/>
        <w:rPr>
          <w:rFonts w:ascii="宋体" w:hAnsi="宋体" w:cs="宋体"/>
          <w:kern w:val="0"/>
          <w:szCs w:val="21"/>
        </w:rPr>
      </w:pPr>
      <w:r>
        <w:rPr>
          <w:rFonts w:ascii="宋体" w:hAnsi="宋体" w:cs="宋体"/>
          <w:kern w:val="0"/>
          <w:szCs w:val="21"/>
        </w:rPr>
        <w:t>3.</w:t>
      </w:r>
      <w:r>
        <w:rPr>
          <w:rFonts w:hint="eastAsia" w:ascii="宋体" w:hAnsi="宋体" w:cs="宋体"/>
          <w:kern w:val="0"/>
          <w:szCs w:val="21"/>
        </w:rPr>
        <w:t>依据《政府采购促进中小企业发展管理办法》规定享受扶持政策获得政府采购合同的，小微企业不得将合同分包给大中型企业，中型企业不得将合同分包给大型企业。</w:t>
      </w:r>
    </w:p>
    <w:p>
      <w:pPr>
        <w:spacing w:line="420" w:lineRule="exact"/>
        <w:ind w:firstLine="211" w:firstLineChars="100"/>
        <w:rPr>
          <w:b/>
          <w:bCs/>
        </w:rPr>
      </w:pPr>
      <w:bookmarkStart w:id="70" w:name="_Toc353785284"/>
      <w:bookmarkStart w:id="71" w:name="_Toc254970673"/>
      <w:bookmarkStart w:id="72" w:name="_Toc254970532"/>
      <w:bookmarkStart w:id="73" w:name="_Toc352700414"/>
      <w:r>
        <w:rPr>
          <w:rFonts w:hint="eastAsia"/>
          <w:b/>
          <w:bCs/>
        </w:rPr>
        <w:t>（八）特别说明</w:t>
      </w:r>
      <w:bookmarkEnd w:id="70"/>
      <w:bookmarkEnd w:id="71"/>
      <w:bookmarkEnd w:id="72"/>
      <w:bookmarkEnd w:id="73"/>
    </w:p>
    <w:p>
      <w:pPr>
        <w:pStyle w:val="21"/>
        <w:snapToGrid w:val="0"/>
        <w:spacing w:line="420" w:lineRule="exact"/>
        <w:ind w:firstLine="420"/>
        <w:rPr>
          <w:rFonts w:hAnsi="宋体"/>
        </w:rPr>
      </w:pPr>
      <w:r>
        <w:rPr>
          <w:rFonts w:hAnsi="宋体"/>
        </w:rPr>
        <w:t>1.</w:t>
      </w:r>
      <w:r>
        <w:rPr>
          <w:rFonts w:hint="eastAsia" w:hAnsi="宋体"/>
        </w:rPr>
        <w:t>单位负责人为同一人或者存在直接控股、管理关系的不同的供应商，不得参加同一合同项下的政府采购活动，否则其响应文件将被视为无效。为采购项目提供整体设计、规范编制或者项目管理、监理、检测等服务的供应商，不得再参加该采购项目的其他采购活动。</w:t>
      </w:r>
    </w:p>
    <w:p>
      <w:pPr>
        <w:pStyle w:val="21"/>
        <w:snapToGrid w:val="0"/>
        <w:spacing w:line="420" w:lineRule="exact"/>
        <w:ind w:firstLine="420"/>
        <w:rPr>
          <w:rFonts w:hAnsi="宋体"/>
        </w:rPr>
      </w:pPr>
      <w:r>
        <w:rPr>
          <w:rFonts w:hAnsi="宋体"/>
        </w:rPr>
        <w:t>2.</w:t>
      </w:r>
      <w:r>
        <w:rPr>
          <w:rFonts w:hint="eastAsia" w:hAnsi="宋体"/>
        </w:rPr>
        <w:t>公开招标的货物、服务采购项目，招标过程中提交投标文件或者经评审实质性响应招标文件要求的供应商只有两家时，采购人、采购代理机构按照规定经本级财政部门批准后可以与该两家供应商进行竞争性谈判采购。符合本款情形的，供应商最低数量可以为两家。</w:t>
      </w:r>
    </w:p>
    <w:p>
      <w:pPr>
        <w:spacing w:line="420" w:lineRule="exact"/>
        <w:ind w:firstLine="211" w:firstLineChars="100"/>
        <w:rPr>
          <w:b/>
          <w:bCs/>
        </w:rPr>
      </w:pPr>
      <w:bookmarkStart w:id="74" w:name="_Toc353785285"/>
      <w:bookmarkStart w:id="75" w:name="_Toc352700415"/>
      <w:bookmarkStart w:id="76" w:name="_Toc254970533"/>
      <w:bookmarkStart w:id="77" w:name="_Toc254970674"/>
      <w:r>
        <w:rPr>
          <w:rFonts w:hint="eastAsia"/>
          <w:b/>
          <w:bCs/>
        </w:rPr>
        <w:t>（九）询问、质疑和投诉</w:t>
      </w:r>
      <w:bookmarkEnd w:id="74"/>
      <w:bookmarkEnd w:id="75"/>
      <w:bookmarkEnd w:id="76"/>
      <w:bookmarkEnd w:id="77"/>
    </w:p>
    <w:p>
      <w:pPr>
        <w:pStyle w:val="21"/>
        <w:snapToGrid w:val="0"/>
        <w:spacing w:line="420" w:lineRule="exact"/>
        <w:ind w:firstLine="420"/>
        <w:rPr>
          <w:rFonts w:hAnsi="宋体"/>
          <w:bCs/>
          <w:color w:val="auto"/>
          <w:highlight w:val="none"/>
        </w:rPr>
      </w:pPr>
      <w:r>
        <w:rPr>
          <w:rFonts w:hAnsi="宋体"/>
          <w:bCs/>
          <w:color w:val="auto"/>
          <w:highlight w:val="none"/>
        </w:rPr>
        <w:t>1.</w:t>
      </w:r>
      <w:r>
        <w:rPr>
          <w:rFonts w:hint="eastAsia" w:ascii="Arial" w:hAnsi="Arial" w:cs="Arial"/>
          <w:color w:val="auto"/>
          <w:kern w:val="0"/>
          <w:highlight w:val="none"/>
        </w:rPr>
        <w:t>供应商</w:t>
      </w:r>
      <w:r>
        <w:rPr>
          <w:rFonts w:ascii="Arial" w:hAnsi="Arial" w:cs="Arial"/>
          <w:color w:val="auto"/>
          <w:kern w:val="0"/>
          <w:highlight w:val="none"/>
        </w:rPr>
        <w:t>对政府采购活动事项有疑问的，可以向采购人</w:t>
      </w:r>
      <w:r>
        <w:rPr>
          <w:rFonts w:hint="eastAsia" w:ascii="Arial" w:hAnsi="Arial" w:cs="Arial"/>
          <w:color w:val="auto"/>
          <w:kern w:val="0"/>
          <w:highlight w:val="none"/>
        </w:rPr>
        <w:t>或本中心</w:t>
      </w:r>
      <w:r>
        <w:rPr>
          <w:rFonts w:ascii="Arial" w:hAnsi="Arial" w:cs="Arial"/>
          <w:color w:val="auto"/>
          <w:kern w:val="0"/>
          <w:highlight w:val="none"/>
        </w:rPr>
        <w:t>提出询问，采购人</w:t>
      </w:r>
      <w:r>
        <w:rPr>
          <w:rFonts w:hint="eastAsia" w:ascii="Arial" w:hAnsi="Arial" w:cs="Arial"/>
          <w:color w:val="auto"/>
          <w:kern w:val="0"/>
          <w:highlight w:val="none"/>
        </w:rPr>
        <w:t>或本中心当在3个工作日内对供应商依法提出的询问作出答复</w:t>
      </w:r>
      <w:r>
        <w:rPr>
          <w:rFonts w:ascii="Arial" w:hAnsi="Arial" w:cs="Arial"/>
          <w:color w:val="auto"/>
          <w:kern w:val="0"/>
          <w:highlight w:val="none"/>
        </w:rPr>
        <w:t>，但答复的内容不得涉及商业秘密。</w:t>
      </w:r>
    </w:p>
    <w:p>
      <w:pPr>
        <w:pStyle w:val="21"/>
        <w:snapToGrid w:val="0"/>
        <w:spacing w:line="420" w:lineRule="exact"/>
        <w:ind w:firstLine="420"/>
        <w:rPr>
          <w:rFonts w:hAnsi="宋体"/>
          <w:bCs/>
          <w:color w:val="auto"/>
          <w:highlight w:val="none"/>
        </w:rPr>
      </w:pPr>
      <w:r>
        <w:rPr>
          <w:rFonts w:hAnsi="宋体"/>
          <w:bCs/>
          <w:color w:val="auto"/>
          <w:highlight w:val="none"/>
        </w:rPr>
        <w:t>2.</w:t>
      </w:r>
      <w:r>
        <w:rPr>
          <w:rFonts w:hint="eastAsia" w:hAnsi="宋体"/>
          <w:bCs/>
          <w:color w:val="auto"/>
          <w:highlight w:val="none"/>
        </w:rPr>
        <w:t>供应商认为采购文件、采购过程或成交结果使自己的合法权益受到损害的，</w:t>
      </w:r>
      <w:r>
        <w:rPr>
          <w:rFonts w:hAnsi="宋体"/>
          <w:bCs/>
          <w:color w:val="auto"/>
          <w:highlight w:val="none"/>
        </w:rPr>
        <w:t>可以在知道或者应知其权益受到损害之日起7个工作日内</w:t>
      </w:r>
      <w:r>
        <w:rPr>
          <w:rFonts w:hint="eastAsia" w:hAnsi="宋体"/>
          <w:bCs/>
          <w:color w:val="auto"/>
          <w:highlight w:val="none"/>
        </w:rPr>
        <w:t>，</w:t>
      </w:r>
      <w:r>
        <w:rPr>
          <w:rFonts w:cs="Arial"/>
          <w:color w:val="auto"/>
          <w:highlight w:val="none"/>
        </w:rPr>
        <w:t>以书面形式</w:t>
      </w:r>
      <w:r>
        <w:rPr>
          <w:rFonts w:hint="eastAsia" w:cs="Arial"/>
          <w:color w:val="auto"/>
          <w:highlight w:val="none"/>
        </w:rPr>
        <w:t>（政采云平台）</w:t>
      </w:r>
      <w:r>
        <w:rPr>
          <w:rFonts w:cs="Arial"/>
          <w:color w:val="auto"/>
          <w:highlight w:val="none"/>
        </w:rPr>
        <w:t>向采购人、</w:t>
      </w:r>
      <w:r>
        <w:rPr>
          <w:rFonts w:hint="eastAsia" w:cs="Arial"/>
          <w:color w:val="auto"/>
          <w:highlight w:val="none"/>
        </w:rPr>
        <w:t>本中心</w:t>
      </w:r>
      <w:r>
        <w:rPr>
          <w:rFonts w:cs="Arial"/>
          <w:color w:val="auto"/>
          <w:highlight w:val="none"/>
        </w:rPr>
        <w:t>提出质疑。</w:t>
      </w:r>
      <w:r>
        <w:rPr>
          <w:rFonts w:hint="eastAsia" w:hAnsi="宋体"/>
          <w:bCs/>
          <w:color w:val="auto"/>
          <w:highlight w:val="none"/>
        </w:rPr>
        <w:t>供应商必须在法定质疑期内一次性提出针对同一采购程序环节的质疑。</w:t>
      </w:r>
      <w:r>
        <w:rPr>
          <w:rFonts w:hint="eastAsia" w:hAnsi="宋体" w:cs="宋体"/>
          <w:color w:val="auto"/>
          <w:highlight w:val="none"/>
        </w:rPr>
        <w:t>供应商应知其权益受到损害之日，是指：</w:t>
      </w:r>
    </w:p>
    <w:p>
      <w:pPr>
        <w:pStyle w:val="21"/>
        <w:adjustRightInd w:val="0"/>
        <w:snapToGrid w:val="0"/>
        <w:spacing w:line="420" w:lineRule="exact"/>
        <w:ind w:firstLine="308" w:firstLineChars="147"/>
        <w:rPr>
          <w:rFonts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对采购文件提出质疑的，为获取采购文件之日；</w:t>
      </w:r>
    </w:p>
    <w:p>
      <w:pPr>
        <w:pStyle w:val="21"/>
        <w:adjustRightInd w:val="0"/>
        <w:snapToGrid w:val="0"/>
        <w:spacing w:line="420" w:lineRule="exact"/>
        <w:ind w:firstLine="308" w:firstLineChars="147"/>
        <w:rPr>
          <w:rFonts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对采购过程提出质疑的，为各采购程序环节结束之日；</w:t>
      </w:r>
    </w:p>
    <w:p>
      <w:pPr>
        <w:widowControl/>
        <w:adjustRightInd w:val="0"/>
        <w:snapToGrid w:val="0"/>
        <w:spacing w:line="420" w:lineRule="exact"/>
        <w:ind w:firstLine="102" w:firstLineChars="49"/>
        <w:jc w:val="left"/>
        <w:rPr>
          <w:rFonts w:ascii="宋体" w:hAnsi="宋体" w:cs="Courier New"/>
          <w:bCs/>
          <w:color w:val="auto"/>
          <w:szCs w:val="21"/>
          <w:highlight w:val="none"/>
        </w:rPr>
      </w:pPr>
      <w:r>
        <w:rPr>
          <w:rFonts w:hint="eastAsia" w:ascii="宋体" w:hAnsi="宋体" w:cs="Courier New"/>
          <w:bCs/>
          <w:color w:val="auto"/>
          <w:szCs w:val="21"/>
          <w:highlight w:val="none"/>
        </w:rPr>
        <w:t xml:space="preserve">  (</w:t>
      </w:r>
      <w:r>
        <w:rPr>
          <w:rFonts w:ascii="宋体" w:hAnsi="宋体" w:cs="Courier New"/>
          <w:bCs/>
          <w:color w:val="auto"/>
          <w:szCs w:val="21"/>
          <w:highlight w:val="none"/>
        </w:rPr>
        <w:t>3)</w:t>
      </w:r>
      <w:r>
        <w:rPr>
          <w:rFonts w:hint="eastAsia" w:ascii="宋体" w:hAnsi="宋体" w:cs="Courier New"/>
          <w:bCs/>
          <w:color w:val="auto"/>
          <w:szCs w:val="21"/>
          <w:highlight w:val="none"/>
        </w:rPr>
        <w:t>对成交结果提出质疑的，为成交结果公告期限届满之日。</w:t>
      </w:r>
    </w:p>
    <w:p>
      <w:pPr>
        <w:widowControl/>
        <w:adjustRightInd w:val="0"/>
        <w:snapToGrid w:val="0"/>
        <w:spacing w:line="420" w:lineRule="exact"/>
        <w:ind w:firstLine="420"/>
        <w:jc w:val="left"/>
        <w:rPr>
          <w:rFonts w:ascii="宋体" w:hAnsi="宋体" w:cs="Courier New"/>
          <w:bCs/>
          <w:color w:val="auto"/>
          <w:szCs w:val="21"/>
          <w:highlight w:val="none"/>
        </w:rPr>
      </w:pPr>
      <w:r>
        <w:rPr>
          <w:rFonts w:ascii="宋体" w:hAnsi="宋体" w:cs="Courier New"/>
          <w:bCs/>
          <w:color w:val="auto"/>
          <w:szCs w:val="21"/>
          <w:highlight w:val="none"/>
        </w:rPr>
        <w:t>3.</w:t>
      </w:r>
      <w:r>
        <w:rPr>
          <w:rFonts w:hint="eastAsia" w:hAnsi="宋体"/>
          <w:color w:val="auto"/>
          <w:highlight w:val="none"/>
        </w:rPr>
        <w:t>供应商对采购人、本中心质疑答复不满意或者采购人、本中心未在规定时间内作出答复的，可以在答复期满后十五个工作日内向同级采购监管部门投诉。</w:t>
      </w:r>
    </w:p>
    <w:p>
      <w:pPr>
        <w:pStyle w:val="21"/>
        <w:snapToGrid w:val="0"/>
        <w:spacing w:line="420" w:lineRule="exact"/>
        <w:ind w:firstLine="420"/>
        <w:rPr>
          <w:rFonts w:hAnsi="宋体"/>
          <w:bCs/>
          <w:color w:val="auto"/>
          <w:highlight w:val="none"/>
        </w:rPr>
      </w:pPr>
      <w:r>
        <w:rPr>
          <w:rFonts w:hAnsi="宋体"/>
          <w:bCs/>
          <w:color w:val="auto"/>
          <w:highlight w:val="none"/>
        </w:rPr>
        <w:t>4.</w:t>
      </w:r>
      <w:r>
        <w:rPr>
          <w:rFonts w:hint="eastAsia" w:hAnsi="宋体"/>
          <w:bCs/>
          <w:color w:val="auto"/>
          <w:highlight w:val="none"/>
        </w:rPr>
        <w:t>质疑、投诉应当采用书面形式，质疑书、投诉书均应明确阐述采购文件、采购过程或成交结果中使自己合法权益受到损害的实质性内容，提供相关事实、依据和证据及其来源或线索，便于有关单位调查、答复和处理。（质疑、投诉不接受传真形式）</w:t>
      </w:r>
    </w:p>
    <w:p>
      <w:pPr>
        <w:spacing w:line="420" w:lineRule="exact"/>
        <w:ind w:firstLine="420"/>
        <w:rPr>
          <w:color w:val="auto"/>
          <w:highlight w:val="none"/>
        </w:rPr>
      </w:pPr>
      <w:r>
        <w:rPr>
          <w:rFonts w:hint="eastAsia"/>
          <w:color w:val="auto"/>
          <w:highlight w:val="none"/>
        </w:rPr>
        <w:t>质疑部门联系方式：钦州市政府采购中心    0777-288600</w:t>
      </w:r>
      <w:r>
        <w:rPr>
          <w:color w:val="auto"/>
          <w:highlight w:val="none"/>
        </w:rPr>
        <w:t>2</w:t>
      </w:r>
    </w:p>
    <w:p>
      <w:pPr>
        <w:spacing w:line="420" w:lineRule="exact"/>
        <w:ind w:left="3150" w:leftChars="200" w:hanging="2730" w:hangingChars="1300"/>
        <w:rPr>
          <w:color w:val="auto"/>
          <w:highlight w:val="none"/>
        </w:rPr>
      </w:pPr>
      <w:r>
        <w:rPr>
          <w:rFonts w:hint="eastAsia"/>
          <w:color w:val="auto"/>
          <w:highlight w:val="none"/>
        </w:rPr>
        <w:t>采购监管部门联系方式：钦州市财政局      0777-2895258</w:t>
      </w:r>
    </w:p>
    <w:p>
      <w:pPr>
        <w:spacing w:line="400" w:lineRule="exact"/>
        <w:ind w:firstLine="211" w:firstLineChars="100"/>
        <w:rPr>
          <w:b/>
          <w:bCs/>
        </w:rPr>
      </w:pPr>
      <w:r>
        <w:rPr>
          <w:rFonts w:hint="eastAsia"/>
          <w:b/>
          <w:bCs/>
        </w:rPr>
        <w:t xml:space="preserve">（十）查询媒体 </w:t>
      </w:r>
      <w:r>
        <w:rPr>
          <w:rFonts w:hint="eastAsia" w:hAnsi="宋体"/>
        </w:rPr>
        <w:t>中国政府采购网、</w:t>
      </w:r>
      <w:r>
        <w:fldChar w:fldCharType="begin"/>
      </w:r>
      <w:r>
        <w:instrText xml:space="preserve"> HYPERLINK "http://zfcg.gxzf.gov.cn/" </w:instrText>
      </w:r>
      <w:r>
        <w:fldChar w:fldCharType="separate"/>
      </w:r>
      <w:r>
        <w:rPr>
          <w:rStyle w:val="42"/>
          <w:rFonts w:hint="eastAsia" w:hAnsi="宋体"/>
          <w:color w:val="auto"/>
          <w:u w:val="none"/>
        </w:rPr>
        <w:t>广西政府采购网</w:t>
      </w:r>
      <w:r>
        <w:rPr>
          <w:rStyle w:val="42"/>
          <w:rFonts w:hint="eastAsia" w:hAnsi="宋体"/>
          <w:color w:val="auto"/>
          <w:u w:val="none"/>
        </w:rPr>
        <w:fldChar w:fldCharType="end"/>
      </w:r>
      <w:r>
        <w:rPr>
          <w:rFonts w:hint="eastAsia" w:hAnsi="宋体"/>
        </w:rPr>
        <w:t>。</w:t>
      </w:r>
    </w:p>
    <w:p>
      <w:pPr>
        <w:pStyle w:val="4"/>
        <w:spacing w:line="420" w:lineRule="exact"/>
      </w:pPr>
      <w:bookmarkStart w:id="78" w:name="_Toc352700416"/>
      <w:bookmarkStart w:id="79" w:name="_Toc353785286"/>
      <w:r>
        <w:rPr>
          <w:rFonts w:hint="eastAsia"/>
        </w:rPr>
        <w:t>二、竞争性谈判采购文件</w:t>
      </w:r>
      <w:bookmarkEnd w:id="78"/>
      <w:bookmarkEnd w:id="79"/>
    </w:p>
    <w:p>
      <w:pPr>
        <w:spacing w:line="420" w:lineRule="exact"/>
        <w:ind w:firstLine="211" w:firstLineChars="100"/>
        <w:rPr>
          <w:b/>
          <w:bCs/>
        </w:rPr>
      </w:pPr>
      <w:bookmarkStart w:id="80" w:name="_Toc353785287"/>
      <w:bookmarkStart w:id="81" w:name="_Toc352700417"/>
      <w:r>
        <w:rPr>
          <w:rFonts w:hint="eastAsia"/>
          <w:b/>
          <w:bCs/>
        </w:rPr>
        <w:t>（一）竞争性谈判采购文件的组成</w:t>
      </w:r>
      <w:bookmarkEnd w:id="80"/>
      <w:bookmarkEnd w:id="81"/>
    </w:p>
    <w:p>
      <w:pPr>
        <w:pStyle w:val="21"/>
        <w:snapToGrid w:val="0"/>
        <w:spacing w:line="420" w:lineRule="exact"/>
        <w:ind w:firstLine="420" w:firstLineChars="200"/>
        <w:rPr>
          <w:rFonts w:hAnsi="宋体"/>
        </w:rPr>
      </w:pPr>
      <w:r>
        <w:rPr>
          <w:rFonts w:hint="eastAsia" w:hAnsi="宋体"/>
        </w:rPr>
        <w:t>第一章 竞争性谈判公告</w:t>
      </w:r>
    </w:p>
    <w:p>
      <w:pPr>
        <w:pStyle w:val="21"/>
        <w:snapToGrid w:val="0"/>
        <w:spacing w:line="420" w:lineRule="exact"/>
        <w:ind w:firstLine="420" w:firstLineChars="200"/>
        <w:rPr>
          <w:rFonts w:hAnsi="宋体"/>
        </w:rPr>
      </w:pPr>
      <w:r>
        <w:rPr>
          <w:rFonts w:hint="eastAsia" w:hAnsi="宋体"/>
        </w:rPr>
        <w:t>第二章 项目需求</w:t>
      </w:r>
    </w:p>
    <w:p>
      <w:pPr>
        <w:pStyle w:val="21"/>
        <w:snapToGrid w:val="0"/>
        <w:spacing w:line="420" w:lineRule="exact"/>
        <w:ind w:firstLine="420" w:firstLineChars="200"/>
        <w:rPr>
          <w:rFonts w:hAnsi="宋体"/>
        </w:rPr>
      </w:pPr>
      <w:r>
        <w:rPr>
          <w:rFonts w:hint="eastAsia" w:hAnsi="宋体"/>
        </w:rPr>
        <w:t>第三章 供应商须知</w:t>
      </w:r>
    </w:p>
    <w:p>
      <w:pPr>
        <w:pStyle w:val="21"/>
        <w:snapToGrid w:val="0"/>
        <w:spacing w:line="420" w:lineRule="exact"/>
        <w:ind w:firstLine="420" w:firstLineChars="200"/>
        <w:rPr>
          <w:rFonts w:hAnsi="宋体"/>
        </w:rPr>
      </w:pPr>
      <w:r>
        <w:rPr>
          <w:rFonts w:hint="eastAsia" w:hAnsi="宋体"/>
        </w:rPr>
        <w:t>第四章 评定标准及推荐原则</w:t>
      </w:r>
    </w:p>
    <w:p>
      <w:pPr>
        <w:pStyle w:val="21"/>
        <w:snapToGrid w:val="0"/>
        <w:spacing w:line="420" w:lineRule="exact"/>
        <w:ind w:firstLine="420" w:firstLineChars="200"/>
        <w:rPr>
          <w:rFonts w:hAnsi="宋体"/>
        </w:rPr>
      </w:pPr>
      <w:r>
        <w:rPr>
          <w:rFonts w:hint="eastAsia" w:hAnsi="宋体"/>
        </w:rPr>
        <w:t>第五章 合同文本</w:t>
      </w:r>
    </w:p>
    <w:p>
      <w:pPr>
        <w:pStyle w:val="21"/>
        <w:snapToGrid w:val="0"/>
        <w:spacing w:line="420" w:lineRule="exact"/>
        <w:ind w:firstLine="420" w:firstLineChars="200"/>
        <w:rPr>
          <w:rFonts w:hAnsi="宋体"/>
        </w:rPr>
      </w:pPr>
      <w:r>
        <w:rPr>
          <w:rFonts w:hint="eastAsia" w:hAnsi="宋体"/>
        </w:rPr>
        <w:t>第六章 响应文件格式</w:t>
      </w:r>
    </w:p>
    <w:p>
      <w:pPr>
        <w:spacing w:line="420" w:lineRule="exact"/>
        <w:ind w:firstLine="211" w:firstLineChars="100"/>
        <w:rPr>
          <w:b/>
          <w:bCs/>
        </w:rPr>
      </w:pPr>
      <w:bookmarkStart w:id="82" w:name="_Toc352700419"/>
      <w:bookmarkStart w:id="83" w:name="_Toc353785289"/>
      <w:r>
        <w:rPr>
          <w:rFonts w:hint="eastAsia"/>
          <w:b/>
          <w:bCs/>
        </w:rPr>
        <w:t>（二）竞争性谈判采购文件的澄清与修改</w:t>
      </w:r>
      <w:bookmarkEnd w:id="82"/>
      <w:bookmarkEnd w:id="83"/>
    </w:p>
    <w:p>
      <w:pPr>
        <w:pStyle w:val="21"/>
        <w:snapToGrid w:val="0"/>
        <w:spacing w:line="420" w:lineRule="exact"/>
        <w:ind w:firstLine="420"/>
        <w:jc w:val="left"/>
        <w:rPr>
          <w:rFonts w:hAnsi="宋体"/>
        </w:rPr>
      </w:pPr>
      <w:r>
        <w:rPr>
          <w:rFonts w:hint="eastAsia" w:hAnsi="宋体"/>
        </w:rPr>
        <w:t>1</w:t>
      </w:r>
      <w:r>
        <w:rPr>
          <w:rFonts w:hAnsi="宋体"/>
        </w:rPr>
        <w:t>.</w:t>
      </w:r>
      <w:r>
        <w:rPr>
          <w:rFonts w:hint="eastAsia" w:hAnsi="宋体"/>
        </w:rPr>
        <w:t>提交首次响应文件截止之日前，采购人、本中心或者谈判小组可以对已发出的谈判文件进行必要的澄清或者修改，澄清或者修改的内容作为谈判文件的组成部分。澄清或者修改应当在原公告发布媒体上发布澄清公告。澄清或者修改的内容可能影响响应文件编制的，采购人、本中心或者谈判小组应当在提交首次响应文件截止之日3个工作日前，以书面形式通知所有依法接收谈判文件的供应商，不足3个工作日的，应当顺延提交首次响应文件截止之日。</w:t>
      </w:r>
    </w:p>
    <w:p>
      <w:pPr>
        <w:pStyle w:val="21"/>
        <w:snapToGrid w:val="0"/>
        <w:spacing w:line="420" w:lineRule="exact"/>
        <w:ind w:firstLine="420"/>
        <w:jc w:val="left"/>
        <w:rPr>
          <w:rFonts w:hAnsi="宋体"/>
        </w:rPr>
      </w:pPr>
      <w:r>
        <w:rPr>
          <w:rFonts w:hint="eastAsia" w:hAnsi="宋体"/>
        </w:rPr>
        <w:t>2</w:t>
      </w:r>
      <w:r>
        <w:rPr>
          <w:rFonts w:hAnsi="宋体"/>
        </w:rPr>
        <w:t>.</w:t>
      </w:r>
      <w:r>
        <w:rPr>
          <w:rFonts w:hint="eastAsia" w:hAnsi="宋体"/>
        </w:rPr>
        <w:t>提供期限届满后，获取谈判文件的供应商不足3家的，本中心可以顺延提供期限，并予公告。</w:t>
      </w:r>
    </w:p>
    <w:p>
      <w:pPr>
        <w:pStyle w:val="4"/>
        <w:spacing w:line="420" w:lineRule="exact"/>
      </w:pPr>
      <w:r>
        <w:rPr>
          <w:rFonts w:hint="eastAsia"/>
        </w:rPr>
        <w:t>三、响应文件</w:t>
      </w:r>
    </w:p>
    <w:p>
      <w:pPr>
        <w:spacing w:line="420" w:lineRule="exact"/>
        <w:ind w:firstLine="211" w:firstLineChars="100"/>
        <w:rPr>
          <w:rFonts w:hAnsi="宋体"/>
          <w:b/>
          <w:bCs/>
        </w:rPr>
      </w:pPr>
      <w:r>
        <w:rPr>
          <w:rFonts w:hint="eastAsia" w:hAnsi="宋体"/>
          <w:b/>
          <w:bCs/>
        </w:rPr>
        <w:t>（一）供应商的风险</w:t>
      </w:r>
    </w:p>
    <w:p>
      <w:pPr>
        <w:spacing w:line="420" w:lineRule="exact"/>
        <w:ind w:firstLine="420"/>
        <w:rPr>
          <w:rFonts w:hAnsi="宋体"/>
        </w:rPr>
      </w:pPr>
      <w:r>
        <w:rPr>
          <w:rFonts w:hAnsi="宋体"/>
        </w:rPr>
        <w:t>1.</w:t>
      </w:r>
      <w:r>
        <w:rPr>
          <w:rFonts w:hint="eastAsia" w:hAnsi="宋体"/>
        </w:rPr>
        <w:t>供应商应当按照谈判文件的要求编制响应文件，并对其提交的响应文件的真实性、合法性承担法律责任。</w:t>
      </w:r>
    </w:p>
    <w:p>
      <w:pPr>
        <w:spacing w:line="420" w:lineRule="exact"/>
        <w:ind w:firstLine="420"/>
        <w:rPr>
          <w:rFonts w:hAnsi="宋体"/>
        </w:rPr>
      </w:pPr>
      <w:r>
        <w:rPr>
          <w:rFonts w:hAnsi="宋体"/>
        </w:rPr>
        <w:t>2.</w:t>
      </w:r>
      <w:r>
        <w:rPr>
          <w:rFonts w:hint="eastAsia" w:hAnsi="宋体"/>
        </w:rPr>
        <w:t>供应商在采购活动中提供任何虚假材料的，谈判小组将报财政部门查处。</w:t>
      </w:r>
    </w:p>
    <w:p>
      <w:pPr>
        <w:snapToGrid w:val="0"/>
        <w:spacing w:line="420" w:lineRule="exact"/>
        <w:ind w:firstLine="211" w:firstLineChars="100"/>
        <w:rPr>
          <w:rFonts w:ascii="宋体" w:hAnsi="宋体"/>
          <w:b/>
          <w:szCs w:val="21"/>
        </w:rPr>
      </w:pPr>
      <w:r>
        <w:rPr>
          <w:rFonts w:hint="eastAsia" w:hAnsi="宋体"/>
          <w:b/>
          <w:bCs/>
        </w:rPr>
        <w:t>（二）</w:t>
      </w:r>
      <w:r>
        <w:rPr>
          <w:rFonts w:hint="eastAsia" w:ascii="宋体" w:hAnsi="宋体"/>
          <w:b/>
          <w:szCs w:val="21"/>
        </w:rPr>
        <w:t>响应文件的组成</w:t>
      </w:r>
    </w:p>
    <w:p>
      <w:pPr>
        <w:snapToGrid w:val="0"/>
        <w:spacing w:line="420" w:lineRule="exact"/>
        <w:ind w:firstLine="422"/>
        <w:rPr>
          <w:rFonts w:ascii="宋体" w:hAnsi="宋体"/>
          <w:b/>
          <w:szCs w:val="21"/>
        </w:rPr>
      </w:pPr>
      <w:bookmarkStart w:id="84" w:name="_Hlk92285760"/>
      <w:r>
        <w:rPr>
          <w:rFonts w:ascii="宋体" w:hAnsi="宋体"/>
          <w:b/>
          <w:szCs w:val="21"/>
        </w:rPr>
        <w:t>1.</w:t>
      </w:r>
      <w:r>
        <w:rPr>
          <w:rFonts w:hint="eastAsia" w:ascii="宋体" w:hAnsi="宋体"/>
          <w:b/>
          <w:szCs w:val="21"/>
        </w:rPr>
        <w:t>资格文件：</w:t>
      </w:r>
    </w:p>
    <w:p>
      <w:pPr>
        <w:tabs>
          <w:tab w:val="left" w:pos="3870"/>
          <w:tab w:val="left" w:pos="4085"/>
        </w:tabs>
        <w:snapToGrid w:val="0"/>
        <w:spacing w:line="420" w:lineRule="exact"/>
        <w:ind w:firstLine="420"/>
        <w:rPr>
          <w:rFonts w:ascii="宋体" w:hAnsi="宋体"/>
          <w:szCs w:val="21"/>
        </w:rPr>
      </w:pPr>
      <w:r>
        <w:rPr>
          <w:rFonts w:hint="eastAsia" w:ascii="宋体" w:hAnsi="宋体" w:cs="宋体"/>
          <w:bCs/>
          <w:kern w:val="0"/>
          <w:szCs w:val="21"/>
        </w:rPr>
        <w:t>★</w:t>
      </w:r>
      <w:bookmarkStart w:id="85" w:name="_Hlk90369149"/>
      <w:r>
        <w:rPr>
          <w:rFonts w:hint="eastAsia" w:ascii="宋体" w:hAnsi="宋体"/>
          <w:szCs w:val="21"/>
        </w:rPr>
        <w:t>(</w:t>
      </w:r>
      <w:r>
        <w:rPr>
          <w:rFonts w:ascii="宋体" w:hAnsi="宋体"/>
          <w:szCs w:val="21"/>
        </w:rPr>
        <w:t>1)</w:t>
      </w:r>
      <w:r>
        <w:rPr>
          <w:rFonts w:hint="eastAsia" w:ascii="宋体" w:hAnsi="宋体"/>
          <w:szCs w:val="21"/>
        </w:rPr>
        <w:t>法人或者其他组织的营业执照等证明文件</w:t>
      </w:r>
    </w:p>
    <w:bookmarkEnd w:id="85"/>
    <w:p>
      <w:pPr>
        <w:tabs>
          <w:tab w:val="left" w:pos="3870"/>
          <w:tab w:val="left" w:pos="4085"/>
        </w:tabs>
        <w:snapToGrid w:val="0"/>
        <w:spacing w:line="420" w:lineRule="exact"/>
        <w:ind w:firstLine="420"/>
        <w:rPr>
          <w:rFonts w:ascii="宋体" w:hAnsi="宋体" w:cs="宋体"/>
          <w:szCs w:val="21"/>
        </w:rPr>
      </w:pPr>
      <w:r>
        <w:rPr>
          <w:rFonts w:hint="eastAsia" w:ascii="宋体" w:hAnsi="宋体" w:cs="宋体"/>
          <w:bCs/>
          <w:kern w:val="0"/>
          <w:szCs w:val="21"/>
        </w:rPr>
        <w:t>★(</w:t>
      </w:r>
      <w:r>
        <w:rPr>
          <w:rFonts w:ascii="宋体" w:hAnsi="宋体" w:cs="宋体"/>
          <w:bCs/>
          <w:kern w:val="0"/>
          <w:szCs w:val="21"/>
        </w:rPr>
        <w:t>2)</w:t>
      </w:r>
      <w:bookmarkStart w:id="86" w:name="_Hlk147761368"/>
      <w:r>
        <w:rPr>
          <w:rFonts w:hint="eastAsia" w:ascii="宋体" w:hAnsi="宋体"/>
          <w:szCs w:val="21"/>
        </w:rPr>
        <w:t>供应商具备参加政府采购活动条件的承诺书</w:t>
      </w:r>
      <w:r>
        <w:rPr>
          <w:rFonts w:hint="eastAsia" w:ascii="宋体" w:hAnsi="宋体" w:cs="宋体"/>
          <w:szCs w:val="21"/>
        </w:rPr>
        <w:t>(格式见第六章</w:t>
      </w:r>
      <w:r>
        <w:rPr>
          <w:rFonts w:ascii="宋体" w:hAnsi="宋体" w:cs="宋体"/>
          <w:szCs w:val="21"/>
        </w:rPr>
        <w:t>）</w:t>
      </w:r>
      <w:bookmarkEnd w:id="86"/>
    </w:p>
    <w:p>
      <w:pPr>
        <w:tabs>
          <w:tab w:val="left" w:pos="3870"/>
          <w:tab w:val="left" w:pos="4085"/>
        </w:tabs>
        <w:snapToGrid w:val="0"/>
        <w:spacing w:line="420" w:lineRule="exact"/>
        <w:ind w:firstLine="420"/>
        <w:rPr>
          <w:rFonts w:hint="eastAsia" w:hAnsi="宋体"/>
          <w:spacing w:val="-4"/>
        </w:rPr>
      </w:pPr>
      <w:r>
        <w:rPr>
          <w:rFonts w:hint="eastAsia" w:ascii="宋体" w:hAnsi="宋体" w:cs="宋体"/>
          <w:bCs/>
          <w:kern w:val="0"/>
          <w:szCs w:val="21"/>
        </w:rPr>
        <w:t>★(</w:t>
      </w:r>
      <w:r>
        <w:rPr>
          <w:rFonts w:ascii="宋体" w:hAnsi="宋体" w:cs="宋体"/>
          <w:bCs/>
          <w:kern w:val="0"/>
          <w:szCs w:val="21"/>
        </w:rPr>
        <w:t>3)</w:t>
      </w:r>
      <w:r>
        <w:rPr>
          <w:rFonts w:hint="eastAsia" w:hAnsi="宋体"/>
          <w:spacing w:val="-4"/>
        </w:rPr>
        <w:t>参加政府采购活动前3年内在经营活动中没有重大违法记录的书面声明(格式见第六章)</w:t>
      </w:r>
    </w:p>
    <w:p>
      <w:pPr>
        <w:tabs>
          <w:tab w:val="left" w:pos="3870"/>
          <w:tab w:val="left" w:pos="4085"/>
        </w:tabs>
        <w:snapToGrid w:val="0"/>
        <w:spacing w:line="406" w:lineRule="exact"/>
        <w:ind w:firstLine="420"/>
        <w:rPr>
          <w:rFonts w:hint="eastAsia" w:ascii="宋体" w:hAnsi="宋体" w:cs="宋体"/>
          <w:bCs/>
          <w:color w:val="auto"/>
          <w:kern w:val="0"/>
          <w:szCs w:val="21"/>
          <w:highlight w:val="none"/>
        </w:rPr>
      </w:pPr>
      <w:bookmarkStart w:id="87" w:name="_Hlk111726071"/>
      <w:r>
        <w:rPr>
          <w:rFonts w:hint="eastAsia" w:ascii="宋体" w:hAnsi="宋体" w:cs="宋体"/>
          <w:bCs/>
          <w:color w:val="auto"/>
          <w:kern w:val="0"/>
          <w:szCs w:val="21"/>
          <w:highlight w:val="none"/>
        </w:rPr>
        <w:t>★(</w:t>
      </w:r>
      <w:r>
        <w:rPr>
          <w:rFonts w:ascii="宋体" w:hAnsi="宋体" w:cs="宋体"/>
          <w:bCs/>
          <w:color w:val="auto"/>
          <w:kern w:val="0"/>
          <w:szCs w:val="21"/>
          <w:highlight w:val="none"/>
        </w:rPr>
        <w:t>4)</w:t>
      </w:r>
      <w:r>
        <w:rPr>
          <w:rFonts w:hint="eastAsia"/>
          <w:color w:val="auto"/>
          <w:highlight w:val="none"/>
        </w:rPr>
        <w:t>《</w:t>
      </w:r>
      <w:r>
        <w:rPr>
          <w:rFonts w:hint="eastAsia" w:ascii="宋体" w:hAnsi="宋体" w:cs="宋体"/>
          <w:bCs/>
          <w:color w:val="auto"/>
          <w:kern w:val="0"/>
          <w:szCs w:val="21"/>
          <w:highlight w:val="none"/>
        </w:rPr>
        <w:t>中小企业声明函</w:t>
      </w:r>
      <w:r>
        <w:rPr>
          <w:rFonts w:hint="eastAsia"/>
          <w:color w:val="auto"/>
          <w:highlight w:val="none"/>
        </w:rPr>
        <w:t>》</w:t>
      </w:r>
      <w:r>
        <w:rPr>
          <w:rFonts w:hint="eastAsia" w:ascii="宋体" w:hAnsi="宋体" w:cs="宋体"/>
          <w:bCs/>
          <w:color w:val="auto"/>
          <w:kern w:val="0"/>
          <w:szCs w:val="21"/>
          <w:highlight w:val="none"/>
        </w:rPr>
        <w:t>(格式见第六章)</w:t>
      </w:r>
    </w:p>
    <w:bookmarkEnd w:id="87"/>
    <w:p>
      <w:pPr>
        <w:snapToGrid w:val="0"/>
        <w:spacing w:line="420" w:lineRule="exact"/>
        <w:ind w:firstLine="422"/>
        <w:rPr>
          <w:rFonts w:ascii="宋体" w:hAnsi="宋体"/>
          <w:b/>
          <w:szCs w:val="21"/>
        </w:rPr>
      </w:pPr>
      <w:r>
        <w:rPr>
          <w:rFonts w:ascii="宋体" w:hAnsi="宋体"/>
          <w:b/>
          <w:szCs w:val="21"/>
        </w:rPr>
        <w:t>2.</w:t>
      </w:r>
      <w:r>
        <w:rPr>
          <w:rFonts w:hint="eastAsia" w:ascii="宋体" w:hAnsi="宋体"/>
          <w:b/>
          <w:szCs w:val="21"/>
        </w:rPr>
        <w:t>商务技术文件：</w:t>
      </w:r>
    </w:p>
    <w:p>
      <w:pPr>
        <w:tabs>
          <w:tab w:val="left" w:pos="3870"/>
          <w:tab w:val="left" w:pos="4085"/>
        </w:tabs>
        <w:snapToGrid w:val="0"/>
        <w:spacing w:line="420" w:lineRule="exact"/>
        <w:ind w:firstLine="420" w:firstLineChars="200"/>
        <w:rPr>
          <w:rFonts w:ascii="宋体" w:hAnsi="宋体"/>
          <w:szCs w:val="21"/>
        </w:rPr>
      </w:pPr>
      <w:r>
        <w:rPr>
          <w:rFonts w:hint="eastAsia" w:ascii="宋体" w:hAnsi="宋体" w:cs="宋体"/>
          <w:bCs/>
          <w:kern w:val="0"/>
          <w:szCs w:val="21"/>
        </w:rPr>
        <w:t>★</w:t>
      </w:r>
      <w:r>
        <w:rPr>
          <w:rFonts w:hint="eastAsia" w:ascii="宋体" w:hAnsi="宋体"/>
          <w:szCs w:val="21"/>
        </w:rPr>
        <w:t>(1</w:t>
      </w:r>
      <w:r>
        <w:rPr>
          <w:rFonts w:ascii="宋体" w:hAnsi="宋体"/>
          <w:szCs w:val="21"/>
        </w:rPr>
        <w:t>)</w:t>
      </w:r>
      <w:r>
        <w:rPr>
          <w:rFonts w:hint="eastAsia" w:ascii="宋体" w:hAnsi="宋体"/>
          <w:szCs w:val="21"/>
        </w:rPr>
        <w:t>谈判函（格式见第六章）</w:t>
      </w:r>
    </w:p>
    <w:p>
      <w:pPr>
        <w:tabs>
          <w:tab w:val="left" w:pos="3870"/>
          <w:tab w:val="left" w:pos="4085"/>
        </w:tabs>
        <w:snapToGrid w:val="0"/>
        <w:spacing w:line="420" w:lineRule="exact"/>
        <w:ind w:firstLine="420" w:firstLineChars="200"/>
        <w:rPr>
          <w:rFonts w:ascii="宋体" w:hAnsi="宋体"/>
          <w:szCs w:val="21"/>
        </w:rPr>
      </w:pPr>
      <w:r>
        <w:rPr>
          <w:rFonts w:hint="eastAsia" w:ascii="宋体" w:hAnsi="宋体" w:cs="宋体"/>
          <w:bCs/>
          <w:kern w:val="0"/>
          <w:szCs w:val="21"/>
        </w:rPr>
        <w:t>★</w:t>
      </w:r>
      <w:r>
        <w:rPr>
          <w:rFonts w:hint="eastAsia" w:ascii="宋体" w:hAnsi="宋体"/>
          <w:szCs w:val="21"/>
        </w:rPr>
        <w:t>(2</w:t>
      </w:r>
      <w:r>
        <w:rPr>
          <w:rFonts w:ascii="宋体" w:hAnsi="宋体"/>
          <w:szCs w:val="21"/>
        </w:rPr>
        <w:t>)</w:t>
      </w:r>
      <w:r>
        <w:rPr>
          <w:rFonts w:hint="eastAsia" w:ascii="宋体" w:hAnsi="宋体"/>
          <w:szCs w:val="21"/>
        </w:rPr>
        <w:t>法定代表人身份证</w:t>
      </w:r>
    </w:p>
    <w:p>
      <w:pPr>
        <w:snapToGrid w:val="0"/>
        <w:spacing w:line="42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法定代表人授权委托书和代理人身份证（委托代理时必须提供，格式见第六章）</w:t>
      </w:r>
    </w:p>
    <w:p>
      <w:pPr>
        <w:snapToGrid w:val="0"/>
        <w:spacing w:line="420" w:lineRule="exact"/>
        <w:ind w:firstLine="422" w:firstLineChars="200"/>
        <w:rPr>
          <w:rFonts w:ascii="宋体" w:hAnsi="宋体"/>
          <w:szCs w:val="21"/>
        </w:rPr>
      </w:pPr>
      <w:r>
        <w:rPr>
          <w:rFonts w:hint="eastAsia" w:ascii="宋体" w:hAnsi="宋体"/>
          <w:b/>
          <w:szCs w:val="21"/>
        </w:rPr>
        <w:t>★</w:t>
      </w:r>
      <w:r>
        <w:rPr>
          <w:rFonts w:hint="eastAsia" w:ascii="宋体" w:hAnsi="宋体"/>
          <w:szCs w:val="21"/>
        </w:rPr>
        <w:t>(4</w:t>
      </w:r>
      <w:r>
        <w:rPr>
          <w:rFonts w:ascii="宋体" w:hAnsi="宋体"/>
          <w:szCs w:val="21"/>
        </w:rPr>
        <w:t>)</w:t>
      </w:r>
      <w:r>
        <w:rPr>
          <w:rFonts w:ascii="宋体" w:hAnsi="宋体"/>
        </w:rPr>
        <w:t>商务响应表(格式见第六章)</w:t>
      </w:r>
    </w:p>
    <w:p>
      <w:pPr>
        <w:snapToGrid w:val="0"/>
        <w:spacing w:line="420" w:lineRule="exact"/>
        <w:ind w:firstLine="422" w:firstLineChars="200"/>
        <w:rPr>
          <w:rFonts w:ascii="宋体" w:hAnsi="宋体"/>
        </w:rPr>
      </w:pPr>
      <w:bookmarkStart w:id="88" w:name="_Hlk111707698"/>
      <w:r>
        <w:rPr>
          <w:rFonts w:hint="eastAsia" w:ascii="宋体" w:hAnsi="宋体"/>
          <w:b/>
          <w:szCs w:val="21"/>
        </w:rPr>
        <w:t>★</w:t>
      </w:r>
      <w:r>
        <w:rPr>
          <w:rFonts w:hint="eastAsia" w:ascii="宋体" w:hAnsi="宋体"/>
        </w:rPr>
        <w:t>(5</w:t>
      </w:r>
      <w:r>
        <w:rPr>
          <w:rFonts w:ascii="宋体" w:hAnsi="宋体"/>
        </w:rPr>
        <w:t>)</w:t>
      </w:r>
      <w:r>
        <w:rPr>
          <w:rFonts w:hint="eastAsia" w:ascii="宋体" w:hAnsi="宋体"/>
          <w:szCs w:val="21"/>
        </w:rPr>
        <w:t>技术响应表</w:t>
      </w:r>
      <w:bookmarkStart w:id="89" w:name="_Hlk92285954"/>
      <w:r>
        <w:rPr>
          <w:rFonts w:ascii="宋体" w:hAnsi="宋体"/>
        </w:rPr>
        <w:t>(格式见第六章)</w:t>
      </w:r>
      <w:bookmarkEnd w:id="89"/>
    </w:p>
    <w:p>
      <w:pPr>
        <w:snapToGrid w:val="0"/>
        <w:spacing w:line="420" w:lineRule="exact"/>
        <w:ind w:firstLine="420" w:firstLineChars="200"/>
        <w:rPr>
          <w:rFonts w:ascii="宋体" w:hAnsi="宋体"/>
          <w:szCs w:val="21"/>
        </w:rPr>
      </w:pPr>
      <w:r>
        <w:rPr>
          <w:rFonts w:hint="eastAsia" w:ascii="宋体" w:hAnsi="宋体"/>
          <w:szCs w:val="21"/>
        </w:rPr>
        <w:t>★(6</w:t>
      </w:r>
      <w:r>
        <w:rPr>
          <w:rFonts w:ascii="宋体" w:hAnsi="宋体"/>
          <w:szCs w:val="21"/>
        </w:rPr>
        <w:t>)</w:t>
      </w:r>
      <w:bookmarkStart w:id="90" w:name="OLE_LINK14"/>
      <w:r>
        <w:rPr>
          <w:rFonts w:hint="eastAsia" w:ascii="宋体" w:hAnsi="宋体"/>
          <w:szCs w:val="21"/>
        </w:rPr>
        <w:t>《项目需求》中要求必须提供的材料</w:t>
      </w:r>
      <w:bookmarkEnd w:id="90"/>
    </w:p>
    <w:p>
      <w:pPr>
        <w:snapToGrid w:val="0"/>
        <w:spacing w:line="420" w:lineRule="exact"/>
        <w:ind w:firstLine="422" w:firstLineChars="200"/>
        <w:rPr>
          <w:rFonts w:ascii="宋体" w:hAnsi="宋体"/>
        </w:rPr>
      </w:pPr>
      <w:r>
        <w:rPr>
          <w:rFonts w:hint="eastAsia" w:ascii="宋体" w:hAnsi="宋体"/>
          <w:b/>
          <w:szCs w:val="21"/>
        </w:rPr>
        <w:t xml:space="preserve"> </w:t>
      </w:r>
      <w:r>
        <w:rPr>
          <w:rFonts w:hint="eastAsia" w:ascii="宋体" w:cs="宋体"/>
          <w:bCs/>
          <w:kern w:val="0"/>
          <w:szCs w:val="21"/>
        </w:rPr>
        <w:t>(7</w:t>
      </w:r>
      <w:r>
        <w:rPr>
          <w:rFonts w:ascii="宋体" w:cs="宋体"/>
          <w:bCs/>
          <w:kern w:val="0"/>
          <w:szCs w:val="21"/>
        </w:rPr>
        <w:t>)</w:t>
      </w:r>
      <w:r>
        <w:rPr>
          <w:rFonts w:hint="eastAsia" w:ascii="宋体" w:cs="宋体"/>
          <w:kern w:val="0"/>
          <w:szCs w:val="21"/>
        </w:rPr>
        <w:t>售后服务方案</w:t>
      </w:r>
      <w:r>
        <w:rPr>
          <w:rFonts w:hint="eastAsia" w:ascii="宋体" w:cs="宋体"/>
          <w:bCs/>
          <w:kern w:val="0"/>
          <w:szCs w:val="21"/>
        </w:rPr>
        <w:t>（根据项目需求要求提供，格式自拟）</w:t>
      </w:r>
    </w:p>
    <w:bookmarkEnd w:id="88"/>
    <w:p>
      <w:pPr>
        <w:snapToGrid w:val="0"/>
        <w:spacing w:line="420" w:lineRule="exact"/>
        <w:ind w:firstLine="630" w:firstLineChars="300"/>
        <w:rPr>
          <w:rFonts w:ascii="宋体" w:hAnsi="宋体"/>
          <w:szCs w:val="21"/>
        </w:rPr>
      </w:pPr>
      <w:r>
        <w:rPr>
          <w:rFonts w:hint="eastAsia" w:ascii="宋体" w:hAnsi="宋体"/>
          <w:szCs w:val="21"/>
        </w:rPr>
        <w:t>(8</w:t>
      </w:r>
      <w:r>
        <w:rPr>
          <w:rFonts w:ascii="宋体" w:hAnsi="宋体"/>
          <w:szCs w:val="21"/>
        </w:rPr>
        <w:t>)</w:t>
      </w:r>
      <w:r>
        <w:rPr>
          <w:rFonts w:hint="eastAsia" w:ascii="宋体" w:hAnsi="宋体"/>
        </w:rPr>
        <w:t>供应商认为有必要提供的声明或材料</w:t>
      </w:r>
    </w:p>
    <w:p>
      <w:pPr>
        <w:snapToGrid w:val="0"/>
        <w:spacing w:line="420" w:lineRule="exact"/>
        <w:ind w:firstLine="422"/>
        <w:rPr>
          <w:rFonts w:ascii="宋体" w:hAnsi="宋体"/>
          <w:b/>
          <w:szCs w:val="21"/>
        </w:rPr>
      </w:pPr>
      <w:r>
        <w:rPr>
          <w:rFonts w:ascii="宋体" w:hAnsi="宋体"/>
          <w:b/>
          <w:szCs w:val="21"/>
        </w:rPr>
        <w:t>3.</w:t>
      </w:r>
      <w:r>
        <w:rPr>
          <w:rFonts w:hint="eastAsia" w:ascii="宋体" w:hAnsi="宋体"/>
          <w:b/>
          <w:szCs w:val="21"/>
        </w:rPr>
        <w:t>报价文件</w:t>
      </w:r>
    </w:p>
    <w:p>
      <w:pPr>
        <w:snapToGrid w:val="0"/>
        <w:spacing w:line="420" w:lineRule="exact"/>
        <w:rPr>
          <w:rFonts w:ascii="宋体" w:hAnsi="宋体"/>
          <w:bCs/>
          <w:szCs w:val="21"/>
        </w:rPr>
      </w:pPr>
      <w:bookmarkStart w:id="91" w:name="_Hlk92265738"/>
      <w:r>
        <w:rPr>
          <w:rFonts w:hint="eastAsia" w:ascii="宋体" w:hAnsi="宋体"/>
          <w:b/>
          <w:szCs w:val="21"/>
        </w:rPr>
        <w:t xml:space="preserve"> </w:t>
      </w:r>
      <w:r>
        <w:rPr>
          <w:rFonts w:ascii="宋体" w:hAnsi="宋体"/>
          <w:b/>
          <w:szCs w:val="21"/>
        </w:rPr>
        <w:t xml:space="preserve">   </w:t>
      </w:r>
      <w:r>
        <w:rPr>
          <w:rFonts w:hint="eastAsia" w:ascii="宋体" w:hAnsi="宋体"/>
          <w:b/>
          <w:szCs w:val="21"/>
        </w:rPr>
        <w:t>★</w:t>
      </w:r>
      <w:r>
        <w:rPr>
          <w:rFonts w:hint="eastAsia" w:ascii="宋体" w:hAnsi="宋体"/>
          <w:bCs/>
          <w:szCs w:val="21"/>
        </w:rPr>
        <w:t>报价明细表</w:t>
      </w:r>
      <w:bookmarkEnd w:id="91"/>
      <w:r>
        <w:rPr>
          <w:rFonts w:hint="eastAsia" w:ascii="宋体" w:hAnsi="宋体"/>
          <w:bCs/>
          <w:szCs w:val="21"/>
        </w:rPr>
        <w:t>(格式见第六章)。</w:t>
      </w:r>
    </w:p>
    <w:bookmarkEnd w:id="84"/>
    <w:p>
      <w:pPr>
        <w:snapToGrid w:val="0"/>
        <w:spacing w:line="420" w:lineRule="exact"/>
        <w:ind w:firstLine="422"/>
        <w:rPr>
          <w:rFonts w:ascii="宋体" w:hAnsi="宋体"/>
          <w:szCs w:val="21"/>
        </w:rPr>
      </w:pPr>
      <w:r>
        <w:rPr>
          <w:rFonts w:hint="eastAsia" w:ascii="宋体" w:hAnsi="宋体"/>
          <w:szCs w:val="21"/>
        </w:rPr>
        <w:t>注：标注★号的材料均为必须提供的材料须由供应商加盖公章，授权委托书必须由法定代表人签名，否则视为无效响应文件。</w:t>
      </w:r>
    </w:p>
    <w:p>
      <w:pPr>
        <w:spacing w:line="420" w:lineRule="exact"/>
        <w:ind w:firstLine="211" w:firstLineChars="100"/>
        <w:rPr>
          <w:rFonts w:ascii="宋体" w:hAnsi="宋体"/>
          <w:b/>
          <w:bCs/>
          <w:szCs w:val="21"/>
        </w:rPr>
      </w:pPr>
      <w:bookmarkStart w:id="92" w:name="_Hlk90906323"/>
      <w:r>
        <w:rPr>
          <w:rFonts w:hint="eastAsia" w:ascii="宋体" w:hAnsi="宋体"/>
          <w:b/>
          <w:szCs w:val="21"/>
        </w:rPr>
        <w:t>（三）</w:t>
      </w:r>
      <w:bookmarkStart w:id="93" w:name="_Toc352700422"/>
      <w:bookmarkStart w:id="94" w:name="_Toc254970537"/>
      <w:bookmarkStart w:id="95" w:name="_Toc353785292"/>
      <w:bookmarkStart w:id="96" w:name="_Toc254970678"/>
      <w:r>
        <w:rPr>
          <w:rFonts w:hint="eastAsia" w:ascii="宋体" w:hAnsi="宋体"/>
          <w:b/>
          <w:bCs/>
          <w:szCs w:val="21"/>
        </w:rPr>
        <w:t>响应文件的编制、签署及加密</w:t>
      </w:r>
    </w:p>
    <w:p>
      <w:pPr>
        <w:spacing w:line="420" w:lineRule="exact"/>
        <w:ind w:firstLine="420"/>
        <w:rPr>
          <w:rFonts w:ascii="宋体" w:hAnsi="宋体"/>
          <w:szCs w:val="21"/>
        </w:rPr>
      </w:pPr>
      <w:r>
        <w:rPr>
          <w:rFonts w:ascii="宋体" w:hAnsi="宋体"/>
          <w:szCs w:val="21"/>
        </w:rPr>
        <w:t>1.</w:t>
      </w:r>
      <w:r>
        <w:rPr>
          <w:rFonts w:hint="eastAsia" w:ascii="宋体" w:hAnsi="宋体"/>
          <w:szCs w:val="21"/>
        </w:rPr>
        <w:t>供应商应认真阅读、并充分理解招标文件的全部内容(包括所有的补充、修改内容)，承诺履行其各项条款的规定并按要求编制，响应文件应为电子文件或扫描件(样品除外)。</w:t>
      </w:r>
    </w:p>
    <w:p>
      <w:pPr>
        <w:spacing w:line="420" w:lineRule="exact"/>
        <w:ind w:firstLine="420"/>
        <w:rPr>
          <w:rFonts w:ascii="宋体" w:hAnsi="宋体"/>
          <w:szCs w:val="21"/>
        </w:rPr>
      </w:pPr>
      <w:r>
        <w:rPr>
          <w:rFonts w:ascii="宋体" w:hAnsi="宋体"/>
          <w:szCs w:val="21"/>
        </w:rPr>
        <w:t>2.</w:t>
      </w:r>
      <w:r>
        <w:rPr>
          <w:rFonts w:hint="eastAsia" w:ascii="宋体" w:hAnsi="宋体"/>
          <w:szCs w:val="21"/>
        </w:rPr>
        <w:t>供应商应通过广西政府采购云平台客户端编制加密响应文件。</w:t>
      </w:r>
    </w:p>
    <w:p>
      <w:pPr>
        <w:spacing w:line="420" w:lineRule="exact"/>
        <w:ind w:firstLine="420"/>
        <w:rPr>
          <w:rFonts w:ascii="宋体" w:hAnsi="宋体"/>
          <w:szCs w:val="21"/>
        </w:rPr>
      </w:pPr>
      <w:r>
        <w:rPr>
          <w:rFonts w:ascii="宋体" w:hAnsi="宋体"/>
          <w:szCs w:val="21"/>
        </w:rPr>
        <w:t>3.</w:t>
      </w:r>
      <w:r>
        <w:rPr>
          <w:rFonts w:hint="eastAsia" w:ascii="宋体" w:hAnsi="宋体"/>
          <w:szCs w:val="21"/>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pPr>
        <w:spacing w:line="420" w:lineRule="exact"/>
        <w:rPr>
          <w:rFonts w:ascii="宋体" w:hAnsi="宋体"/>
          <w:b/>
          <w:bCs/>
          <w:szCs w:val="21"/>
        </w:rPr>
      </w:pPr>
      <w:r>
        <w:rPr>
          <w:rFonts w:ascii="宋体" w:hAnsi="宋体"/>
          <w:szCs w:val="21"/>
        </w:rPr>
        <w:tab/>
      </w:r>
      <w:r>
        <w:rPr>
          <w:rFonts w:ascii="宋体" w:hAnsi="宋体"/>
          <w:b/>
          <w:bCs/>
          <w:szCs w:val="21"/>
        </w:rPr>
        <w:t>4.</w:t>
      </w:r>
      <w:bookmarkStart w:id="97" w:name="_Hlk112311085"/>
      <w:r>
        <w:rPr>
          <w:rFonts w:hint="eastAsia" w:ascii="宋体" w:hAnsi="宋体"/>
          <w:b/>
          <w:bCs/>
          <w:szCs w:val="21"/>
        </w:rPr>
        <w:t>响应文件由供应商在规定位置由法定代表人或授权委托人签名（可为电子签名）、填写供应商名称并加盖公章(简称“盖章”，可为电子公章)，供应商名称应写全称。</w:t>
      </w:r>
      <w:bookmarkEnd w:id="97"/>
    </w:p>
    <w:p>
      <w:pPr>
        <w:snapToGrid w:val="0"/>
        <w:spacing w:line="420" w:lineRule="exact"/>
        <w:ind w:firstLine="210" w:firstLineChars="100"/>
        <w:rPr>
          <w:rFonts w:ascii="宋体" w:hAnsi="宋体"/>
          <w:b/>
          <w:bCs/>
          <w:szCs w:val="21"/>
        </w:rPr>
      </w:pPr>
      <w:r>
        <w:rPr>
          <w:rFonts w:ascii="宋体" w:hAnsi="宋体"/>
          <w:szCs w:val="21"/>
        </w:rPr>
        <w:tab/>
      </w:r>
      <w:r>
        <w:rPr>
          <w:rFonts w:ascii="宋体" w:hAnsi="宋体"/>
          <w:szCs w:val="21"/>
        </w:rPr>
        <w:t>5.</w:t>
      </w:r>
      <w:r>
        <w:rPr>
          <w:rFonts w:hint="eastAsia" w:ascii="宋体" w:hAnsi="宋体"/>
          <w:szCs w:val="21"/>
        </w:rPr>
        <w:t>响应文件内容不完整、编排混乱、不清晰等原因导致被误读或漏读的责任和后果由供应商承担。</w:t>
      </w:r>
    </w:p>
    <w:bookmarkEnd w:id="92"/>
    <w:p>
      <w:pPr>
        <w:spacing w:line="420" w:lineRule="exact"/>
        <w:ind w:firstLine="211" w:firstLineChars="100"/>
      </w:pPr>
      <w:r>
        <w:rPr>
          <w:rFonts w:hint="eastAsia"/>
          <w:b/>
          <w:bCs/>
        </w:rPr>
        <w:t>（四）响应文件的语言及计量</w:t>
      </w:r>
      <w:bookmarkEnd w:id="93"/>
      <w:bookmarkEnd w:id="94"/>
      <w:bookmarkEnd w:id="95"/>
      <w:bookmarkEnd w:id="96"/>
    </w:p>
    <w:p>
      <w:pPr>
        <w:snapToGrid w:val="0"/>
        <w:spacing w:line="420" w:lineRule="exact"/>
        <w:ind w:firstLine="420"/>
        <w:rPr>
          <w:rFonts w:ascii="宋体" w:hAnsi="宋体"/>
          <w:szCs w:val="21"/>
        </w:rPr>
      </w:pPr>
      <w:r>
        <w:rPr>
          <w:rFonts w:ascii="宋体" w:hAnsi="宋体"/>
          <w:szCs w:val="21"/>
        </w:rPr>
        <w:t>1.</w:t>
      </w:r>
      <w:r>
        <w:rPr>
          <w:rFonts w:hint="eastAsia" w:ascii="宋体" w:hAnsi="宋体"/>
          <w:szCs w:val="21"/>
        </w:rPr>
        <w:t>响应文件以及供应商与采购人、本中心就有关事宜的所有来往函电，均应以中文汉语书写。除签名、盖章、专用名称等特殊情形外，以中文汉语以外的文字表述的视为无效文件。</w:t>
      </w:r>
    </w:p>
    <w:p>
      <w:pPr>
        <w:snapToGrid w:val="0"/>
        <w:spacing w:line="420" w:lineRule="exact"/>
        <w:ind w:firstLine="420"/>
        <w:rPr>
          <w:rFonts w:ascii="宋体" w:hAnsi="宋体"/>
          <w:szCs w:val="21"/>
        </w:rPr>
      </w:pPr>
      <w:r>
        <w:rPr>
          <w:rFonts w:ascii="宋体" w:hAnsi="宋体"/>
          <w:szCs w:val="21"/>
        </w:rPr>
        <w:t>2.响应</w:t>
      </w:r>
      <w:r>
        <w:rPr>
          <w:rFonts w:hint="eastAsia" w:ascii="宋体" w:hAnsi="宋体"/>
          <w:szCs w:val="21"/>
        </w:rPr>
        <w:t>文件的计量单位，采购文件已有明确规定的，使用采购文件规定的计量单位；采购文件没有规定的，应采用中华人民共和国法定计量单位（货币单位：人民币元），否则视为无效响应文件。</w:t>
      </w:r>
    </w:p>
    <w:p>
      <w:pPr>
        <w:pStyle w:val="4"/>
        <w:spacing w:before="0" w:after="0" w:line="440" w:lineRule="exact"/>
        <w:ind w:firstLine="211" w:firstLineChars="100"/>
        <w:rPr>
          <w:rFonts w:ascii="宋体" w:hAnsi="宋体" w:eastAsia="宋体"/>
          <w:sz w:val="21"/>
          <w:szCs w:val="21"/>
        </w:rPr>
      </w:pPr>
      <w:bookmarkStart w:id="98" w:name="_（五）报价"/>
      <w:bookmarkEnd w:id="98"/>
      <w:bookmarkStart w:id="99" w:name="_Toc254970679"/>
      <w:bookmarkStart w:id="100" w:name="_Toc352700423"/>
      <w:bookmarkStart w:id="101" w:name="_Toc254970538"/>
      <w:bookmarkStart w:id="102" w:name="_Toc353785293"/>
      <w:r>
        <w:rPr>
          <w:rFonts w:hint="eastAsia" w:ascii="宋体" w:hAnsi="宋体" w:eastAsia="宋体"/>
          <w:sz w:val="21"/>
          <w:szCs w:val="21"/>
        </w:rPr>
        <w:t>（五）报价</w:t>
      </w:r>
      <w:bookmarkEnd w:id="99"/>
      <w:bookmarkEnd w:id="100"/>
      <w:bookmarkEnd w:id="101"/>
      <w:bookmarkEnd w:id="102"/>
    </w:p>
    <w:p>
      <w:pPr>
        <w:pStyle w:val="21"/>
        <w:snapToGrid w:val="0"/>
        <w:spacing w:line="420" w:lineRule="exact"/>
        <w:ind w:firstLine="420"/>
        <w:rPr>
          <w:rFonts w:hAnsi="宋体"/>
        </w:rPr>
      </w:pPr>
      <w:r>
        <w:rPr>
          <w:rFonts w:hAnsi="宋体"/>
        </w:rPr>
        <w:t>1.</w:t>
      </w:r>
      <w:r>
        <w:rPr>
          <w:rFonts w:hint="eastAsia" w:hAnsi="宋体"/>
        </w:rPr>
        <w:t>采购文件中未列明，而供应商认为必需的费用也须列入总报价。在合同实施时，采购人将不予支付成交供应商没有列入总报价的项目费用，并认为此项费用已包含在总报价中。</w:t>
      </w:r>
    </w:p>
    <w:p>
      <w:pPr>
        <w:pStyle w:val="21"/>
        <w:snapToGrid w:val="0"/>
        <w:spacing w:line="420" w:lineRule="exact"/>
        <w:ind w:firstLine="420"/>
      </w:pPr>
      <w:r>
        <w:rPr>
          <w:rFonts w:hAnsi="宋体"/>
        </w:rPr>
        <w:t>2</w:t>
      </w:r>
      <w:r>
        <w:rPr>
          <w:rFonts w:hint="eastAsia" w:hAnsi="宋体"/>
        </w:rPr>
        <w:t>供应商</w:t>
      </w:r>
      <w:r>
        <w:rPr>
          <w:rFonts w:hint="eastAsia"/>
        </w:rPr>
        <w:t>必须就《项目需求》货物和服务的内容作完整唯一报价</w:t>
      </w:r>
      <w:r>
        <w:rPr>
          <w:rFonts w:hint="eastAsia" w:hAnsi="宋体"/>
        </w:rPr>
        <w:t>，有选择的或有条件的报价视为无效响应文件。</w:t>
      </w:r>
    </w:p>
    <w:p>
      <w:pPr>
        <w:tabs>
          <w:tab w:val="left" w:pos="525"/>
        </w:tabs>
        <w:snapToGrid w:val="0"/>
        <w:spacing w:line="420" w:lineRule="exact"/>
        <w:ind w:firstLine="420"/>
        <w:rPr>
          <w:rFonts w:ascii="宋体" w:hAnsi="宋体"/>
          <w:szCs w:val="21"/>
        </w:rPr>
      </w:pPr>
      <w:r>
        <w:rPr>
          <w:rFonts w:ascii="宋体" w:hAnsi="宋体"/>
          <w:szCs w:val="21"/>
        </w:rPr>
        <w:t>3.</w:t>
      </w:r>
      <w:r>
        <w:rPr>
          <w:rFonts w:hint="eastAsia" w:ascii="宋体" w:hAnsi="宋体"/>
          <w:szCs w:val="21"/>
        </w:rPr>
        <w:t>供应商的报价必须按采购文件或政府采购云平台规定的格式填写，并在规定时间内提交最后报价。</w:t>
      </w:r>
    </w:p>
    <w:p>
      <w:pPr>
        <w:tabs>
          <w:tab w:val="left" w:pos="525"/>
        </w:tabs>
        <w:snapToGrid w:val="0"/>
        <w:spacing w:line="420" w:lineRule="exact"/>
        <w:ind w:firstLine="420"/>
        <w:rPr>
          <w:rFonts w:ascii="宋体" w:hAnsi="宋体"/>
          <w:szCs w:val="21"/>
        </w:rPr>
      </w:pPr>
      <w:r>
        <w:rPr>
          <w:rFonts w:ascii="宋体" w:hAnsi="宋体"/>
          <w:szCs w:val="21"/>
        </w:rPr>
        <w:t>4.</w:t>
      </w:r>
      <w:r>
        <w:rPr>
          <w:rFonts w:hint="eastAsia" w:ascii="宋体" w:hAnsi="宋体"/>
          <w:szCs w:val="21"/>
        </w:rPr>
        <w:t>最后报价是供应商响应文件的有效组成部分。</w:t>
      </w:r>
    </w:p>
    <w:p>
      <w:pPr>
        <w:pStyle w:val="4"/>
        <w:spacing w:before="0" w:after="0" w:line="440" w:lineRule="exact"/>
        <w:ind w:firstLine="211" w:firstLineChars="100"/>
        <w:rPr>
          <w:rFonts w:ascii="宋体" w:hAnsi="宋体" w:eastAsia="宋体"/>
          <w:sz w:val="21"/>
          <w:szCs w:val="21"/>
        </w:rPr>
      </w:pPr>
      <w:bookmarkStart w:id="103" w:name="_（六）谈判保证金"/>
      <w:bookmarkEnd w:id="103"/>
      <w:bookmarkStart w:id="104" w:name="_Toc352700425"/>
      <w:bookmarkStart w:id="105" w:name="_Toc254970682"/>
      <w:bookmarkStart w:id="106" w:name="_Toc254970541"/>
      <w:bookmarkStart w:id="107" w:name="_Toc353785295"/>
      <w:r>
        <w:rPr>
          <w:rFonts w:hint="eastAsia" w:ascii="宋体" w:hAnsi="宋体" w:eastAsia="宋体"/>
          <w:sz w:val="21"/>
          <w:szCs w:val="21"/>
        </w:rPr>
        <w:t>（六）谈判保证金</w:t>
      </w:r>
      <w:bookmarkEnd w:id="104"/>
      <w:bookmarkEnd w:id="105"/>
      <w:bookmarkEnd w:id="106"/>
      <w:bookmarkEnd w:id="107"/>
    </w:p>
    <w:p>
      <w:pPr>
        <w:widowControl/>
        <w:spacing w:line="420" w:lineRule="exact"/>
        <w:ind w:firstLine="420" w:firstLineChars="200"/>
        <w:jc w:val="left"/>
      </w:pPr>
      <w:bookmarkStart w:id="108" w:name="_Toc254970683"/>
      <w:bookmarkStart w:id="109" w:name="_Toc352700426"/>
      <w:bookmarkStart w:id="110" w:name="_Toc254970542"/>
      <w:bookmarkStart w:id="111" w:name="_Toc353785296"/>
      <w:r>
        <w:rPr>
          <w:rFonts w:hint="eastAsia" w:ascii="宋体" w:hAnsi="宋体"/>
          <w:szCs w:val="21"/>
        </w:rPr>
        <w:t>本项目免收谈判保证金。</w:t>
      </w:r>
    </w:p>
    <w:bookmarkEnd w:id="108"/>
    <w:bookmarkEnd w:id="109"/>
    <w:bookmarkEnd w:id="110"/>
    <w:bookmarkEnd w:id="111"/>
    <w:p>
      <w:pPr>
        <w:spacing w:line="420" w:lineRule="exact"/>
        <w:ind w:firstLine="211" w:firstLineChars="100"/>
        <w:rPr>
          <w:b/>
          <w:bCs/>
        </w:rPr>
      </w:pPr>
      <w:r>
        <w:rPr>
          <w:rFonts w:hint="eastAsia"/>
          <w:b/>
          <w:bCs/>
        </w:rPr>
        <w:t>（七）响应文件的上传、提交、修改、撤回</w:t>
      </w:r>
    </w:p>
    <w:p>
      <w:pPr>
        <w:snapToGrid w:val="0"/>
        <w:spacing w:line="420" w:lineRule="exact"/>
        <w:ind w:firstLine="420" w:firstLineChars="200"/>
        <w:rPr>
          <w:rFonts w:ascii="宋体" w:hAnsi="宋体"/>
          <w:szCs w:val="21"/>
        </w:rPr>
      </w:pPr>
      <w:r>
        <w:rPr>
          <w:rFonts w:ascii="宋体" w:hAnsi="宋体"/>
          <w:szCs w:val="21"/>
        </w:rPr>
        <w:t>1.</w:t>
      </w:r>
      <w:r>
        <w:rPr>
          <w:rFonts w:hint="eastAsia" w:ascii="宋体" w:hAnsi="宋体"/>
          <w:szCs w:val="21"/>
        </w:rPr>
        <w:t>响应文件的上传和提交:供应商须将编制好的加密响应文件上传至政府采购云平台，并在响应文件提交截止时间前提交，否则</w:t>
      </w:r>
      <w:bookmarkStart w:id="112" w:name="_Hlk91772691"/>
      <w:r>
        <w:rPr>
          <w:rFonts w:hint="eastAsia" w:ascii="宋体" w:hAnsi="宋体"/>
          <w:szCs w:val="21"/>
        </w:rPr>
        <w:t>政府采购云平台</w:t>
      </w:r>
      <w:bookmarkEnd w:id="112"/>
      <w:r>
        <w:rPr>
          <w:rFonts w:hint="eastAsia" w:ascii="宋体" w:hAnsi="宋体"/>
          <w:szCs w:val="21"/>
        </w:rPr>
        <w:t>将予以拒收。</w:t>
      </w:r>
    </w:p>
    <w:p>
      <w:pPr>
        <w:snapToGrid w:val="0"/>
        <w:spacing w:line="420" w:lineRule="exact"/>
        <w:ind w:firstLine="420" w:firstLineChars="200"/>
        <w:rPr>
          <w:rFonts w:ascii="宋体" w:hAnsi="宋体"/>
          <w:szCs w:val="21"/>
        </w:rPr>
      </w:pPr>
      <w:r>
        <w:rPr>
          <w:rFonts w:ascii="宋体" w:hAnsi="宋体"/>
          <w:szCs w:val="21"/>
        </w:rPr>
        <w:t>2.</w:t>
      </w:r>
      <w:r>
        <w:rPr>
          <w:rFonts w:hint="eastAsia" w:ascii="宋体" w:hAnsi="宋体"/>
          <w:szCs w:val="21"/>
        </w:rPr>
        <w:t>响应文件的修改和撤回：</w:t>
      </w:r>
      <w:r>
        <w:rPr>
          <w:rFonts w:hint="eastAsia"/>
          <w:szCs w:val="21"/>
        </w:rPr>
        <w:t>供应商在提交响应文件截止时间前，可以对所提交的响应文件进行补充、修改或者撤回</w:t>
      </w:r>
      <w:r>
        <w:rPr>
          <w:rFonts w:hint="eastAsia" w:ascii="宋体" w:hAnsi="宋体"/>
          <w:szCs w:val="21"/>
        </w:rPr>
        <w:t>。补充或者修改响应文件的，应当先行撤回原响应文件，补充、修改后重新上传、提交。响应文件提交截止时间前未完成重新提交的，视为撤回响应文件，响应文件提交截止时间后提交响应文件的，政府采购云平台将予以拒收。响应文件提交截止时间后，供应商不得撤回响应文件。</w:t>
      </w:r>
      <w:r>
        <w:rPr>
          <w:rFonts w:hint="eastAsia"/>
          <w:szCs w:val="21"/>
        </w:rPr>
        <w:t>补充、修改的内容作为响应文件的组成部分。补充、修改的内容与响应文件不一致的，以补充、修改的内容为准。</w:t>
      </w:r>
    </w:p>
    <w:p>
      <w:pPr>
        <w:pStyle w:val="4"/>
        <w:spacing w:line="420" w:lineRule="exact"/>
      </w:pPr>
      <w:bookmarkStart w:id="113" w:name="_四、响应文件开启"/>
      <w:bookmarkEnd w:id="113"/>
      <w:r>
        <w:rPr>
          <w:rFonts w:hint="eastAsia"/>
        </w:rPr>
        <w:t>四、</w:t>
      </w:r>
      <w:bookmarkStart w:id="114" w:name="_Toc352700430"/>
      <w:bookmarkStart w:id="115" w:name="_Toc353785300"/>
      <w:r>
        <w:rPr>
          <w:rFonts w:hint="eastAsia"/>
        </w:rPr>
        <w:t>响应文件开启</w:t>
      </w:r>
    </w:p>
    <w:bookmarkEnd w:id="114"/>
    <w:bookmarkEnd w:id="115"/>
    <w:p>
      <w:pPr>
        <w:spacing w:line="420" w:lineRule="exact"/>
        <w:ind w:firstLine="210" w:firstLineChars="100"/>
        <w:rPr>
          <w:rFonts w:ascii="方正小标宋_GBK" w:hAnsi="Arial" w:eastAsia="方正小标宋_GBK"/>
          <w:bCs/>
          <w:sz w:val="24"/>
        </w:rPr>
      </w:pPr>
      <w:r>
        <w:rPr>
          <w:rFonts w:hint="eastAsia"/>
        </w:rPr>
        <w:t>（一）本中心将在响应文件提交截止时间后在</w:t>
      </w:r>
      <w:bookmarkStart w:id="116" w:name="_Hlk90300735"/>
      <w:r>
        <w:rPr>
          <w:rFonts w:hint="eastAsia"/>
        </w:rPr>
        <w:t>政采云远程开标大厅</w:t>
      </w:r>
      <w:bookmarkEnd w:id="116"/>
      <w:r>
        <w:rPr>
          <w:rFonts w:hint="eastAsia"/>
        </w:rPr>
        <w:t>进行响应文件开启，供应商法定代表人或委托代理人须按时登录</w:t>
      </w:r>
      <w:bookmarkStart w:id="117" w:name="_Hlk90300780"/>
      <w:r>
        <w:rPr>
          <w:rFonts w:hint="eastAsia"/>
        </w:rPr>
        <w:t>政采云远程开标大厅</w:t>
      </w:r>
      <w:bookmarkEnd w:id="117"/>
      <w:r>
        <w:rPr>
          <w:rFonts w:hint="eastAsia"/>
        </w:rPr>
        <w:t>（政府采购云平台-应用中心-项目采购-开标评标），保持全程在线并关注评审、谈判进度，评审期间谈判小组提出澄清等要求时，供应商须在规定时间内进行应答，否则按采购文件或政采云平台的相关规定执行。</w:t>
      </w:r>
      <w:bookmarkStart w:id="118" w:name="_Toc353785301"/>
      <w:bookmarkStart w:id="119" w:name="_Toc352700431"/>
    </w:p>
    <w:p>
      <w:pPr>
        <w:spacing w:line="420" w:lineRule="exact"/>
        <w:ind w:firstLine="210" w:firstLineChars="100"/>
        <w:rPr>
          <w:rFonts w:ascii="方正小标宋_GBK" w:hAnsi="Arial" w:eastAsia="方正小标宋_GBK"/>
          <w:bCs/>
          <w:sz w:val="24"/>
        </w:rPr>
      </w:pPr>
      <w:r>
        <w:rPr>
          <w:rFonts w:hint="eastAsia"/>
        </w:rPr>
        <w:t>（二）</w:t>
      </w:r>
      <w:bookmarkEnd w:id="118"/>
      <w:bookmarkEnd w:id="119"/>
      <w:r>
        <w:rPr>
          <w:rFonts w:hint="eastAsia"/>
        </w:rPr>
        <w:t>解密</w:t>
      </w:r>
    </w:p>
    <w:p>
      <w:pPr>
        <w:spacing w:line="420" w:lineRule="exact"/>
        <w:ind w:firstLine="420" w:firstLineChars="200"/>
      </w:pPr>
      <w:r>
        <w:rPr>
          <w:rFonts w:hint="eastAsia"/>
        </w:rPr>
        <w:t>响应文件提交时间截止后，我中心将向各提交响应文件的供应商发出电子加密响应文件解密通知，供应商代表应当在接到解密通知后30分钟内对已加密的电子响应文件进行在线解密。供应商未在规定时间内完成解密的，政府采购云平台视为供应商自主放弃谈判。</w:t>
      </w:r>
    </w:p>
    <w:p>
      <w:pPr>
        <w:spacing w:line="420" w:lineRule="exact"/>
        <w:ind w:firstLine="211" w:firstLineChars="100"/>
        <w:rPr>
          <w:b/>
          <w:bCs/>
        </w:rPr>
      </w:pPr>
      <w:r>
        <w:rPr>
          <w:rFonts w:hint="eastAsia"/>
          <w:b/>
          <w:bCs/>
        </w:rPr>
        <w:t>（三）资格审查</w:t>
      </w:r>
    </w:p>
    <w:p>
      <w:pPr>
        <w:spacing w:line="42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采购人依法对供应商的资格进行审查，资格性审查时，如发现下列情形之一的，响应文件将被视为无效：</w:t>
      </w:r>
    </w:p>
    <w:p>
      <w:pPr>
        <w:spacing w:line="420" w:lineRule="exact"/>
        <w:ind w:firstLine="420" w:firstLineChars="200"/>
        <w:rPr>
          <w:rFonts w:ascii="宋体" w:hAnsi="宋体"/>
          <w:szCs w:val="21"/>
        </w:rPr>
      </w:pPr>
      <w:r>
        <w:rPr>
          <w:rFonts w:hint="eastAsia" w:ascii="宋体" w:hAnsi="宋体"/>
          <w:szCs w:val="21"/>
        </w:rPr>
        <w:t>(1)超越了按照法律法规规定必须获得行政许可或者行政审批的经营范围的；</w:t>
      </w:r>
    </w:p>
    <w:p>
      <w:pPr>
        <w:spacing w:line="420" w:lineRule="exact"/>
        <w:ind w:firstLine="420" w:firstLineChars="200"/>
        <w:rPr>
          <w:rFonts w:ascii="宋体" w:hAnsi="宋体"/>
          <w:szCs w:val="21"/>
        </w:rPr>
      </w:pPr>
      <w:r>
        <w:rPr>
          <w:rFonts w:hint="eastAsia" w:ascii="宋体" w:hAnsi="宋体"/>
          <w:szCs w:val="21"/>
        </w:rPr>
        <w:t>(2)资格证明文件不全的，或者不符合采购文件标明的资格要求的；</w:t>
      </w:r>
    </w:p>
    <w:p>
      <w:pPr>
        <w:snapToGrid w:val="0"/>
        <w:spacing w:line="420" w:lineRule="exact"/>
        <w:ind w:firstLine="420" w:firstLineChars="200"/>
        <w:jc w:val="left"/>
        <w:rPr>
          <w:rFonts w:ascii="宋体" w:hAnsi="宋体"/>
          <w:szCs w:val="21"/>
        </w:rPr>
      </w:pPr>
      <w:r>
        <w:rPr>
          <w:rFonts w:ascii="宋体" w:hAnsi="宋体"/>
          <w:szCs w:val="21"/>
        </w:rPr>
        <w:t>2.</w:t>
      </w:r>
      <w:r>
        <w:rPr>
          <w:rFonts w:hint="eastAsia" w:ascii="宋体" w:hAnsi="宋体"/>
          <w:szCs w:val="21"/>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响应文件递交截止时间的，将被拒绝参与本项目政府采购活动。</w:t>
      </w:r>
    </w:p>
    <w:p>
      <w:pPr>
        <w:pStyle w:val="4"/>
        <w:spacing w:line="420" w:lineRule="exact"/>
        <w:rPr>
          <w:rFonts w:ascii="宋体" w:hAnsi="宋体"/>
          <w:szCs w:val="21"/>
        </w:rPr>
      </w:pPr>
      <w:bookmarkStart w:id="120" w:name="_五、评审与谈判"/>
      <w:bookmarkEnd w:id="120"/>
      <w:bookmarkStart w:id="121" w:name="_Toc254970686"/>
      <w:bookmarkStart w:id="122" w:name="_Toc353785302"/>
      <w:bookmarkStart w:id="123" w:name="_Toc254970545"/>
      <w:bookmarkStart w:id="124" w:name="_Toc352700432"/>
      <w:r>
        <w:rPr>
          <w:rFonts w:hint="eastAsia"/>
        </w:rPr>
        <w:t>五、</w:t>
      </w:r>
      <w:bookmarkEnd w:id="121"/>
      <w:bookmarkEnd w:id="122"/>
      <w:bookmarkEnd w:id="123"/>
      <w:bookmarkEnd w:id="124"/>
      <w:r>
        <w:rPr>
          <w:rFonts w:hint="eastAsia" w:ascii="宋体" w:hAnsi="宋体"/>
          <w:szCs w:val="21"/>
        </w:rPr>
        <w:t>评审与谈判</w:t>
      </w:r>
    </w:p>
    <w:p>
      <w:pPr>
        <w:snapToGrid w:val="0"/>
        <w:spacing w:line="420" w:lineRule="exact"/>
        <w:ind w:firstLine="211" w:firstLineChars="100"/>
        <w:rPr>
          <w:rFonts w:ascii="宋体" w:hAnsi="宋体"/>
          <w:b/>
          <w:bCs/>
          <w:szCs w:val="21"/>
        </w:rPr>
      </w:pPr>
      <w:bookmarkStart w:id="125" w:name="_Toc352700433"/>
      <w:bookmarkStart w:id="126" w:name="_Toc353785303"/>
      <w:r>
        <w:rPr>
          <w:rFonts w:hint="eastAsia" w:ascii="宋体" w:hAnsi="宋体"/>
          <w:b/>
          <w:bCs/>
          <w:szCs w:val="21"/>
        </w:rPr>
        <w:t>（一）评审原则：</w:t>
      </w:r>
    </w:p>
    <w:p>
      <w:pPr>
        <w:snapToGrid w:val="0"/>
        <w:spacing w:line="420" w:lineRule="exact"/>
        <w:ind w:firstLine="420" w:firstLineChars="200"/>
        <w:rPr>
          <w:rFonts w:ascii="宋体" w:hAnsi="宋体"/>
          <w:szCs w:val="21"/>
        </w:rPr>
      </w:pPr>
      <w:r>
        <w:rPr>
          <w:rFonts w:ascii="宋体" w:hAnsi="宋体"/>
          <w:szCs w:val="21"/>
        </w:rPr>
        <w:t>1.</w:t>
      </w:r>
      <w:r>
        <w:rPr>
          <w:rFonts w:hint="eastAsia" w:ascii="宋体" w:hAnsi="宋体"/>
          <w:szCs w:val="21"/>
        </w:rPr>
        <w:t>谈判小组必须公平、公正、客观，不带任何倾向性和启发性；不得向外界透露任何与评审有关的内容；任何单位和个人不得干扰、影响评审的正常进行；谈判小组及有关工作人员不得私下接触供应商。</w:t>
      </w:r>
    </w:p>
    <w:p>
      <w:pPr>
        <w:snapToGrid w:val="0"/>
        <w:spacing w:line="420" w:lineRule="exact"/>
        <w:ind w:firstLine="420" w:firstLineChars="200"/>
        <w:rPr>
          <w:rFonts w:ascii="宋体" w:hAnsi="宋体"/>
          <w:szCs w:val="21"/>
        </w:rPr>
      </w:pPr>
      <w:r>
        <w:rPr>
          <w:rFonts w:ascii="宋体" w:hAnsi="宋体"/>
          <w:szCs w:val="21"/>
        </w:rPr>
        <w:t>2.</w:t>
      </w:r>
      <w:r>
        <w:rPr>
          <w:rFonts w:hint="eastAsia" w:ascii="宋体" w:hAnsi="宋体" w:cs="Courier New"/>
          <w:szCs w:val="21"/>
        </w:rPr>
        <w:t>本项目采用不公开方式评审，评审的依据为采购文件和响应文件。</w:t>
      </w:r>
    </w:p>
    <w:p>
      <w:pPr>
        <w:snapToGrid w:val="0"/>
        <w:spacing w:line="420" w:lineRule="exact"/>
        <w:ind w:firstLine="211" w:firstLineChars="100"/>
        <w:rPr>
          <w:rFonts w:ascii="宋体" w:hAnsi="宋体"/>
          <w:b/>
          <w:bCs/>
          <w:szCs w:val="21"/>
        </w:rPr>
      </w:pPr>
      <w:r>
        <w:rPr>
          <w:rFonts w:hint="eastAsia"/>
          <w:b/>
          <w:bCs/>
        </w:rPr>
        <w:t>（二）成立谈判小组</w:t>
      </w:r>
    </w:p>
    <w:p>
      <w:pPr>
        <w:snapToGrid w:val="0"/>
        <w:spacing w:line="420" w:lineRule="exact"/>
        <w:ind w:firstLine="420" w:firstLineChars="200"/>
        <w:rPr>
          <w:rFonts w:ascii="宋体" w:hAnsi="宋体"/>
          <w:szCs w:val="21"/>
        </w:rPr>
      </w:pPr>
      <w:r>
        <w:rPr>
          <w:rFonts w:hint="eastAsia" w:ascii="宋体" w:hAnsi="宋体" w:cs="Courier New"/>
          <w:bCs/>
          <w:szCs w:val="21"/>
        </w:rPr>
        <w:t>谈判小组</w:t>
      </w:r>
      <w:bookmarkEnd w:id="125"/>
      <w:bookmarkEnd w:id="126"/>
      <w:r>
        <w:rPr>
          <w:rFonts w:hint="eastAsia" w:ascii="宋体" w:hAnsi="宋体" w:cs="Courier New"/>
          <w:bCs/>
          <w:szCs w:val="21"/>
        </w:rPr>
        <w:t>由采购人代表和评审专家共3人以上单数组成，其中评审专家人数不得少于谈判小组成员总数的2/3。</w:t>
      </w:r>
    </w:p>
    <w:p>
      <w:pPr>
        <w:spacing w:line="420" w:lineRule="exact"/>
        <w:ind w:firstLine="211" w:firstLineChars="100"/>
        <w:rPr>
          <w:rFonts w:ascii="宋体" w:hAnsi="宋体"/>
          <w:b/>
          <w:bCs/>
          <w:szCs w:val="21"/>
        </w:rPr>
      </w:pPr>
      <w:r>
        <w:rPr>
          <w:rFonts w:hint="eastAsia" w:ascii="宋体" w:hAnsi="宋体"/>
          <w:b/>
          <w:bCs/>
          <w:szCs w:val="21"/>
        </w:rPr>
        <w:t>（三）确认谈判文件</w:t>
      </w:r>
    </w:p>
    <w:p>
      <w:pPr>
        <w:spacing w:line="420" w:lineRule="exact"/>
        <w:ind w:firstLine="420" w:firstLineChars="200"/>
        <w:rPr>
          <w:rFonts w:ascii="宋体" w:hAnsi="宋体"/>
          <w:b/>
          <w:bCs/>
          <w:szCs w:val="21"/>
        </w:rPr>
      </w:pPr>
      <w:r>
        <w:rPr>
          <w:rFonts w:hint="eastAsia" w:hAnsi="宋体"/>
        </w:rPr>
        <w:t>谈判小组对谈判文件进行确认，认可谈判文件的内容，符合法律法规的规定、不存在歧视性或排他性内容。</w:t>
      </w:r>
    </w:p>
    <w:p>
      <w:pPr>
        <w:spacing w:line="420" w:lineRule="exact"/>
        <w:ind w:firstLine="211" w:firstLineChars="100"/>
        <w:rPr>
          <w:rFonts w:ascii="宋体" w:hAnsi="宋体" w:cs="Courier New"/>
          <w:szCs w:val="21"/>
        </w:rPr>
      </w:pPr>
      <w:r>
        <w:rPr>
          <w:rFonts w:hint="eastAsia" w:ascii="宋体" w:hAnsi="宋体"/>
          <w:b/>
          <w:bCs/>
          <w:szCs w:val="21"/>
        </w:rPr>
        <w:t>（四）实质性审查</w:t>
      </w:r>
    </w:p>
    <w:p>
      <w:pPr>
        <w:snapToGrid w:val="0"/>
        <w:spacing w:line="42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谈判小组从符合相应资格条件的供应商名单中确定不少于3家的供应商参加谈判，对参加谈判的供应商响应文件进行评审，并根据谈判文件规定的程序、评定成交的标准等事项与实质性响应谈判文件要求的供应商进行谈判。未实质性响应竞争性谈判采购文件的响应文件按无效处理，谈判小组应当告知有关供应商。</w:t>
      </w:r>
    </w:p>
    <w:p>
      <w:pPr>
        <w:snapToGrid w:val="0"/>
        <w:spacing w:line="420" w:lineRule="exact"/>
        <w:ind w:firstLine="422" w:firstLineChars="200"/>
        <w:rPr>
          <w:rFonts w:ascii="宋体" w:hAnsi="宋体"/>
          <w:b/>
          <w:bCs/>
          <w:szCs w:val="21"/>
        </w:rPr>
      </w:pPr>
      <w:r>
        <w:rPr>
          <w:rFonts w:hint="eastAsia" w:ascii="宋体" w:hAnsi="宋体"/>
          <w:b/>
          <w:bCs/>
          <w:szCs w:val="21"/>
        </w:rPr>
        <w:t>2</w:t>
      </w:r>
      <w:r>
        <w:rPr>
          <w:rFonts w:ascii="宋体" w:hAnsi="宋体"/>
          <w:b/>
          <w:bCs/>
          <w:szCs w:val="21"/>
        </w:rPr>
        <w:t>.</w:t>
      </w:r>
      <w:r>
        <w:rPr>
          <w:rFonts w:hint="eastAsia" w:ascii="宋体" w:hAnsi="宋体"/>
          <w:b/>
          <w:bCs/>
          <w:szCs w:val="21"/>
        </w:rPr>
        <w:t>实质性审查时，如发现下列情形之一的，响应文件将被视为无效：</w:t>
      </w:r>
    </w:p>
    <w:p>
      <w:pPr>
        <w:snapToGrid w:val="0"/>
        <w:spacing w:line="420" w:lineRule="exact"/>
        <w:ind w:firstLine="525" w:firstLineChars="250"/>
        <w:rPr>
          <w:rFonts w:ascii="宋体" w:hAnsi="宋体"/>
          <w:szCs w:val="21"/>
        </w:rPr>
      </w:pPr>
      <w:bookmarkStart w:id="127" w:name="_Hlk112311783"/>
      <w:r>
        <w:rPr>
          <w:rFonts w:hint="eastAsia" w:ascii="宋体" w:hAnsi="宋体"/>
          <w:szCs w:val="21"/>
        </w:rPr>
        <w:t>①响应文件未按响应文件编制要求提供或内容虚假的；</w:t>
      </w:r>
    </w:p>
    <w:p>
      <w:pPr>
        <w:snapToGrid w:val="0"/>
        <w:spacing w:line="420" w:lineRule="exact"/>
        <w:ind w:firstLine="525" w:firstLineChars="250"/>
        <w:rPr>
          <w:rFonts w:ascii="宋体" w:hAnsi="宋体"/>
          <w:szCs w:val="21"/>
        </w:rPr>
      </w:pPr>
      <w:r>
        <w:rPr>
          <w:rFonts w:hint="eastAsia" w:ascii="宋体" w:hAnsi="宋体"/>
          <w:szCs w:val="21"/>
        </w:rPr>
        <w:t>②响应文件无法定代表人或其委托代理人签署、未提供授权委托书，或未按规定盖章的；</w:t>
      </w:r>
    </w:p>
    <w:p>
      <w:pPr>
        <w:snapToGrid w:val="0"/>
        <w:spacing w:line="420" w:lineRule="exact"/>
        <w:ind w:firstLine="525" w:firstLineChars="250"/>
        <w:rPr>
          <w:rFonts w:ascii="宋体" w:hAnsi="宋体"/>
          <w:szCs w:val="21"/>
        </w:rPr>
      </w:pPr>
      <w:r>
        <w:rPr>
          <w:rFonts w:hint="eastAsia" w:ascii="宋体" w:hAnsi="宋体"/>
          <w:szCs w:val="21"/>
        </w:rPr>
        <w:t>③供应商代表未能出具身份证明或与法定代表人委托代理人身份不符的；</w:t>
      </w:r>
    </w:p>
    <w:p>
      <w:pPr>
        <w:snapToGrid w:val="0"/>
        <w:spacing w:line="420" w:lineRule="exact"/>
        <w:ind w:firstLine="525" w:firstLineChars="250"/>
        <w:rPr>
          <w:rFonts w:ascii="宋体" w:hAnsi="宋体"/>
          <w:szCs w:val="21"/>
        </w:rPr>
      </w:pPr>
      <w:r>
        <w:rPr>
          <w:rFonts w:hint="eastAsia" w:ascii="宋体" w:hAnsi="宋体"/>
          <w:szCs w:val="21"/>
        </w:rPr>
        <w:t>④未实质性响应采购文件采购需求的技术、服务要求的；</w:t>
      </w:r>
    </w:p>
    <w:p>
      <w:pPr>
        <w:snapToGrid w:val="0"/>
        <w:spacing w:line="420" w:lineRule="exact"/>
        <w:ind w:firstLine="525" w:firstLineChars="250"/>
        <w:rPr>
          <w:rFonts w:ascii="宋体" w:hAnsi="宋体"/>
          <w:szCs w:val="21"/>
        </w:rPr>
      </w:pPr>
      <w:r>
        <w:rPr>
          <w:rFonts w:hint="eastAsia" w:ascii="宋体" w:hAnsi="宋体"/>
          <w:szCs w:val="21"/>
        </w:rPr>
        <w:t>⑤</w:t>
      </w:r>
      <w:r>
        <w:rPr>
          <w:rFonts w:hint="eastAsia" w:ascii="宋体" w:hAnsi="宋体"/>
          <w:spacing w:val="-4"/>
          <w:szCs w:val="21"/>
        </w:rPr>
        <w:t>不符合采购文件要求的质量标准，或者与采购文件中的技术指标、功能、服务事项发生较大偏离，已不符合采购人需求的；</w:t>
      </w:r>
    </w:p>
    <w:p>
      <w:pPr>
        <w:snapToGrid w:val="0"/>
        <w:spacing w:line="420" w:lineRule="exact"/>
        <w:ind w:firstLine="525" w:firstLineChars="250"/>
        <w:rPr>
          <w:rFonts w:ascii="宋体" w:hAnsi="宋体"/>
          <w:szCs w:val="21"/>
        </w:rPr>
      </w:pPr>
      <w:r>
        <w:rPr>
          <w:rFonts w:hint="eastAsia" w:ascii="宋体" w:hAnsi="宋体"/>
          <w:szCs w:val="21"/>
        </w:rPr>
        <w:t>⑥响应文件有采购人不能接受的附加条件的。</w:t>
      </w:r>
    </w:p>
    <w:p>
      <w:pPr>
        <w:snapToGrid w:val="0"/>
        <w:spacing w:line="420" w:lineRule="exact"/>
        <w:ind w:firstLine="505" w:firstLineChars="250"/>
        <w:rPr>
          <w:rFonts w:ascii="宋体" w:hAnsi="宋体"/>
          <w:spacing w:val="-4"/>
          <w:szCs w:val="21"/>
        </w:rPr>
      </w:pPr>
      <w:r>
        <w:rPr>
          <w:rFonts w:hint="eastAsia" w:ascii="宋体" w:hAnsi="宋体"/>
          <w:spacing w:val="-4"/>
          <w:szCs w:val="21"/>
        </w:rPr>
        <w:t>⑦响应文件技术方案不明确，存在一个或一个以上备选(替代)响应方案的；</w:t>
      </w:r>
    </w:p>
    <w:p>
      <w:pPr>
        <w:snapToGrid w:val="0"/>
        <w:spacing w:line="420" w:lineRule="exact"/>
        <w:ind w:firstLine="525" w:firstLineChars="250"/>
        <w:rPr>
          <w:rFonts w:ascii="宋体" w:hAnsi="宋体"/>
          <w:szCs w:val="21"/>
        </w:rPr>
      </w:pPr>
      <w:r>
        <w:rPr>
          <w:rFonts w:hint="eastAsia" w:ascii="宋体" w:hAnsi="宋体"/>
          <w:szCs w:val="21"/>
        </w:rPr>
        <w:t>⑧响应文件的实质性内容未使用中文表述、意思表述不明确、前后矛盾或者使用计量单位不符合采购文件要求的。</w:t>
      </w:r>
    </w:p>
    <w:bookmarkEnd w:id="127"/>
    <w:p>
      <w:pPr>
        <w:spacing w:line="420" w:lineRule="exact"/>
        <w:ind w:firstLine="211" w:firstLineChars="100"/>
        <w:rPr>
          <w:b/>
          <w:bCs/>
        </w:rPr>
      </w:pPr>
      <w:r>
        <w:rPr>
          <w:rFonts w:hint="eastAsia"/>
          <w:b/>
          <w:bCs/>
        </w:rPr>
        <w:t>（五）谈判</w:t>
      </w:r>
    </w:p>
    <w:p>
      <w:pPr>
        <w:pStyle w:val="21"/>
        <w:spacing w:line="420" w:lineRule="exact"/>
        <w:ind w:firstLine="420" w:firstLineChars="200"/>
      </w:pPr>
      <w:r>
        <w:rPr>
          <w:rFonts w:hint="eastAsia" w:hAnsi="宋体"/>
          <w:bCs/>
        </w:rPr>
        <w:t>1</w:t>
      </w:r>
      <w:r>
        <w:rPr>
          <w:rFonts w:hAnsi="宋体"/>
          <w:bCs/>
        </w:rPr>
        <w:t>.</w:t>
      </w:r>
      <w:r>
        <w:rPr>
          <w:rFonts w:hint="eastAsia"/>
        </w:rPr>
        <w:t>谈判小组所有成员应当集中与单一供应商分别进行谈判，并给予所有参加谈判的供应商平等的谈判机会。</w:t>
      </w:r>
    </w:p>
    <w:p>
      <w:pPr>
        <w:pStyle w:val="21"/>
        <w:spacing w:line="420" w:lineRule="exact"/>
        <w:ind w:firstLine="420" w:firstLineChars="200"/>
        <w:rPr>
          <w:rFonts w:hAnsi="宋体"/>
          <w:bCs/>
        </w:rPr>
      </w:pPr>
      <w:r>
        <w:rPr>
          <w:rFonts w:hint="eastAsia" w:hAnsi="宋体"/>
          <w:bCs/>
        </w:rPr>
        <w:t>2</w:t>
      </w:r>
      <w:r>
        <w:rPr>
          <w:rFonts w:hAnsi="宋体"/>
          <w:bCs/>
        </w:rPr>
        <w:t>.</w:t>
      </w:r>
      <w:r>
        <w:rPr>
          <w:rFonts w:hint="eastAsia" w:hAnsi="宋体"/>
          <w:bCs/>
        </w:rPr>
        <w:t>谈判小组可以根据谈判文件和谈判情况实质性变动采购需求中的技术、服务要求以及合同草案条款，但不得变动谈判文件中的其他内容。实质性变动的内容，须经采购人代表确认。</w:t>
      </w:r>
    </w:p>
    <w:p>
      <w:pPr>
        <w:pStyle w:val="21"/>
        <w:spacing w:line="420" w:lineRule="exact"/>
        <w:ind w:firstLine="420" w:firstLineChars="200"/>
        <w:rPr>
          <w:rFonts w:hAnsi="宋体"/>
          <w:bCs/>
        </w:rPr>
      </w:pPr>
      <w:r>
        <w:rPr>
          <w:rFonts w:hAnsi="宋体"/>
          <w:bCs/>
        </w:rPr>
        <w:t>3.</w:t>
      </w:r>
      <w:r>
        <w:rPr>
          <w:rFonts w:hint="eastAsia" w:hAnsi="宋体"/>
          <w:bCs/>
        </w:rPr>
        <w:t>对谈判文件作出的实质性变动是谈判文件的有效组成部分，谈判小组应当及时以书面形式同时通知所有参加谈判的供应商。</w:t>
      </w:r>
    </w:p>
    <w:p>
      <w:pPr>
        <w:pStyle w:val="21"/>
        <w:spacing w:line="420" w:lineRule="exact"/>
        <w:ind w:firstLine="420" w:firstLineChars="200"/>
        <w:rPr>
          <w:rFonts w:hAnsi="宋体"/>
          <w:bCs/>
        </w:rPr>
      </w:pPr>
      <w:r>
        <w:rPr>
          <w:rFonts w:hint="eastAsia" w:hAnsi="宋体"/>
          <w:bCs/>
        </w:rPr>
        <w:t>4</w:t>
      </w:r>
      <w:r>
        <w:rPr>
          <w:rFonts w:hAnsi="宋体"/>
          <w:bCs/>
        </w:rPr>
        <w:t>.</w:t>
      </w:r>
      <w:r>
        <w:rPr>
          <w:rFonts w:hint="eastAsia" w:hAnsi="宋体"/>
          <w:bCs/>
        </w:rPr>
        <w:t>供应商应当按照谈判文件的变动情况和谈判小组的要求重新提交响应文件，并由其法定代表人或授权代表签名或者加盖公章。由授权代表签名的，应当附法定代表人授权书。</w:t>
      </w:r>
      <w:bookmarkStart w:id="128" w:name="_Hlk92985140"/>
      <w:r>
        <w:rPr>
          <w:rFonts w:hint="eastAsia" w:hAnsi="宋体"/>
          <w:bCs/>
        </w:rPr>
        <w:t>供应商为自然人的，应当由本人签名并附身份证明。</w:t>
      </w:r>
      <w:bookmarkEnd w:id="128"/>
      <w:r>
        <w:rPr>
          <w:rFonts w:hint="eastAsia" w:hAnsi="宋体"/>
          <w:bCs/>
        </w:rPr>
        <w:t>逾时不提交的，视同放弃谈判。</w:t>
      </w:r>
    </w:p>
    <w:p>
      <w:pPr>
        <w:pStyle w:val="21"/>
        <w:spacing w:line="420" w:lineRule="exact"/>
        <w:ind w:firstLine="420" w:firstLineChars="200"/>
        <w:rPr>
          <w:rFonts w:hAnsi="宋体"/>
          <w:bCs/>
        </w:rPr>
      </w:pPr>
      <w:r>
        <w:rPr>
          <w:rFonts w:hint="eastAsia" w:hAnsi="宋体"/>
          <w:bCs/>
        </w:rPr>
        <w:t>5</w:t>
      </w:r>
      <w:r>
        <w:rPr>
          <w:rFonts w:hAnsi="宋体"/>
          <w:bCs/>
        </w:rPr>
        <w:t>.</w:t>
      </w:r>
      <w:r>
        <w:rPr>
          <w:rFonts w:hint="eastAsia"/>
        </w:rPr>
        <w:t>已提交响应文件的供应商，在提交最后报价之前，可以根据谈判情况退出谈判。</w:t>
      </w:r>
    </w:p>
    <w:p>
      <w:pPr>
        <w:spacing w:line="420" w:lineRule="exact"/>
        <w:ind w:firstLine="211" w:firstLineChars="100"/>
        <w:rPr>
          <w:b/>
          <w:bCs/>
        </w:rPr>
      </w:pPr>
      <w:r>
        <w:rPr>
          <w:rFonts w:hint="eastAsia"/>
          <w:b/>
          <w:bCs/>
        </w:rPr>
        <w:t>（六）最后报价</w:t>
      </w:r>
    </w:p>
    <w:p>
      <w:pPr>
        <w:spacing w:line="420" w:lineRule="exact"/>
        <w:ind w:firstLine="420" w:firstLineChars="200"/>
      </w:pPr>
      <w:r>
        <w:t>1.</w:t>
      </w:r>
      <w:r>
        <w:rPr>
          <w:rFonts w:hint="eastAsia"/>
        </w:rPr>
        <w:t>谈判文件能够详细列明采购标的的技术、服务要求的，谈判结束后，谈判小组应当要求所有继续参加谈判的供应商在规定时间内提交最后报价，提交最后报价的供应商不得少于3家。</w:t>
      </w:r>
    </w:p>
    <w:p>
      <w:pPr>
        <w:spacing w:line="420" w:lineRule="exact"/>
        <w:ind w:firstLine="420" w:firstLineChars="200"/>
      </w:pPr>
      <w:r>
        <w:rPr>
          <w:rFonts w:hint="eastAsia"/>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spacing w:line="420" w:lineRule="exact"/>
        <w:ind w:firstLine="420" w:firstLineChars="200"/>
      </w:pPr>
      <w:r>
        <w:t>2.</w:t>
      </w:r>
      <w:r>
        <w:rPr>
          <w:rFonts w:hint="eastAsia"/>
        </w:rPr>
        <w:t>最后报价应由其法定代表人或授权代表签名或者加盖公章，最后报价即系供应商响应报价。</w:t>
      </w:r>
    </w:p>
    <w:p>
      <w:pPr>
        <w:spacing w:line="420" w:lineRule="exact"/>
        <w:ind w:firstLine="422" w:firstLineChars="200"/>
      </w:pPr>
      <w:r>
        <w:rPr>
          <w:rFonts w:hint="eastAsia"/>
          <w:b/>
          <w:bCs/>
        </w:rPr>
        <w:t>3</w:t>
      </w:r>
      <w:r>
        <w:rPr>
          <w:rFonts w:hint="eastAsia" w:ascii="宋体" w:hAnsi="宋体" w:cs="Courier New"/>
          <w:b/>
          <w:szCs w:val="21"/>
        </w:rPr>
        <w:t>.在报价评审时，如发现下列情形之一的，响应文件将被视为无效：</w:t>
      </w:r>
    </w:p>
    <w:p>
      <w:pPr>
        <w:snapToGrid w:val="0"/>
        <w:spacing w:line="420" w:lineRule="exact"/>
        <w:ind w:firstLine="420" w:firstLineChars="200"/>
        <w:rPr>
          <w:rFonts w:ascii="宋体" w:hAnsi="宋体"/>
          <w:szCs w:val="21"/>
        </w:rPr>
      </w:pPr>
      <w:bookmarkStart w:id="129" w:name="_Hlk112312387"/>
      <w:r>
        <w:rPr>
          <w:rFonts w:hint="eastAsia" w:ascii="宋体" w:hAnsi="宋体"/>
          <w:szCs w:val="21"/>
        </w:rPr>
        <w:t>(</w:t>
      </w:r>
      <w:r>
        <w:rPr>
          <w:rFonts w:ascii="宋体" w:hAnsi="宋体"/>
          <w:szCs w:val="21"/>
        </w:rPr>
        <w:t>1)</w:t>
      </w:r>
      <w:r>
        <w:rPr>
          <w:rFonts w:hint="eastAsia" w:ascii="宋体" w:hAnsi="宋体"/>
          <w:szCs w:val="21"/>
        </w:rPr>
        <w:t>报价未采用人民币或者未按照采购文件标明的币种报价的；</w:t>
      </w:r>
    </w:p>
    <w:p>
      <w:pPr>
        <w:snapToGrid w:val="0"/>
        <w:spacing w:line="420" w:lineRule="exact"/>
        <w:ind w:firstLine="420" w:firstLineChars="200"/>
        <w:rPr>
          <w:rFonts w:ascii="宋体" w:hAnsi="宋体"/>
          <w:szCs w:val="21"/>
        </w:rPr>
      </w:pPr>
      <w:r>
        <w:rPr>
          <w:rFonts w:ascii="宋体" w:hAnsi="宋体"/>
          <w:szCs w:val="21"/>
        </w:rPr>
        <w:t>(2)</w:t>
      </w:r>
      <w:r>
        <w:rPr>
          <w:rFonts w:hint="eastAsia" w:ascii="宋体" w:hAnsi="宋体"/>
          <w:szCs w:val="21"/>
        </w:rPr>
        <w:t>报价明细表中货物品牌、规格、型号、服务事项未明确或与响应文件中相应内容不一致的；</w:t>
      </w:r>
    </w:p>
    <w:p>
      <w:pPr>
        <w:snapToGrid w:val="0"/>
        <w:spacing w:line="420" w:lineRule="exact"/>
        <w:ind w:firstLine="420" w:firstLineChars="200"/>
        <w:rPr>
          <w:rFonts w:ascii="宋体" w:hAnsi="宋体"/>
          <w:szCs w:val="21"/>
        </w:rPr>
      </w:pPr>
      <w:r>
        <w:rPr>
          <w:rFonts w:ascii="宋体" w:hAnsi="宋体"/>
          <w:szCs w:val="21"/>
        </w:rPr>
        <w:t>(3)</w:t>
      </w:r>
      <w:r>
        <w:rPr>
          <w:rFonts w:hint="eastAsia" w:ascii="宋体" w:hAnsi="宋体"/>
          <w:szCs w:val="21"/>
        </w:rPr>
        <w:t>报价具有选择性的；</w:t>
      </w:r>
    </w:p>
    <w:p>
      <w:pPr>
        <w:snapToGrid w:val="0"/>
        <w:spacing w:line="420" w:lineRule="exact"/>
        <w:ind w:firstLine="420" w:firstLineChars="200"/>
        <w:rPr>
          <w:rFonts w:ascii="宋体" w:hAnsi="宋体"/>
          <w:szCs w:val="21"/>
        </w:rPr>
      </w:pPr>
      <w:r>
        <w:rPr>
          <w:rFonts w:ascii="宋体" w:hAnsi="宋体"/>
          <w:szCs w:val="21"/>
        </w:rPr>
        <w:t>(4)</w:t>
      </w:r>
      <w:r>
        <w:rPr>
          <w:rFonts w:hint="eastAsia" w:ascii="宋体" w:hAnsi="宋体"/>
          <w:szCs w:val="21"/>
        </w:rPr>
        <w:t>报价未按采购文件或政府采购云平台规定的格式填写，或未在规定时间内提交最后报价的。</w:t>
      </w:r>
    </w:p>
    <w:bookmarkEnd w:id="129"/>
    <w:p>
      <w:pPr>
        <w:spacing w:line="420" w:lineRule="exact"/>
        <w:ind w:firstLine="211" w:firstLineChars="100"/>
        <w:rPr>
          <w:b/>
          <w:bCs/>
        </w:rPr>
      </w:pPr>
      <w:r>
        <w:rPr>
          <w:rFonts w:hint="eastAsia"/>
          <w:b/>
          <w:bCs/>
        </w:rPr>
        <w:t>（七）澄清、说明或者更正的形式</w:t>
      </w:r>
    </w:p>
    <w:p>
      <w:pPr>
        <w:pStyle w:val="21"/>
        <w:spacing w:line="420" w:lineRule="exact"/>
        <w:ind w:firstLine="420"/>
        <w:rPr>
          <w:rFonts w:hAnsi="宋体"/>
          <w:bCs/>
        </w:rPr>
      </w:pPr>
      <w:r>
        <w:rPr>
          <w:rFonts w:hint="eastAsia" w:hAnsi="宋体"/>
          <w:bCs/>
        </w:rPr>
        <w:t>1</w:t>
      </w:r>
      <w:r>
        <w:rPr>
          <w:rFonts w:hAnsi="宋体"/>
          <w:bCs/>
        </w:rPr>
        <w:t>.</w:t>
      </w:r>
      <w:r>
        <w:rPr>
          <w:rFonts w:hint="eastAsia" w:hAnsi="宋体"/>
          <w:bCs/>
        </w:rPr>
        <w:t>谈判小组在对响应文件的有效性、完整性和响应程度进行审查时，可以要求供应商对响应文件中含义不明确、同类问题表述不一致或者有明显文字和计算错误的内容等作出必要的</w:t>
      </w:r>
      <w:bookmarkStart w:id="130" w:name="_Hlk92462362"/>
      <w:r>
        <w:rPr>
          <w:rFonts w:hint="eastAsia" w:hAnsi="宋体"/>
          <w:bCs/>
        </w:rPr>
        <w:t>澄清、说明或者更正</w:t>
      </w:r>
      <w:bookmarkEnd w:id="130"/>
      <w:r>
        <w:rPr>
          <w:rFonts w:hint="eastAsia" w:hAnsi="宋体"/>
          <w:bCs/>
        </w:rPr>
        <w:t>。供应商的澄清、说明或者更正不得超出响应文件的范围或者改变响应文件的实质性内容。</w:t>
      </w:r>
    </w:p>
    <w:p>
      <w:pPr>
        <w:pStyle w:val="21"/>
        <w:spacing w:line="420" w:lineRule="exact"/>
        <w:ind w:firstLine="420"/>
        <w:rPr>
          <w:rFonts w:hAnsi="宋体"/>
          <w:bCs/>
        </w:rPr>
      </w:pPr>
      <w:r>
        <w:rPr>
          <w:rFonts w:hint="eastAsia" w:hAnsi="宋体"/>
          <w:bCs/>
        </w:rPr>
        <w:t>2</w:t>
      </w:r>
      <w:r>
        <w:rPr>
          <w:rFonts w:hAnsi="宋体"/>
          <w:bCs/>
        </w:rPr>
        <w:t>.</w:t>
      </w:r>
      <w:r>
        <w:rPr>
          <w:rFonts w:hint="eastAsia" w:hAnsi="宋体"/>
          <w:bCs/>
        </w:rPr>
        <w:t>谈判小组要求供应商澄清、说明或者更正响应文件应当以书面形式作出。供应商的澄清、说明或者更正应当由法定代表人或其授权代表签名或者加盖公章。由授权代表签名的，应当附法定代表人授权书。供应商为自然人的，应当由本人签名并附身份证明。</w:t>
      </w:r>
    </w:p>
    <w:p>
      <w:pPr>
        <w:spacing w:line="420" w:lineRule="exact"/>
        <w:ind w:firstLine="211" w:firstLineChars="100"/>
        <w:rPr>
          <w:b/>
          <w:bCs/>
        </w:rPr>
      </w:pPr>
      <w:r>
        <w:rPr>
          <w:rFonts w:hint="eastAsia"/>
          <w:b/>
          <w:bCs/>
        </w:rPr>
        <w:t>（八）评定标准及推荐原则</w:t>
      </w:r>
    </w:p>
    <w:p>
      <w:pPr>
        <w:spacing w:line="420" w:lineRule="exact"/>
        <w:ind w:firstLine="420" w:firstLineChars="200"/>
      </w:pPr>
      <w:r>
        <w:rPr>
          <w:rFonts w:hint="eastAsia" w:ascii="宋体" w:hAnsi="Courier New" w:cs="Courier New"/>
          <w:szCs w:val="21"/>
        </w:rPr>
        <w:t>详见第四章《评定标准及推荐原则》。</w:t>
      </w:r>
    </w:p>
    <w:p>
      <w:pPr>
        <w:pStyle w:val="21"/>
        <w:spacing w:line="420" w:lineRule="exact"/>
        <w:ind w:firstLine="211" w:firstLineChars="100"/>
        <w:rPr>
          <w:rFonts w:hAnsi="宋体"/>
          <w:b/>
        </w:rPr>
      </w:pPr>
      <w:r>
        <w:rPr>
          <w:rFonts w:hint="eastAsia" w:hAnsi="宋体"/>
          <w:b/>
        </w:rPr>
        <w:t>（九）供应商有下列情形之一的，属于恶意串通：</w:t>
      </w:r>
    </w:p>
    <w:p>
      <w:pPr>
        <w:pStyle w:val="21"/>
        <w:spacing w:line="420" w:lineRule="exact"/>
        <w:ind w:firstLine="420" w:firstLineChars="200"/>
        <w:rPr>
          <w:rFonts w:hAnsi="宋体" w:cs="Times New Roman"/>
        </w:rPr>
      </w:pPr>
      <w:r>
        <w:rPr>
          <w:rFonts w:hint="eastAsia" w:hAnsi="宋体" w:cs="Times New Roman"/>
        </w:rPr>
        <w:t>1</w:t>
      </w:r>
      <w:r>
        <w:rPr>
          <w:rFonts w:hAnsi="宋体" w:cs="Times New Roman"/>
        </w:rPr>
        <w:t>.</w:t>
      </w:r>
      <w:r>
        <w:rPr>
          <w:rFonts w:hint="eastAsia" w:hAnsi="宋体" w:cs="Times New Roman"/>
        </w:rPr>
        <w:t>供应商直接或者间接从采购人或者采购代理机构处获得其他供应商的相关情况并修改其响应文件；</w:t>
      </w:r>
    </w:p>
    <w:p>
      <w:pPr>
        <w:pStyle w:val="21"/>
        <w:spacing w:line="420" w:lineRule="exact"/>
        <w:ind w:firstLine="420" w:firstLineChars="200"/>
        <w:rPr>
          <w:rFonts w:hAnsi="宋体" w:cs="Times New Roman"/>
        </w:rPr>
      </w:pPr>
      <w:r>
        <w:rPr>
          <w:rFonts w:hint="eastAsia" w:hAnsi="宋体" w:cs="Times New Roman"/>
        </w:rPr>
        <w:t>2</w:t>
      </w:r>
      <w:r>
        <w:rPr>
          <w:rFonts w:hAnsi="宋体" w:cs="Times New Roman"/>
        </w:rPr>
        <w:t>.</w:t>
      </w:r>
      <w:r>
        <w:rPr>
          <w:rFonts w:hint="eastAsia" w:hAnsi="宋体" w:cs="Times New Roman"/>
        </w:rPr>
        <w:t>供应商按照采购人或者采购代理机构的授意撤换、修改响应文件；</w:t>
      </w:r>
    </w:p>
    <w:p>
      <w:pPr>
        <w:pStyle w:val="21"/>
        <w:spacing w:line="420" w:lineRule="exact"/>
        <w:ind w:firstLine="420" w:firstLineChars="200"/>
        <w:rPr>
          <w:rFonts w:hAnsi="宋体" w:cs="Times New Roman"/>
        </w:rPr>
      </w:pPr>
      <w:r>
        <w:rPr>
          <w:rFonts w:hint="eastAsia" w:hAnsi="宋体" w:cs="Times New Roman"/>
        </w:rPr>
        <w:t>3</w:t>
      </w:r>
      <w:r>
        <w:rPr>
          <w:rFonts w:hAnsi="宋体" w:cs="Times New Roman"/>
        </w:rPr>
        <w:t>.</w:t>
      </w:r>
      <w:r>
        <w:rPr>
          <w:rFonts w:hint="eastAsia" w:hAnsi="宋体" w:cs="Times New Roman"/>
        </w:rPr>
        <w:t>供应商之间协商报价、技术方案等响应文件的实质性内容；</w:t>
      </w:r>
    </w:p>
    <w:p>
      <w:pPr>
        <w:pStyle w:val="21"/>
        <w:spacing w:line="420" w:lineRule="exact"/>
        <w:ind w:firstLine="420" w:firstLineChars="200"/>
        <w:rPr>
          <w:rFonts w:hAnsi="宋体" w:cs="Times New Roman"/>
        </w:rPr>
      </w:pPr>
      <w:r>
        <w:rPr>
          <w:rFonts w:hint="eastAsia" w:hAnsi="宋体" w:cs="Times New Roman"/>
        </w:rPr>
        <w:t>4</w:t>
      </w:r>
      <w:r>
        <w:rPr>
          <w:rFonts w:hAnsi="宋体" w:cs="Times New Roman"/>
        </w:rPr>
        <w:t>.</w:t>
      </w:r>
      <w:r>
        <w:rPr>
          <w:rFonts w:hint="eastAsia" w:hAnsi="宋体" w:cs="Times New Roman"/>
        </w:rPr>
        <w:t>属于同一集团、协会、商会等组织成员的供应商按照该组织要求协同参加政府采购活动；</w:t>
      </w:r>
    </w:p>
    <w:p>
      <w:pPr>
        <w:pStyle w:val="21"/>
        <w:spacing w:line="420" w:lineRule="exact"/>
        <w:ind w:firstLine="420" w:firstLineChars="200"/>
        <w:rPr>
          <w:rFonts w:hAnsi="宋体" w:cs="Times New Roman"/>
        </w:rPr>
      </w:pPr>
      <w:r>
        <w:rPr>
          <w:rFonts w:hint="eastAsia" w:hAnsi="宋体" w:cs="Times New Roman"/>
        </w:rPr>
        <w:t>5</w:t>
      </w:r>
      <w:r>
        <w:rPr>
          <w:rFonts w:hAnsi="宋体" w:cs="Times New Roman"/>
        </w:rPr>
        <w:t>.</w:t>
      </w:r>
      <w:r>
        <w:rPr>
          <w:rFonts w:hint="eastAsia" w:hAnsi="宋体" w:cs="Times New Roman"/>
        </w:rPr>
        <w:t>供应商之间事先约定由某一特定供应商成交；</w:t>
      </w:r>
    </w:p>
    <w:p>
      <w:pPr>
        <w:pStyle w:val="21"/>
        <w:spacing w:line="420" w:lineRule="exact"/>
        <w:ind w:firstLine="420" w:firstLineChars="200"/>
        <w:rPr>
          <w:rFonts w:hAnsi="宋体" w:cs="Times New Roman"/>
        </w:rPr>
      </w:pPr>
      <w:r>
        <w:rPr>
          <w:rFonts w:hint="eastAsia" w:hAnsi="宋体" w:cs="Times New Roman"/>
        </w:rPr>
        <w:t>6</w:t>
      </w:r>
      <w:r>
        <w:rPr>
          <w:rFonts w:hAnsi="宋体" w:cs="Times New Roman"/>
        </w:rPr>
        <w:t>.</w:t>
      </w:r>
      <w:r>
        <w:rPr>
          <w:rFonts w:hint="eastAsia" w:hAnsi="宋体" w:cs="Times New Roman"/>
        </w:rPr>
        <w:t>供应商之间商定部分供应商放弃参加政府采购活动或者放弃成交；</w:t>
      </w:r>
    </w:p>
    <w:p>
      <w:pPr>
        <w:pStyle w:val="21"/>
        <w:spacing w:line="420" w:lineRule="exact"/>
        <w:ind w:firstLine="420" w:firstLineChars="200"/>
        <w:rPr>
          <w:rFonts w:hAnsi="宋体" w:cs="Times New Roman"/>
        </w:rPr>
      </w:pPr>
      <w:r>
        <w:rPr>
          <w:rFonts w:hint="eastAsia" w:hAnsi="宋体" w:cs="Times New Roman"/>
        </w:rPr>
        <w:t>7</w:t>
      </w:r>
      <w:r>
        <w:rPr>
          <w:rFonts w:hAnsi="宋体" w:cs="Times New Roman"/>
        </w:rPr>
        <w:t>.</w:t>
      </w:r>
      <w:r>
        <w:rPr>
          <w:rFonts w:hint="eastAsia" w:hAnsi="宋体" w:cs="Times New Roman"/>
        </w:rPr>
        <w:t>供应商与采购人或者采购代理机构之间、供应商相互之间，为谋求特定供应商成交或者排斥其他供应商的其他串通行为。</w:t>
      </w:r>
    </w:p>
    <w:p>
      <w:pPr>
        <w:pStyle w:val="21"/>
        <w:spacing w:line="420" w:lineRule="exact"/>
        <w:ind w:firstLine="211" w:firstLineChars="100"/>
        <w:rPr>
          <w:rFonts w:hAnsi="宋体"/>
          <w:b/>
        </w:rPr>
      </w:pPr>
      <w:r>
        <w:rPr>
          <w:rFonts w:hint="eastAsia" w:hAnsi="宋体"/>
          <w:b/>
        </w:rPr>
        <w:t>（十）评审报告</w:t>
      </w:r>
    </w:p>
    <w:p>
      <w:pPr>
        <w:widowControl/>
        <w:tabs>
          <w:tab w:val="left" w:pos="540"/>
        </w:tabs>
        <w:spacing w:line="420" w:lineRule="exact"/>
        <w:ind w:firstLine="420" w:firstLineChars="200"/>
        <w:jc w:val="left"/>
        <w:rPr>
          <w:szCs w:val="21"/>
        </w:rPr>
      </w:pPr>
      <w:r>
        <w:rPr>
          <w:rFonts w:hint="eastAsia"/>
          <w:szCs w:val="21"/>
        </w:rPr>
        <w:t>1</w:t>
      </w:r>
      <w:r>
        <w:rPr>
          <w:szCs w:val="21"/>
        </w:rPr>
        <w:t>.</w:t>
      </w:r>
      <w:r>
        <w:rPr>
          <w:rFonts w:hint="eastAsia"/>
          <w:szCs w:val="21"/>
        </w:rPr>
        <w:t>谈判小组应当根据评审记录和评审结果编写评审报告，主要内容包括：</w:t>
      </w:r>
    </w:p>
    <w:p>
      <w:pPr>
        <w:widowControl/>
        <w:tabs>
          <w:tab w:val="left" w:pos="540"/>
        </w:tabs>
        <w:spacing w:line="420" w:lineRule="exact"/>
        <w:ind w:firstLine="420" w:firstLineChars="200"/>
        <w:jc w:val="left"/>
        <w:rPr>
          <w:szCs w:val="21"/>
        </w:rPr>
      </w:pPr>
      <w:r>
        <w:rPr>
          <w:rFonts w:hint="eastAsia"/>
          <w:szCs w:val="21"/>
        </w:rPr>
        <w:t>(</w:t>
      </w:r>
      <w:r>
        <w:rPr>
          <w:szCs w:val="21"/>
        </w:rPr>
        <w:t>1)</w:t>
      </w:r>
      <w:r>
        <w:rPr>
          <w:rFonts w:hint="eastAsia"/>
          <w:szCs w:val="21"/>
        </w:rPr>
        <w:t>邀请供应商参加采购活动的具体方式和相关情况，以及参加采购活动的供应商名单；</w:t>
      </w:r>
    </w:p>
    <w:p>
      <w:pPr>
        <w:widowControl/>
        <w:tabs>
          <w:tab w:val="left" w:pos="540"/>
        </w:tabs>
        <w:spacing w:line="420" w:lineRule="exact"/>
        <w:ind w:firstLine="420" w:firstLineChars="200"/>
        <w:jc w:val="left"/>
        <w:rPr>
          <w:szCs w:val="21"/>
        </w:rPr>
      </w:pPr>
      <w:r>
        <w:rPr>
          <w:rFonts w:hint="eastAsia"/>
          <w:szCs w:val="21"/>
        </w:rPr>
        <w:t>(</w:t>
      </w:r>
      <w:r>
        <w:rPr>
          <w:szCs w:val="21"/>
        </w:rPr>
        <w:t>2)</w:t>
      </w:r>
      <w:r>
        <w:rPr>
          <w:rFonts w:hint="eastAsia"/>
          <w:szCs w:val="21"/>
        </w:rPr>
        <w:t>评审日期和地点，谈判小组成员名单；</w:t>
      </w:r>
    </w:p>
    <w:p>
      <w:pPr>
        <w:widowControl/>
        <w:tabs>
          <w:tab w:val="left" w:pos="540"/>
        </w:tabs>
        <w:spacing w:line="420" w:lineRule="exact"/>
        <w:ind w:firstLine="420" w:firstLineChars="200"/>
        <w:jc w:val="left"/>
        <w:rPr>
          <w:szCs w:val="21"/>
        </w:rPr>
      </w:pPr>
      <w:r>
        <w:rPr>
          <w:rFonts w:hint="eastAsia"/>
          <w:szCs w:val="21"/>
        </w:rPr>
        <w:t>(</w:t>
      </w:r>
      <w:r>
        <w:rPr>
          <w:szCs w:val="21"/>
        </w:rPr>
        <w:t>3)</w:t>
      </w:r>
      <w:r>
        <w:rPr>
          <w:rFonts w:hint="eastAsia"/>
          <w:szCs w:val="21"/>
        </w:rPr>
        <w:t>评审情况记录和说明，包括对供应商的资格审查情况、供应商响应文件评审情况、谈判情况、报价情况等；</w:t>
      </w:r>
    </w:p>
    <w:p>
      <w:pPr>
        <w:widowControl/>
        <w:tabs>
          <w:tab w:val="left" w:pos="540"/>
        </w:tabs>
        <w:spacing w:line="420" w:lineRule="exact"/>
        <w:ind w:firstLine="420" w:firstLineChars="200"/>
        <w:jc w:val="left"/>
        <w:rPr>
          <w:szCs w:val="21"/>
        </w:rPr>
      </w:pPr>
      <w:r>
        <w:rPr>
          <w:rFonts w:hint="eastAsia"/>
        </w:rPr>
        <w:t>(</w:t>
      </w:r>
      <w:r>
        <w:t>4)</w:t>
      </w:r>
      <w:r>
        <w:rPr>
          <w:rFonts w:hint="eastAsia"/>
        </w:rPr>
        <w:t>提出的成交候选人的名单及理由。</w:t>
      </w:r>
      <w:r>
        <w:rPr>
          <w:rFonts w:hint="eastAsia"/>
        </w:rPr>
        <w:br w:type="textWrapping"/>
      </w:r>
      <w:r>
        <w:rPr>
          <w:rFonts w:hint="eastAsia"/>
        </w:rPr>
        <w:t>　　2</w:t>
      </w:r>
      <w:r>
        <w:t>.</w:t>
      </w:r>
      <w:r>
        <w:rPr>
          <w:rFonts w:hint="eastAsia"/>
        </w:rPr>
        <w:t>评审报告应当由谈判小组全体人员签名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名又不书面说明其不同意见和理由的，视为同意评审报告。</w:t>
      </w:r>
    </w:p>
    <w:p>
      <w:pPr>
        <w:pStyle w:val="21"/>
        <w:spacing w:line="420" w:lineRule="exact"/>
        <w:ind w:firstLine="211" w:firstLineChars="100"/>
        <w:rPr>
          <w:rFonts w:hAnsi="宋体"/>
        </w:rPr>
      </w:pPr>
      <w:r>
        <w:rPr>
          <w:rFonts w:hint="eastAsia" w:hAnsi="宋体"/>
          <w:b/>
          <w:bCs/>
        </w:rPr>
        <w:t>（十一）</w:t>
      </w:r>
      <w:r>
        <w:rPr>
          <w:rFonts w:hint="eastAsia" w:hAnsi="宋体"/>
          <w:b/>
        </w:rPr>
        <w:t>出现下列情形之一的，本中心将终止竞争性谈判采购活动：</w:t>
      </w:r>
    </w:p>
    <w:p>
      <w:pPr>
        <w:pStyle w:val="21"/>
        <w:spacing w:line="420" w:lineRule="exact"/>
        <w:ind w:firstLine="420" w:firstLineChars="200"/>
        <w:rPr>
          <w:rFonts w:hAnsi="宋体"/>
        </w:rPr>
      </w:pPr>
      <w:r>
        <w:rPr>
          <w:rFonts w:hint="eastAsia" w:hAnsi="宋体"/>
        </w:rPr>
        <w:t>1</w:t>
      </w:r>
      <w:r>
        <w:rPr>
          <w:rFonts w:hAnsi="宋体"/>
        </w:rPr>
        <w:t>.</w:t>
      </w:r>
      <w:r>
        <w:rPr>
          <w:rFonts w:hint="eastAsia" w:hAnsi="宋体"/>
        </w:rPr>
        <w:t>因情况变化，不再符合规定的竞争性谈判采购方式适用情形的；</w:t>
      </w:r>
    </w:p>
    <w:p>
      <w:pPr>
        <w:pStyle w:val="21"/>
        <w:spacing w:line="420" w:lineRule="exact"/>
        <w:ind w:firstLine="420" w:firstLineChars="200"/>
        <w:rPr>
          <w:rFonts w:hAnsi="宋体"/>
        </w:rPr>
      </w:pPr>
      <w:r>
        <w:rPr>
          <w:rFonts w:hint="eastAsia" w:hAnsi="宋体"/>
        </w:rPr>
        <w:t>2</w:t>
      </w:r>
      <w:r>
        <w:rPr>
          <w:rFonts w:hAnsi="宋体"/>
        </w:rPr>
        <w:t>.</w:t>
      </w:r>
      <w:r>
        <w:rPr>
          <w:rFonts w:hint="eastAsia" w:hAnsi="宋体"/>
        </w:rPr>
        <w:t>出现影响采购公正的违法、违规行为的；</w:t>
      </w:r>
    </w:p>
    <w:p>
      <w:pPr>
        <w:pStyle w:val="21"/>
        <w:spacing w:line="420" w:lineRule="exact"/>
        <w:ind w:firstLine="420" w:firstLineChars="200"/>
        <w:rPr>
          <w:rFonts w:hAnsi="宋体"/>
        </w:rPr>
      </w:pPr>
      <w:r>
        <w:rPr>
          <w:rFonts w:hint="eastAsia" w:hAnsi="宋体"/>
        </w:rPr>
        <w:t>3</w:t>
      </w:r>
      <w:r>
        <w:rPr>
          <w:rFonts w:hAnsi="宋体"/>
        </w:rPr>
        <w:t>.</w:t>
      </w:r>
      <w:r>
        <w:rPr>
          <w:rFonts w:hint="eastAsia" w:hAnsi="宋体"/>
        </w:rPr>
        <w:t>在采购过程中符合竞争要求的供应商或者报价未超过采购预算的供应商不足3家的。</w:t>
      </w:r>
    </w:p>
    <w:p>
      <w:pPr>
        <w:pStyle w:val="4"/>
        <w:spacing w:line="420" w:lineRule="exact"/>
      </w:pPr>
      <w:r>
        <w:rPr>
          <w:rFonts w:hint="eastAsia"/>
        </w:rPr>
        <w:t>六、确定成交供应商</w:t>
      </w:r>
    </w:p>
    <w:p>
      <w:pPr>
        <w:pStyle w:val="21"/>
        <w:spacing w:line="420" w:lineRule="exact"/>
        <w:ind w:firstLine="420"/>
        <w:rPr>
          <w:rFonts w:hAnsi="宋体"/>
        </w:rPr>
      </w:pPr>
      <w:r>
        <w:rPr>
          <w:rFonts w:hint="eastAsia" w:hAnsi="宋体"/>
        </w:rPr>
        <w:t>1</w:t>
      </w:r>
      <w:r>
        <w:rPr>
          <w:rFonts w:hAnsi="宋体"/>
        </w:rPr>
        <w:t>.</w:t>
      </w:r>
      <w:r>
        <w:rPr>
          <w:rFonts w:hint="eastAsia" w:hAnsi="宋体"/>
        </w:rPr>
        <w:t>本中心应当在评审结束后2个工作日内将评审报告送采购人确认。</w:t>
      </w:r>
    </w:p>
    <w:p>
      <w:pPr>
        <w:pStyle w:val="21"/>
        <w:spacing w:line="420" w:lineRule="exact"/>
        <w:ind w:firstLine="420"/>
        <w:rPr>
          <w:rFonts w:hAnsi="宋体"/>
        </w:rPr>
      </w:pPr>
      <w:r>
        <w:rPr>
          <w:rFonts w:hAnsi="宋体"/>
        </w:rPr>
        <w:t>2.</w:t>
      </w:r>
      <w:r>
        <w:rPr>
          <w:rFonts w:hint="eastAsia" w:hAnsi="宋体"/>
        </w:rPr>
        <w:t>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pStyle w:val="4"/>
        <w:spacing w:line="420" w:lineRule="exact"/>
      </w:pPr>
      <w:r>
        <w:rPr>
          <w:rFonts w:hint="eastAsia"/>
        </w:rPr>
        <w:t>七、结果公告</w:t>
      </w:r>
    </w:p>
    <w:p>
      <w:pPr>
        <w:pStyle w:val="21"/>
        <w:spacing w:line="420" w:lineRule="exact"/>
        <w:ind w:firstLine="420" w:firstLineChars="200"/>
        <w:rPr>
          <w:rFonts w:hAnsi="宋体"/>
        </w:rPr>
      </w:pPr>
      <w:r>
        <w:rPr>
          <w:rFonts w:hint="eastAsia" w:hAnsi="宋体"/>
        </w:rPr>
        <w:t>本中心在成交供应商确定后2个工作日内，</w:t>
      </w:r>
      <w:r>
        <w:rPr>
          <w:rFonts w:hint="eastAsia"/>
        </w:rPr>
        <w:t>在省级以上财政部门指定的媒体上公告</w:t>
      </w:r>
      <w:r>
        <w:rPr>
          <w:rFonts w:hint="eastAsia" w:hAnsi="宋体"/>
        </w:rPr>
        <w:t>成交结果，同时向成交供应商发出成交通知书。</w:t>
      </w:r>
    </w:p>
    <w:p>
      <w:pPr>
        <w:pStyle w:val="4"/>
        <w:spacing w:line="420" w:lineRule="exact"/>
      </w:pPr>
      <w:r>
        <w:rPr>
          <w:rFonts w:hint="eastAsia"/>
        </w:rPr>
        <w:t>八、签订合同</w:t>
      </w:r>
    </w:p>
    <w:p>
      <w:pPr>
        <w:spacing w:line="420" w:lineRule="exact"/>
        <w:ind w:firstLine="210" w:firstLineChars="100"/>
        <w:rPr>
          <w:rFonts w:ascii="宋体" w:hAnsi="宋体" w:cs="Courier New"/>
          <w:szCs w:val="21"/>
        </w:rPr>
      </w:pPr>
      <w:r>
        <w:rPr>
          <w:rFonts w:hint="eastAsia" w:ascii="宋体" w:hAnsi="宋体"/>
          <w:szCs w:val="21"/>
        </w:rPr>
        <w:t>（一）</w:t>
      </w:r>
      <w:r>
        <w:rPr>
          <w:rFonts w:hint="eastAsia" w:ascii="宋体" w:hAnsi="宋体" w:cs="Courier New"/>
          <w:szCs w:val="21"/>
        </w:rPr>
        <w:t>采购人与成交供应商应当在成交通知书发出之日起</w:t>
      </w:r>
      <w:r>
        <w:rPr>
          <w:rFonts w:ascii="宋体" w:hAnsi="宋体" w:cs="Courier New"/>
          <w:szCs w:val="21"/>
        </w:rPr>
        <w:t>15</w:t>
      </w:r>
      <w:r>
        <w:rPr>
          <w:rFonts w:hint="eastAsia" w:ascii="宋体" w:hAnsi="宋体" w:cs="Courier New"/>
          <w:szCs w:val="21"/>
        </w:rPr>
        <w:t>日内，</w:t>
      </w:r>
      <w:r>
        <w:rPr>
          <w:rFonts w:hint="eastAsia"/>
          <w:szCs w:val="21"/>
        </w:rPr>
        <w:t>按照采购文件确定的合同文本以及采购标的、规格型号、采购金额、采购数量、技术和服务要求等事项签订政府采购合同。</w:t>
      </w:r>
    </w:p>
    <w:p>
      <w:pPr>
        <w:widowControl/>
        <w:spacing w:line="420" w:lineRule="exact"/>
        <w:ind w:firstLine="210" w:firstLineChars="100"/>
        <w:jc w:val="left"/>
        <w:rPr>
          <w:rFonts w:ascii="宋体" w:hAnsi="宋体" w:cs="宋体"/>
          <w:kern w:val="0"/>
          <w:szCs w:val="21"/>
        </w:rPr>
      </w:pPr>
      <w:r>
        <w:rPr>
          <w:rFonts w:hint="eastAsia" w:ascii="宋体" w:hAnsi="宋体" w:cs="Courier New"/>
          <w:szCs w:val="21"/>
        </w:rPr>
        <w:t>（二）</w:t>
      </w:r>
      <w:r>
        <w:rPr>
          <w:rFonts w:hint="eastAsia" w:ascii="宋体" w:hAnsi="宋体" w:cs="宋体"/>
          <w:kern w:val="0"/>
          <w:szCs w:val="21"/>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（三）供应商可凭成交通知书或政府采购合同等在内的相关材料、信息，通过中征应收账款融资服务平台向银行业金融机构在线申请“政采贷”融资。</w:t>
      </w:r>
    </w:p>
    <w:p>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（四）除不可抗力等因素外，成交通知书发出后，采购人改变成交结果，或者成交供应商拒绝签订政府采购合同的，应当承担相应的法律责任。</w:t>
      </w:r>
    </w:p>
    <w:p>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（五）</w:t>
      </w:r>
      <w:r>
        <w:rPr>
          <w:rFonts w:ascii="Arial" w:hAnsi="Arial" w:cs="Arial"/>
          <w:kern w:val="0"/>
          <w:szCs w:val="21"/>
        </w:rPr>
        <w:t>政府采购合同</w:t>
      </w:r>
      <w:r>
        <w:rPr>
          <w:rFonts w:hint="eastAsia" w:ascii="Arial" w:hAnsi="Arial" w:cs="Arial"/>
          <w:kern w:val="0"/>
          <w:szCs w:val="21"/>
        </w:rPr>
        <w:t>适用《中华人民共和国民法典》</w:t>
      </w:r>
      <w:r>
        <w:rPr>
          <w:rFonts w:ascii="Arial" w:hAnsi="Arial" w:cs="Arial"/>
          <w:kern w:val="0"/>
          <w:szCs w:val="21"/>
        </w:rPr>
        <w:t>。</w:t>
      </w:r>
    </w:p>
    <w:p>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六）成交供应商拒绝签订政府采购合同的，采购人可以按照推荐原则确定其他供应商作为成交供应商并签订政府采购合同，也可以重新开展采购活动。拒绝签订政府采购合同的成交供应商不得参加对该项目重新开展的采购活动。</w:t>
      </w:r>
    </w:p>
    <w:p>
      <w:pPr>
        <w:pStyle w:val="4"/>
        <w:spacing w:line="420" w:lineRule="exact"/>
      </w:pPr>
      <w:r>
        <w:rPr>
          <w:rFonts w:hint="eastAsia"/>
        </w:rPr>
        <w:t>九、适用法律</w:t>
      </w:r>
    </w:p>
    <w:p>
      <w:pPr>
        <w:spacing w:line="420" w:lineRule="exact"/>
        <w:ind w:firstLine="420" w:firstLineChars="200"/>
        <w:rPr>
          <w:rFonts w:ascii="宋体" w:hAnsi="宋体"/>
          <w:szCs w:val="21"/>
        </w:rPr>
      </w:pPr>
      <w:bookmarkStart w:id="131" w:name="_Hlk92794186"/>
      <w:r>
        <w:rPr>
          <w:rFonts w:hint="eastAsia" w:ascii="宋体" w:hAnsi="宋体"/>
          <w:szCs w:val="21"/>
        </w:rPr>
        <w:t>本项目采购活动适用于《中华人民共和国政府采购法》及其实施条例、《政府采购非招标采购方式管理办法》等规定。</w:t>
      </w:r>
    </w:p>
    <w:bookmarkEnd w:id="131"/>
    <w:p>
      <w:pPr>
        <w:pStyle w:val="4"/>
        <w:spacing w:line="420" w:lineRule="exact"/>
      </w:pPr>
      <w:bookmarkStart w:id="132" w:name="_十、其他事项"/>
      <w:bookmarkEnd w:id="132"/>
      <w:r>
        <w:rPr>
          <w:rFonts w:hint="eastAsia"/>
        </w:rPr>
        <w:t>十、其他事项</w:t>
      </w:r>
    </w:p>
    <w:p>
      <w:pPr>
        <w:spacing w:line="420" w:lineRule="exact"/>
        <w:ind w:firstLine="210" w:firstLineChars="100"/>
        <w:rPr>
          <w:rFonts w:hAnsi="宋体"/>
        </w:rPr>
      </w:pPr>
      <w:r>
        <w:rPr>
          <w:rFonts w:hint="eastAsia" w:hAnsi="宋体"/>
        </w:rPr>
        <w:t>（一）代理服务费</w:t>
      </w:r>
    </w:p>
    <w:p>
      <w:pPr>
        <w:spacing w:line="420" w:lineRule="exact"/>
        <w:ind w:firstLine="420" w:firstLineChars="200"/>
        <w:rPr>
          <w:rFonts w:hAnsi="宋体"/>
        </w:rPr>
      </w:pPr>
      <w:r>
        <w:rPr>
          <w:rFonts w:hint="eastAsia" w:hAnsi="宋体"/>
        </w:rPr>
        <w:t>1</w:t>
      </w:r>
      <w:r>
        <w:rPr>
          <w:rFonts w:hAnsi="宋体"/>
        </w:rPr>
        <w:t>.</w:t>
      </w:r>
      <w:r>
        <w:rPr>
          <w:rFonts w:hint="eastAsia" w:hAnsi="宋体"/>
        </w:rPr>
        <w:t>本中心按钦州市物价局“钦市价费﹝2013﹞4号”文件规定向成交供应商收取代理服务费，成交供应商须向本中心一次付清代理服务费。</w:t>
      </w:r>
    </w:p>
    <w:p>
      <w:pPr>
        <w:spacing w:line="420" w:lineRule="exact"/>
        <w:ind w:firstLine="420" w:firstLineChars="200"/>
        <w:rPr>
          <w:rFonts w:hAnsi="宋体"/>
        </w:rPr>
      </w:pPr>
      <w:r>
        <w:rPr>
          <w:rFonts w:hint="eastAsia" w:hAnsi="宋体"/>
        </w:rPr>
        <w:t>2</w:t>
      </w:r>
      <w:r>
        <w:rPr>
          <w:rFonts w:hAnsi="宋体"/>
        </w:rPr>
        <w:t>.</w:t>
      </w:r>
      <w:r>
        <w:rPr>
          <w:rFonts w:hint="eastAsia" w:hAnsi="宋体"/>
          <w:bCs/>
        </w:rPr>
        <w:t>代理服务收费标准：</w:t>
      </w:r>
    </w:p>
    <w:tbl>
      <w:tblPr>
        <w:tblStyle w:val="35"/>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8"/>
        <w:gridCol w:w="1932"/>
        <w:gridCol w:w="18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3438" w:type="dxa"/>
            <w:vMerge w:val="restart"/>
          </w:tcPr>
          <w:p>
            <w:pPr>
              <w:spacing w:line="330" w:lineRule="exact"/>
              <w:ind w:firstLine="2310" w:firstLineChars="1100"/>
              <w:rPr>
                <w:rFonts w:hAnsi="宋体"/>
              </w:rPr>
            </w:pPr>
            <w:r>
              <w:rPr>
                <w:rFonts w:hAnsi="宋体"/>
              </w:rPr>
              <mc:AlternateContent>
                <mc:Choice Requires="wps">
                  <w:drawing>
                    <wp:anchor distT="0" distB="0" distL="114300" distR="114300" simplePos="0" relativeHeight="251660288" behindDoc="0" locked="0" layoutInCell="1" allowOverlap="1">
                      <wp:simplePos x="0" y="0"/>
                      <wp:positionH relativeFrom="column">
                        <wp:posOffset>-85090</wp:posOffset>
                      </wp:positionH>
                      <wp:positionV relativeFrom="paragraph">
                        <wp:posOffset>21590</wp:posOffset>
                      </wp:positionV>
                      <wp:extent cx="2172335" cy="1444625"/>
                      <wp:effectExtent l="6350" t="5080" r="12065" b="7620"/>
                      <wp:wrapNone/>
                      <wp:docPr id="4" name="直线 3"/>
                      <wp:cNvGraphicFramePr/>
                      <a:graphic xmlns:a="http://schemas.openxmlformats.org/drawingml/2006/main">
                        <a:graphicData uri="http://schemas.microsoft.com/office/word/2010/wordprocessingShape">
                          <wps:wsp>
                            <wps:cNvCnPr>
                              <a:cxnSpLocks noChangeShapeType="1"/>
                            </wps:cNvCnPr>
                            <wps:spPr bwMode="auto">
                              <a:xfrm flipH="1" flipV="1">
                                <a:off x="0" y="0"/>
                                <a:ext cx="2172335" cy="1444625"/>
                              </a:xfrm>
                              <a:prstGeom prst="line">
                                <a:avLst/>
                              </a:prstGeom>
                              <a:noFill/>
                              <a:ln w="9525">
                                <a:solidFill>
                                  <a:srgbClr val="000000"/>
                                </a:solidFill>
                                <a:round/>
                              </a:ln>
                            </wps:spPr>
                            <wps:bodyPr/>
                          </wps:wsp>
                        </a:graphicData>
                      </a:graphic>
                    </wp:anchor>
                  </w:drawing>
                </mc:Choice>
                <mc:Fallback>
                  <w:pict>
                    <v:line id="直线 3" o:spid="_x0000_s1026" o:spt="20" style="position:absolute;left:0pt;flip:x y;margin-left:-6.7pt;margin-top:1.7pt;height:113.75pt;width:171.05pt;z-index:251660288;mso-width-relative:page;mso-height-relative:page;" filled="f" stroked="t" coordsize="21600,21600" o:gfxdata="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bw0+dUAAAAJ&#10;AQAADwAAAAAAAAABACAAAAAiAAAAZHJzL2Rvd25yZXYueG1sUEsBAhQAFAAAAAgAh07iQHWmW7Lm&#10;AQAAuwMAAA4AAAAAAAAAAQAgAAAAJAEAAGRycy9lMm9Eb2MueG1sUEsFBgAAAAAGAAYAWQEAAHwF&#10;AAAAAA==&#10;">
                      <v:fill on="f" focussize="0,0"/>
                      <v:stroke color="#000000" joinstyle="round"/>
                      <v:imagedata o:title=""/>
                      <o:lock v:ext="edit" aspectratio="f"/>
                    </v:line>
                  </w:pict>
                </mc:Fallback>
              </mc:AlternateContent>
            </w:r>
            <w:r>
              <w:rPr>
                <w:rFonts w:hAnsi="宋体"/>
              </w:rPr>
              <mc:AlternateContent>
                <mc:Choice Requires="wps">
                  <w:drawing>
                    <wp:anchor distT="0" distB="0" distL="114300" distR="114300" simplePos="0" relativeHeight="251659264" behindDoc="0" locked="0" layoutInCell="1" allowOverlap="1">
                      <wp:simplePos x="0" y="0"/>
                      <wp:positionH relativeFrom="column">
                        <wp:posOffset>940435</wp:posOffset>
                      </wp:positionH>
                      <wp:positionV relativeFrom="paragraph">
                        <wp:posOffset>19685</wp:posOffset>
                      </wp:positionV>
                      <wp:extent cx="1143635" cy="1444625"/>
                      <wp:effectExtent l="12700" t="12700" r="5715" b="9525"/>
                      <wp:wrapNone/>
                      <wp:docPr id="3" name="直线 4"/>
                      <wp:cNvGraphicFramePr/>
                      <a:graphic xmlns:a="http://schemas.openxmlformats.org/drawingml/2006/main">
                        <a:graphicData uri="http://schemas.microsoft.com/office/word/2010/wordprocessingShape">
                          <wps:wsp>
                            <wps:cNvCnPr>
                              <a:cxnSpLocks noChangeShapeType="1"/>
                            </wps:cNvCnPr>
                            <wps:spPr bwMode="auto">
                              <a:xfrm flipH="1" flipV="1">
                                <a:off x="0" y="0"/>
                                <a:ext cx="1143635" cy="1444625"/>
                              </a:xfrm>
                              <a:prstGeom prst="line">
                                <a:avLst/>
                              </a:prstGeom>
                              <a:noFill/>
                              <a:ln w="9525">
                                <a:solidFill>
                                  <a:srgbClr val="000000"/>
                                </a:solidFill>
                                <a:round/>
                              </a:ln>
                            </wps:spPr>
                            <wps:bodyPr/>
                          </wps:wsp>
                        </a:graphicData>
                      </a:graphic>
                    </wp:anchor>
                  </w:drawing>
                </mc:Choice>
                <mc:Fallback>
                  <w:pict>
                    <v:line id="直线 4" o:spid="_x0000_s1026" o:spt="20" style="position:absolute;left:0pt;flip:x y;margin-left:74.05pt;margin-top:1.55pt;height:113.75pt;width:90.05pt;z-index:251659264;mso-width-relative:page;mso-height-relative:page;" filled="f" stroked="t" coordsize="21600,21600" o:gfxdata="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esssL1AAAAAkB&#10;AAAPAAAAAAAAAAEAIAAAACIAAABkcnMvZG93bnJldi54bWxQSwECFAAUAAAACACHTuJA8flnDOYB&#10;AAC7AwAADgAAAAAAAAABACAAAAAjAQAAZHJzL2Uyb0RvYy54bWxQSwUGAAAAAAYABgBZAQAAewUA&#10;AAAA&#10;">
                      <v:fill on="f" focussize="0,0"/>
                      <v:stroke color="#000000" joinstyle="round"/>
                      <v:imagedata o:title=""/>
                      <o:lock v:ext="edit" aspectratio="f"/>
                    </v:line>
                  </w:pict>
                </mc:Fallback>
              </mc:AlternateContent>
            </w:r>
            <w:r>
              <w:rPr>
                <w:rFonts w:hint="eastAsia" w:hAnsi="宋体"/>
              </w:rPr>
              <w:t>采购类型</w:t>
            </w:r>
          </w:p>
          <w:p>
            <w:pPr>
              <w:spacing w:line="330" w:lineRule="exact"/>
              <w:rPr>
                <w:rFonts w:hAnsi="宋体"/>
              </w:rPr>
            </w:pPr>
          </w:p>
          <w:p>
            <w:pPr>
              <w:spacing w:line="330" w:lineRule="exact"/>
              <w:ind w:firstLine="1575" w:firstLineChars="750"/>
              <w:jc w:val="left"/>
              <w:rPr>
                <w:rFonts w:hAnsi="宋体"/>
              </w:rPr>
            </w:pPr>
            <w:r>
              <w:rPr>
                <w:rFonts w:hint="eastAsia" w:hAnsi="宋体"/>
              </w:rPr>
              <w:t>费率</w:t>
            </w:r>
          </w:p>
          <w:p>
            <w:pPr>
              <w:spacing w:line="330" w:lineRule="exact"/>
              <w:ind w:leftChars="-1" w:hanging="2" w:hangingChars="1"/>
              <w:jc w:val="left"/>
              <w:rPr>
                <w:rFonts w:hAnsi="宋体"/>
              </w:rPr>
            </w:pPr>
          </w:p>
          <w:p>
            <w:pPr>
              <w:spacing w:line="330" w:lineRule="exact"/>
              <w:ind w:leftChars="-1" w:hanging="2" w:hangingChars="1"/>
              <w:jc w:val="left"/>
              <w:rPr>
                <w:rFonts w:hAnsi="宋体"/>
              </w:rPr>
            </w:pPr>
          </w:p>
          <w:p>
            <w:pPr>
              <w:spacing w:line="330" w:lineRule="exact"/>
              <w:jc w:val="left"/>
              <w:rPr>
                <w:rFonts w:hAnsi="宋体"/>
              </w:rPr>
            </w:pPr>
            <w:r>
              <w:rPr>
                <w:rFonts w:hint="eastAsia" w:hAnsi="宋体"/>
              </w:rPr>
              <w:t>成交金额（万元）</w:t>
            </w:r>
          </w:p>
        </w:tc>
        <w:tc>
          <w:tcPr>
            <w:tcW w:w="5708" w:type="dxa"/>
            <w:gridSpan w:val="3"/>
            <w:vAlign w:val="center"/>
          </w:tcPr>
          <w:p>
            <w:pPr>
              <w:spacing w:line="330" w:lineRule="exact"/>
              <w:rPr>
                <w:rFonts w:hAnsi="宋体"/>
              </w:rPr>
            </w:pPr>
            <w:r>
              <w:rPr>
                <w:rFonts w:hint="eastAsia" w:hAnsi="宋体"/>
              </w:rPr>
              <w:t>公开招标、邀请招标、竞争性谈判方式采购代理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3438" w:type="dxa"/>
            <w:vMerge w:val="continue"/>
          </w:tcPr>
          <w:p>
            <w:pPr>
              <w:spacing w:line="330" w:lineRule="exact"/>
              <w:ind w:firstLine="2620" w:firstLineChars="1248"/>
              <w:rPr>
                <w:rFonts w:hAnsi="宋体"/>
              </w:rPr>
            </w:pPr>
          </w:p>
        </w:tc>
        <w:tc>
          <w:tcPr>
            <w:tcW w:w="1932" w:type="dxa"/>
            <w:vAlign w:val="center"/>
          </w:tcPr>
          <w:p>
            <w:pPr>
              <w:spacing w:line="330" w:lineRule="exact"/>
              <w:jc w:val="center"/>
              <w:rPr>
                <w:rFonts w:hAnsi="宋体"/>
              </w:rPr>
            </w:pPr>
            <w:r>
              <w:rPr>
                <w:rFonts w:hint="eastAsia" w:hAnsi="宋体"/>
              </w:rPr>
              <w:t>货物类</w:t>
            </w:r>
          </w:p>
        </w:tc>
        <w:tc>
          <w:tcPr>
            <w:tcW w:w="1800" w:type="dxa"/>
            <w:vAlign w:val="center"/>
          </w:tcPr>
          <w:p>
            <w:pPr>
              <w:spacing w:line="330" w:lineRule="exact"/>
              <w:jc w:val="center"/>
              <w:rPr>
                <w:rFonts w:hAnsi="宋体"/>
              </w:rPr>
            </w:pPr>
            <w:r>
              <w:rPr>
                <w:rFonts w:hint="eastAsia" w:hAnsi="宋体"/>
              </w:rPr>
              <w:t>服务类</w:t>
            </w:r>
          </w:p>
        </w:tc>
        <w:tc>
          <w:tcPr>
            <w:tcW w:w="1976" w:type="dxa"/>
            <w:vAlign w:val="center"/>
          </w:tcPr>
          <w:p>
            <w:pPr>
              <w:widowControl/>
              <w:spacing w:line="330" w:lineRule="exact"/>
              <w:jc w:val="center"/>
              <w:rPr>
                <w:rFonts w:hAnsi="宋体"/>
              </w:rPr>
            </w:pPr>
            <w:r>
              <w:rPr>
                <w:rFonts w:hint="eastAsia" w:hAnsi="宋体"/>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438" w:type="dxa"/>
            <w:vAlign w:val="center"/>
          </w:tcPr>
          <w:p>
            <w:pPr>
              <w:spacing w:line="330" w:lineRule="exact"/>
              <w:jc w:val="center"/>
              <w:rPr>
                <w:rFonts w:hAnsi="宋体"/>
              </w:rPr>
            </w:pPr>
            <w:r>
              <w:rPr>
                <w:rFonts w:hint="eastAsia" w:hAnsi="宋体"/>
              </w:rPr>
              <w:t>100以下</w:t>
            </w:r>
          </w:p>
        </w:tc>
        <w:tc>
          <w:tcPr>
            <w:tcW w:w="1932" w:type="dxa"/>
            <w:vAlign w:val="center"/>
          </w:tcPr>
          <w:p>
            <w:pPr>
              <w:spacing w:line="330" w:lineRule="exact"/>
              <w:jc w:val="center"/>
              <w:rPr>
                <w:rFonts w:hAnsi="宋体"/>
              </w:rPr>
            </w:pPr>
            <w:r>
              <w:rPr>
                <w:rFonts w:hint="eastAsia" w:hAnsi="宋体"/>
              </w:rPr>
              <w:t>1.2%</w:t>
            </w:r>
          </w:p>
        </w:tc>
        <w:tc>
          <w:tcPr>
            <w:tcW w:w="1800" w:type="dxa"/>
            <w:vAlign w:val="center"/>
          </w:tcPr>
          <w:p>
            <w:pPr>
              <w:spacing w:line="330" w:lineRule="exact"/>
              <w:jc w:val="center"/>
              <w:rPr>
                <w:rFonts w:hAnsi="宋体"/>
              </w:rPr>
            </w:pPr>
            <w:r>
              <w:rPr>
                <w:rFonts w:hint="eastAsia" w:hAnsi="宋体"/>
              </w:rPr>
              <w:t>1.2%</w:t>
            </w:r>
          </w:p>
        </w:tc>
        <w:tc>
          <w:tcPr>
            <w:tcW w:w="1976" w:type="dxa"/>
            <w:vAlign w:val="center"/>
          </w:tcPr>
          <w:p>
            <w:pPr>
              <w:spacing w:line="330" w:lineRule="exact"/>
              <w:jc w:val="center"/>
              <w:rPr>
                <w:rFonts w:hAnsi="宋体"/>
              </w:rPr>
            </w:pPr>
            <w:r>
              <w:rPr>
                <w:rFonts w:hint="eastAsia" w:hAnsi="宋体"/>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38" w:type="dxa"/>
            <w:vAlign w:val="center"/>
          </w:tcPr>
          <w:p>
            <w:pPr>
              <w:spacing w:line="330" w:lineRule="exact"/>
              <w:jc w:val="center"/>
              <w:rPr>
                <w:rFonts w:hAnsi="宋体"/>
              </w:rPr>
            </w:pPr>
            <w:r>
              <w:rPr>
                <w:rFonts w:hint="eastAsia" w:hAnsi="宋体"/>
              </w:rPr>
              <w:t>100-500</w:t>
            </w:r>
          </w:p>
        </w:tc>
        <w:tc>
          <w:tcPr>
            <w:tcW w:w="1932" w:type="dxa"/>
            <w:vAlign w:val="center"/>
          </w:tcPr>
          <w:p>
            <w:pPr>
              <w:spacing w:line="330" w:lineRule="exact"/>
              <w:jc w:val="center"/>
              <w:rPr>
                <w:rFonts w:hAnsi="宋体"/>
              </w:rPr>
            </w:pPr>
            <w:r>
              <w:rPr>
                <w:rFonts w:hint="eastAsia" w:hAnsi="宋体"/>
              </w:rPr>
              <w:t>0.88%</w:t>
            </w:r>
          </w:p>
        </w:tc>
        <w:tc>
          <w:tcPr>
            <w:tcW w:w="1800" w:type="dxa"/>
            <w:vAlign w:val="center"/>
          </w:tcPr>
          <w:p>
            <w:pPr>
              <w:spacing w:line="330" w:lineRule="exact"/>
              <w:jc w:val="center"/>
              <w:rPr>
                <w:rFonts w:hAnsi="宋体"/>
              </w:rPr>
            </w:pPr>
            <w:r>
              <w:rPr>
                <w:rFonts w:hint="eastAsia" w:hAnsi="宋体"/>
              </w:rPr>
              <w:t>0.64%</w:t>
            </w:r>
          </w:p>
        </w:tc>
        <w:tc>
          <w:tcPr>
            <w:tcW w:w="1976" w:type="dxa"/>
            <w:vAlign w:val="center"/>
          </w:tcPr>
          <w:p>
            <w:pPr>
              <w:spacing w:line="330" w:lineRule="exact"/>
              <w:jc w:val="center"/>
              <w:rPr>
                <w:rFonts w:hAnsi="宋体"/>
              </w:rPr>
            </w:pPr>
            <w:r>
              <w:rPr>
                <w:rFonts w:hint="eastAsia" w:hAnsi="宋体"/>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438" w:type="dxa"/>
            <w:vAlign w:val="center"/>
          </w:tcPr>
          <w:p>
            <w:pPr>
              <w:spacing w:line="330" w:lineRule="exact"/>
              <w:jc w:val="center"/>
              <w:rPr>
                <w:rFonts w:hAnsi="宋体"/>
              </w:rPr>
            </w:pPr>
            <w:r>
              <w:rPr>
                <w:rFonts w:hint="eastAsia" w:hAnsi="宋体"/>
              </w:rPr>
              <w:t>500-1000</w:t>
            </w:r>
          </w:p>
        </w:tc>
        <w:tc>
          <w:tcPr>
            <w:tcW w:w="1932" w:type="dxa"/>
            <w:vAlign w:val="center"/>
          </w:tcPr>
          <w:p>
            <w:pPr>
              <w:spacing w:line="330" w:lineRule="exact"/>
              <w:jc w:val="center"/>
              <w:rPr>
                <w:rFonts w:hAnsi="宋体"/>
              </w:rPr>
            </w:pPr>
            <w:r>
              <w:rPr>
                <w:rFonts w:hint="eastAsia" w:hAnsi="宋体"/>
              </w:rPr>
              <w:t>0.64%</w:t>
            </w:r>
          </w:p>
        </w:tc>
        <w:tc>
          <w:tcPr>
            <w:tcW w:w="1800" w:type="dxa"/>
            <w:vAlign w:val="center"/>
          </w:tcPr>
          <w:p>
            <w:pPr>
              <w:spacing w:line="330" w:lineRule="exact"/>
              <w:jc w:val="center"/>
              <w:rPr>
                <w:rFonts w:hAnsi="宋体"/>
              </w:rPr>
            </w:pPr>
            <w:r>
              <w:rPr>
                <w:rFonts w:hint="eastAsia" w:hAnsi="宋体"/>
              </w:rPr>
              <w:t>0.36%</w:t>
            </w:r>
          </w:p>
        </w:tc>
        <w:tc>
          <w:tcPr>
            <w:tcW w:w="1976" w:type="dxa"/>
            <w:vAlign w:val="center"/>
          </w:tcPr>
          <w:p>
            <w:pPr>
              <w:spacing w:line="330" w:lineRule="exact"/>
              <w:jc w:val="center"/>
              <w:rPr>
                <w:rFonts w:hAnsi="宋体"/>
              </w:rPr>
            </w:pPr>
            <w:r>
              <w:rPr>
                <w:rFonts w:hint="eastAsia" w:hAnsi="宋体"/>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38" w:type="dxa"/>
            <w:vAlign w:val="center"/>
          </w:tcPr>
          <w:p>
            <w:pPr>
              <w:spacing w:line="330" w:lineRule="exact"/>
              <w:jc w:val="center"/>
              <w:rPr>
                <w:rFonts w:hAnsi="宋体"/>
              </w:rPr>
            </w:pPr>
            <w:r>
              <w:rPr>
                <w:rFonts w:hint="eastAsia" w:hAnsi="宋体"/>
              </w:rPr>
              <w:t>1000-5000</w:t>
            </w:r>
          </w:p>
        </w:tc>
        <w:tc>
          <w:tcPr>
            <w:tcW w:w="1932" w:type="dxa"/>
            <w:vAlign w:val="center"/>
          </w:tcPr>
          <w:p>
            <w:pPr>
              <w:spacing w:line="330" w:lineRule="exact"/>
              <w:jc w:val="center"/>
              <w:rPr>
                <w:rFonts w:hAnsi="宋体"/>
              </w:rPr>
            </w:pPr>
            <w:r>
              <w:rPr>
                <w:rFonts w:hint="eastAsia" w:hAnsi="宋体"/>
              </w:rPr>
              <w:t>0.4%</w:t>
            </w:r>
          </w:p>
        </w:tc>
        <w:tc>
          <w:tcPr>
            <w:tcW w:w="1800" w:type="dxa"/>
            <w:vAlign w:val="center"/>
          </w:tcPr>
          <w:p>
            <w:pPr>
              <w:spacing w:line="330" w:lineRule="exact"/>
              <w:jc w:val="center"/>
              <w:rPr>
                <w:rFonts w:hAnsi="宋体"/>
              </w:rPr>
            </w:pPr>
            <w:r>
              <w:rPr>
                <w:rFonts w:hint="eastAsia" w:hAnsi="宋体"/>
              </w:rPr>
              <w:t>0.2%</w:t>
            </w:r>
          </w:p>
        </w:tc>
        <w:tc>
          <w:tcPr>
            <w:tcW w:w="1976" w:type="dxa"/>
            <w:vAlign w:val="center"/>
          </w:tcPr>
          <w:p>
            <w:pPr>
              <w:spacing w:line="330" w:lineRule="exact"/>
              <w:jc w:val="center"/>
              <w:rPr>
                <w:rFonts w:hAnsi="宋体"/>
              </w:rPr>
            </w:pPr>
            <w:r>
              <w:rPr>
                <w:rFonts w:hint="eastAsia" w:hAnsi="宋体"/>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438" w:type="dxa"/>
            <w:vAlign w:val="center"/>
          </w:tcPr>
          <w:p>
            <w:pPr>
              <w:spacing w:line="330" w:lineRule="exact"/>
              <w:jc w:val="center"/>
              <w:rPr>
                <w:rFonts w:hAnsi="宋体"/>
              </w:rPr>
            </w:pPr>
            <w:r>
              <w:rPr>
                <w:rFonts w:hint="eastAsia" w:hAnsi="宋体"/>
              </w:rPr>
              <w:t>5000-10000</w:t>
            </w:r>
          </w:p>
        </w:tc>
        <w:tc>
          <w:tcPr>
            <w:tcW w:w="1932" w:type="dxa"/>
            <w:vAlign w:val="center"/>
          </w:tcPr>
          <w:p>
            <w:pPr>
              <w:spacing w:line="330" w:lineRule="exact"/>
              <w:jc w:val="center"/>
              <w:rPr>
                <w:rFonts w:hAnsi="宋体"/>
              </w:rPr>
            </w:pPr>
            <w:r>
              <w:rPr>
                <w:rFonts w:hint="eastAsia" w:hAnsi="宋体"/>
              </w:rPr>
              <w:t>0.2%</w:t>
            </w:r>
          </w:p>
        </w:tc>
        <w:tc>
          <w:tcPr>
            <w:tcW w:w="1800" w:type="dxa"/>
            <w:vAlign w:val="center"/>
          </w:tcPr>
          <w:p>
            <w:pPr>
              <w:spacing w:line="330" w:lineRule="exact"/>
              <w:jc w:val="center"/>
              <w:rPr>
                <w:rFonts w:hAnsi="宋体"/>
              </w:rPr>
            </w:pPr>
            <w:r>
              <w:rPr>
                <w:rFonts w:hint="eastAsia" w:hAnsi="宋体"/>
              </w:rPr>
              <w:t>0.08%</w:t>
            </w:r>
          </w:p>
        </w:tc>
        <w:tc>
          <w:tcPr>
            <w:tcW w:w="1976" w:type="dxa"/>
            <w:vAlign w:val="center"/>
          </w:tcPr>
          <w:p>
            <w:pPr>
              <w:spacing w:line="330" w:lineRule="exact"/>
              <w:jc w:val="center"/>
              <w:rPr>
                <w:rFonts w:hAnsi="宋体"/>
              </w:rPr>
            </w:pPr>
            <w:r>
              <w:rPr>
                <w:rFonts w:hint="eastAsia" w:hAnsi="宋体"/>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438" w:type="dxa"/>
            <w:vAlign w:val="center"/>
          </w:tcPr>
          <w:p>
            <w:pPr>
              <w:spacing w:line="330" w:lineRule="exact"/>
              <w:jc w:val="center"/>
              <w:rPr>
                <w:rFonts w:hAnsi="宋体"/>
              </w:rPr>
            </w:pPr>
            <w:r>
              <w:rPr>
                <w:rFonts w:hint="eastAsia" w:hAnsi="宋体"/>
              </w:rPr>
              <w:t>10000-100000</w:t>
            </w:r>
          </w:p>
        </w:tc>
        <w:tc>
          <w:tcPr>
            <w:tcW w:w="1932" w:type="dxa"/>
            <w:vAlign w:val="center"/>
          </w:tcPr>
          <w:p>
            <w:pPr>
              <w:spacing w:line="330" w:lineRule="exact"/>
              <w:jc w:val="center"/>
              <w:rPr>
                <w:rFonts w:hAnsi="宋体"/>
              </w:rPr>
            </w:pPr>
            <w:r>
              <w:rPr>
                <w:rFonts w:hint="eastAsia" w:hAnsi="宋体"/>
              </w:rPr>
              <w:t>0.04%</w:t>
            </w:r>
          </w:p>
        </w:tc>
        <w:tc>
          <w:tcPr>
            <w:tcW w:w="1800" w:type="dxa"/>
            <w:vAlign w:val="center"/>
          </w:tcPr>
          <w:p>
            <w:pPr>
              <w:spacing w:line="330" w:lineRule="exact"/>
              <w:jc w:val="center"/>
              <w:rPr>
                <w:rFonts w:hAnsi="宋体"/>
              </w:rPr>
            </w:pPr>
            <w:r>
              <w:rPr>
                <w:rFonts w:hint="eastAsia" w:hAnsi="宋体"/>
              </w:rPr>
              <w:t>0.04%</w:t>
            </w:r>
          </w:p>
        </w:tc>
        <w:tc>
          <w:tcPr>
            <w:tcW w:w="1976" w:type="dxa"/>
            <w:vAlign w:val="center"/>
          </w:tcPr>
          <w:p>
            <w:pPr>
              <w:spacing w:line="330" w:lineRule="exact"/>
              <w:jc w:val="center"/>
              <w:rPr>
                <w:rFonts w:hAnsi="宋体"/>
              </w:rPr>
            </w:pPr>
            <w:r>
              <w:rPr>
                <w:rFonts w:hint="eastAsia" w:hAnsi="宋体"/>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38" w:type="dxa"/>
            <w:vAlign w:val="center"/>
          </w:tcPr>
          <w:p>
            <w:pPr>
              <w:spacing w:line="330" w:lineRule="exact"/>
              <w:jc w:val="center"/>
              <w:rPr>
                <w:rFonts w:hAnsi="宋体"/>
              </w:rPr>
            </w:pPr>
            <w:r>
              <w:rPr>
                <w:rFonts w:hint="eastAsia" w:hAnsi="宋体"/>
              </w:rPr>
              <w:t>100000以上</w:t>
            </w:r>
          </w:p>
        </w:tc>
        <w:tc>
          <w:tcPr>
            <w:tcW w:w="1932" w:type="dxa"/>
            <w:vAlign w:val="center"/>
          </w:tcPr>
          <w:p>
            <w:pPr>
              <w:spacing w:line="330" w:lineRule="exact"/>
              <w:jc w:val="center"/>
              <w:rPr>
                <w:rFonts w:hAnsi="宋体"/>
              </w:rPr>
            </w:pPr>
            <w:r>
              <w:rPr>
                <w:rFonts w:hint="eastAsia" w:hAnsi="宋体"/>
              </w:rPr>
              <w:t>0.008%</w:t>
            </w:r>
          </w:p>
        </w:tc>
        <w:tc>
          <w:tcPr>
            <w:tcW w:w="1800" w:type="dxa"/>
            <w:vAlign w:val="center"/>
          </w:tcPr>
          <w:p>
            <w:pPr>
              <w:spacing w:line="330" w:lineRule="exact"/>
              <w:jc w:val="center"/>
              <w:rPr>
                <w:rFonts w:hAnsi="宋体"/>
              </w:rPr>
            </w:pPr>
            <w:r>
              <w:rPr>
                <w:rFonts w:hint="eastAsia" w:hAnsi="宋体"/>
              </w:rPr>
              <w:t>0.008%</w:t>
            </w:r>
          </w:p>
        </w:tc>
        <w:tc>
          <w:tcPr>
            <w:tcW w:w="1976" w:type="dxa"/>
            <w:vAlign w:val="center"/>
          </w:tcPr>
          <w:p>
            <w:pPr>
              <w:spacing w:line="330" w:lineRule="exact"/>
              <w:jc w:val="center"/>
              <w:rPr>
                <w:rFonts w:hAnsi="宋体"/>
              </w:rPr>
            </w:pPr>
            <w:r>
              <w:rPr>
                <w:rFonts w:hint="eastAsia" w:hAnsi="宋体"/>
              </w:rPr>
              <w:t>0.008%</w:t>
            </w:r>
          </w:p>
        </w:tc>
      </w:tr>
    </w:tbl>
    <w:p>
      <w:pPr>
        <w:pStyle w:val="21"/>
        <w:spacing w:line="400" w:lineRule="exact"/>
        <w:ind w:firstLine="420" w:firstLineChars="200"/>
        <w:rPr>
          <w:rFonts w:hAnsi="宋体"/>
        </w:rPr>
      </w:pPr>
      <w:r>
        <w:rPr>
          <w:rFonts w:hint="eastAsia" w:hAnsi="宋体"/>
        </w:rPr>
        <w:t>注：代理服务收费按差额定率累进法计算。</w:t>
      </w:r>
    </w:p>
    <w:p>
      <w:pPr>
        <w:pStyle w:val="21"/>
        <w:spacing w:line="400" w:lineRule="exact"/>
        <w:ind w:firstLine="420" w:firstLineChars="200"/>
        <w:rPr>
          <w:rFonts w:hAnsi="宋体"/>
          <w:bCs/>
        </w:rPr>
      </w:pPr>
      <w:r>
        <w:rPr>
          <w:rFonts w:hint="eastAsia" w:hAnsi="宋体"/>
          <w:bCs/>
        </w:rPr>
        <w:t>3.缴纳代理服务费银行账户：</w:t>
      </w:r>
    </w:p>
    <w:p>
      <w:pPr>
        <w:pStyle w:val="21"/>
        <w:spacing w:line="400" w:lineRule="exact"/>
        <w:ind w:firstLine="420" w:firstLineChars="200"/>
        <w:rPr>
          <w:rFonts w:hAnsi="宋体"/>
          <w:bCs/>
        </w:rPr>
      </w:pPr>
      <w:r>
        <w:rPr>
          <w:rFonts w:hint="eastAsia" w:hAnsi="宋体"/>
          <w:bCs/>
        </w:rPr>
        <w:t>开户名称:钦州市政府采购中心</w:t>
      </w:r>
    </w:p>
    <w:p>
      <w:pPr>
        <w:pStyle w:val="21"/>
        <w:spacing w:line="400" w:lineRule="exact"/>
        <w:ind w:firstLine="420" w:firstLineChars="200"/>
        <w:rPr>
          <w:rFonts w:hAnsi="宋体"/>
          <w:bCs/>
        </w:rPr>
      </w:pPr>
      <w:r>
        <w:rPr>
          <w:rFonts w:hint="eastAsia" w:hAnsi="宋体"/>
          <w:bCs/>
        </w:rPr>
        <w:t>开户银行:兴业银行钦州支行</w:t>
      </w:r>
    </w:p>
    <w:p>
      <w:pPr>
        <w:pStyle w:val="21"/>
        <w:spacing w:line="400" w:lineRule="exact"/>
        <w:ind w:firstLine="420" w:firstLineChars="200"/>
        <w:rPr>
          <w:rFonts w:hAnsi="宋体"/>
          <w:bCs/>
        </w:rPr>
      </w:pPr>
      <w:r>
        <w:rPr>
          <w:rFonts w:hint="eastAsia" w:hAnsi="宋体"/>
          <w:bCs/>
        </w:rPr>
        <w:t>银行账号:554010100100129709</w:t>
      </w:r>
    </w:p>
    <w:p>
      <w:pPr>
        <w:pStyle w:val="21"/>
        <w:spacing w:line="400" w:lineRule="exact"/>
        <w:ind w:firstLine="210" w:firstLineChars="100"/>
        <w:rPr>
          <w:rFonts w:hAnsi="宋体"/>
          <w:spacing w:val="-4"/>
        </w:rPr>
      </w:pPr>
      <w:r>
        <w:rPr>
          <w:rFonts w:hint="eastAsia" w:hAnsi="宋体"/>
          <w:bCs/>
        </w:rPr>
        <w:t>（二）解释权：</w:t>
      </w:r>
      <w:r>
        <w:rPr>
          <w:rFonts w:hint="eastAsia" w:hAnsi="宋体"/>
          <w:spacing w:val="-4"/>
        </w:rPr>
        <w:t>本采购文件解释权属本中心。</w:t>
      </w:r>
    </w:p>
    <w:p>
      <w:pPr>
        <w:pStyle w:val="21"/>
        <w:spacing w:line="400" w:lineRule="exact"/>
        <w:ind w:firstLine="210" w:firstLineChars="100"/>
        <w:rPr>
          <w:rFonts w:hAnsi="宋体"/>
          <w:spacing w:val="-4"/>
        </w:rPr>
      </w:pPr>
      <w:r>
        <w:rPr>
          <w:rFonts w:hint="eastAsia" w:hAnsi="宋体"/>
          <w:bCs/>
        </w:rPr>
        <w:t>（三）有关事宜</w:t>
      </w:r>
    </w:p>
    <w:p>
      <w:pPr>
        <w:spacing w:line="400" w:lineRule="exact"/>
        <w:ind w:firstLine="420" w:firstLineChars="200"/>
      </w:pPr>
      <w:r>
        <w:rPr>
          <w:rFonts w:hint="eastAsia"/>
        </w:rPr>
        <w:t>所有与采购文件有关的函件请按下列通讯地址联系：</w:t>
      </w:r>
    </w:p>
    <w:p>
      <w:pPr>
        <w:widowControl/>
        <w:spacing w:line="400" w:lineRule="exact"/>
        <w:ind w:firstLine="420" w:firstLineChars="200"/>
        <w:jc w:val="left"/>
      </w:pPr>
      <w:r>
        <w:rPr>
          <w:rFonts w:hint="eastAsia"/>
        </w:rPr>
        <w:t>钦州市政府采购中心</w:t>
      </w:r>
    </w:p>
    <w:p>
      <w:pPr>
        <w:widowControl/>
        <w:spacing w:line="400" w:lineRule="exact"/>
        <w:ind w:firstLine="420" w:firstLineChars="200"/>
        <w:jc w:val="left"/>
      </w:pPr>
      <w:r>
        <w:rPr>
          <w:rFonts w:hint="eastAsia"/>
        </w:rPr>
        <w:t>通讯地址：钦州市金海湾东大街8号</w:t>
      </w:r>
    </w:p>
    <w:p>
      <w:pPr>
        <w:widowControl/>
        <w:spacing w:line="400" w:lineRule="exact"/>
        <w:ind w:firstLine="420" w:firstLineChars="200"/>
        <w:jc w:val="left"/>
      </w:pPr>
      <w:r>
        <w:rPr>
          <w:rFonts w:hint="eastAsia"/>
        </w:rPr>
        <w:t>邮政编码：535000</w:t>
      </w:r>
    </w:p>
    <w:p>
      <w:pPr>
        <w:widowControl/>
        <w:spacing w:line="400" w:lineRule="exact"/>
        <w:ind w:firstLine="420" w:firstLineChars="200"/>
        <w:jc w:val="left"/>
      </w:pPr>
      <w:r>
        <w:rPr>
          <w:rFonts w:hint="eastAsia"/>
        </w:rPr>
        <w:t>钦州市政府采购中心联系方式：</w:t>
      </w:r>
    </w:p>
    <w:p>
      <w:pPr>
        <w:widowControl/>
        <w:spacing w:line="400" w:lineRule="exact"/>
        <w:ind w:firstLine="420" w:firstLineChars="200"/>
        <w:jc w:val="left"/>
      </w:pPr>
      <w:r>
        <w:rPr>
          <w:rFonts w:hint="eastAsia"/>
        </w:rPr>
        <w:t>(1)采购部(采购文件)</w:t>
      </w:r>
    </w:p>
    <w:p>
      <w:pPr>
        <w:widowControl/>
        <w:spacing w:line="400" w:lineRule="exact"/>
        <w:ind w:firstLine="420" w:firstLineChars="200"/>
        <w:jc w:val="left"/>
      </w:pPr>
      <w:r>
        <w:rPr>
          <w:rFonts w:hint="eastAsia"/>
        </w:rPr>
        <w:t xml:space="preserve">联系人：黄忠秀 </w:t>
      </w:r>
      <w:r>
        <w:t xml:space="preserve"> </w:t>
      </w:r>
      <w:r>
        <w:rPr>
          <w:rFonts w:hint="eastAsia"/>
        </w:rPr>
        <w:t xml:space="preserve"> 联系方式：0777-2886022</w:t>
      </w:r>
    </w:p>
    <w:p>
      <w:pPr>
        <w:widowControl/>
        <w:spacing w:line="400" w:lineRule="exact"/>
        <w:ind w:firstLine="420" w:firstLineChars="200"/>
        <w:jc w:val="left"/>
      </w:pPr>
      <w:r>
        <w:rPr>
          <w:rFonts w:hint="eastAsia"/>
        </w:rPr>
        <w:t>(2)综合二部(评审、谈判、成交及合同管理)</w:t>
      </w:r>
    </w:p>
    <w:p>
      <w:pPr>
        <w:widowControl/>
        <w:spacing w:line="400" w:lineRule="exact"/>
        <w:ind w:firstLine="420" w:firstLineChars="200"/>
        <w:jc w:val="left"/>
      </w:pPr>
      <w:r>
        <w:rPr>
          <w:rFonts w:hint="eastAsia"/>
        </w:rPr>
        <w:t>联系人：陈侃</w:t>
      </w:r>
      <w:r>
        <w:rPr>
          <w:rFonts w:hint="eastAsia"/>
          <w:lang w:eastAsia="zh-CN"/>
        </w:rPr>
        <w:t>、</w:t>
      </w:r>
      <w:r>
        <w:rPr>
          <w:rFonts w:hint="eastAsia"/>
        </w:rPr>
        <w:t>陈启梅</w:t>
      </w:r>
      <w:r>
        <w:t xml:space="preserve">  </w:t>
      </w:r>
      <w:r>
        <w:rPr>
          <w:rFonts w:hint="eastAsia"/>
        </w:rPr>
        <w:t>联系方式：0777-2886006</w:t>
      </w:r>
    </w:p>
    <w:p>
      <w:pPr>
        <w:widowControl/>
        <w:spacing w:line="400" w:lineRule="exact"/>
        <w:ind w:firstLine="420" w:firstLineChars="200"/>
        <w:jc w:val="left"/>
      </w:pPr>
      <w:r>
        <w:rPr>
          <w:rFonts w:hint="eastAsia"/>
        </w:rPr>
        <w:t>(</w:t>
      </w:r>
      <w:r>
        <w:t>3)</w:t>
      </w:r>
      <w:r>
        <w:rPr>
          <w:rFonts w:hint="eastAsia"/>
        </w:rPr>
        <w:t>政采云技术支持热线：</w:t>
      </w:r>
      <w:r>
        <w:rPr>
          <w:rFonts w:hAnsi="宋体"/>
        </w:rPr>
        <w:t>95763</w:t>
      </w:r>
    </w:p>
    <w:p>
      <w:pPr>
        <w:widowControl/>
        <w:jc w:val="left"/>
      </w:pPr>
      <w:r>
        <w:br w:type="page"/>
      </w:r>
    </w:p>
    <w:p>
      <w:pPr>
        <w:widowControl/>
        <w:spacing w:line="400" w:lineRule="exact"/>
        <w:jc w:val="left"/>
      </w:pPr>
    </w:p>
    <w:p/>
    <w:p/>
    <w:p/>
    <w:p/>
    <w:p/>
    <w:p/>
    <w:p/>
    <w:p/>
    <w:p/>
    <w:p/>
    <w:p/>
    <w:p/>
    <w:p/>
    <w:p>
      <w:pPr>
        <w:pStyle w:val="3"/>
        <w:spacing w:line="400" w:lineRule="exact"/>
        <w:rPr>
          <w:rFonts w:ascii="方正小标宋_GBK" w:hAnsi="宋体" w:eastAsia="方正小标宋_GBK"/>
        </w:rPr>
      </w:pPr>
      <w:bookmarkStart w:id="133" w:name="_第四章__评定标准及推荐原则"/>
      <w:bookmarkEnd w:id="133"/>
      <w:bookmarkStart w:id="134" w:name="_Toc92355026"/>
      <w:r>
        <w:rPr>
          <w:rFonts w:hint="eastAsia" w:ascii="方正小标宋_GBK" w:hAnsi="宋体" w:eastAsia="方正小标宋_GBK"/>
        </w:rPr>
        <w:t>第四章  评定标准及推荐原则</w:t>
      </w:r>
      <w:bookmarkEnd w:id="134"/>
    </w:p>
    <w:p>
      <w:pPr>
        <w:pStyle w:val="21"/>
        <w:spacing w:line="280" w:lineRule="exact"/>
        <w:jc w:val="center"/>
        <w:rPr>
          <w:rFonts w:hAnsi="宋体"/>
          <w:b/>
          <w:bCs/>
          <w:sz w:val="30"/>
          <w:szCs w:val="30"/>
        </w:rPr>
      </w:pPr>
      <w:r>
        <w:rPr>
          <w:rFonts w:hAnsi="宋体"/>
          <w:b/>
          <w:bCs/>
        </w:rPr>
        <w:br w:type="page"/>
      </w:r>
    </w:p>
    <w:p/>
    <w:p>
      <w:pPr>
        <w:pStyle w:val="21"/>
        <w:spacing w:line="500" w:lineRule="exact"/>
        <w:jc w:val="center"/>
        <w:rPr>
          <w:rFonts w:hAnsi="宋体"/>
          <w:b/>
          <w:bCs/>
          <w:sz w:val="44"/>
          <w:szCs w:val="44"/>
        </w:rPr>
      </w:pPr>
      <w:bookmarkStart w:id="135" w:name="_Hlk92463826"/>
      <w:r>
        <w:rPr>
          <w:rFonts w:hint="eastAsia" w:hAnsi="宋体"/>
          <w:b/>
          <w:bCs/>
          <w:sz w:val="44"/>
          <w:szCs w:val="44"/>
        </w:rPr>
        <w:t>评定标准及推荐原则</w:t>
      </w:r>
    </w:p>
    <w:bookmarkEnd w:id="135"/>
    <w:p/>
    <w:p>
      <w:pPr>
        <w:pStyle w:val="21"/>
        <w:spacing w:line="540" w:lineRule="exact"/>
        <w:rPr>
          <w:rFonts w:hAnsi="宋体"/>
          <w:b/>
          <w:bCs/>
        </w:rPr>
      </w:pPr>
      <w:r>
        <w:rPr>
          <w:rFonts w:hint="eastAsia" w:hAnsi="宋体"/>
          <w:b/>
          <w:bCs/>
        </w:rPr>
        <w:t>一、评审原则</w:t>
      </w:r>
    </w:p>
    <w:p>
      <w:pPr>
        <w:pStyle w:val="21"/>
        <w:spacing w:line="540" w:lineRule="exact"/>
        <w:ind w:firstLine="420" w:firstLineChars="200"/>
        <w:rPr>
          <w:rFonts w:hAnsi="宋体"/>
          <w:bCs/>
        </w:rPr>
      </w:pPr>
      <w:r>
        <w:rPr>
          <w:rFonts w:hint="eastAsia" w:hAnsi="宋体"/>
          <w:bCs/>
        </w:rPr>
        <w:t>(一)谈判小组组成：</w:t>
      </w:r>
      <w:bookmarkStart w:id="136" w:name="_Hlk89353643"/>
      <w:r>
        <w:rPr>
          <w:rFonts w:hint="eastAsia" w:hAnsi="宋体"/>
          <w:bCs/>
        </w:rPr>
        <w:t>谈判小组由采购人代表和评审专家共3人以上单数组成，其中评审专家人数不得少于谈判小组成员总数的2/3。</w:t>
      </w:r>
      <w:bookmarkEnd w:id="136"/>
    </w:p>
    <w:p>
      <w:pPr>
        <w:pStyle w:val="21"/>
        <w:spacing w:line="540" w:lineRule="exact"/>
        <w:ind w:firstLine="420" w:firstLineChars="200"/>
        <w:rPr>
          <w:rFonts w:hAnsi="宋体"/>
          <w:b/>
          <w:bCs/>
        </w:rPr>
      </w:pPr>
      <w:r>
        <w:rPr>
          <w:rFonts w:hint="eastAsia" w:hAnsi="宋体"/>
          <w:bCs/>
        </w:rPr>
        <w:t>(二)评审依据：以竞争性谈判采购文件和响应文件为评定依据。</w:t>
      </w:r>
    </w:p>
    <w:p>
      <w:pPr>
        <w:pStyle w:val="21"/>
        <w:spacing w:line="540" w:lineRule="exact"/>
        <w:ind w:firstLine="420" w:firstLineChars="200"/>
        <w:rPr>
          <w:rFonts w:hint="eastAsia" w:hAnsi="宋体"/>
          <w:b w:val="0"/>
          <w:bCs w:val="0"/>
        </w:rPr>
      </w:pPr>
      <w:r>
        <w:rPr>
          <w:rFonts w:hint="eastAsia" w:hAnsi="宋体"/>
          <w:b w:val="0"/>
          <w:bCs w:val="0"/>
        </w:rPr>
        <w:t>二、评定标准</w:t>
      </w:r>
    </w:p>
    <w:p>
      <w:pPr>
        <w:pStyle w:val="21"/>
        <w:spacing w:line="540" w:lineRule="exact"/>
        <w:ind w:firstLine="420" w:firstLineChars="200"/>
        <w:rPr>
          <w:rFonts w:hint="eastAsia" w:hAnsi="宋体"/>
          <w:b w:val="0"/>
          <w:bCs w:val="0"/>
        </w:rPr>
      </w:pPr>
      <w:r>
        <w:rPr>
          <w:rFonts w:hint="eastAsia" w:hAnsi="宋体"/>
          <w:b w:val="0"/>
          <w:bCs w:val="0"/>
        </w:rPr>
        <w:t>（一）成交候选人的推荐原则：</w:t>
      </w:r>
    </w:p>
    <w:p>
      <w:pPr>
        <w:pStyle w:val="21"/>
        <w:spacing w:line="540" w:lineRule="exact"/>
        <w:ind w:firstLine="420" w:firstLineChars="200"/>
        <w:rPr>
          <w:rFonts w:hint="eastAsia" w:hAnsi="宋体"/>
          <w:b w:val="0"/>
          <w:bCs w:val="0"/>
        </w:rPr>
      </w:pPr>
      <w:r>
        <w:rPr>
          <w:rFonts w:hint="eastAsia" w:hAnsi="宋体"/>
          <w:b w:val="0"/>
          <w:bCs w:val="0"/>
        </w:rPr>
        <w:t>谈判小组从质量和服务均能满足采购文件实质性响应要求的供应商中，按照最后报价由低到高的顺序提出3名以上成交候选人（最后报价相同的，由谈判小组集体讨论确定排序）。</w:t>
      </w:r>
    </w:p>
    <w:p>
      <w:pPr>
        <w:pStyle w:val="21"/>
        <w:spacing w:line="540" w:lineRule="exact"/>
        <w:ind w:firstLine="420" w:firstLineChars="200"/>
        <w:rPr>
          <w:rFonts w:hint="eastAsia" w:hAnsi="宋体"/>
          <w:b w:val="0"/>
          <w:bCs w:val="0"/>
        </w:rPr>
      </w:pPr>
      <w:r>
        <w:rPr>
          <w:rFonts w:hint="eastAsia" w:hAnsi="宋体"/>
          <w:b w:val="0"/>
          <w:bCs w:val="0"/>
        </w:rPr>
        <w:t>（二）落实政府采购政策：</w:t>
      </w:r>
    </w:p>
    <w:p>
      <w:pPr>
        <w:pStyle w:val="21"/>
        <w:spacing w:line="540" w:lineRule="exact"/>
        <w:ind w:firstLine="420" w:firstLineChars="200"/>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1.供应商提供的全部货物或服务符合《政府采购促进中小企业发展管理办法》（财库﹝2020﹞46 号）规定，并在响应文件中提供《中小企业声明函》（格式见第六章，供应商须对声明内容的真实性负责）。评审中将对小微型企业报价给予</w:t>
      </w:r>
      <w:r>
        <w:rPr>
          <w:color w:val="0D0D0D" w:themeColor="text1" w:themeTint="F2"/>
          <w14:textFill>
            <w14:solidFill>
              <w14:schemeClr w14:val="tx1">
                <w14:lumMod w14:val="95000"/>
                <w14:lumOff w14:val="5000"/>
              </w14:schemeClr>
            </w14:solidFill>
          </w14:textFill>
        </w:rPr>
        <w:t>2</w:t>
      </w:r>
      <w:r>
        <w:rPr>
          <w:rFonts w:hint="eastAsia"/>
          <w:color w:val="0D0D0D" w:themeColor="text1" w:themeTint="F2"/>
          <w14:textFill>
            <w14:solidFill>
              <w14:schemeClr w14:val="tx1">
                <w14:lumMod w14:val="95000"/>
                <w14:lumOff w14:val="5000"/>
              </w14:schemeClr>
            </w14:solidFill>
          </w14:textFill>
        </w:rPr>
        <w:t>0%的扣除，用扣除后的价格参加评审。</w:t>
      </w:r>
    </w:p>
    <w:p>
      <w:pPr>
        <w:pStyle w:val="21"/>
        <w:spacing w:line="540" w:lineRule="exact"/>
        <w:ind w:firstLine="420" w:firstLineChars="200"/>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2.</w:t>
      </w:r>
      <w:r>
        <w:rPr>
          <w:rFonts w:hint="eastAsia"/>
          <w:color w:val="0D0D0D" w:themeColor="text1" w:themeTint="F2"/>
          <w14:textFill>
            <w14:solidFill>
              <w14:schemeClr w14:val="tx1">
                <w14:lumMod w14:val="95000"/>
                <w14:lumOff w14:val="5000"/>
              </w14:schemeClr>
            </w14:solidFill>
          </w14:textFill>
        </w:rPr>
        <w:t>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21"/>
        <w:spacing w:line="540" w:lineRule="exact"/>
        <w:ind w:firstLine="420" w:firstLineChars="200"/>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3</w:t>
      </w:r>
      <w:r>
        <w:rPr>
          <w:rFonts w:hint="eastAsia"/>
          <w:color w:val="0D0D0D" w:themeColor="text1" w:themeTint="F2"/>
          <w14:textFill>
            <w14:solidFill>
              <w14:schemeClr w14:val="tx1">
                <w14:lumMod w14:val="95000"/>
                <w14:lumOff w14:val="5000"/>
              </w14:schemeClr>
            </w14:solidFill>
          </w14:textFill>
        </w:rPr>
        <w:t>.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供应商须对声明内容的真实性负责）。</w:t>
      </w:r>
    </w:p>
    <w:p>
      <w:pPr>
        <w:pStyle w:val="21"/>
        <w:spacing w:line="540" w:lineRule="exact"/>
        <w:ind w:firstLine="420" w:firstLineChars="200"/>
        <w:rPr>
          <w:rFonts w:hint="eastAsia"/>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4</w:t>
      </w:r>
      <w:r>
        <w:rPr>
          <w:rFonts w:hint="eastAsia"/>
          <w:color w:val="0D0D0D" w:themeColor="text1" w:themeTint="F2"/>
          <w14:textFill>
            <w14:solidFill>
              <w14:schemeClr w14:val="tx1">
                <w14:lumMod w14:val="95000"/>
                <w14:lumOff w14:val="5000"/>
              </w14:schemeClr>
            </w14:solidFill>
          </w14:textFill>
        </w:rPr>
        <w:t>.采购人采购的产品属于</w:t>
      </w:r>
      <w:r>
        <w:rPr>
          <w:rFonts w:hint="eastAsia"/>
          <w:color w:val="FF0000"/>
        </w:rPr>
        <w:t>《</w:t>
      </w:r>
      <w:r>
        <w:rPr>
          <w:color w:val="FF0000"/>
        </w:rPr>
        <w:t>节能产品政府采购品目清单</w:t>
      </w:r>
      <w:r>
        <w:rPr>
          <w:rFonts w:hint="eastAsia"/>
          <w:color w:val="FF0000"/>
        </w:rPr>
        <w:t>》《环境标志产品政府采购品目清单》</w:t>
      </w:r>
      <w:r>
        <w:rPr>
          <w:rFonts w:hint="eastAsia"/>
          <w:color w:val="0D0D0D" w:themeColor="text1" w:themeTint="F2"/>
          <w14:textFill>
            <w14:solidFill>
              <w14:schemeClr w14:val="tx1">
                <w14:lumMod w14:val="95000"/>
                <w14:lumOff w14:val="5000"/>
              </w14:schemeClr>
            </w14:solidFill>
          </w14:textFill>
        </w:rPr>
        <w:t>中品目的，在性能、技术、服务等指标同等条件下，应当依据国家确定的认证机构出具的、处于有效期之内的节能产品、环境标志产品认证证书，对获得证书的产品实施政府优先采购。</w:t>
      </w:r>
    </w:p>
    <w:p>
      <w:pPr>
        <w:pStyle w:val="21"/>
        <w:spacing w:line="540" w:lineRule="exact"/>
        <w:ind w:firstLine="420" w:firstLineChars="200"/>
      </w:pPr>
      <w:r>
        <w:rPr>
          <w:rFonts w:hint="eastAsia"/>
          <w:color w:val="0D0D0D" w:themeColor="text1" w:themeTint="F2"/>
          <w:lang w:val="en-US" w:eastAsia="zh-CN"/>
          <w14:textFill>
            <w14:solidFill>
              <w14:schemeClr w14:val="tx1">
                <w14:lumMod w14:val="95000"/>
                <w14:lumOff w14:val="5000"/>
              </w14:schemeClr>
            </w14:solidFill>
          </w14:textFill>
        </w:rPr>
        <w:t>5.</w:t>
      </w:r>
      <w:r>
        <w:rPr>
          <w:rFonts w:hint="eastAsia"/>
        </w:rPr>
        <w:t>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本项目适用情形详见“投标人须知前附表”的规定。对供应商所出具的《声明函》完整性、准确性进行审查。符合澄清补正情形的，应以书面形式要求供应商澄清补正，澄清补正后仍不符合要求的，不享受价格评审优惠。当涉及政府采购政策叠加适用，统一在原投标报价的基础上进行价格扣除。</w:t>
      </w:r>
    </w:p>
    <w:p>
      <w:pPr>
        <w:widowControl/>
        <w:jc w:val="left"/>
        <w:rPr>
          <w:rFonts w:ascii="宋体" w:hAnsi="Courier New" w:cs="Courier New"/>
          <w:szCs w:val="21"/>
        </w:rPr>
      </w:pPr>
    </w:p>
    <w:p/>
    <w:p/>
    <w:p/>
    <w:p/>
    <w:p/>
    <w:p/>
    <w:p/>
    <w:p/>
    <w:p/>
    <w:p/>
    <w:p/>
    <w:p/>
    <w:p>
      <w:pPr>
        <w:pStyle w:val="3"/>
        <w:spacing w:line="400" w:lineRule="exact"/>
        <w:rPr>
          <w:rFonts w:ascii="方正小标宋_GBK" w:eastAsia="方正小标宋_GBK"/>
        </w:rPr>
      </w:pPr>
      <w:bookmarkStart w:id="137" w:name="_Toc92355027"/>
      <w:r>
        <w:rPr>
          <w:rFonts w:hint="eastAsia" w:ascii="方正小标宋_GBK" w:eastAsia="方正小标宋_GBK"/>
        </w:rPr>
        <w:t>第五章  合同文本</w:t>
      </w:r>
      <w:bookmarkEnd w:id="137"/>
    </w:p>
    <w:p>
      <w:pPr>
        <w:widowControl/>
        <w:jc w:val="left"/>
      </w:pPr>
      <w:r>
        <w:br w:type="page"/>
      </w:r>
    </w:p>
    <w:p>
      <w:pPr>
        <w:spacing w:line="400" w:lineRule="exact"/>
        <w:jc w:val="left"/>
        <w:rPr>
          <w:rFonts w:ascii="宋体" w:hAnsi="Courier New" w:cs="Courier New"/>
          <w:szCs w:val="21"/>
        </w:rPr>
      </w:pPr>
    </w:p>
    <w:p/>
    <w:p/>
    <w:p/>
    <w:p/>
    <w:p/>
    <w:p/>
    <w:p/>
    <w:p/>
    <w:p>
      <w:pPr>
        <w:jc w:val="center"/>
        <w:rPr>
          <w:rFonts w:ascii="宋体" w:hAnsi="宋体" w:cs="宋体"/>
          <w:b/>
          <w:bCs/>
          <w:spacing w:val="-20"/>
          <w:kern w:val="44"/>
          <w:sz w:val="48"/>
          <w:szCs w:val="48"/>
        </w:rPr>
      </w:pPr>
      <w:r>
        <w:rPr>
          <w:rFonts w:hint="eastAsia" w:ascii="宋体" w:hAnsi="宋体" w:cs="宋体"/>
          <w:b/>
          <w:bCs/>
          <w:spacing w:val="-20"/>
          <w:kern w:val="44"/>
          <w:sz w:val="48"/>
          <w:szCs w:val="48"/>
        </w:rPr>
        <w:t>钦州市政府采购货物买卖合同</w:t>
      </w:r>
    </w:p>
    <w:p/>
    <w:p/>
    <w:p/>
    <w:p/>
    <w:p/>
    <w:p/>
    <w:p/>
    <w:p/>
    <w:p>
      <w:pPr>
        <w:spacing w:line="360" w:lineRule="auto"/>
        <w:ind w:left="420" w:leftChars="200" w:firstLine="1600" w:firstLineChars="500"/>
        <w:rPr>
          <w:sz w:val="32"/>
          <w:szCs w:val="32"/>
        </w:rPr>
      </w:pPr>
      <w:r>
        <w:rPr>
          <w:rFonts w:hint="eastAsia" w:ascii="宋体" w:hAnsi="宋体" w:cs="宋体"/>
          <w:kern w:val="0"/>
          <w:sz w:val="32"/>
          <w:szCs w:val="32"/>
        </w:rPr>
        <w:t>项目名称：</w:t>
      </w:r>
      <w:r>
        <w:rPr>
          <w:rFonts w:hint="eastAsia"/>
          <w:sz w:val="32"/>
          <w:szCs w:val="32"/>
          <w:u w:val="single"/>
        </w:rPr>
        <w:t xml:space="preserve">                            </w:t>
      </w:r>
    </w:p>
    <w:p>
      <w:pPr>
        <w:spacing w:line="360" w:lineRule="auto"/>
        <w:ind w:left="420" w:leftChars="200" w:firstLine="1600" w:firstLineChars="500"/>
        <w:rPr>
          <w:sz w:val="32"/>
          <w:szCs w:val="32"/>
          <w:u w:val="single"/>
        </w:rPr>
      </w:pPr>
      <w:r>
        <w:rPr>
          <w:rFonts w:hint="eastAsia"/>
          <w:sz w:val="32"/>
          <w:szCs w:val="32"/>
        </w:rPr>
        <w:t>合同编号：</w:t>
      </w:r>
      <w:r>
        <w:rPr>
          <w:rFonts w:hint="eastAsia"/>
          <w:sz w:val="32"/>
          <w:szCs w:val="32"/>
          <w:u w:val="single"/>
        </w:rPr>
        <w:t xml:space="preserve">                            </w:t>
      </w:r>
    </w:p>
    <w:p>
      <w:pPr>
        <w:spacing w:line="360" w:lineRule="auto"/>
        <w:ind w:left="420" w:leftChars="200" w:firstLine="1600" w:firstLineChars="500"/>
        <w:rPr>
          <w:sz w:val="32"/>
          <w:szCs w:val="32"/>
        </w:rPr>
      </w:pPr>
      <w:r>
        <w:rPr>
          <w:rFonts w:hint="eastAsia"/>
          <w:sz w:val="32"/>
          <w:szCs w:val="32"/>
        </w:rPr>
        <w:t>甲    方：</w:t>
      </w:r>
      <w:r>
        <w:rPr>
          <w:rFonts w:hint="eastAsia"/>
          <w:sz w:val="32"/>
          <w:szCs w:val="32"/>
          <w:u w:val="single"/>
        </w:rPr>
        <w:t xml:space="preserve">                            </w:t>
      </w:r>
    </w:p>
    <w:p>
      <w:pPr>
        <w:spacing w:line="360" w:lineRule="auto"/>
        <w:ind w:left="420" w:leftChars="200" w:firstLine="1600" w:firstLineChars="500"/>
        <w:rPr>
          <w:sz w:val="32"/>
          <w:szCs w:val="32"/>
          <w:u w:val="single"/>
        </w:rPr>
      </w:pPr>
      <w:r>
        <w:rPr>
          <w:rFonts w:hint="eastAsia"/>
          <w:sz w:val="32"/>
          <w:szCs w:val="32"/>
        </w:rPr>
        <w:t>乙    方：</w:t>
      </w:r>
      <w:r>
        <w:rPr>
          <w:rFonts w:hint="eastAsia"/>
          <w:sz w:val="32"/>
          <w:szCs w:val="32"/>
          <w:u w:val="single"/>
        </w:rPr>
        <w:t xml:space="preserve">                            </w:t>
      </w:r>
    </w:p>
    <w:p>
      <w:pPr>
        <w:spacing w:line="360" w:lineRule="auto"/>
        <w:ind w:left="420" w:leftChars="200" w:firstLine="1600" w:firstLineChars="5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p>
      <w:pPr>
        <w:spacing w:line="400" w:lineRule="exact"/>
      </w:pPr>
      <w:r>
        <w:rPr>
          <w:rFonts w:eastAsia="黑体"/>
          <w:sz w:val="44"/>
          <w:szCs w:val="44"/>
        </w:rPr>
        <w:br w:type="page"/>
      </w:r>
    </w:p>
    <w:p>
      <w:pPr>
        <w:jc w:val="center"/>
        <w:rPr>
          <w:rFonts w:eastAsia="黑体"/>
          <w:sz w:val="44"/>
          <w:szCs w:val="44"/>
        </w:rPr>
      </w:pPr>
      <w:r>
        <w:rPr>
          <w:rFonts w:hint="eastAsia" w:eastAsia="黑体"/>
          <w:sz w:val="44"/>
          <w:szCs w:val="44"/>
        </w:rPr>
        <w:t>使 用 说 明</w:t>
      </w:r>
    </w:p>
    <w:p>
      <w:pPr>
        <w:spacing w:line="400" w:lineRule="exact"/>
      </w:pP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1.本合同标准文本适用于购买现成货物的采购项目，不包括需要供应商定制开发、创新研发的货物采购项目。</w:t>
      </w:r>
    </w:p>
    <w:p>
      <w:pPr>
        <w:rPr>
          <w:rFonts w:eastAsia="黑体"/>
          <w:sz w:val="30"/>
          <w:szCs w:val="30"/>
        </w:rPr>
      </w:pPr>
      <w:r>
        <w:rPr>
          <w:rFonts w:hint="eastAsia" w:eastAsia="黑体"/>
          <w:sz w:val="30"/>
          <w:szCs w:val="30"/>
        </w:rPr>
        <w:t xml:space="preserve">   </w:t>
      </w:r>
      <w:r>
        <w:rPr>
          <w:rFonts w:hint="eastAsia" w:ascii="仿宋_GB2312" w:hAnsi="仿宋_GB2312" w:eastAsia="仿宋_GB2312" w:cs="仿宋_GB2312"/>
          <w:sz w:val="30"/>
          <w:szCs w:val="30"/>
        </w:rPr>
        <w:t>2.本合同标准文本为政府采购货物买卖合同编制提供参考，可以结合采购项目具体情况，对文本作必要的调整修订后使用。</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3.本合同标准文本各条款中，如涉及填写多家供应商、制造商，多种采购标的、分包主要内容等信息的，可根据采购项目具体情况添加信息项。</w:t>
      </w:r>
    </w:p>
    <w:p>
      <w:pPr>
        <w:keepNext/>
        <w:keepLines/>
        <w:adjustRightInd w:val="0"/>
        <w:snapToGrid w:val="0"/>
        <w:spacing w:line="400" w:lineRule="exact"/>
        <w:jc w:val="center"/>
        <w:outlineLvl w:val="1"/>
        <w:rPr>
          <w:rFonts w:ascii="黑体" w:hAnsi="黑体" w:eastAsia="黑体"/>
          <w:b/>
          <w:bCs/>
          <w:sz w:val="28"/>
          <w:szCs w:val="28"/>
        </w:rPr>
      </w:pPr>
      <w:bookmarkStart w:id="138" w:name="_Toc22209"/>
    </w:p>
    <w:p>
      <w:pPr>
        <w:keepNext/>
        <w:keepLines/>
        <w:adjustRightInd w:val="0"/>
        <w:snapToGrid w:val="0"/>
        <w:spacing w:line="400" w:lineRule="exact"/>
        <w:jc w:val="center"/>
        <w:outlineLvl w:val="1"/>
        <w:rPr>
          <w:rFonts w:ascii="黑体" w:hAnsi="华文中宋" w:eastAsia="黑体"/>
          <w:sz w:val="28"/>
          <w:szCs w:val="28"/>
        </w:rPr>
      </w:pPr>
      <w:r>
        <w:rPr>
          <w:rFonts w:hint="eastAsia" w:ascii="黑体" w:hAnsi="黑体" w:eastAsia="黑体"/>
          <w:sz w:val="28"/>
          <w:szCs w:val="28"/>
        </w:rPr>
        <w:t xml:space="preserve">第一节 </w:t>
      </w:r>
      <w:r>
        <w:rPr>
          <w:rFonts w:hint="eastAsia" w:ascii="黑体" w:hAnsi="华文中宋" w:eastAsia="黑体"/>
          <w:sz w:val="28"/>
          <w:szCs w:val="28"/>
        </w:rPr>
        <w:t>政府采购合同协议书</w:t>
      </w:r>
      <w:bookmarkEnd w:id="138"/>
    </w:p>
    <w:p>
      <w:pPr>
        <w:keepNext/>
        <w:keepLines/>
        <w:adjustRightInd w:val="0"/>
        <w:snapToGrid w:val="0"/>
        <w:spacing w:line="400" w:lineRule="exact"/>
        <w:jc w:val="center"/>
        <w:outlineLvl w:val="1"/>
        <w:rPr>
          <w:rFonts w:ascii="黑体" w:hAnsi="华文中宋" w:eastAsia="黑体"/>
          <w:sz w:val="28"/>
          <w:szCs w:val="28"/>
        </w:rPr>
      </w:pPr>
    </w:p>
    <w:p>
      <w:pPr>
        <w:adjustRightInd w:val="0"/>
        <w:snapToGrid w:val="0"/>
        <w:spacing w:line="42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 xml:space="preserve">（采购人、受采购人委托签订合同的单位或采购文件约定的合同甲方） </w:t>
      </w:r>
    </w:p>
    <w:p>
      <w:pPr>
        <w:adjustRightInd w:val="0"/>
        <w:snapToGrid w:val="0"/>
        <w:spacing w:line="420" w:lineRule="exact"/>
        <w:rPr>
          <w:rFonts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pPr>
        <w:adjustRightInd w:val="0"/>
        <w:snapToGrid w:val="0"/>
        <w:spacing w:line="420" w:lineRule="exact"/>
        <w:rPr>
          <w:rFonts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pPr>
        <w:adjustRightInd w:val="0"/>
        <w:snapToGrid w:val="0"/>
        <w:spacing w:line="420" w:lineRule="exact"/>
        <w:rPr>
          <w:rFonts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pPr>
        <w:spacing w:line="420" w:lineRule="exact"/>
      </w:pPr>
    </w:p>
    <w:p>
      <w:pPr>
        <w:adjustRightInd w:val="0"/>
        <w:snapToGrid w:val="0"/>
        <w:spacing w:line="420" w:lineRule="exact"/>
        <w:ind w:firstLine="420" w:firstLineChars="200"/>
        <w:rPr>
          <w:rFonts w:ascii="宋体" w:hAnsi="宋体"/>
          <w:szCs w:val="21"/>
        </w:rPr>
      </w:pPr>
      <w:r>
        <w:rPr>
          <w:rFonts w:hint="eastAsia" w:ascii="宋体" w:hAnsi="宋体"/>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numPr>
          <w:ilvl w:val="0"/>
          <w:numId w:val="3"/>
        </w:numPr>
        <w:adjustRightInd w:val="0"/>
        <w:snapToGrid w:val="0"/>
        <w:spacing w:line="420" w:lineRule="exact"/>
        <w:ind w:firstLine="422" w:firstLineChars="200"/>
        <w:rPr>
          <w:rFonts w:ascii="宋体" w:hAnsi="宋体"/>
          <w:b/>
          <w:szCs w:val="21"/>
        </w:rPr>
      </w:pPr>
      <w:r>
        <w:rPr>
          <w:rFonts w:hint="eastAsia" w:ascii="宋体" w:hAnsi="宋体"/>
          <w:b/>
          <w:szCs w:val="21"/>
        </w:rPr>
        <w:t>项目信息</w:t>
      </w:r>
    </w:p>
    <w:p>
      <w:pPr>
        <w:adjustRightInd w:val="0"/>
        <w:snapToGrid w:val="0"/>
        <w:spacing w:line="420" w:lineRule="exact"/>
        <w:ind w:firstLine="210" w:firstLineChars="100"/>
        <w:rPr>
          <w:rFonts w:ascii="宋体" w:hAnsi="宋体"/>
          <w:szCs w:val="21"/>
          <w:u w:val="single"/>
        </w:rPr>
      </w:pPr>
      <w:r>
        <w:rPr>
          <w:rFonts w:hint="eastAsia" w:ascii="宋体" w:hAnsi="宋体"/>
          <w:szCs w:val="21"/>
        </w:rPr>
        <w:t>（1）采购项目名称：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numPr>
          <w:ilvl w:val="255"/>
          <w:numId w:val="0"/>
        </w:numPr>
        <w:tabs>
          <w:tab w:val="left" w:pos="999"/>
        </w:tabs>
        <w:adjustRightInd w:val="0"/>
        <w:snapToGrid w:val="0"/>
        <w:spacing w:line="420" w:lineRule="exact"/>
        <w:rPr>
          <w:rFonts w:ascii="宋体" w:hAnsi="宋体"/>
          <w:szCs w:val="21"/>
        </w:rPr>
      </w:pPr>
      <w:r>
        <w:rPr>
          <w:rFonts w:hint="eastAsia" w:ascii="宋体" w:hAnsi="宋体"/>
          <w:szCs w:val="21"/>
        </w:rPr>
        <w:t xml:space="preserve">       采购项目编号：</w:t>
      </w:r>
      <w:r>
        <w:rPr>
          <w:rFonts w:ascii="宋体" w:hAnsi="宋体"/>
          <w:szCs w:val="21"/>
          <w:u w:val="single"/>
        </w:rPr>
        <w:t xml:space="preserve">                                          </w:t>
      </w:r>
    </w:p>
    <w:p>
      <w:pPr>
        <w:adjustRightInd w:val="0"/>
        <w:snapToGrid w:val="0"/>
        <w:spacing w:line="420" w:lineRule="exact"/>
        <w:ind w:firstLine="199" w:firstLineChars="95"/>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pPr>
        <w:adjustRightInd w:val="0"/>
        <w:snapToGrid w:val="0"/>
        <w:spacing w:line="420" w:lineRule="exact"/>
        <w:ind w:firstLine="199" w:firstLineChars="95"/>
        <w:rPr>
          <w:rFonts w:ascii="宋体" w:hAnsi="宋体"/>
          <w:szCs w:val="21"/>
        </w:rPr>
      </w:pPr>
      <w:r>
        <w:rPr>
          <w:rFonts w:hint="eastAsia" w:ascii="宋体" w:hAnsi="宋体"/>
          <w:szCs w:val="21"/>
        </w:rPr>
        <w:t>（3）项目内容：</w:t>
      </w:r>
    </w:p>
    <w:p>
      <w:pPr>
        <w:adjustRightInd w:val="0"/>
        <w:snapToGrid w:val="0"/>
        <w:spacing w:line="420" w:lineRule="exact"/>
        <w:ind w:firstLine="420" w:firstLineChars="200"/>
        <w:rPr>
          <w:rFonts w:ascii="宋体" w:hAnsi="宋体"/>
          <w:szCs w:val="21"/>
        </w:rPr>
      </w:pPr>
      <w:r>
        <w:rPr>
          <w:rFonts w:hint="eastAsia" w:ascii="宋体" w:hAnsi="宋体"/>
          <w:szCs w:val="21"/>
        </w:rPr>
        <w:t xml:space="preserve">   采购标的及数量（台/套</w:t>
      </w:r>
      <w:r>
        <w:rPr>
          <w:rFonts w:ascii="宋体" w:hAnsi="宋体"/>
          <w:szCs w:val="21"/>
          <w:lang w:val="en"/>
        </w:rPr>
        <w:t>/</w:t>
      </w:r>
      <w:r>
        <w:rPr>
          <w:rFonts w:hint="eastAsia" w:ascii="宋体" w:hAnsi="宋体"/>
          <w:szCs w:val="21"/>
          <w:lang w:val="en"/>
        </w:rPr>
        <w:t>个</w:t>
      </w:r>
      <w:r>
        <w:rPr>
          <w:rFonts w:ascii="宋体" w:hAnsi="宋体"/>
          <w:szCs w:val="21"/>
          <w:lang w:val="en"/>
        </w:rPr>
        <w:t>/</w:t>
      </w:r>
      <w:r>
        <w:rPr>
          <w:rFonts w:hint="eastAsia" w:ascii="宋体" w:hAnsi="宋体"/>
          <w:szCs w:val="21"/>
          <w:lang w:val="en"/>
        </w:rPr>
        <w:t>架</w:t>
      </w:r>
      <w:r>
        <w:rPr>
          <w:rFonts w:ascii="宋体" w:hAnsi="宋体"/>
          <w:szCs w:val="21"/>
          <w:lang w:val="en"/>
        </w:rPr>
        <w:t>/</w:t>
      </w:r>
      <w:r>
        <w:rPr>
          <w:rFonts w:hint="eastAsia" w:ascii="宋体" w:hAnsi="宋体"/>
          <w:szCs w:val="21"/>
          <w:lang w:val="en"/>
        </w:rPr>
        <w:t>组等</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p>
    <w:p>
      <w:pPr>
        <w:numPr>
          <w:ilvl w:val="255"/>
          <w:numId w:val="0"/>
        </w:numPr>
        <w:adjustRightInd w:val="0"/>
        <w:snapToGrid w:val="0"/>
        <w:spacing w:line="420" w:lineRule="exact"/>
        <w:ind w:firstLine="420" w:firstLineChars="200"/>
        <w:rPr>
          <w:rFonts w:ascii="宋体" w:hAnsi="宋体" w:cs="宋体"/>
          <w:szCs w:val="21"/>
          <w:lang w:val="en"/>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lang w:val="en"/>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p>
    <w:p>
      <w:pPr>
        <w:numPr>
          <w:ilvl w:val="255"/>
          <w:numId w:val="0"/>
        </w:numPr>
        <w:adjustRightInd w:val="0"/>
        <w:snapToGrid w:val="0"/>
        <w:spacing w:line="420" w:lineRule="exact"/>
        <w:ind w:firstLine="735" w:firstLineChars="350"/>
        <w:rPr>
          <w:rFonts w:ascii="宋体" w:hAnsi="宋体" w:cs="宋体"/>
          <w:szCs w:val="21"/>
          <w:lang w:val="en"/>
        </w:rPr>
      </w:pPr>
      <w:r>
        <w:rPr>
          <w:rFonts w:hint="eastAsia" w:ascii="宋体" w:hAnsi="宋体"/>
          <w:szCs w:val="21"/>
        </w:rPr>
        <w:t>采购标的的技术要求、商务要求具体见附件。</w:t>
      </w:r>
    </w:p>
    <w:p>
      <w:pPr>
        <w:numPr>
          <w:ilvl w:val="255"/>
          <w:numId w:val="0"/>
        </w:numPr>
        <w:adjustRightInd w:val="0"/>
        <w:snapToGrid w:val="0"/>
        <w:spacing w:line="420" w:lineRule="exact"/>
        <w:ind w:firstLine="735" w:firstLineChars="350"/>
        <w:rPr>
          <w:rFonts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pPr>
        <w:numPr>
          <w:ilvl w:val="255"/>
          <w:numId w:val="0"/>
        </w:numPr>
        <w:adjustRightInd w:val="0"/>
        <w:snapToGrid w:val="0"/>
        <w:spacing w:line="420" w:lineRule="exact"/>
        <w:ind w:firstLine="420" w:firstLineChars="200"/>
        <w:rPr>
          <w:rFonts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lang w:val="en"/>
        </w:rPr>
        <w:t xml:space="preserve">               </w:t>
      </w:r>
      <w:r>
        <w:rPr>
          <w:rFonts w:hint="eastAsia" w:ascii="宋体" w:hAnsi="宋体" w:cs="宋体"/>
          <w:kern w:val="0"/>
          <w:szCs w:val="21"/>
          <w:u w:val="single"/>
        </w:rPr>
        <w:t xml:space="preserve">    </w:t>
      </w:r>
    </w:p>
    <w:p>
      <w:pPr>
        <w:numPr>
          <w:ilvl w:val="255"/>
          <w:numId w:val="0"/>
        </w:numPr>
        <w:adjustRightInd w:val="0"/>
        <w:snapToGrid w:val="0"/>
        <w:spacing w:line="420" w:lineRule="exact"/>
        <w:ind w:firstLine="420"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p>
    <w:p>
      <w:pPr>
        <w:widowControl/>
        <w:autoSpaceDE w:val="0"/>
        <w:autoSpaceDN w:val="0"/>
        <w:adjustRightInd w:val="0"/>
        <w:spacing w:line="420" w:lineRule="exact"/>
        <w:ind w:firstLine="420" w:firstLineChars="200"/>
        <w:jc w:val="left"/>
        <w:rPr>
          <w:rFonts w:ascii="宋体" w:hAnsi="宋体" w:cs="宋体"/>
          <w:kern w:val="0"/>
          <w:szCs w:val="21"/>
        </w:rPr>
      </w:pPr>
      <w:r>
        <w:rPr>
          <w:rFonts w:hint="eastAsia" w:ascii="宋体" w:hAnsi="宋体" w:cs="宋体"/>
          <w:kern w:val="0"/>
          <w:szCs w:val="21"/>
        </w:rPr>
        <w:t xml:space="preserve">   </w:t>
      </w:r>
      <w:r>
        <w:rPr>
          <w:rFonts w:hint="eastAsia" w:ascii="宋体" w:hAnsi="宋体" w:cs="宋体"/>
          <w:szCs w:val="21"/>
        </w:rPr>
        <w:t>关键部件</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rPr>
        <w:t xml:space="preserve"> 品牌：</w:t>
      </w:r>
      <w:r>
        <w:rPr>
          <w:rFonts w:hint="eastAsia" w:ascii="宋体" w:hAnsi="宋体" w:cs="宋体"/>
          <w:kern w:val="0"/>
          <w:szCs w:val="21"/>
          <w:u w:val="single"/>
        </w:rPr>
        <w:t xml:space="preserve">        </w:t>
      </w:r>
      <w:r>
        <w:rPr>
          <w:rFonts w:hint="eastAsia" w:ascii="宋体" w:hAnsi="宋体" w:cs="宋体"/>
          <w:kern w:val="0"/>
          <w:szCs w:val="21"/>
        </w:rPr>
        <w:t xml:space="preserve"> 型号：</w:t>
      </w:r>
      <w:r>
        <w:rPr>
          <w:rFonts w:hint="eastAsia" w:ascii="宋体" w:hAnsi="宋体" w:cs="宋体"/>
          <w:kern w:val="0"/>
          <w:szCs w:val="21"/>
          <w:u w:val="single"/>
        </w:rPr>
        <w:t xml:space="preserve">          </w:t>
      </w:r>
    </w:p>
    <w:p>
      <w:pPr>
        <w:widowControl/>
        <w:autoSpaceDE w:val="0"/>
        <w:autoSpaceDN w:val="0"/>
        <w:adjustRightInd w:val="0"/>
        <w:spacing w:line="420" w:lineRule="exact"/>
        <w:ind w:firstLine="420" w:firstLineChars="200"/>
        <w:jc w:val="left"/>
        <w:rPr>
          <w:rFonts w:ascii="宋体" w:hAnsi="宋体" w:cs="宋体"/>
          <w:kern w:val="0"/>
          <w:szCs w:val="21"/>
        </w:rPr>
      </w:pPr>
      <w:r>
        <w:rPr>
          <w:rFonts w:hint="eastAsia" w:ascii="宋体" w:hAnsi="宋体" w:cs="宋体"/>
          <w:kern w:val="0"/>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品牌：</w:t>
      </w:r>
      <w:r>
        <w:rPr>
          <w:rFonts w:hint="eastAsia" w:ascii="宋体" w:hAnsi="宋体" w:cs="宋体"/>
          <w:kern w:val="0"/>
          <w:szCs w:val="21"/>
          <w:u w:val="single"/>
        </w:rPr>
        <w:t xml:space="preserve">        </w:t>
      </w:r>
      <w:r>
        <w:rPr>
          <w:rFonts w:hint="eastAsia" w:ascii="宋体" w:hAnsi="宋体" w:cs="宋体"/>
          <w:kern w:val="0"/>
          <w:szCs w:val="21"/>
        </w:rPr>
        <w:t xml:space="preserve"> 型号：</w:t>
      </w:r>
      <w:r>
        <w:rPr>
          <w:rFonts w:hint="eastAsia" w:ascii="宋体" w:hAnsi="宋体" w:cs="宋体"/>
          <w:kern w:val="0"/>
          <w:szCs w:val="21"/>
          <w:u w:val="single"/>
        </w:rPr>
        <w:t xml:space="preserve">          </w:t>
      </w:r>
    </w:p>
    <w:p>
      <w:pPr>
        <w:widowControl/>
        <w:numPr>
          <w:ilvl w:val="255"/>
          <w:numId w:val="0"/>
        </w:numPr>
        <w:autoSpaceDE w:val="0"/>
        <w:autoSpaceDN w:val="0"/>
        <w:adjustRightInd w:val="0"/>
        <w:snapToGrid w:val="0"/>
        <w:spacing w:line="420" w:lineRule="exact"/>
        <w:jc w:val="left"/>
        <w:rPr>
          <w:rFonts w:ascii="宋体" w:hAnsi="宋体" w:cs="宋体"/>
          <w:kern w:val="0"/>
          <w:szCs w:val="21"/>
        </w:rPr>
      </w:pPr>
      <w:r>
        <w:rPr>
          <w:rFonts w:hint="eastAsia" w:ascii="宋体" w:hAnsi="宋体" w:cs="宋体"/>
          <w:kern w:val="0"/>
          <w:szCs w:val="21"/>
        </w:rPr>
        <w:t xml:space="preserve">   （注：关键部件是指财政部会同有关部门发布的政府采购需求标准规定的需要通过国家有关部门指定的测评机构开展的安全可靠测评的软硬件，如CPU芯片、操作系统、数据库等。）</w:t>
      </w:r>
    </w:p>
    <w:p>
      <w:pPr>
        <w:widowControl/>
        <w:numPr>
          <w:ilvl w:val="255"/>
          <w:numId w:val="0"/>
        </w:numPr>
        <w:autoSpaceDE w:val="0"/>
        <w:autoSpaceDN w:val="0"/>
        <w:adjustRightInd w:val="0"/>
        <w:snapToGrid w:val="0"/>
        <w:spacing w:line="420" w:lineRule="exact"/>
        <w:jc w:val="left"/>
        <w:rPr>
          <w:rFonts w:ascii="宋体" w:hAnsi="宋体" w:cs="宋体"/>
          <w:kern w:val="0"/>
          <w:szCs w:val="21"/>
        </w:rPr>
      </w:pPr>
      <w:r>
        <w:rPr>
          <w:rFonts w:hint="eastAsia" w:ascii="宋体" w:hAnsi="宋体" w:cs="宋体"/>
          <w:kern w:val="0"/>
          <w:szCs w:val="21"/>
        </w:rPr>
        <w:t xml:space="preserve">         </w:t>
      </w:r>
      <w:r>
        <w:rPr>
          <w:rFonts w:hint="eastAsia" w:ascii="汉仪书宋二S" w:hAnsi="汉仪书宋二S" w:eastAsia="汉仪书宋二S" w:cs="汉仪书宋二S"/>
          <w:kern w:val="0"/>
          <w:szCs w:val="21"/>
        </w:rPr>
        <w:t>②</w:t>
      </w:r>
      <w:r>
        <w:rPr>
          <w:rFonts w:hint="eastAsia" w:ascii="宋体" w:hAnsi="宋体" w:cs="宋体"/>
          <w:kern w:val="0"/>
          <w:szCs w:val="21"/>
        </w:rPr>
        <w:t>涉及车辆采购，请填写是否属于新能源汽车：</w:t>
      </w:r>
    </w:p>
    <w:p>
      <w:pPr>
        <w:widowControl/>
        <w:numPr>
          <w:ilvl w:val="255"/>
          <w:numId w:val="0"/>
        </w:numPr>
        <w:autoSpaceDE w:val="0"/>
        <w:autoSpaceDN w:val="0"/>
        <w:adjustRightInd w:val="0"/>
        <w:snapToGrid w:val="0"/>
        <w:spacing w:line="420" w:lineRule="exact"/>
        <w:jc w:val="left"/>
        <w:rPr>
          <w:rFonts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rPr>
        <w:sym w:font="Wingdings" w:char="00A8"/>
      </w:r>
      <w:r>
        <w:rPr>
          <w:rFonts w:hint="eastAsia" w:ascii="宋体" w:hAnsi="宋体" w:cs="宋体"/>
          <w:kern w:val="0"/>
          <w:szCs w:val="21"/>
        </w:rPr>
        <w:t>是，《政府采购品目分类目录》底级品目名称：</w:t>
      </w:r>
      <w:r>
        <w:rPr>
          <w:rFonts w:hint="eastAsia" w:ascii="宋体" w:hAnsi="宋体" w:cs="宋体"/>
          <w:kern w:val="0"/>
          <w:szCs w:val="21"/>
          <w:u w:val="single"/>
        </w:rPr>
        <w:t xml:space="preserve">      </w:t>
      </w:r>
      <w:r>
        <w:rPr>
          <w:rFonts w:hint="eastAsia" w:ascii="宋体" w:hAnsi="宋体" w:cs="宋体"/>
          <w:kern w:val="0"/>
          <w:szCs w:val="21"/>
        </w:rPr>
        <w:t xml:space="preserve"> 数量：</w:t>
      </w:r>
      <w:r>
        <w:rPr>
          <w:rFonts w:hint="eastAsia" w:ascii="宋体" w:hAnsi="宋体" w:cs="宋体"/>
          <w:kern w:val="0"/>
          <w:szCs w:val="21"/>
          <w:u w:val="single"/>
        </w:rPr>
        <w:t xml:space="preserve">     </w:t>
      </w:r>
      <w:r>
        <w:rPr>
          <w:rFonts w:hint="eastAsia" w:ascii="宋体" w:hAnsi="宋体" w:cs="宋体"/>
          <w:kern w:val="0"/>
          <w:szCs w:val="21"/>
        </w:rPr>
        <w:t xml:space="preserve"> 金额：</w:t>
      </w:r>
      <w:r>
        <w:rPr>
          <w:rFonts w:hint="eastAsia" w:ascii="宋体" w:hAnsi="宋体" w:cs="宋体"/>
          <w:kern w:val="0"/>
          <w:szCs w:val="21"/>
          <w:u w:val="single"/>
        </w:rPr>
        <w:t xml:space="preserve">          </w:t>
      </w:r>
    </w:p>
    <w:p>
      <w:pPr>
        <w:widowControl/>
        <w:numPr>
          <w:ilvl w:val="255"/>
          <w:numId w:val="0"/>
        </w:numPr>
        <w:autoSpaceDE w:val="0"/>
        <w:autoSpaceDN w:val="0"/>
        <w:adjustRightInd w:val="0"/>
        <w:snapToGrid w:val="0"/>
        <w:spacing w:line="420" w:lineRule="exact"/>
        <w:jc w:val="left"/>
        <w:rPr>
          <w:rFonts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rPr>
        <w:sym w:font="Wingdings" w:char="00A8"/>
      </w:r>
      <w:r>
        <w:rPr>
          <w:rFonts w:hint="eastAsia" w:ascii="宋体" w:hAnsi="宋体" w:cs="宋体"/>
          <w:kern w:val="0"/>
          <w:szCs w:val="21"/>
        </w:rPr>
        <w:t>否</w:t>
      </w:r>
    </w:p>
    <w:p>
      <w:pPr>
        <w:widowControl/>
        <w:numPr>
          <w:ilvl w:val="255"/>
          <w:numId w:val="0"/>
        </w:numPr>
        <w:autoSpaceDE w:val="0"/>
        <w:autoSpaceDN w:val="0"/>
        <w:adjustRightInd w:val="0"/>
        <w:snapToGrid w:val="0"/>
        <w:spacing w:line="420" w:lineRule="exact"/>
        <w:jc w:val="left"/>
        <w:rPr>
          <w:rFonts w:ascii="宋体" w:hAnsi="宋体" w:cs="宋体"/>
          <w:kern w:val="0"/>
          <w:szCs w:val="21"/>
        </w:rPr>
      </w:pPr>
      <w:r>
        <w:rPr>
          <w:rFonts w:hint="eastAsia" w:ascii="宋体" w:hAnsi="宋体" w:cs="宋体"/>
          <w:kern w:val="0"/>
          <w:szCs w:val="21"/>
        </w:rPr>
        <w:t xml:space="preserve">   （</w:t>
      </w:r>
      <w:r>
        <w:rPr>
          <w:rFonts w:ascii="宋体" w:hAnsi="宋体" w:cs="宋体"/>
          <w:kern w:val="0"/>
          <w:szCs w:val="21"/>
          <w:lang w:val="en"/>
        </w:rPr>
        <w:t>4</w:t>
      </w:r>
      <w:r>
        <w:rPr>
          <w:rFonts w:hint="eastAsia" w:ascii="宋体" w:hAnsi="宋体" w:cs="宋体"/>
          <w:kern w:val="0"/>
          <w:szCs w:val="21"/>
        </w:rPr>
        <w:t>）政府采购组织形式：</w:t>
      </w:r>
      <w:r>
        <w:rPr>
          <w:rFonts w:hint="eastAsia" w:ascii="宋体" w:hAnsi="宋体" w:cs="宋体"/>
          <w:kern w:val="0"/>
          <w:szCs w:val="21"/>
        </w:rPr>
        <w:sym w:font="Wingdings" w:char="00A8"/>
      </w:r>
      <w:r>
        <w:rPr>
          <w:rFonts w:hint="eastAsia" w:ascii="宋体" w:hAnsi="宋体" w:cs="宋体"/>
          <w:kern w:val="0"/>
          <w:szCs w:val="21"/>
        </w:rPr>
        <w:t xml:space="preserve">政府集中采购  </w:t>
      </w:r>
      <w:r>
        <w:rPr>
          <w:rFonts w:hint="eastAsia" w:ascii="宋体" w:hAnsi="宋体" w:cs="宋体"/>
          <w:kern w:val="0"/>
          <w:szCs w:val="21"/>
        </w:rPr>
        <w:sym w:font="Wingdings" w:char="00A8"/>
      </w:r>
      <w:r>
        <w:rPr>
          <w:rFonts w:hint="eastAsia" w:ascii="宋体" w:hAnsi="宋体" w:cs="宋体"/>
          <w:kern w:val="0"/>
          <w:szCs w:val="21"/>
        </w:rPr>
        <w:t xml:space="preserve">部门集中采购  </w:t>
      </w:r>
      <w:r>
        <w:rPr>
          <w:rFonts w:hint="eastAsia" w:ascii="宋体" w:hAnsi="宋体" w:cs="宋体"/>
          <w:kern w:val="0"/>
          <w:szCs w:val="21"/>
        </w:rPr>
        <w:sym w:font="Wingdings" w:char="00A8"/>
      </w:r>
      <w:r>
        <w:rPr>
          <w:rFonts w:hint="eastAsia" w:ascii="宋体" w:hAnsi="宋体" w:cs="宋体"/>
          <w:kern w:val="0"/>
          <w:szCs w:val="21"/>
        </w:rPr>
        <w:t>分散采购</w:t>
      </w:r>
    </w:p>
    <w:p>
      <w:pPr>
        <w:widowControl/>
        <w:numPr>
          <w:ilvl w:val="255"/>
          <w:numId w:val="0"/>
        </w:numPr>
        <w:autoSpaceDE w:val="0"/>
        <w:autoSpaceDN w:val="0"/>
        <w:adjustRightInd w:val="0"/>
        <w:snapToGrid w:val="0"/>
        <w:spacing w:line="420" w:lineRule="exact"/>
        <w:ind w:firstLine="283" w:firstLineChars="135"/>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lang w:val="en"/>
        </w:rPr>
        <w:t>5</w:t>
      </w:r>
      <w:r>
        <w:rPr>
          <w:rFonts w:hint="eastAsia" w:ascii="宋体" w:hAnsi="宋体" w:cs="宋体"/>
          <w:kern w:val="0"/>
          <w:szCs w:val="21"/>
        </w:rPr>
        <w:t>）政府采购方式：</w:t>
      </w:r>
      <w:r>
        <w:rPr>
          <w:rFonts w:hint="eastAsia" w:ascii="宋体" w:hAnsi="宋体" w:cs="宋体"/>
          <w:kern w:val="0"/>
          <w:szCs w:val="21"/>
        </w:rPr>
        <w:sym w:font="Wingdings" w:char="00A8"/>
      </w:r>
      <w:r>
        <w:rPr>
          <w:rFonts w:hint="eastAsia" w:ascii="宋体" w:hAnsi="宋体" w:cs="宋体"/>
          <w:kern w:val="0"/>
          <w:szCs w:val="21"/>
        </w:rPr>
        <w:t xml:space="preserve">公开招标 </w:t>
      </w:r>
      <w:r>
        <w:rPr>
          <w:rFonts w:hint="eastAsia" w:ascii="宋体" w:hAnsi="宋体" w:cs="宋体"/>
          <w:kern w:val="0"/>
          <w:szCs w:val="21"/>
        </w:rPr>
        <w:sym w:font="Wingdings" w:char="00A8"/>
      </w:r>
      <w:r>
        <w:rPr>
          <w:rFonts w:hint="eastAsia" w:ascii="宋体" w:hAnsi="宋体" w:cs="宋体"/>
          <w:kern w:val="0"/>
          <w:szCs w:val="21"/>
        </w:rPr>
        <w:t xml:space="preserve">邀请招标 </w:t>
      </w:r>
      <w:r>
        <w:rPr>
          <w:rFonts w:hint="eastAsia" w:ascii="宋体" w:hAnsi="宋体" w:cs="宋体"/>
          <w:kern w:val="0"/>
          <w:szCs w:val="21"/>
        </w:rPr>
        <w:sym w:font="Wingdings" w:char="00A8"/>
      </w:r>
      <w:r>
        <w:rPr>
          <w:rFonts w:hint="eastAsia" w:ascii="宋体" w:hAnsi="宋体" w:cs="宋体"/>
          <w:kern w:val="0"/>
          <w:szCs w:val="21"/>
        </w:rPr>
        <w:t xml:space="preserve">竞争性谈判 </w:t>
      </w:r>
      <w:r>
        <w:rPr>
          <w:rFonts w:hint="eastAsia" w:ascii="宋体" w:hAnsi="宋体" w:cs="宋体"/>
          <w:kern w:val="0"/>
          <w:szCs w:val="21"/>
        </w:rPr>
        <w:sym w:font="Wingdings" w:char="00A8"/>
      </w:r>
      <w:r>
        <w:rPr>
          <w:rFonts w:hint="eastAsia" w:ascii="宋体" w:hAnsi="宋体" w:cs="宋体"/>
          <w:kern w:val="0"/>
          <w:szCs w:val="21"/>
        </w:rPr>
        <w:t>竞争性磋商</w:t>
      </w:r>
    </w:p>
    <w:p>
      <w:pPr>
        <w:widowControl/>
        <w:numPr>
          <w:ilvl w:val="255"/>
          <w:numId w:val="0"/>
        </w:numPr>
        <w:autoSpaceDE w:val="0"/>
        <w:autoSpaceDN w:val="0"/>
        <w:adjustRightInd w:val="0"/>
        <w:snapToGrid w:val="0"/>
        <w:spacing w:line="420" w:lineRule="exact"/>
        <w:ind w:firstLine="420"/>
        <w:jc w:val="left"/>
        <w:rPr>
          <w:rFonts w:ascii="宋体" w:hAnsi="宋体" w:cs="宋体"/>
          <w:kern w:val="0"/>
          <w:szCs w:val="21"/>
          <w:u w:val="single"/>
        </w:rPr>
      </w:pPr>
      <w:r>
        <w:rPr>
          <w:rFonts w:hint="eastAsia" w:ascii="宋体" w:hAnsi="宋体" w:eastAsia="华文楷体" w:cs="宋体"/>
          <w:kern w:val="0"/>
          <w:sz w:val="22"/>
          <w:szCs w:val="21"/>
        </w:rPr>
        <w:t xml:space="preserve">                 </w:t>
      </w:r>
      <w:r>
        <w:rPr>
          <w:rFonts w:hint="eastAsia" w:ascii="宋体" w:hAnsi="宋体" w:cs="宋体"/>
          <w:kern w:val="0"/>
          <w:szCs w:val="21"/>
        </w:rPr>
        <w:sym w:font="Wingdings" w:char="00A8"/>
      </w:r>
      <w:r>
        <w:rPr>
          <w:rFonts w:hint="eastAsia" w:ascii="宋体" w:hAnsi="宋体" w:cs="宋体"/>
          <w:kern w:val="0"/>
          <w:szCs w:val="21"/>
        </w:rPr>
        <w:t xml:space="preserve">询价 </w:t>
      </w:r>
      <w:r>
        <w:rPr>
          <w:rFonts w:hint="eastAsia" w:ascii="宋体" w:hAnsi="宋体" w:cs="宋体"/>
          <w:kern w:val="0"/>
          <w:szCs w:val="21"/>
        </w:rPr>
        <w:sym w:font="Wingdings" w:char="00A8"/>
      </w:r>
      <w:r>
        <w:rPr>
          <w:rFonts w:hint="eastAsia" w:ascii="宋体" w:hAnsi="宋体" w:cs="宋体"/>
          <w:kern w:val="0"/>
          <w:szCs w:val="21"/>
        </w:rPr>
        <w:t xml:space="preserve">单一来源 </w:t>
      </w:r>
      <w:r>
        <w:rPr>
          <w:rFonts w:hint="eastAsia" w:ascii="宋体" w:hAnsi="宋体" w:cs="宋体"/>
          <w:kern w:val="0"/>
          <w:szCs w:val="21"/>
        </w:rPr>
        <w:sym w:font="Wingdings" w:char="00A8"/>
      </w:r>
      <w:r>
        <w:rPr>
          <w:rFonts w:hint="eastAsia" w:ascii="宋体" w:hAnsi="宋体" w:cs="宋体"/>
          <w:kern w:val="0"/>
          <w:szCs w:val="21"/>
        </w:rPr>
        <w:t xml:space="preserve">框架协议 </w:t>
      </w:r>
      <w:r>
        <w:rPr>
          <w:rFonts w:hint="eastAsia" w:ascii="宋体" w:hAnsi="宋体" w:cs="宋体"/>
          <w:kern w:val="0"/>
          <w:szCs w:val="21"/>
        </w:rPr>
        <w:sym w:font="Wingdings" w:char="00A8"/>
      </w:r>
      <w:r>
        <w:rPr>
          <w:rFonts w:hint="eastAsia" w:ascii="宋体" w:hAnsi="宋体" w:cs="宋体"/>
          <w:kern w:val="0"/>
          <w:szCs w:val="21"/>
        </w:rPr>
        <w:t>其他：</w:t>
      </w:r>
      <w:r>
        <w:rPr>
          <w:rFonts w:hint="eastAsia" w:ascii="宋体" w:hAnsi="宋体" w:cs="宋体"/>
          <w:kern w:val="0"/>
          <w:szCs w:val="21"/>
          <w:u w:val="single"/>
        </w:rPr>
        <w:t xml:space="preserve">          </w:t>
      </w:r>
    </w:p>
    <w:p>
      <w:pPr>
        <w:widowControl/>
        <w:numPr>
          <w:ilvl w:val="255"/>
          <w:numId w:val="0"/>
        </w:numPr>
        <w:autoSpaceDE w:val="0"/>
        <w:autoSpaceDN w:val="0"/>
        <w:adjustRightInd w:val="0"/>
        <w:snapToGrid w:val="0"/>
        <w:spacing w:line="420" w:lineRule="exact"/>
        <w:ind w:firstLine="283" w:firstLineChars="135"/>
        <w:jc w:val="left"/>
        <w:rPr>
          <w:rFonts w:ascii="宋体" w:hAnsi="宋体"/>
          <w:szCs w:val="21"/>
        </w:rPr>
      </w:pPr>
      <w:r>
        <w:rPr>
          <w:rFonts w:hint="eastAsia" w:ascii="宋体" w:hAnsi="宋体" w:cs="华文楷体"/>
          <w:kern w:val="0"/>
          <w:szCs w:val="21"/>
        </w:rPr>
        <w:t>（6）</w:t>
      </w:r>
      <w:r>
        <w:rPr>
          <w:rFonts w:hint="eastAsia" w:ascii="宋体" w:hAnsi="宋体"/>
          <w:szCs w:val="21"/>
        </w:rPr>
        <w:t>中标（成交）采购标的制造商是否为中小企业：</w:t>
      </w: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否</w:t>
      </w:r>
    </w:p>
    <w:p>
      <w:pPr>
        <w:numPr>
          <w:ilvl w:val="255"/>
          <w:numId w:val="0"/>
        </w:numPr>
        <w:adjustRightInd w:val="0"/>
        <w:snapToGrid w:val="0"/>
        <w:spacing w:line="420" w:lineRule="exact"/>
        <w:rPr>
          <w:rFonts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numPr>
          <w:ilvl w:val="255"/>
          <w:numId w:val="0"/>
        </w:numPr>
        <w:adjustRightInd w:val="0"/>
        <w:snapToGrid w:val="0"/>
        <w:spacing w:line="420" w:lineRule="exact"/>
        <w:rPr>
          <w:rFonts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numPr>
          <w:ilvl w:val="255"/>
          <w:numId w:val="0"/>
        </w:numPr>
        <w:adjustRightInd w:val="0"/>
        <w:snapToGrid w:val="0"/>
        <w:spacing w:line="420" w:lineRule="exact"/>
        <w:rPr>
          <w:rFonts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snapToGrid w:val="0"/>
        <w:spacing w:line="42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line="420" w:lineRule="exact"/>
        <w:ind w:firstLine="409" w:firstLineChars="195"/>
        <w:rPr>
          <w:rFonts w:ascii="宋体" w:hAnsi="宋体"/>
          <w:szCs w:val="21"/>
        </w:rPr>
      </w:pPr>
      <w:r>
        <w:rPr>
          <w:rFonts w:hint="eastAsia" w:ascii="宋体" w:hAnsi="宋体"/>
          <w:szCs w:val="21"/>
        </w:rPr>
        <w:t>(</w:t>
      </w:r>
      <w:r>
        <w:rPr>
          <w:rFonts w:ascii="宋体" w:hAnsi="宋体"/>
          <w:szCs w:val="21"/>
          <w:lang w:val="en"/>
        </w:rPr>
        <w:t>7</w:t>
      </w:r>
      <w:r>
        <w:rPr>
          <w:rFonts w:ascii="宋体" w:hAnsi="宋体"/>
          <w:szCs w:val="21"/>
        </w:rPr>
        <w:t>）</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line="420" w:lineRule="exact"/>
        <w:ind w:firstLine="840" w:firstLineChars="400"/>
        <w:rPr>
          <w:rFonts w:ascii="宋体" w:hAnsi="宋体"/>
          <w:szCs w:val="21"/>
          <w:u w:val="single"/>
        </w:rPr>
      </w:pPr>
      <w:r>
        <w:rPr>
          <w:rFonts w:hint="eastAsia" w:ascii="宋体" w:hAnsi="宋体"/>
          <w:szCs w:val="21"/>
        </w:rPr>
        <w:t>分包主要内容：</w:t>
      </w:r>
      <w:r>
        <w:rPr>
          <w:rFonts w:hint="eastAsia" w:ascii="宋体" w:hAnsi="宋体"/>
          <w:szCs w:val="21"/>
          <w:u w:val="single"/>
        </w:rPr>
        <w:t xml:space="preserve">                                                         </w:t>
      </w:r>
    </w:p>
    <w:p>
      <w:pPr>
        <w:adjustRightInd w:val="0"/>
        <w:snapToGrid w:val="0"/>
        <w:spacing w:line="420" w:lineRule="exact"/>
        <w:ind w:firstLine="840" w:firstLineChars="400"/>
        <w:rPr>
          <w:rFonts w:ascii="宋体" w:hAnsi="宋体"/>
          <w:szCs w:val="21"/>
        </w:rPr>
      </w:pPr>
      <w:r>
        <w:rPr>
          <w:rFonts w:hint="eastAsia" w:ascii="宋体" w:hAnsi="宋体"/>
          <w:szCs w:val="21"/>
        </w:rPr>
        <w:t>分包供应商/制造商名称（如供应商和制造商不同，请分别填写）：</w:t>
      </w:r>
    </w:p>
    <w:p>
      <w:pPr>
        <w:adjustRightInd w:val="0"/>
        <w:snapToGrid w:val="0"/>
        <w:spacing w:line="420" w:lineRule="exact"/>
        <w:ind w:firstLine="840" w:firstLineChars="400"/>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pPr>
        <w:adjustRightInd w:val="0"/>
        <w:snapToGrid w:val="0"/>
        <w:spacing w:line="420" w:lineRule="exact"/>
        <w:ind w:firstLine="840" w:firstLineChars="400"/>
        <w:rPr>
          <w:rFonts w:ascii="宋体" w:hAnsi="宋体"/>
          <w:szCs w:val="21"/>
        </w:rPr>
      </w:pPr>
      <w:r>
        <w:rPr>
          <w:rFonts w:hint="eastAsia" w:ascii="宋体" w:hAnsi="宋体"/>
          <w:szCs w:val="21"/>
        </w:rPr>
        <w:t>分包供应商/制造商类型（如果供应商和制造商不同，只填写制造商类型）：</w:t>
      </w:r>
    </w:p>
    <w:p>
      <w:pPr>
        <w:adjustRightInd w:val="0"/>
        <w:snapToGrid w:val="0"/>
        <w:spacing w:line="420" w:lineRule="exact"/>
        <w:ind w:firstLine="840" w:firstLineChars="400"/>
        <w:rPr>
          <w:rFonts w:ascii="宋体" w:hAnsi="宋体"/>
          <w:iCs/>
          <w:szCs w:val="21"/>
        </w:rPr>
      </w:pP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p>
    <w:p>
      <w:pPr>
        <w:adjustRightInd w:val="0"/>
        <w:snapToGrid w:val="0"/>
        <w:spacing w:line="420" w:lineRule="exact"/>
        <w:ind w:firstLine="735" w:firstLineChars="35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pPr>
        <w:numPr>
          <w:ilvl w:val="255"/>
          <w:numId w:val="0"/>
        </w:numPr>
        <w:adjustRightInd w:val="0"/>
        <w:snapToGrid w:val="0"/>
        <w:spacing w:line="420" w:lineRule="exact"/>
        <w:rPr>
          <w:rFonts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lang w:val="en"/>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pPr>
        <w:widowControl/>
        <w:tabs>
          <w:tab w:val="left" w:pos="1340"/>
        </w:tabs>
        <w:autoSpaceDE w:val="0"/>
        <w:autoSpaceDN w:val="0"/>
        <w:adjustRightInd w:val="0"/>
        <w:spacing w:line="42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外商投资企业类型：</w:t>
      </w:r>
      <w:r>
        <w:rPr>
          <w:rFonts w:hint="eastAsia" w:ascii="宋体" w:hAnsi="宋体" w:cs="宋体"/>
          <w:iCs/>
          <w:kern w:val="0"/>
          <w:szCs w:val="21"/>
        </w:rPr>
        <w:sym w:font="Wingdings" w:char="00A8"/>
      </w:r>
      <w:r>
        <w:rPr>
          <w:rFonts w:hint="eastAsia" w:ascii="宋体" w:hAnsi="宋体" w:cs="宋体"/>
          <w:kern w:val="0"/>
          <w:szCs w:val="21"/>
        </w:rPr>
        <w:t xml:space="preserve">全部由外国投资者投资  </w:t>
      </w:r>
      <w:r>
        <w:rPr>
          <w:rFonts w:hint="eastAsia" w:ascii="宋体" w:hAnsi="宋体" w:cs="宋体"/>
          <w:iCs/>
          <w:kern w:val="0"/>
          <w:szCs w:val="21"/>
        </w:rPr>
        <w:sym w:font="Wingdings" w:char="00A8"/>
      </w:r>
      <w:r>
        <w:rPr>
          <w:rFonts w:hint="eastAsia" w:ascii="宋体" w:hAnsi="宋体" w:cs="宋体"/>
          <w:iCs/>
          <w:kern w:val="0"/>
          <w:szCs w:val="21"/>
        </w:rPr>
        <w:t>部分由外国投资者投资</w:t>
      </w:r>
    </w:p>
    <w:p>
      <w:pPr>
        <w:numPr>
          <w:ilvl w:val="255"/>
          <w:numId w:val="0"/>
        </w:numPr>
        <w:adjustRightInd w:val="0"/>
        <w:snapToGrid w:val="0"/>
        <w:spacing w:line="420" w:lineRule="exact"/>
        <w:ind w:firstLine="304" w:firstLineChars="145"/>
        <w:rPr>
          <w:rFonts w:ascii="宋体" w:hAnsi="宋体" w:cs="宋体"/>
          <w:szCs w:val="21"/>
        </w:rPr>
      </w:pPr>
      <w:r>
        <w:rPr>
          <w:rFonts w:hint="eastAsia" w:ascii="宋体" w:hAnsi="宋体" w:cs="宋体"/>
          <w:szCs w:val="21"/>
        </w:rPr>
        <w:t>（</w:t>
      </w:r>
      <w:r>
        <w:rPr>
          <w:rFonts w:ascii="宋体" w:hAnsi="宋体" w:cs="宋体"/>
          <w:szCs w:val="21"/>
          <w:lang w:val="en"/>
        </w:rPr>
        <w:t>9</w:t>
      </w:r>
      <w:r>
        <w:rPr>
          <w:rFonts w:hint="eastAsia" w:ascii="宋体" w:hAnsi="宋体" w:cs="宋体"/>
          <w:szCs w:val="21"/>
        </w:rPr>
        <w:t>）是否涉及进口产品：</w:t>
      </w:r>
    </w:p>
    <w:p>
      <w:pPr>
        <w:numPr>
          <w:ilvl w:val="255"/>
          <w:numId w:val="0"/>
        </w:numPr>
        <w:adjustRightInd w:val="0"/>
        <w:snapToGrid w:val="0"/>
        <w:spacing w:line="420" w:lineRule="exact"/>
        <w:ind w:firstLine="735" w:firstLineChars="350"/>
        <w:rPr>
          <w:rFonts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pPr>
        <w:numPr>
          <w:ilvl w:val="255"/>
          <w:numId w:val="0"/>
        </w:numPr>
        <w:adjustRightInd w:val="0"/>
        <w:snapToGrid w:val="0"/>
        <w:spacing w:line="420" w:lineRule="exact"/>
        <w:ind w:firstLine="840" w:firstLineChars="400"/>
        <w:rPr>
          <w:rFonts w:ascii="宋体" w:hAnsi="宋体"/>
          <w:szCs w:val="21"/>
        </w:rPr>
      </w:pPr>
      <w:r>
        <w:rPr>
          <w:rFonts w:hint="eastAsia" w:ascii="宋体" w:hAnsi="宋体" w:cs="宋体"/>
          <w:szCs w:val="21"/>
        </w:rPr>
        <w:t>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p>
    <w:p>
      <w:pPr>
        <w:adjustRightInd w:val="0"/>
        <w:snapToGrid w:val="0"/>
        <w:spacing w:line="420" w:lineRule="exact"/>
        <w:ind w:firstLine="840" w:firstLineChars="400"/>
        <w:rPr>
          <w:rFonts w:ascii="宋体" w:hAnsi="宋体"/>
          <w:szCs w:val="21"/>
        </w:rPr>
      </w:pPr>
      <w:r>
        <w:rPr>
          <w:rFonts w:hint="eastAsia" w:ascii="宋体" w:hAnsi="宋体"/>
          <w:szCs w:val="21"/>
        </w:rPr>
        <w:sym w:font="Wingdings" w:char="00A8"/>
      </w:r>
      <w:r>
        <w:rPr>
          <w:rFonts w:hint="eastAsia" w:ascii="宋体" w:hAnsi="宋体"/>
          <w:szCs w:val="21"/>
        </w:rPr>
        <w:t>否</w:t>
      </w:r>
    </w:p>
    <w:p>
      <w:pPr>
        <w:numPr>
          <w:ilvl w:val="255"/>
          <w:numId w:val="0"/>
        </w:numPr>
        <w:tabs>
          <w:tab w:val="left" w:pos="740"/>
        </w:tabs>
        <w:adjustRightInd w:val="0"/>
        <w:snapToGrid w:val="0"/>
        <w:spacing w:line="420" w:lineRule="exact"/>
        <w:rPr>
          <w:rFonts w:ascii="宋体" w:hAnsi="宋体"/>
          <w:szCs w:val="21"/>
        </w:rPr>
      </w:pPr>
      <w:r>
        <w:rPr>
          <w:rFonts w:hint="eastAsia" w:ascii="宋体" w:hAnsi="宋体"/>
          <w:szCs w:val="21"/>
        </w:rPr>
        <w:t xml:space="preserve">   （1</w:t>
      </w:r>
      <w:r>
        <w:rPr>
          <w:rFonts w:ascii="宋体" w:hAnsi="宋体"/>
          <w:szCs w:val="21"/>
          <w:lang w:val="en"/>
        </w:rPr>
        <w:t>0</w:t>
      </w:r>
      <w:r>
        <w:rPr>
          <w:rFonts w:hint="eastAsia" w:ascii="宋体" w:hAnsi="宋体"/>
          <w:szCs w:val="21"/>
        </w:rPr>
        <w:t>）是否涉及节能产品：</w:t>
      </w:r>
    </w:p>
    <w:p>
      <w:pPr>
        <w:numPr>
          <w:ilvl w:val="255"/>
          <w:numId w:val="0"/>
        </w:numPr>
        <w:tabs>
          <w:tab w:val="left" w:pos="740"/>
        </w:tabs>
        <w:adjustRightInd w:val="0"/>
        <w:snapToGrid w:val="0"/>
        <w:spacing w:line="420" w:lineRule="exact"/>
        <w:rPr>
          <w:rFonts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p>
    <w:p>
      <w:pPr>
        <w:numPr>
          <w:ilvl w:val="255"/>
          <w:numId w:val="0"/>
        </w:numPr>
        <w:tabs>
          <w:tab w:val="left" w:pos="740"/>
        </w:tabs>
        <w:adjustRightInd w:val="0"/>
        <w:snapToGrid w:val="0"/>
        <w:spacing w:line="42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r>
        <w:rPr>
          <w:rFonts w:hint="eastAsia" w:ascii="宋体" w:hAnsi="宋体"/>
          <w:szCs w:val="21"/>
        </w:rPr>
        <w:sym w:font="Wingdings" w:char="00A8"/>
      </w:r>
      <w:r>
        <w:rPr>
          <w:rFonts w:hint="eastAsia" w:ascii="宋体" w:hAnsi="宋体"/>
          <w:szCs w:val="21"/>
        </w:rPr>
        <w:t>否</w:t>
      </w:r>
    </w:p>
    <w:p>
      <w:pPr>
        <w:numPr>
          <w:ilvl w:val="255"/>
          <w:numId w:val="0"/>
        </w:numPr>
        <w:tabs>
          <w:tab w:val="left" w:pos="740"/>
        </w:tabs>
        <w:adjustRightInd w:val="0"/>
        <w:snapToGrid w:val="0"/>
        <w:spacing w:line="420" w:lineRule="exact"/>
        <w:rPr>
          <w:rFonts w:ascii="宋体" w:hAnsi="宋体"/>
          <w:szCs w:val="21"/>
        </w:rPr>
      </w:pPr>
      <w:r>
        <w:rPr>
          <w:rFonts w:hint="eastAsia" w:ascii="宋体" w:hAnsi="宋体"/>
          <w:szCs w:val="21"/>
        </w:rPr>
        <w:t xml:space="preserve">        是否涉及环境标志产品：</w:t>
      </w:r>
    </w:p>
    <w:p>
      <w:pPr>
        <w:numPr>
          <w:ilvl w:val="255"/>
          <w:numId w:val="0"/>
        </w:numPr>
        <w:tabs>
          <w:tab w:val="left" w:pos="740"/>
        </w:tabs>
        <w:adjustRightInd w:val="0"/>
        <w:snapToGrid w:val="0"/>
        <w:spacing w:line="420" w:lineRule="exact"/>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p>
    <w:p>
      <w:pPr>
        <w:numPr>
          <w:ilvl w:val="255"/>
          <w:numId w:val="0"/>
        </w:numPr>
        <w:tabs>
          <w:tab w:val="left" w:pos="740"/>
        </w:tabs>
        <w:adjustRightInd w:val="0"/>
        <w:snapToGrid w:val="0"/>
        <w:spacing w:line="42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r>
        <w:rPr>
          <w:rFonts w:hint="eastAsia" w:ascii="宋体" w:hAnsi="宋体"/>
          <w:szCs w:val="21"/>
        </w:rPr>
        <w:sym w:font="Wingdings" w:char="00A8"/>
      </w:r>
      <w:r>
        <w:rPr>
          <w:rFonts w:hint="eastAsia" w:ascii="宋体" w:hAnsi="宋体"/>
          <w:szCs w:val="21"/>
        </w:rPr>
        <w:t>否</w:t>
      </w:r>
    </w:p>
    <w:p>
      <w:pPr>
        <w:widowControl/>
        <w:numPr>
          <w:ilvl w:val="255"/>
          <w:numId w:val="0"/>
        </w:numPr>
        <w:autoSpaceDE w:val="0"/>
        <w:autoSpaceDN w:val="0"/>
        <w:adjustRightInd w:val="0"/>
        <w:snapToGrid w:val="0"/>
        <w:spacing w:line="420" w:lineRule="exact"/>
        <w:jc w:val="left"/>
        <w:rPr>
          <w:rFonts w:ascii="宋体" w:hAnsi="宋体"/>
          <w:szCs w:val="21"/>
        </w:rPr>
      </w:pPr>
      <w:r>
        <w:rPr>
          <w:rFonts w:hint="eastAsia" w:ascii="宋体" w:hAnsi="宋体" w:eastAsia="华文楷体" w:cs="华文楷体"/>
          <w:kern w:val="0"/>
          <w:szCs w:val="21"/>
        </w:rPr>
        <w:t xml:space="preserve">        </w:t>
      </w:r>
      <w:r>
        <w:rPr>
          <w:rFonts w:hint="eastAsia" w:ascii="宋体" w:hAnsi="宋体"/>
          <w:szCs w:val="21"/>
        </w:rPr>
        <w:t xml:space="preserve">是否涉及绿色产品： </w:t>
      </w:r>
    </w:p>
    <w:p>
      <w:pPr>
        <w:widowControl/>
        <w:autoSpaceDE w:val="0"/>
        <w:autoSpaceDN w:val="0"/>
        <w:adjustRightInd w:val="0"/>
        <w:spacing w:line="420" w:lineRule="exact"/>
        <w:ind w:firstLine="420"/>
        <w:jc w:val="left"/>
        <w:rPr>
          <w:rFonts w:ascii="宋体" w:hAnsi="宋体" w:cs="华文楷体"/>
          <w:kern w:val="0"/>
          <w:sz w:val="22"/>
          <w:szCs w:val="21"/>
          <w:u w:val="single"/>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是，绿色产品政府采购相关政策确定的底级品目名称：</w:t>
      </w:r>
      <w:r>
        <w:rPr>
          <w:rFonts w:hint="eastAsia" w:ascii="宋体" w:hAnsi="宋体" w:cs="华文楷体"/>
          <w:kern w:val="0"/>
          <w:sz w:val="22"/>
          <w:szCs w:val="21"/>
          <w:u w:val="single"/>
        </w:rPr>
        <w:t xml:space="preserve">                    </w:t>
      </w:r>
    </w:p>
    <w:p>
      <w:pPr>
        <w:numPr>
          <w:ilvl w:val="255"/>
          <w:numId w:val="0"/>
        </w:numPr>
        <w:tabs>
          <w:tab w:val="left" w:pos="740"/>
        </w:tabs>
        <w:adjustRightInd w:val="0"/>
        <w:snapToGrid w:val="0"/>
        <w:spacing w:line="42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r>
        <w:rPr>
          <w:rFonts w:hint="eastAsia" w:ascii="宋体" w:hAnsi="宋体"/>
          <w:szCs w:val="21"/>
        </w:rPr>
        <w:sym w:font="Wingdings" w:char="00A8"/>
      </w:r>
      <w:r>
        <w:rPr>
          <w:rFonts w:hint="eastAsia" w:ascii="宋体" w:hAnsi="宋体"/>
          <w:szCs w:val="21"/>
        </w:rPr>
        <w:t>否</w:t>
      </w:r>
    </w:p>
    <w:p>
      <w:pPr>
        <w:numPr>
          <w:ilvl w:val="255"/>
          <w:numId w:val="0"/>
        </w:numPr>
        <w:adjustRightInd w:val="0"/>
        <w:snapToGrid w:val="0"/>
        <w:spacing w:line="420" w:lineRule="exact"/>
        <w:ind w:firstLine="315" w:firstLineChars="150"/>
        <w:rPr>
          <w:rFonts w:ascii="宋体" w:hAnsi="宋体"/>
          <w:szCs w:val="21"/>
        </w:rPr>
      </w:pPr>
      <w:r>
        <w:rPr>
          <w:rFonts w:hint="eastAsia" w:ascii="宋体" w:hAnsi="宋体"/>
          <w:szCs w:val="21"/>
        </w:rPr>
        <w:t>（1</w:t>
      </w:r>
      <w:r>
        <w:rPr>
          <w:rFonts w:ascii="宋体" w:hAnsi="宋体"/>
          <w:szCs w:val="21"/>
          <w:lang w:val="en"/>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pPr>
        <w:numPr>
          <w:ilvl w:val="0"/>
          <w:numId w:val="3"/>
        </w:numPr>
        <w:adjustRightInd w:val="0"/>
        <w:snapToGrid w:val="0"/>
        <w:spacing w:line="420" w:lineRule="exact"/>
        <w:ind w:firstLine="422" w:firstLineChars="200"/>
        <w:rPr>
          <w:rFonts w:ascii="宋体" w:hAnsi="宋体"/>
          <w:b/>
          <w:szCs w:val="21"/>
        </w:rPr>
      </w:pPr>
      <w:r>
        <w:rPr>
          <w:rFonts w:hint="eastAsia" w:ascii="宋体" w:hAnsi="宋体"/>
          <w:b/>
          <w:szCs w:val="21"/>
        </w:rPr>
        <w:t>合同金额</w:t>
      </w:r>
    </w:p>
    <w:p>
      <w:pPr>
        <w:adjustRightInd w:val="0"/>
        <w:snapToGrid w:val="0"/>
        <w:spacing w:line="42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p>
    <w:p>
      <w:pPr>
        <w:adjustRightInd w:val="0"/>
        <w:snapToGrid w:val="0"/>
        <w:spacing w:line="42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pPr>
        <w:adjustRightInd w:val="0"/>
        <w:snapToGrid w:val="0"/>
        <w:spacing w:line="420" w:lineRule="exact"/>
        <w:rPr>
          <w:rFonts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pPr>
        <w:adjustRightInd w:val="0"/>
        <w:snapToGrid w:val="0"/>
        <w:spacing w:line="42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pPr>
        <w:adjustRightInd w:val="0"/>
        <w:snapToGrid w:val="0"/>
        <w:spacing w:line="420" w:lineRule="exact"/>
        <w:rPr>
          <w:rFonts w:ascii="宋体" w:hAnsi="宋体"/>
          <w:szCs w:val="21"/>
        </w:rPr>
      </w:pPr>
      <w:r>
        <w:rPr>
          <w:rFonts w:hint="eastAsia" w:ascii="宋体" w:hAnsi="宋体"/>
          <w:szCs w:val="21"/>
        </w:rPr>
        <w:t xml:space="preserve">    （注：固定单价合同应填写单价和最高限价）</w:t>
      </w:r>
    </w:p>
    <w:p>
      <w:pPr>
        <w:numPr>
          <w:ilvl w:val="255"/>
          <w:numId w:val="0"/>
        </w:numPr>
        <w:adjustRightInd w:val="0"/>
        <w:snapToGrid w:val="0"/>
        <w:spacing w:line="420" w:lineRule="exact"/>
        <w:rPr>
          <w:rFonts w:ascii="宋体" w:hAnsi="宋体"/>
          <w:szCs w:val="21"/>
        </w:rPr>
      </w:pPr>
      <w:r>
        <w:rPr>
          <w:rFonts w:hint="eastAsia" w:ascii="宋体" w:hAnsi="宋体"/>
          <w:szCs w:val="21"/>
        </w:rPr>
        <w:t xml:space="preserve">    （2）合同定价方式（采用组合定价方式的，可以勾选多项）：</w:t>
      </w:r>
    </w:p>
    <w:p>
      <w:pPr>
        <w:adjustRightInd w:val="0"/>
        <w:snapToGrid w:val="0"/>
        <w:spacing w:line="420" w:lineRule="exact"/>
        <w:ind w:firstLine="420" w:firstLineChars="200"/>
        <w:rPr>
          <w:rFonts w:ascii="宋体" w:hAnsi="宋体"/>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pPr>
        <w:spacing w:line="420" w:lineRule="exact"/>
        <w:ind w:firstLine="420" w:firstLineChars="200"/>
        <w:rPr>
          <w:szCs w:val="21"/>
        </w:rPr>
      </w:pPr>
      <w:r>
        <w:rPr>
          <w:rFonts w:hint="eastAsia" w:ascii="宋体" w:hAnsi="宋体"/>
          <w:szCs w:val="21"/>
        </w:rPr>
        <w:t>（3）付款方式（按项目实际勾选填写）：</w:t>
      </w:r>
    </w:p>
    <w:p>
      <w:pPr>
        <w:adjustRightInd w:val="0"/>
        <w:snapToGrid w:val="0"/>
        <w:spacing w:line="42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pPr>
        <w:snapToGrid w:val="0"/>
        <w:spacing w:line="42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（应明确分期支付合同款项的各期比例和支付条件，各期支付条件应与分期履约验收情况挂钩）</w:t>
      </w:r>
      <w:r>
        <w:rPr>
          <w:rFonts w:hint="eastAsia" w:ascii="宋体" w:hAnsi="宋体"/>
          <w:szCs w:val="21"/>
        </w:rPr>
        <w:t>，其中涉及预付款的：</w:t>
      </w:r>
      <w:r>
        <w:rPr>
          <w:rFonts w:hint="eastAsia" w:ascii="宋体" w:hAnsi="宋体"/>
          <w:szCs w:val="21"/>
          <w:u w:val="single"/>
        </w:rPr>
        <w:t xml:space="preserve"> （应明确预付款的支付比例和支付条件）</w:t>
      </w:r>
    </w:p>
    <w:p>
      <w:pPr>
        <w:adjustRightInd w:val="0"/>
        <w:snapToGrid w:val="0"/>
        <w:spacing w:line="42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pPr>
        <w:adjustRightInd w:val="0"/>
        <w:snapToGrid w:val="0"/>
        <w:spacing w:line="42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pPr>
        <w:numPr>
          <w:ilvl w:val="0"/>
          <w:numId w:val="3"/>
        </w:numPr>
        <w:adjustRightInd w:val="0"/>
        <w:snapToGrid w:val="0"/>
        <w:spacing w:line="420" w:lineRule="exact"/>
        <w:ind w:firstLine="422" w:firstLineChars="200"/>
        <w:rPr>
          <w:rFonts w:ascii="宋体" w:hAnsi="宋体"/>
          <w:b/>
          <w:szCs w:val="21"/>
          <w:u w:val="single"/>
        </w:rPr>
      </w:pPr>
      <w:r>
        <w:rPr>
          <w:rFonts w:hint="eastAsia" w:ascii="宋体" w:hAnsi="宋体"/>
          <w:b/>
          <w:szCs w:val="21"/>
        </w:rPr>
        <w:t>合同履行</w:t>
      </w:r>
    </w:p>
    <w:p>
      <w:pPr>
        <w:adjustRightInd w:val="0"/>
        <w:snapToGrid w:val="0"/>
        <w:spacing w:line="420" w:lineRule="exact"/>
        <w:ind w:firstLine="199" w:firstLineChars="95"/>
        <w:rPr>
          <w:rFonts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420" w:lineRule="exact"/>
        <w:ind w:firstLine="199" w:firstLineChars="95"/>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pPr>
        <w:adjustRightInd w:val="0"/>
        <w:snapToGrid w:val="0"/>
        <w:spacing w:line="420" w:lineRule="exact"/>
        <w:ind w:firstLine="199" w:firstLineChars="95"/>
        <w:rPr>
          <w:rFonts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pPr>
        <w:widowControl/>
        <w:autoSpaceDE w:val="0"/>
        <w:autoSpaceDN w:val="0"/>
        <w:adjustRightInd w:val="0"/>
        <w:spacing w:line="420" w:lineRule="exact"/>
        <w:ind w:firstLine="440" w:firstLineChars="200"/>
        <w:jc w:val="left"/>
        <w:rPr>
          <w:rFonts w:ascii="宋体" w:hAnsi="宋体" w:cs="宋体"/>
          <w:kern w:val="0"/>
          <w:szCs w:val="21"/>
        </w:rPr>
      </w:pPr>
      <w:r>
        <w:rPr>
          <w:rFonts w:hint="eastAsia" w:ascii="宋体" w:hAnsi="宋体" w:eastAsia="华文楷体" w:cs="宋体"/>
          <w:bCs/>
          <w:kern w:val="0"/>
          <w:sz w:val="22"/>
          <w:szCs w:val="21"/>
        </w:rPr>
        <w:t xml:space="preserve"> </w:t>
      </w:r>
      <w:r>
        <w:rPr>
          <w:rFonts w:hint="eastAsia" w:ascii="宋体" w:hAnsi="宋体" w:cs="宋体"/>
          <w:kern w:val="0"/>
          <w:szCs w:val="21"/>
        </w:rPr>
        <w:t xml:space="preserve">  收取履约保证金形式：</w:t>
      </w:r>
      <w:r>
        <w:rPr>
          <w:rFonts w:hint="eastAsia" w:ascii="宋体" w:hAnsi="宋体" w:cs="宋体"/>
          <w:bCs/>
          <w:kern w:val="0"/>
          <w:szCs w:val="21"/>
          <w:u w:val="single"/>
        </w:rPr>
        <w:t xml:space="preserve">                                  </w:t>
      </w:r>
    </w:p>
    <w:p>
      <w:pPr>
        <w:widowControl/>
        <w:autoSpaceDE w:val="0"/>
        <w:autoSpaceDN w:val="0"/>
        <w:adjustRightInd w:val="0"/>
        <w:spacing w:line="420" w:lineRule="exact"/>
        <w:ind w:firstLine="420" w:firstLineChars="200"/>
        <w:jc w:val="left"/>
        <w:rPr>
          <w:rFonts w:ascii="宋体" w:hAnsi="宋体" w:cs="宋体"/>
          <w:kern w:val="0"/>
          <w:szCs w:val="21"/>
        </w:rPr>
      </w:pPr>
      <w:r>
        <w:rPr>
          <w:rFonts w:hint="eastAsia" w:ascii="宋体" w:hAnsi="宋体" w:cs="宋体"/>
          <w:kern w:val="0"/>
          <w:szCs w:val="21"/>
        </w:rPr>
        <w:t xml:space="preserve">   收取履约保证金金额：</w:t>
      </w:r>
      <w:r>
        <w:rPr>
          <w:rFonts w:hint="eastAsia" w:ascii="宋体" w:hAnsi="宋体" w:cs="宋体"/>
          <w:bCs/>
          <w:kern w:val="0"/>
          <w:szCs w:val="21"/>
          <w:u w:val="single"/>
        </w:rPr>
        <w:t xml:space="preserve">                                  </w:t>
      </w:r>
    </w:p>
    <w:p>
      <w:pPr>
        <w:snapToGrid w:val="0"/>
        <w:spacing w:line="420" w:lineRule="exact"/>
        <w:ind w:firstLine="420" w:firstLineChars="200"/>
        <w:rPr>
          <w:rFonts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pPr>
        <w:adjustRightInd w:val="0"/>
        <w:snapToGrid w:val="0"/>
        <w:spacing w:line="420" w:lineRule="exact"/>
        <w:ind w:firstLine="199" w:firstLineChars="95"/>
        <w:rPr>
          <w:rFonts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pPr>
        <w:adjustRightInd w:val="0"/>
        <w:snapToGrid w:val="0"/>
        <w:spacing w:line="420" w:lineRule="exact"/>
        <w:ind w:firstLine="199" w:firstLineChars="95"/>
        <w:rPr>
          <w:rFonts w:ascii="宋体" w:hAnsi="宋体" w:cs="宋体"/>
          <w:szCs w:val="21"/>
          <w:u w:val="single"/>
        </w:rPr>
      </w:pPr>
      <w:r>
        <w:rPr>
          <w:rFonts w:hint="eastAsia" w:ascii="宋体" w:hAnsi="宋体" w:cs="宋体"/>
          <w:bCs/>
          <w:szCs w:val="21"/>
        </w:rPr>
        <w:t>（5）风险处置措施和替代方案：</w:t>
      </w:r>
      <w:r>
        <w:rPr>
          <w:rFonts w:hint="eastAsia" w:ascii="宋体" w:hAnsi="宋体" w:cs="宋体"/>
          <w:szCs w:val="21"/>
          <w:u w:val="single"/>
        </w:rPr>
        <w:t xml:space="preserve">                              </w:t>
      </w:r>
    </w:p>
    <w:p>
      <w:pPr>
        <w:numPr>
          <w:ilvl w:val="0"/>
          <w:numId w:val="3"/>
        </w:numPr>
        <w:adjustRightInd w:val="0"/>
        <w:snapToGrid w:val="0"/>
        <w:spacing w:line="420" w:lineRule="exact"/>
        <w:ind w:firstLine="422" w:firstLineChars="200"/>
        <w:rPr>
          <w:rFonts w:ascii="宋体" w:hAnsi="宋体"/>
          <w:b/>
          <w:szCs w:val="21"/>
        </w:rPr>
      </w:pPr>
      <w:r>
        <w:rPr>
          <w:rFonts w:hint="eastAsia" w:ascii="宋体" w:hAnsi="宋体"/>
          <w:b/>
          <w:szCs w:val="21"/>
        </w:rPr>
        <w:t>合同验收</w:t>
      </w:r>
    </w:p>
    <w:p>
      <w:pPr>
        <w:adjustRightInd w:val="0"/>
        <w:snapToGrid w:val="0"/>
        <w:spacing w:line="420" w:lineRule="exact"/>
        <w:ind w:firstLine="210" w:firstLineChars="100"/>
        <w:rPr>
          <w:rFonts w:ascii="宋体" w:hAnsi="宋体"/>
          <w:bCs/>
          <w:szCs w:val="21"/>
        </w:rPr>
      </w:pPr>
      <w:r>
        <w:rPr>
          <w:rFonts w:hint="eastAsia" w:ascii="宋体" w:hAnsi="宋体"/>
          <w:bCs/>
          <w:szCs w:val="21"/>
        </w:rPr>
        <w:t>（1）验收组织方式：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pPr>
        <w:adjustRightInd w:val="0"/>
        <w:snapToGrid w:val="0"/>
        <w:spacing w:line="420" w:lineRule="exact"/>
        <w:rPr>
          <w:rFonts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pPr>
        <w:adjustRightInd w:val="0"/>
        <w:snapToGrid w:val="0"/>
        <w:spacing w:line="420" w:lineRule="exact"/>
        <w:rPr>
          <w:rFonts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pPr>
        <w:adjustRightInd w:val="0"/>
        <w:snapToGrid w:val="0"/>
        <w:spacing w:line="420" w:lineRule="exact"/>
        <w:ind w:firstLine="210" w:firstLineChars="100"/>
        <w:rPr>
          <w:rFonts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pPr>
        <w:adjustRightInd w:val="0"/>
        <w:snapToGrid w:val="0"/>
        <w:spacing w:line="420" w:lineRule="exact"/>
        <w:ind w:firstLine="210" w:firstLineChars="100"/>
        <w:rPr>
          <w:rFonts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一次性验收</w:t>
      </w:r>
    </w:p>
    <w:p>
      <w:pPr>
        <w:adjustRightInd w:val="0"/>
        <w:snapToGrid w:val="0"/>
        <w:spacing w:line="420" w:lineRule="exact"/>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lang w:val="en"/>
        </w:rPr>
        <w:t>/</w:t>
      </w:r>
      <w:r>
        <w:rPr>
          <w:rFonts w:hint="eastAsia" w:ascii="宋体" w:hAnsi="宋体"/>
          <w:bCs/>
          <w:szCs w:val="21"/>
          <w:u w:val="single"/>
          <w:lang w:val="en"/>
        </w:rPr>
        <w:t>分项验收的工作安排</w:t>
      </w:r>
      <w:r>
        <w:rPr>
          <w:rFonts w:hint="eastAsia" w:ascii="宋体" w:hAnsi="宋体"/>
          <w:bCs/>
          <w:szCs w:val="21"/>
          <w:u w:val="single"/>
        </w:rPr>
        <w:t xml:space="preserve">）   </w:t>
      </w:r>
    </w:p>
    <w:p>
      <w:pPr>
        <w:adjustRightInd w:val="0"/>
        <w:snapToGrid w:val="0"/>
        <w:spacing w:line="420" w:lineRule="exact"/>
        <w:ind w:firstLine="210" w:firstLineChars="1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pPr>
        <w:adjustRightInd w:val="0"/>
        <w:snapToGrid w:val="0"/>
        <w:spacing w:line="420" w:lineRule="exact"/>
        <w:ind w:firstLine="210" w:firstLineChars="1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pPr>
        <w:adjustRightInd w:val="0"/>
        <w:snapToGrid w:val="0"/>
        <w:spacing w:line="420" w:lineRule="exact"/>
        <w:ind w:firstLine="210" w:firstLineChars="100"/>
        <w:rPr>
          <w:rFonts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pPr>
        <w:widowControl/>
        <w:autoSpaceDE w:val="0"/>
        <w:autoSpaceDN w:val="0"/>
        <w:adjustRightInd w:val="0"/>
        <w:spacing w:line="420" w:lineRule="exact"/>
        <w:ind w:firstLine="210" w:firstLineChars="100"/>
        <w:jc w:val="left"/>
        <w:rPr>
          <w:rFonts w:ascii="宋体" w:hAnsi="宋体" w:cs="宋体"/>
          <w:kern w:val="0"/>
          <w:szCs w:val="21"/>
        </w:rPr>
      </w:pPr>
      <w:r>
        <w:rPr>
          <w:rFonts w:hint="eastAsia" w:ascii="宋体" w:hAnsi="宋体" w:cs="宋体"/>
          <w:bCs/>
          <w:kern w:val="0"/>
          <w:szCs w:val="21"/>
        </w:rPr>
        <w:t>（7）是否以采购活动中供应商提供的样品作为参考：</w:t>
      </w:r>
      <w:r>
        <w:rPr>
          <w:rFonts w:hint="eastAsia" w:ascii="宋体" w:hAnsi="宋体" w:cs="宋体"/>
          <w:kern w:val="0"/>
          <w:szCs w:val="21"/>
        </w:rPr>
        <w:sym w:font="Wingdings" w:char="00A8"/>
      </w:r>
      <w:r>
        <w:rPr>
          <w:rFonts w:hint="eastAsia" w:ascii="宋体" w:hAnsi="宋体" w:cs="宋体"/>
          <w:bCs/>
          <w:kern w:val="0"/>
          <w:szCs w:val="21"/>
        </w:rPr>
        <w:t xml:space="preserve">是  </w:t>
      </w:r>
      <w:r>
        <w:rPr>
          <w:rFonts w:hint="eastAsia" w:ascii="宋体" w:hAnsi="宋体" w:cs="宋体"/>
          <w:kern w:val="0"/>
          <w:szCs w:val="21"/>
        </w:rPr>
        <w:sym w:font="Wingdings" w:char="00A8"/>
      </w:r>
      <w:r>
        <w:rPr>
          <w:rFonts w:hint="eastAsia" w:ascii="宋体" w:hAnsi="宋体" w:cs="宋体"/>
          <w:bCs/>
          <w:kern w:val="0"/>
          <w:szCs w:val="21"/>
        </w:rPr>
        <w:t>否</w:t>
      </w:r>
    </w:p>
    <w:p>
      <w:pPr>
        <w:adjustRightInd w:val="0"/>
        <w:snapToGrid w:val="0"/>
        <w:spacing w:line="420" w:lineRule="exact"/>
        <w:ind w:firstLine="210" w:firstLineChars="100"/>
        <w:rPr>
          <w:rFonts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pPr>
        <w:numPr>
          <w:ilvl w:val="0"/>
          <w:numId w:val="3"/>
        </w:numPr>
        <w:adjustRightInd w:val="0"/>
        <w:snapToGrid w:val="0"/>
        <w:spacing w:line="420" w:lineRule="exact"/>
        <w:ind w:firstLine="422" w:firstLineChars="200"/>
        <w:rPr>
          <w:rFonts w:ascii="宋体" w:hAnsi="宋体"/>
          <w:b/>
          <w:szCs w:val="21"/>
        </w:rPr>
      </w:pPr>
      <w:r>
        <w:rPr>
          <w:rFonts w:hint="eastAsia" w:ascii="宋体" w:hAnsi="宋体"/>
          <w:b/>
          <w:szCs w:val="21"/>
        </w:rPr>
        <w:t>组成合同的文件</w:t>
      </w:r>
    </w:p>
    <w:p>
      <w:pPr>
        <w:adjustRightInd w:val="0"/>
        <w:snapToGrid w:val="0"/>
        <w:spacing w:line="42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pPr>
        <w:adjustRightInd w:val="0"/>
        <w:snapToGrid w:val="0"/>
        <w:spacing w:line="420" w:lineRule="exact"/>
        <w:ind w:firstLine="210" w:firstLineChars="100"/>
        <w:rPr>
          <w:rFonts w:ascii="宋体" w:hAnsi="宋体"/>
          <w:szCs w:val="21"/>
        </w:rPr>
      </w:pPr>
      <w:r>
        <w:rPr>
          <w:rFonts w:hint="eastAsia" w:ascii="宋体" w:hAnsi="宋体"/>
          <w:szCs w:val="21"/>
        </w:rPr>
        <w:t>（1）政府采购合同协议书及其变更、补充协议</w:t>
      </w:r>
    </w:p>
    <w:p>
      <w:pPr>
        <w:adjustRightInd w:val="0"/>
        <w:snapToGrid w:val="0"/>
        <w:spacing w:line="420" w:lineRule="exact"/>
        <w:ind w:firstLine="210" w:firstLineChars="100"/>
        <w:rPr>
          <w:rFonts w:ascii="宋体" w:hAnsi="宋体"/>
          <w:szCs w:val="21"/>
        </w:rPr>
      </w:pPr>
      <w:r>
        <w:rPr>
          <w:rFonts w:hint="eastAsia" w:ascii="宋体" w:hAnsi="宋体"/>
          <w:szCs w:val="21"/>
        </w:rPr>
        <w:t>（2）政府采购合同专用条款</w:t>
      </w:r>
    </w:p>
    <w:p>
      <w:pPr>
        <w:adjustRightInd w:val="0"/>
        <w:snapToGrid w:val="0"/>
        <w:spacing w:line="420" w:lineRule="exact"/>
        <w:ind w:firstLine="210" w:firstLineChars="100"/>
        <w:rPr>
          <w:rFonts w:ascii="宋体" w:hAnsi="宋体"/>
          <w:szCs w:val="21"/>
        </w:rPr>
      </w:pPr>
      <w:r>
        <w:rPr>
          <w:rFonts w:hint="eastAsia" w:ascii="宋体" w:hAnsi="宋体"/>
          <w:szCs w:val="21"/>
        </w:rPr>
        <w:t>（3）政府采购合同通用条款</w:t>
      </w:r>
    </w:p>
    <w:p>
      <w:pPr>
        <w:adjustRightInd w:val="0"/>
        <w:snapToGrid w:val="0"/>
        <w:spacing w:line="420" w:lineRule="exact"/>
        <w:ind w:firstLine="210" w:firstLineChars="100"/>
        <w:rPr>
          <w:rFonts w:ascii="宋体" w:hAnsi="宋体"/>
          <w:szCs w:val="21"/>
        </w:rPr>
      </w:pPr>
      <w:r>
        <w:rPr>
          <w:rFonts w:hint="eastAsia" w:ascii="宋体" w:hAnsi="宋体"/>
          <w:szCs w:val="21"/>
        </w:rPr>
        <w:t>（4）中标（成交）通知书</w:t>
      </w:r>
    </w:p>
    <w:p>
      <w:pPr>
        <w:adjustRightInd w:val="0"/>
        <w:snapToGrid w:val="0"/>
        <w:spacing w:line="420" w:lineRule="exact"/>
        <w:ind w:firstLine="210" w:firstLineChars="100"/>
        <w:rPr>
          <w:rFonts w:ascii="宋体" w:hAnsi="宋体"/>
          <w:szCs w:val="21"/>
        </w:rPr>
      </w:pPr>
      <w:r>
        <w:rPr>
          <w:rFonts w:hint="eastAsia" w:ascii="宋体" w:hAnsi="宋体"/>
          <w:szCs w:val="21"/>
        </w:rPr>
        <w:t>（5）投标（响应）文件</w:t>
      </w:r>
    </w:p>
    <w:p>
      <w:pPr>
        <w:adjustRightInd w:val="0"/>
        <w:snapToGrid w:val="0"/>
        <w:spacing w:line="420" w:lineRule="exact"/>
        <w:ind w:firstLine="210" w:firstLineChars="100"/>
        <w:rPr>
          <w:rFonts w:ascii="宋体" w:hAnsi="宋体"/>
          <w:szCs w:val="21"/>
        </w:rPr>
      </w:pPr>
      <w:r>
        <w:rPr>
          <w:rFonts w:hint="eastAsia" w:ascii="宋体" w:hAnsi="宋体"/>
          <w:szCs w:val="21"/>
        </w:rPr>
        <w:t>（6）采购文件</w:t>
      </w:r>
    </w:p>
    <w:p>
      <w:pPr>
        <w:adjustRightInd w:val="0"/>
        <w:snapToGrid w:val="0"/>
        <w:spacing w:line="420" w:lineRule="exact"/>
        <w:ind w:firstLine="210" w:firstLineChars="100"/>
        <w:rPr>
          <w:rFonts w:ascii="宋体" w:hAnsi="宋体"/>
          <w:szCs w:val="21"/>
        </w:rPr>
      </w:pPr>
      <w:r>
        <w:rPr>
          <w:rFonts w:hint="eastAsia" w:ascii="宋体" w:hAnsi="宋体"/>
          <w:szCs w:val="21"/>
        </w:rPr>
        <w:t>（7）有关技术文件，图纸</w:t>
      </w:r>
    </w:p>
    <w:p>
      <w:pPr>
        <w:widowControl/>
        <w:autoSpaceDE w:val="0"/>
        <w:autoSpaceDN w:val="0"/>
        <w:adjustRightInd w:val="0"/>
        <w:spacing w:line="420" w:lineRule="exact"/>
        <w:ind w:firstLine="210" w:firstLineChars="100"/>
        <w:jc w:val="left"/>
        <w:rPr>
          <w:rFonts w:ascii="宋体" w:hAnsi="宋体" w:cs="宋体"/>
          <w:szCs w:val="21"/>
        </w:rPr>
      </w:pPr>
      <w:r>
        <w:rPr>
          <w:rFonts w:hint="eastAsia" w:ascii="宋体" w:hAnsi="宋体" w:cs="宋体"/>
          <w:kern w:val="0"/>
          <w:szCs w:val="21"/>
        </w:rPr>
        <w:t>（8）</w:t>
      </w:r>
      <w:r>
        <w:rPr>
          <w:rFonts w:hint="eastAsia" w:ascii="宋体" w:hAnsi="宋体" w:cs="宋体"/>
          <w:szCs w:val="21"/>
        </w:rPr>
        <w:t>国家法律、行政法规和规章制度规定或合同约定的作为合同组成部分的其他文件</w:t>
      </w:r>
    </w:p>
    <w:p>
      <w:pPr>
        <w:numPr>
          <w:ilvl w:val="0"/>
          <w:numId w:val="3"/>
        </w:numPr>
        <w:adjustRightInd w:val="0"/>
        <w:snapToGrid w:val="0"/>
        <w:spacing w:line="420" w:lineRule="exact"/>
        <w:ind w:firstLine="422" w:firstLineChars="200"/>
        <w:rPr>
          <w:rFonts w:ascii="宋体" w:hAnsi="宋体"/>
          <w:b/>
          <w:szCs w:val="21"/>
        </w:rPr>
      </w:pPr>
      <w:r>
        <w:rPr>
          <w:rFonts w:hint="eastAsia" w:ascii="宋体" w:hAnsi="宋体"/>
          <w:b/>
          <w:szCs w:val="21"/>
        </w:rPr>
        <w:t>合同生效</w:t>
      </w:r>
    </w:p>
    <w:p>
      <w:pPr>
        <w:adjustRightInd w:val="0"/>
        <w:snapToGrid w:val="0"/>
        <w:spacing w:line="42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pPr>
        <w:numPr>
          <w:ilvl w:val="0"/>
          <w:numId w:val="3"/>
        </w:numPr>
        <w:adjustRightInd w:val="0"/>
        <w:snapToGrid w:val="0"/>
        <w:spacing w:line="420" w:lineRule="exact"/>
        <w:ind w:firstLine="422" w:firstLineChars="200"/>
        <w:rPr>
          <w:rFonts w:ascii="宋体" w:hAnsi="宋体"/>
          <w:b/>
          <w:szCs w:val="21"/>
        </w:rPr>
      </w:pPr>
      <w:r>
        <w:rPr>
          <w:rFonts w:hint="eastAsia" w:ascii="宋体" w:hAnsi="宋体"/>
          <w:b/>
          <w:szCs w:val="21"/>
        </w:rPr>
        <w:t>合同份数</w:t>
      </w:r>
    </w:p>
    <w:p>
      <w:pPr>
        <w:adjustRightInd w:val="0"/>
        <w:snapToGrid w:val="0"/>
        <w:spacing w:line="42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pPr>
        <w:adjustRightInd w:val="0"/>
        <w:snapToGrid w:val="0"/>
        <w:spacing w:line="42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42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pPr>
        <w:adjustRightInd w:val="0"/>
        <w:snapToGrid w:val="0"/>
        <w:spacing w:line="420" w:lineRule="exact"/>
        <w:ind w:firstLine="420" w:firstLineChars="200"/>
      </w:pPr>
      <w:r>
        <w:rPr>
          <w:rFonts w:hint="eastAsia" w:ascii="宋体" w:hAnsi="宋体"/>
          <w:szCs w:val="21"/>
        </w:rPr>
        <w:t>附件：具体标的及其技术要求和商务要求、联合协议、分包意向协议等。</w:t>
      </w:r>
    </w:p>
    <w:p>
      <w:pPr>
        <w:widowControl/>
        <w:spacing w:line="420" w:lineRule="exact"/>
        <w:jc w:val="left"/>
        <w:rPr>
          <w:szCs w:val="21"/>
        </w:rPr>
      </w:pPr>
      <w:r>
        <w:rPr>
          <w:szCs w:val="21"/>
        </w:rPr>
        <w:br w:type="page"/>
      </w:r>
    </w:p>
    <w:tbl>
      <w:tblPr>
        <w:tblStyle w:val="35"/>
        <w:tblW w:w="4927" w:type="pct"/>
        <w:tblInd w:w="113"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50"/>
        <w:gridCol w:w="2869"/>
        <w:gridCol w:w="2354"/>
        <w:gridCol w:w="2517"/>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2054" w:hRule="atLeast"/>
        </w:trPr>
        <w:tc>
          <w:tcPr>
            <w:tcW w:w="2562" w:type="pct"/>
            <w:gridSpan w:val="2"/>
            <w:tcBorders>
              <w:bottom w:val="single" w:color="auto" w:sz="2" w:space="0"/>
              <w:right w:val="single" w:color="auto" w:sz="2" w:space="0"/>
            </w:tcBorders>
            <w:vAlign w:val="center"/>
          </w:tcPr>
          <w:p>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pPr>
              <w:adjustRightInd w:val="0"/>
              <w:snapToGrid w:val="0"/>
              <w:spacing w:line="300" w:lineRule="exact"/>
              <w:jc w:val="center"/>
            </w:pPr>
            <w:r>
              <w:rPr>
                <w:szCs w:val="21"/>
              </w:rPr>
              <w:t>乙方</w:t>
            </w:r>
            <w:r>
              <w:rPr>
                <w:rFonts w:hint="eastAsia"/>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832"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单位名称</w:t>
            </w:r>
            <w:r>
              <w:rPr>
                <w:rFonts w:hint="eastAsia"/>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单位名称</w:t>
            </w:r>
            <w:r>
              <w:rPr>
                <w:rFonts w:hint="eastAsia"/>
                <w:szCs w:val="21"/>
              </w:rPr>
              <w:t>（公章或合同章）</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pPr>
              <w:adjustRightInd w:val="0"/>
              <w:snapToGrid w:val="0"/>
              <w:spacing w:line="300" w:lineRule="exact"/>
              <w:jc w:val="center"/>
              <w:rPr>
                <w:szCs w:val="21"/>
              </w:rPr>
            </w:pPr>
            <w:r>
              <w:rPr>
                <w:szCs w:val="21"/>
              </w:rPr>
              <w:t>法定代表人</w:t>
            </w:r>
          </w:p>
          <w:p>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pPr>
              <w:adjustRightInd w:val="0"/>
              <w:snapToGrid w:val="0"/>
              <w:spacing w:line="300" w:lineRule="exact"/>
              <w:jc w:val="center"/>
              <w:rPr>
                <w:szCs w:val="21"/>
              </w:rPr>
            </w:pPr>
            <w:r>
              <w:rPr>
                <w:szCs w:val="21"/>
              </w:rPr>
              <w:t>法定代表人</w:t>
            </w:r>
          </w:p>
          <w:p>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拥有者性别</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住  所</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通信地址</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45" w:hRule="atLeast"/>
        </w:trPr>
        <w:tc>
          <w:tcPr>
            <w:tcW w:w="5000" w:type="pct"/>
            <w:gridSpan w:val="4"/>
            <w:tcBorders>
              <w:top w:val="single" w:color="auto" w:sz="2" w:space="0"/>
            </w:tcBorders>
            <w:vAlign w:val="center"/>
          </w:tcPr>
          <w:p>
            <w:pPr>
              <w:adjustRightInd w:val="0"/>
              <w:snapToGrid w:val="0"/>
              <w:spacing w:before="156" w:beforeLines="50" w:line="360" w:lineRule="auto"/>
              <w:jc w:val="left"/>
              <w:rPr>
                <w:spacing w:val="20"/>
                <w:szCs w:val="21"/>
              </w:rPr>
            </w:pPr>
            <w:r>
              <w:rPr>
                <w:rFonts w:hint="eastAsia" w:ascii="宋体" w:hAnsi="宋体"/>
                <w:szCs w:val="21"/>
              </w:rPr>
              <w:t>注：涉及联合体或其他合同主体的信息应按上表格式加列。</w:t>
            </w:r>
          </w:p>
        </w:tc>
      </w:tr>
    </w:tbl>
    <w:p>
      <w:pPr>
        <w:keepNext/>
        <w:keepLines/>
        <w:adjustRightInd w:val="0"/>
        <w:snapToGrid w:val="0"/>
        <w:spacing w:before="156" w:beforeLines="50" w:line="360" w:lineRule="auto"/>
        <w:jc w:val="center"/>
        <w:outlineLvl w:val="1"/>
        <w:rPr>
          <w:rFonts w:ascii="黑体" w:hAnsi="黑体" w:eastAsia="黑体"/>
          <w:b/>
          <w:bCs/>
          <w:sz w:val="28"/>
          <w:szCs w:val="28"/>
        </w:rPr>
      </w:pPr>
      <w:r>
        <w:rPr>
          <w:rFonts w:ascii="宋体" w:hAnsi="宋体"/>
          <w:b/>
          <w:bCs/>
          <w:szCs w:val="21"/>
          <w:u w:val="single"/>
        </w:rPr>
        <w:br w:type="page"/>
      </w:r>
      <w:bookmarkStart w:id="139" w:name="_Toc27624"/>
      <w:r>
        <w:rPr>
          <w:rFonts w:hint="eastAsia" w:ascii="黑体" w:hAnsi="黑体" w:eastAsia="黑体"/>
          <w:sz w:val="28"/>
          <w:szCs w:val="28"/>
        </w:rPr>
        <w:t>第二节 政府采购合同通用条款</w:t>
      </w:r>
      <w:bookmarkEnd w:id="139"/>
    </w:p>
    <w:p>
      <w:pPr>
        <w:tabs>
          <w:tab w:val="left" w:pos="8820"/>
          <w:tab w:val="left" w:pos="9345"/>
          <w:tab w:val="left" w:pos="9765"/>
        </w:tabs>
        <w:adjustRightInd w:val="0"/>
        <w:snapToGrid w:val="0"/>
        <w:spacing w:line="420" w:lineRule="exact"/>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1.1合同当事人</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szCs w:val="21"/>
        </w:rPr>
        <w:t>。</w:t>
      </w:r>
    </w:p>
    <w:p>
      <w:pPr>
        <w:tabs>
          <w:tab w:val="left" w:pos="570"/>
          <w:tab w:val="left" w:pos="9240"/>
          <w:tab w:val="left" w:pos="9555"/>
        </w:tabs>
        <w:adjustRightInd w:val="0"/>
        <w:snapToGrid w:val="0"/>
        <w:spacing w:line="406" w:lineRule="exact"/>
        <w:ind w:firstLine="420" w:firstLineChars="200"/>
        <w:jc w:val="left"/>
        <w:rPr>
          <w:rFonts w:ascii="宋体" w:hAnsi="宋体"/>
          <w:szCs w:val="21"/>
        </w:rPr>
      </w:pPr>
      <w:r>
        <w:rPr>
          <w:rFonts w:hint="eastAsia" w:ascii="宋体" w:hAnsi="宋体"/>
          <w:szCs w:val="21"/>
        </w:rPr>
        <w:t>1.2本合同下列术语应解释为：</w:t>
      </w:r>
    </w:p>
    <w:p>
      <w:pPr>
        <w:adjustRightInd w:val="0"/>
        <w:snapToGrid w:val="0"/>
        <w:spacing w:line="406" w:lineRule="exact"/>
        <w:ind w:firstLine="420" w:firstLineChars="200"/>
        <w:jc w:val="left"/>
        <w:rPr>
          <w:rFonts w:ascii="宋体" w:hAnsi="宋体"/>
          <w:szCs w:val="21"/>
        </w:rPr>
      </w:pPr>
      <w:r>
        <w:rPr>
          <w:rFonts w:hint="eastAsia" w:ascii="宋体" w:hAnsi="宋体"/>
          <w:szCs w:val="21"/>
        </w:rPr>
        <w:t>（1）“合同”系指</w:t>
      </w:r>
      <w:r>
        <w:rPr>
          <w:rFonts w:hint="eastAsia" w:ascii="宋体" w:hAnsi="宋体" w:cs="宋体"/>
          <w:bCs/>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rPr>
        <w:t>国家法律、行政法规和规章制度规定或合同约定的作为合同组成部分的其他文件</w:t>
      </w:r>
      <w:r>
        <w:rPr>
          <w:rFonts w:hint="eastAsia" w:ascii="宋体" w:hAnsi="宋体"/>
          <w:szCs w:val="21"/>
        </w:rPr>
        <w:t>。</w:t>
      </w:r>
    </w:p>
    <w:p>
      <w:pPr>
        <w:tabs>
          <w:tab w:val="left" w:pos="570"/>
          <w:tab w:val="left" w:pos="9240"/>
          <w:tab w:val="left" w:pos="9555"/>
        </w:tabs>
        <w:adjustRightInd w:val="0"/>
        <w:snapToGrid w:val="0"/>
        <w:spacing w:line="406" w:lineRule="exact"/>
        <w:ind w:firstLine="420" w:firstLineChars="200"/>
        <w:jc w:val="left"/>
        <w:rPr>
          <w:rFonts w:ascii="宋体" w:hAnsi="宋体"/>
          <w:szCs w:val="21"/>
        </w:rPr>
      </w:pPr>
      <w:r>
        <w:rPr>
          <w:rFonts w:hint="eastAsia" w:ascii="宋体" w:hAnsi="宋体"/>
          <w:szCs w:val="21"/>
        </w:rPr>
        <w:t>（2）“合同价款”系指根据本合同规定乙方在全面履行合同义务后甲方应支付给乙方的价款。</w:t>
      </w:r>
    </w:p>
    <w:p>
      <w:pPr>
        <w:tabs>
          <w:tab w:val="left" w:pos="570"/>
          <w:tab w:val="left" w:pos="9240"/>
          <w:tab w:val="left" w:pos="9555"/>
        </w:tabs>
        <w:adjustRightInd w:val="0"/>
        <w:snapToGrid w:val="0"/>
        <w:spacing w:line="406" w:lineRule="exact"/>
        <w:ind w:firstLine="420" w:firstLineChars="200"/>
        <w:jc w:val="left"/>
        <w:rPr>
          <w:rFonts w:ascii="宋体" w:hAnsi="宋体"/>
          <w:szCs w:val="21"/>
        </w:rPr>
      </w:pPr>
      <w:r>
        <w:rPr>
          <w:rFonts w:hint="eastAsia" w:ascii="宋体" w:hAnsi="宋体"/>
          <w:szCs w:val="21"/>
        </w:rPr>
        <w:t>（3）“货物”系指乙方根据本合同规定须向甲方提供的各种形态和种类的物品，包括原材料、设备、产品（包括软件）及相关的其备品备件、工具、手册及</w:t>
      </w:r>
      <w:r>
        <w:rPr>
          <w:rFonts w:ascii="宋体" w:hAnsi="宋体"/>
          <w:szCs w:val="21"/>
          <w:lang w:val="en"/>
        </w:rPr>
        <w:t>其他</w:t>
      </w:r>
      <w:r>
        <w:rPr>
          <w:rFonts w:hint="eastAsia" w:ascii="宋体" w:hAnsi="宋体"/>
          <w:szCs w:val="21"/>
        </w:rPr>
        <w:t>技术资料和材料等。</w:t>
      </w:r>
    </w:p>
    <w:p>
      <w:pPr>
        <w:adjustRightInd w:val="0"/>
        <w:snapToGrid w:val="0"/>
        <w:spacing w:line="406" w:lineRule="exact"/>
        <w:ind w:firstLine="420" w:firstLineChars="200"/>
        <w:jc w:val="left"/>
        <w:rPr>
          <w:rFonts w:ascii="宋体" w:hAnsi="宋体"/>
          <w:szCs w:val="21"/>
          <w:highlight w:val="yellow"/>
        </w:rPr>
      </w:pPr>
      <w:r>
        <w:rPr>
          <w:rFonts w:hint="eastAsia" w:ascii="宋体" w:hAnsi="宋体"/>
          <w:szCs w:val="21"/>
        </w:rPr>
        <w:t>（4）“相关服务”系指根据合同规定，乙方应提供的与货物有关的技术、管理和</w:t>
      </w:r>
      <w:r>
        <w:rPr>
          <w:rFonts w:ascii="宋体" w:hAnsi="宋体"/>
          <w:szCs w:val="21"/>
          <w:lang w:val="en"/>
        </w:rPr>
        <w:t>其他</w:t>
      </w:r>
      <w:r>
        <w:rPr>
          <w:rFonts w:hint="eastAsia"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lang w:val="en"/>
        </w:rPr>
        <w:t>其他</w:t>
      </w:r>
      <w:r>
        <w:rPr>
          <w:rFonts w:hint="eastAsia" w:ascii="宋体" w:hAnsi="宋体"/>
          <w:szCs w:val="21"/>
        </w:rPr>
        <w:t>义务。</w:t>
      </w:r>
    </w:p>
    <w:p>
      <w:pPr>
        <w:adjustRightInd w:val="0"/>
        <w:snapToGrid w:val="0"/>
        <w:spacing w:line="406" w:lineRule="exact"/>
        <w:ind w:firstLine="420" w:firstLineChars="200"/>
        <w:jc w:val="left"/>
        <w:rPr>
          <w:rFonts w:ascii="宋体" w:hAnsi="宋体"/>
          <w:szCs w:val="21"/>
          <w:highlight w:val="yellow"/>
        </w:rPr>
      </w:pPr>
      <w:r>
        <w:rPr>
          <w:rFonts w:hint="eastAsia" w:ascii="宋体" w:hAnsi="宋体"/>
          <w:szCs w:val="21"/>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6" w:lineRule="exact"/>
        <w:ind w:firstLine="420" w:firstLineChars="200"/>
        <w:jc w:val="left"/>
        <w:rPr>
          <w:rFonts w:ascii="宋体" w:hAnsi="宋体"/>
          <w:szCs w:val="21"/>
        </w:rPr>
      </w:pPr>
      <w:r>
        <w:rPr>
          <w:rFonts w:hint="eastAsia" w:ascii="宋体" w:hAnsi="宋体"/>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rPr>
        <w:t>政府采购合同专用条款</w:t>
      </w:r>
      <w:r>
        <w:rPr>
          <w:rFonts w:hint="eastAsia" w:ascii="宋体" w:hAnsi="宋体"/>
          <w:szCs w:val="21"/>
        </w:rPr>
        <w:t>】。</w:t>
      </w:r>
    </w:p>
    <w:p>
      <w:pPr>
        <w:tabs>
          <w:tab w:val="left" w:pos="570"/>
          <w:tab w:val="left" w:pos="9240"/>
          <w:tab w:val="left" w:pos="9555"/>
        </w:tabs>
        <w:adjustRightInd w:val="0"/>
        <w:snapToGrid w:val="0"/>
        <w:spacing w:line="406" w:lineRule="exact"/>
        <w:ind w:firstLine="420" w:firstLineChars="200"/>
        <w:jc w:val="left"/>
        <w:rPr>
          <w:rFonts w:ascii="宋体" w:hAnsi="宋体"/>
          <w:szCs w:val="21"/>
        </w:rPr>
      </w:pPr>
      <w:r>
        <w:rPr>
          <w:rFonts w:hint="eastAsia" w:ascii="宋体" w:hAnsi="宋体"/>
          <w:szCs w:val="21"/>
        </w:rPr>
        <w:t>（7）其他术语解释，见【</w:t>
      </w:r>
      <w:r>
        <w:rPr>
          <w:rFonts w:hint="eastAsia" w:ascii="宋体" w:hAnsi="宋体"/>
          <w:b/>
          <w:bCs/>
          <w:szCs w:val="21"/>
        </w:rPr>
        <w:t>政府采购合同专用条款</w:t>
      </w:r>
      <w:r>
        <w:rPr>
          <w:rFonts w:hint="eastAsia" w:ascii="宋体" w:hAnsi="宋体"/>
          <w:szCs w:val="21"/>
        </w:rPr>
        <w:t>】。</w:t>
      </w:r>
    </w:p>
    <w:p>
      <w:pPr>
        <w:numPr>
          <w:ilvl w:val="0"/>
          <w:numId w:val="4"/>
        </w:numPr>
        <w:autoSpaceDE w:val="0"/>
        <w:autoSpaceDN w:val="0"/>
        <w:adjustRightInd w:val="0"/>
        <w:snapToGrid w:val="0"/>
        <w:spacing w:line="406" w:lineRule="exact"/>
        <w:ind w:firstLine="482" w:firstLineChars="200"/>
        <w:jc w:val="left"/>
        <w:rPr>
          <w:rFonts w:ascii="宋体" w:hAnsi="宋体"/>
          <w:b/>
          <w:bCs/>
          <w:sz w:val="24"/>
        </w:rPr>
      </w:pPr>
      <w:r>
        <w:rPr>
          <w:rFonts w:hint="eastAsia" w:ascii="宋体" w:hAnsi="宋体"/>
          <w:b/>
          <w:sz w:val="24"/>
        </w:rPr>
        <w:t>合同标的及金额</w:t>
      </w:r>
    </w:p>
    <w:p>
      <w:pPr>
        <w:autoSpaceDE w:val="0"/>
        <w:autoSpaceDN w:val="0"/>
        <w:adjustRightInd w:val="0"/>
        <w:snapToGrid w:val="0"/>
        <w:spacing w:line="406" w:lineRule="exact"/>
        <w:ind w:firstLine="420" w:firstLineChars="200"/>
        <w:jc w:val="left"/>
        <w:rPr>
          <w:rFonts w:ascii="宋体" w:hAnsi="宋体"/>
          <w:b/>
          <w:bCs/>
          <w:i/>
          <w:iCs/>
          <w:szCs w:val="21"/>
        </w:rPr>
      </w:pPr>
      <w:r>
        <w:rPr>
          <w:rFonts w:hint="eastAsia" w:ascii="宋体" w:hAnsi="宋体"/>
          <w:szCs w:val="21"/>
        </w:rPr>
        <w:t>2.1 合同标的及金额应与中标（成交）结果一致。乙方为履行本合同而发生的所有费用均应包含在合同价款中，甲方不再另行支付</w:t>
      </w:r>
      <w:r>
        <w:rPr>
          <w:rFonts w:ascii="宋体" w:hAnsi="宋体"/>
          <w:szCs w:val="21"/>
          <w:lang w:val="en"/>
        </w:rPr>
        <w:t>其他</w:t>
      </w:r>
      <w:r>
        <w:rPr>
          <w:rFonts w:hint="eastAsia" w:ascii="宋体" w:hAnsi="宋体"/>
          <w:szCs w:val="21"/>
        </w:rPr>
        <w:t>任何费用。</w:t>
      </w:r>
    </w:p>
    <w:p>
      <w:pPr>
        <w:adjustRightInd w:val="0"/>
        <w:snapToGrid w:val="0"/>
        <w:spacing w:line="406" w:lineRule="exact"/>
        <w:jc w:val="left"/>
        <w:rPr>
          <w:rFonts w:ascii="宋体" w:hAnsi="宋体"/>
          <w:b/>
          <w:sz w:val="24"/>
        </w:rPr>
      </w:pPr>
      <w:r>
        <w:rPr>
          <w:rFonts w:hint="eastAsia" w:ascii="宋体" w:hAnsi="宋体"/>
          <w:b/>
          <w:sz w:val="24"/>
        </w:rPr>
        <w:t>3. 履行合同的时间、地点和方式</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 xml:space="preserve">3.1 </w:t>
      </w:r>
      <w:r>
        <w:rPr>
          <w:rFonts w:hint="eastAsia" w:ascii="宋体" w:hAnsi="宋体" w:cs="宋体"/>
          <w:szCs w:val="21"/>
        </w:rPr>
        <w:t>乙方应当在约定的时间、地点，按照约定方式履行合同。</w:t>
      </w:r>
    </w:p>
    <w:p>
      <w:pPr>
        <w:autoSpaceDE w:val="0"/>
        <w:autoSpaceDN w:val="0"/>
        <w:adjustRightInd w:val="0"/>
        <w:snapToGrid w:val="0"/>
        <w:spacing w:line="406" w:lineRule="exact"/>
        <w:jc w:val="left"/>
        <w:rPr>
          <w:rFonts w:ascii="宋体" w:hAnsi="宋体"/>
          <w:b/>
          <w:bCs/>
          <w:sz w:val="24"/>
        </w:rPr>
      </w:pPr>
      <w:r>
        <w:rPr>
          <w:rFonts w:hint="eastAsia" w:ascii="宋体" w:hAnsi="宋体"/>
          <w:b/>
          <w:bCs/>
          <w:sz w:val="24"/>
        </w:rPr>
        <w:t>4. 甲方的权利和义务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4.1</w:t>
      </w:r>
      <w:r>
        <w:rPr>
          <w:rFonts w:ascii="宋体" w:hAnsi="宋体"/>
          <w:szCs w:val="21"/>
        </w:rPr>
        <w:t xml:space="preserve"> 签署合同后，甲方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r>
        <w:rPr>
          <w:rFonts w:hint="eastAsia" w:ascii="宋体" w:hAnsi="宋体"/>
          <w:szCs w:val="21"/>
        </w:rPr>
        <w:t>甲方有权对乙方的履约行为进行检查，并</w:t>
      </w:r>
      <w:r>
        <w:rPr>
          <w:rFonts w:ascii="宋体" w:hAnsi="宋体"/>
          <w:szCs w:val="21"/>
        </w:rPr>
        <w:t>及时确认乙方提交的事项</w:t>
      </w:r>
      <w:r>
        <w:rPr>
          <w:rFonts w:hint="eastAsia" w:ascii="宋体" w:hAnsi="宋体"/>
          <w:szCs w:val="21"/>
        </w:rPr>
        <w:t>。甲方应当</w:t>
      </w:r>
      <w:r>
        <w:rPr>
          <w:rFonts w:ascii="宋体" w:hAnsi="宋体"/>
          <w:szCs w:val="21"/>
        </w:rPr>
        <w:t>配合乙方完成</w:t>
      </w:r>
      <w:r>
        <w:rPr>
          <w:rFonts w:hint="eastAsia" w:ascii="宋体" w:hAnsi="宋体"/>
          <w:szCs w:val="21"/>
        </w:rPr>
        <w:t>相关项目</w:t>
      </w:r>
      <w:r>
        <w:rPr>
          <w:rFonts w:ascii="宋体" w:hAnsi="宋体"/>
          <w:szCs w:val="21"/>
        </w:rPr>
        <w:t>实施工作。</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 xml:space="preserve">4.2 </w:t>
      </w:r>
      <w:r>
        <w:rPr>
          <w:rFonts w:ascii="宋体" w:hAnsi="宋体"/>
          <w:szCs w:val="21"/>
        </w:rPr>
        <w:t>甲方有权要求乙方按时提交各阶段有关</w:t>
      </w:r>
      <w:r>
        <w:rPr>
          <w:rFonts w:hint="eastAsia" w:ascii="宋体" w:hAnsi="宋体"/>
          <w:szCs w:val="21"/>
        </w:rPr>
        <w:t>安排计划</w:t>
      </w:r>
      <w:r>
        <w:rPr>
          <w:rFonts w:ascii="宋体" w:hAnsi="宋体"/>
          <w:szCs w:val="21"/>
        </w:rPr>
        <w:t>，并有权</w:t>
      </w:r>
      <w:r>
        <w:rPr>
          <w:rFonts w:hint="eastAsia" w:ascii="宋体" w:hAnsi="宋体"/>
          <w:szCs w:val="21"/>
        </w:rPr>
        <w:t>定期核对乙方提供货物数量、规格、质量等内容。甲方</w:t>
      </w:r>
      <w:r>
        <w:rPr>
          <w:rFonts w:ascii="宋体" w:hAnsi="宋体"/>
          <w:szCs w:val="21"/>
        </w:rPr>
        <w:t>有权督促乙方工作并要求乙方</w:t>
      </w:r>
      <w:r>
        <w:rPr>
          <w:rFonts w:hint="eastAsia" w:ascii="宋体" w:hAnsi="宋体"/>
          <w:szCs w:val="21"/>
        </w:rPr>
        <w:t>更</w:t>
      </w:r>
      <w:r>
        <w:rPr>
          <w:rFonts w:ascii="宋体" w:hAnsi="宋体"/>
          <w:szCs w:val="21"/>
        </w:rPr>
        <w:t>换不符合要求的</w:t>
      </w:r>
      <w:r>
        <w:rPr>
          <w:rFonts w:hint="eastAsia" w:ascii="宋体" w:hAnsi="宋体"/>
          <w:szCs w:val="21"/>
        </w:rPr>
        <w:t>货物</w:t>
      </w:r>
      <w:r>
        <w:rPr>
          <w:rFonts w:ascii="宋体" w:hAnsi="宋体"/>
          <w:szCs w:val="21"/>
        </w:rPr>
        <w:t>。</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4.</w:t>
      </w:r>
      <w:r>
        <w:rPr>
          <w:rFonts w:ascii="宋体" w:hAnsi="宋体"/>
          <w:szCs w:val="21"/>
        </w:rPr>
        <w:t>3</w:t>
      </w:r>
      <w:r>
        <w:rPr>
          <w:rFonts w:hint="eastAsia" w:ascii="宋体" w:hAnsi="宋体"/>
          <w:szCs w:val="21"/>
        </w:rPr>
        <w:t xml:space="preserve"> </w:t>
      </w:r>
      <w:r>
        <w:rPr>
          <w:rFonts w:ascii="宋体" w:hAnsi="宋体"/>
          <w:szCs w:val="21"/>
        </w:rPr>
        <w:t>甲方</w:t>
      </w:r>
      <w:r>
        <w:rPr>
          <w:rFonts w:hint="eastAsia" w:ascii="宋体" w:hAnsi="宋体"/>
          <w:szCs w:val="21"/>
        </w:rPr>
        <w:t>有权要求乙方对缺陷部分予以修复，并按合同约定享有货物保修及其他合同约定的权利。</w:t>
      </w:r>
    </w:p>
    <w:p>
      <w:pPr>
        <w:snapToGrid w:val="0"/>
        <w:spacing w:line="406" w:lineRule="exact"/>
        <w:ind w:firstLine="420" w:firstLineChars="200"/>
        <w:rPr>
          <w:rFonts w:eastAsia="华文楷体"/>
        </w:rPr>
      </w:pPr>
      <w:r>
        <w:rPr>
          <w:rFonts w:ascii="宋体" w:hAnsi="宋体"/>
          <w:szCs w:val="21"/>
        </w:rPr>
        <w:t>4.4 甲方应当按照合同约定及时对交付的货物进行验收</w:t>
      </w:r>
      <w:r>
        <w:rPr>
          <w:rFonts w:hint="eastAsia" w:ascii="宋体" w:hAnsi="宋体"/>
          <w:szCs w:val="21"/>
        </w:rPr>
        <w:t>，</w:t>
      </w:r>
      <w:r>
        <w:rPr>
          <w:rFonts w:hint="eastAsia" w:ascii="宋体" w:hAnsi="宋体" w:cs="宋体"/>
          <w:szCs w:val="21"/>
        </w:rPr>
        <w:t>未</w:t>
      </w:r>
      <w:r>
        <w:rPr>
          <w:rFonts w:hint="eastAsia" w:ascii="宋体" w:hAnsi="宋体"/>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szCs w:val="21"/>
        </w:rPr>
        <w:t>视为验收通过。</w:t>
      </w:r>
    </w:p>
    <w:p>
      <w:pPr>
        <w:autoSpaceDE w:val="0"/>
        <w:autoSpaceDN w:val="0"/>
        <w:adjustRightInd w:val="0"/>
        <w:snapToGrid w:val="0"/>
        <w:spacing w:line="406" w:lineRule="exact"/>
        <w:ind w:firstLine="420" w:firstLineChars="200"/>
        <w:jc w:val="left"/>
        <w:rPr>
          <w:rFonts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5 </w:t>
      </w:r>
      <w:r>
        <w:rPr>
          <w:rFonts w:hint="eastAsia" w:ascii="宋体" w:hAnsi="宋体"/>
          <w:szCs w:val="21"/>
        </w:rPr>
        <w:t>甲方应当根据合同约定及时向乙方支付合同价款</w:t>
      </w:r>
      <w:r>
        <w:rPr>
          <w:rFonts w:ascii="宋体" w:hAnsi="宋体"/>
          <w:szCs w:val="21"/>
        </w:rPr>
        <w:t>，不得以内部人员变更、履行内部付款流程等为由，拒绝或迟延支付。</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4.6</w:t>
      </w:r>
      <w:r>
        <w:rPr>
          <w:rFonts w:ascii="宋体" w:hAnsi="宋体"/>
          <w:szCs w:val="21"/>
        </w:rPr>
        <w:t xml:space="preserve"> </w:t>
      </w:r>
      <w:r>
        <w:rPr>
          <w:rFonts w:hint="eastAsia" w:ascii="宋体" w:hAnsi="宋体"/>
          <w:szCs w:val="21"/>
        </w:rPr>
        <w:t>国家法律法规规定及</w:t>
      </w:r>
      <w:r>
        <w:rPr>
          <w:rFonts w:hint="eastAsia" w:ascii="宋体" w:hAnsi="宋体" w:cs="宋体"/>
          <w:b/>
          <w:bCs/>
          <w:szCs w:val="21"/>
        </w:rPr>
        <w:t>【政府采购合同专用条款】</w:t>
      </w:r>
      <w:r>
        <w:rPr>
          <w:rFonts w:hint="eastAsia" w:ascii="宋体" w:hAnsi="宋体"/>
          <w:szCs w:val="21"/>
        </w:rPr>
        <w:t>约定应由甲方承担的其他义务和责任。</w:t>
      </w:r>
    </w:p>
    <w:p>
      <w:pPr>
        <w:autoSpaceDE w:val="0"/>
        <w:autoSpaceDN w:val="0"/>
        <w:adjustRightInd w:val="0"/>
        <w:snapToGrid w:val="0"/>
        <w:spacing w:line="406" w:lineRule="exact"/>
        <w:jc w:val="left"/>
        <w:rPr>
          <w:rFonts w:ascii="宋体" w:hAnsi="宋体"/>
          <w:b/>
          <w:bCs/>
          <w:sz w:val="24"/>
        </w:rPr>
      </w:pPr>
      <w:r>
        <w:rPr>
          <w:rFonts w:hint="eastAsia" w:ascii="宋体" w:hAnsi="宋体"/>
          <w:b/>
          <w:bCs/>
          <w:sz w:val="24"/>
        </w:rPr>
        <w:t>5. 乙方的权利和义务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 xml:space="preserve">5.1 </w:t>
      </w:r>
      <w:r>
        <w:rPr>
          <w:rFonts w:ascii="宋体" w:hAnsi="宋体"/>
          <w:szCs w:val="21"/>
        </w:rPr>
        <w:t>签署合同后，乙方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5.</w:t>
      </w:r>
      <w:r>
        <w:rPr>
          <w:rFonts w:ascii="宋体" w:hAnsi="宋体"/>
          <w:szCs w:val="21"/>
        </w:rPr>
        <w:t>2 乙方应按照合同要求</w:t>
      </w:r>
      <w:r>
        <w:rPr>
          <w:rFonts w:hint="eastAsia" w:ascii="宋体" w:hAnsi="宋体"/>
          <w:szCs w:val="21"/>
        </w:rPr>
        <w:t>履约</w:t>
      </w:r>
      <w:r>
        <w:rPr>
          <w:rFonts w:ascii="宋体" w:hAnsi="宋体"/>
          <w:szCs w:val="21"/>
        </w:rPr>
        <w:t>，充分合理安排，确保</w:t>
      </w:r>
      <w:r>
        <w:rPr>
          <w:rFonts w:hint="eastAsia" w:ascii="宋体" w:hAnsi="宋体"/>
          <w:szCs w:val="21"/>
        </w:rPr>
        <w:t>提供的货物及相关服务符合合同有关</w:t>
      </w:r>
      <w:r>
        <w:rPr>
          <w:rFonts w:ascii="宋体" w:hAnsi="宋体"/>
          <w:szCs w:val="21"/>
        </w:rPr>
        <w:t>要求</w:t>
      </w:r>
      <w:r>
        <w:rPr>
          <w:rFonts w:hint="eastAsia" w:ascii="宋体" w:hAnsi="宋体"/>
          <w:szCs w:val="21"/>
        </w:rPr>
        <w:t>。接受项目行业管理部门及政府有关部门的指导，配合甲方的履约检查及验收，并</w:t>
      </w:r>
      <w:r>
        <w:rPr>
          <w:rFonts w:ascii="宋体" w:hAnsi="宋体"/>
          <w:szCs w:val="21"/>
        </w:rPr>
        <w:t>负责项目实施过程中的所有协调工作。</w:t>
      </w:r>
    </w:p>
    <w:p>
      <w:pPr>
        <w:spacing w:line="406" w:lineRule="exact"/>
        <w:ind w:firstLine="369" w:firstLineChars="176"/>
        <w:rPr>
          <w:rFonts w:ascii="宋体" w:hAnsi="宋体" w:cs="宋体"/>
          <w:szCs w:val="21"/>
        </w:rPr>
      </w:pPr>
      <w:r>
        <w:rPr>
          <w:rFonts w:hint="eastAsia" w:ascii="宋体" w:hAnsi="宋体"/>
          <w:szCs w:val="21"/>
        </w:rPr>
        <w:t>5.</w:t>
      </w:r>
      <w:r>
        <w:rPr>
          <w:rFonts w:ascii="宋体" w:hAnsi="宋体"/>
          <w:szCs w:val="21"/>
        </w:rPr>
        <w:t>3</w:t>
      </w:r>
      <w:r>
        <w:rPr>
          <w:rFonts w:hint="eastAsia" w:ascii="宋体" w:hAnsi="宋体"/>
          <w:szCs w:val="21"/>
        </w:rPr>
        <w:t>乙方有权</w:t>
      </w:r>
      <w:r>
        <w:rPr>
          <w:rFonts w:hint="eastAsia" w:ascii="宋体" w:hAnsi="宋体" w:cs="宋体"/>
          <w:szCs w:val="21"/>
        </w:rPr>
        <w:t>根据合同约定向甲方收取合同价款。</w:t>
      </w:r>
    </w:p>
    <w:p>
      <w:pPr>
        <w:spacing w:line="406" w:lineRule="exact"/>
        <w:ind w:firstLine="369" w:firstLineChars="176"/>
        <w:rPr>
          <w:rFonts w:ascii="宋体" w:hAnsi="宋体" w:cs="宋体"/>
          <w:szCs w:val="21"/>
        </w:rPr>
      </w:pPr>
      <w:r>
        <w:rPr>
          <w:rFonts w:hint="eastAsia" w:ascii="宋体" w:hAnsi="宋体"/>
          <w:szCs w:val="21"/>
        </w:rPr>
        <w:t>5.</w:t>
      </w:r>
      <w:r>
        <w:rPr>
          <w:rFonts w:ascii="宋体" w:hAnsi="宋体"/>
          <w:szCs w:val="21"/>
        </w:rPr>
        <w:t>4</w:t>
      </w:r>
      <w:r>
        <w:rPr>
          <w:rFonts w:hint="eastAsia" w:ascii="宋体" w:hAnsi="宋体" w:cs="宋体"/>
          <w:szCs w:val="21"/>
        </w:rPr>
        <w:t>国家法律法规规定</w:t>
      </w:r>
      <w:r>
        <w:rPr>
          <w:rFonts w:hint="eastAsia" w:ascii="宋体" w:hAnsi="宋体"/>
          <w:szCs w:val="21"/>
        </w:rPr>
        <w:t>及</w:t>
      </w:r>
      <w:r>
        <w:rPr>
          <w:rFonts w:hint="eastAsia" w:ascii="宋体" w:hAnsi="宋体" w:cs="宋体"/>
          <w:b/>
          <w:bCs/>
          <w:szCs w:val="21"/>
        </w:rPr>
        <w:t>【政府采购合同专用条款】</w:t>
      </w:r>
      <w:r>
        <w:rPr>
          <w:rFonts w:hint="eastAsia" w:ascii="宋体" w:hAnsi="宋体" w:cs="宋体"/>
          <w:szCs w:val="21"/>
        </w:rPr>
        <w:t>约定应由乙方承担的其他义务和责任。</w:t>
      </w:r>
    </w:p>
    <w:p>
      <w:pPr>
        <w:numPr>
          <w:ilvl w:val="0"/>
          <w:numId w:val="5"/>
        </w:numPr>
        <w:autoSpaceDE w:val="0"/>
        <w:autoSpaceDN w:val="0"/>
        <w:adjustRightInd w:val="0"/>
        <w:snapToGrid w:val="0"/>
        <w:spacing w:line="406" w:lineRule="exact"/>
        <w:ind w:firstLine="482" w:firstLineChars="200"/>
        <w:jc w:val="left"/>
        <w:rPr>
          <w:rFonts w:ascii="宋体" w:hAnsi="宋体"/>
          <w:b/>
          <w:bCs/>
          <w:sz w:val="24"/>
        </w:rPr>
      </w:pPr>
      <w:r>
        <w:rPr>
          <w:rFonts w:hint="eastAsia" w:ascii="宋体" w:hAnsi="宋体"/>
          <w:b/>
          <w:bCs/>
          <w:sz w:val="24"/>
        </w:rPr>
        <w:t>合同履行</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6.1 甲乙双方应当按照</w:t>
      </w:r>
      <w:r>
        <w:rPr>
          <w:rFonts w:hint="eastAsia" w:ascii="宋体" w:hAnsi="宋体" w:cs="宋体"/>
          <w:b/>
          <w:bCs/>
          <w:szCs w:val="21"/>
        </w:rPr>
        <w:t>【政府采购合同专用条款】</w:t>
      </w:r>
      <w:r>
        <w:rPr>
          <w:rFonts w:hint="eastAsia" w:ascii="宋体" w:hAnsi="宋体"/>
          <w:szCs w:val="21"/>
        </w:rPr>
        <w:t>约定顺序履行合同义务；如果没有先后顺序的，应当同时履行。</w:t>
      </w:r>
    </w:p>
    <w:p>
      <w:pPr>
        <w:autoSpaceDE w:val="0"/>
        <w:autoSpaceDN w:val="0"/>
        <w:adjustRightInd w:val="0"/>
        <w:snapToGrid w:val="0"/>
        <w:spacing w:line="406" w:lineRule="exact"/>
        <w:ind w:firstLine="420" w:firstLineChars="200"/>
        <w:jc w:val="left"/>
      </w:pPr>
      <w:r>
        <w:rPr>
          <w:rFonts w:hint="eastAsia" w:ascii="宋体" w:hAnsi="宋体"/>
          <w:szCs w:val="21"/>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6" w:lineRule="exact"/>
        <w:jc w:val="left"/>
        <w:rPr>
          <w:rFonts w:ascii="宋体" w:hAnsi="宋体"/>
          <w:b/>
          <w:bCs/>
          <w:sz w:val="24"/>
        </w:rPr>
      </w:pPr>
      <w:r>
        <w:rPr>
          <w:rFonts w:hint="eastAsia" w:ascii="宋体" w:hAnsi="宋体"/>
          <w:b/>
          <w:bCs/>
          <w:sz w:val="24"/>
        </w:rPr>
        <w:t>7. 货物包装、运输、保险和交付要求</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7.1 本合同</w:t>
      </w:r>
      <w:r>
        <w:rPr>
          <w:rFonts w:hint="eastAsia" w:ascii="宋体" w:hAnsi="宋体"/>
          <w:bCs/>
          <w:szCs w:val="21"/>
        </w:rPr>
        <w:t>涉及商品包装、快递包装的，</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包装应适应远距离运输、防潮、防震、防锈和防野蛮装卸等要求，确保货物安全无损地运抵</w:t>
      </w:r>
      <w:r>
        <w:rPr>
          <w:rFonts w:hint="eastAsia" w:ascii="宋体" w:hAnsi="宋体"/>
          <w:b/>
          <w:szCs w:val="21"/>
        </w:rPr>
        <w:t>【政府采购合同专用条款】</w:t>
      </w:r>
      <w:r>
        <w:rPr>
          <w:rFonts w:hint="eastAsia" w:ascii="宋体" w:hAnsi="宋体"/>
          <w:bCs/>
          <w:szCs w:val="21"/>
        </w:rPr>
        <w:t>约定的</w:t>
      </w:r>
      <w:r>
        <w:rPr>
          <w:rFonts w:hint="eastAsia" w:ascii="宋体" w:hAnsi="宋体"/>
          <w:szCs w:val="21"/>
        </w:rPr>
        <w:t>指定现场。</w:t>
      </w:r>
    </w:p>
    <w:p>
      <w:pPr>
        <w:adjustRightInd w:val="0"/>
        <w:snapToGrid w:val="0"/>
        <w:spacing w:line="406" w:lineRule="exact"/>
        <w:ind w:firstLine="420" w:firstLineChars="200"/>
        <w:jc w:val="left"/>
        <w:rPr>
          <w:rFonts w:ascii="宋体" w:hAnsi="宋体"/>
          <w:szCs w:val="21"/>
        </w:rPr>
      </w:pPr>
      <w:r>
        <w:rPr>
          <w:rFonts w:hint="eastAsia" w:ascii="宋体" w:hAnsi="宋体"/>
          <w:szCs w:val="21"/>
        </w:rPr>
        <w:t>7.2 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乙方负责办理将货物运抵本合同规定的交货地点，并装卸、交付至甲方的一切运输事项，相关费用应包含在合同价款中。</w:t>
      </w:r>
    </w:p>
    <w:p>
      <w:pPr>
        <w:adjustRightInd w:val="0"/>
        <w:snapToGrid w:val="0"/>
        <w:spacing w:line="406" w:lineRule="exact"/>
        <w:ind w:firstLine="420" w:firstLineChars="200"/>
        <w:jc w:val="left"/>
        <w:rPr>
          <w:rFonts w:ascii="宋体" w:hAnsi="宋体"/>
          <w:szCs w:val="21"/>
        </w:rPr>
      </w:pPr>
      <w:r>
        <w:rPr>
          <w:rFonts w:hint="eastAsia" w:ascii="宋体" w:hAnsi="宋体"/>
          <w:szCs w:val="21"/>
        </w:rPr>
        <w:t>7.3 货物保险要求按</w:t>
      </w:r>
      <w:r>
        <w:rPr>
          <w:rFonts w:hint="eastAsia" w:ascii="宋体" w:hAnsi="宋体"/>
          <w:b/>
          <w:szCs w:val="21"/>
        </w:rPr>
        <w:t>【政府采购合同专用条款】</w:t>
      </w:r>
      <w:r>
        <w:rPr>
          <w:rFonts w:hint="eastAsia" w:ascii="宋体" w:hAnsi="宋体"/>
          <w:bCs/>
          <w:szCs w:val="21"/>
        </w:rPr>
        <w:t>规定执行</w:t>
      </w:r>
      <w:r>
        <w:rPr>
          <w:rFonts w:hint="eastAsia" w:ascii="宋体" w:hAnsi="宋体"/>
          <w:szCs w:val="21"/>
        </w:rPr>
        <w:t>。</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 xml:space="preserve">7.5 </w:t>
      </w:r>
      <w:r>
        <w:rPr>
          <w:rFonts w:hint="eastAsia" w:ascii="宋体" w:hAnsi="宋体" w:cs="宋体"/>
          <w:szCs w:val="21"/>
        </w:rPr>
        <w:t>乙方在运输到达之前应提前通知甲方，并提示货物运输装卸的注意事项，甲方配合乙方做好货物的接收工作。</w:t>
      </w:r>
    </w:p>
    <w:p>
      <w:pPr>
        <w:widowControl/>
        <w:autoSpaceDE w:val="0"/>
        <w:autoSpaceDN w:val="0"/>
        <w:adjustRightInd w:val="0"/>
        <w:spacing w:line="406" w:lineRule="exact"/>
        <w:ind w:firstLine="420" w:firstLineChars="200"/>
        <w:jc w:val="left"/>
        <w:rPr>
          <w:rFonts w:ascii="华文楷体" w:hAnsi="华文楷体" w:eastAsia="华文楷体" w:cs="华文楷体"/>
          <w:kern w:val="0"/>
          <w:szCs w:val="21"/>
        </w:rPr>
      </w:pPr>
      <w:r>
        <w:rPr>
          <w:rFonts w:hint="eastAsia" w:ascii="宋体" w:hAnsi="宋体"/>
          <w:szCs w:val="21"/>
        </w:rPr>
        <w:t>7.6 如因包装、运输问题导致货物损毁、丢失或者品质下降，甲方有权要求降价、换货、拒收部分或整批货物，由此产生的费用和损失，均由乙方承担。</w:t>
      </w:r>
    </w:p>
    <w:p>
      <w:pPr>
        <w:adjustRightInd w:val="0"/>
        <w:snapToGrid w:val="0"/>
        <w:spacing w:line="406" w:lineRule="exact"/>
        <w:jc w:val="left"/>
        <w:rPr>
          <w:rFonts w:ascii="宋体" w:hAnsi="宋体"/>
          <w:b/>
          <w:sz w:val="24"/>
        </w:rPr>
      </w:pPr>
      <w:r>
        <w:rPr>
          <w:rFonts w:hint="eastAsia" w:ascii="宋体" w:hAnsi="宋体"/>
          <w:b/>
          <w:sz w:val="24"/>
        </w:rPr>
        <w:t>8. 质量标准和保证</w:t>
      </w:r>
    </w:p>
    <w:p>
      <w:pPr>
        <w:adjustRightInd w:val="0"/>
        <w:snapToGrid w:val="0"/>
        <w:spacing w:line="406" w:lineRule="exact"/>
        <w:ind w:firstLine="420" w:firstLineChars="200"/>
        <w:jc w:val="left"/>
        <w:rPr>
          <w:rFonts w:ascii="宋体" w:hAnsi="宋体" w:cs="Courier New"/>
          <w:b/>
          <w:szCs w:val="21"/>
        </w:rPr>
      </w:pPr>
      <w:r>
        <w:rPr>
          <w:rFonts w:hint="eastAsia" w:ascii="宋体" w:hAnsi="宋体" w:cs="Courier New"/>
          <w:szCs w:val="21"/>
        </w:rPr>
        <w:t>8.1 质量标准</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（1）本合同下提供的货物应符合合同</w:t>
      </w:r>
      <w:r>
        <w:rPr>
          <w:rFonts w:hint="eastAsia" w:ascii="宋体" w:hAnsi="宋体" w:cs="宋体"/>
          <w:szCs w:val="21"/>
        </w:rPr>
        <w:t>约定的品牌、规格型号、技术性能、配置、质量、数量等要求。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adjustRightInd w:val="0"/>
        <w:snapToGrid w:val="0"/>
        <w:spacing w:line="406" w:lineRule="exact"/>
        <w:ind w:firstLine="420" w:firstLineChars="200"/>
        <w:jc w:val="left"/>
        <w:rPr>
          <w:rFonts w:ascii="宋体" w:hAnsi="宋体" w:cs="Courier New"/>
          <w:szCs w:val="21"/>
        </w:rPr>
      </w:pPr>
      <w:r>
        <w:rPr>
          <w:rFonts w:hint="eastAsia" w:ascii="宋体" w:hAnsi="宋体" w:cs="Courier New"/>
          <w:szCs w:val="21"/>
        </w:rPr>
        <w:t>（2）采用中华人民共和国法定计量单位。</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（3）乙方所提供的货物应符合国家有关安全、环保、卫生的规定。</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8.2 保证</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（2）在质量保证期内所发现的缺陷，甲方应尽快以书面形式通知乙方。</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（4）在质量保证期内，如果货物的质量或规格与合同不符，或证实货物是有缺陷的，包括潜在的缺陷或使用不符合要求的材料等，甲方可以根据本合同第15.1条规定以书面形式追究乙方的违约责任。</w:t>
      </w:r>
    </w:p>
    <w:p>
      <w:pPr>
        <w:adjustRightInd w:val="0"/>
        <w:snapToGrid w:val="0"/>
        <w:spacing w:line="406"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pPr>
        <w:adjustRightInd w:val="0"/>
        <w:snapToGrid w:val="0"/>
        <w:spacing w:line="406" w:lineRule="exact"/>
        <w:jc w:val="left"/>
        <w:rPr>
          <w:rFonts w:ascii="宋体" w:hAnsi="宋体"/>
          <w:b/>
          <w:bCs/>
          <w:sz w:val="24"/>
        </w:rPr>
      </w:pPr>
      <w:r>
        <w:rPr>
          <w:rFonts w:hint="eastAsia" w:ascii="宋体" w:hAnsi="宋体"/>
          <w:b/>
          <w:bCs/>
          <w:sz w:val="24"/>
        </w:rPr>
        <w:t>9. 权利瑕疵担保</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9.1 乙方保证对其出售的货物享有合法的权利。</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 xml:space="preserve">9.2 </w:t>
      </w:r>
      <w:r>
        <w:rPr>
          <w:rFonts w:hint="eastAsia" w:ascii="宋体" w:hAnsi="宋体" w:cs="宋体"/>
          <w:szCs w:val="15"/>
        </w:rPr>
        <w:t>乙方保证在交付的货物上不存在抵押权等担保物权。</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9.3 如甲方使用上述货物构成对第三人侵权的，则由乙方承担全部责任。</w:t>
      </w:r>
    </w:p>
    <w:p>
      <w:pPr>
        <w:autoSpaceDE w:val="0"/>
        <w:autoSpaceDN w:val="0"/>
        <w:adjustRightInd w:val="0"/>
        <w:snapToGrid w:val="0"/>
        <w:spacing w:line="406" w:lineRule="exact"/>
        <w:jc w:val="left"/>
        <w:rPr>
          <w:rFonts w:ascii="宋体" w:hAnsi="宋体"/>
          <w:b/>
          <w:bCs/>
          <w:sz w:val="24"/>
        </w:rPr>
      </w:pPr>
      <w:r>
        <w:rPr>
          <w:rFonts w:hint="eastAsia" w:ascii="宋体" w:hAnsi="宋体"/>
          <w:b/>
          <w:bCs/>
          <w:sz w:val="24"/>
        </w:rPr>
        <w:t>10. 知识产权保护</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10.1 乙方对其所销售的货物应当享有知识产权或经权利人合法授权，保证没有侵犯任何第三人的知识产权等权利。</w:t>
      </w:r>
      <w:bookmarkStart w:id="140"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140"/>
      <w:r>
        <w:rPr>
          <w:rFonts w:hint="eastAsia" w:ascii="宋体" w:hAnsi="宋体"/>
          <w:szCs w:val="21"/>
        </w:rPr>
        <w:t>。</w:t>
      </w:r>
    </w:p>
    <w:p>
      <w:pPr>
        <w:autoSpaceDE w:val="0"/>
        <w:autoSpaceDN w:val="0"/>
        <w:adjustRightInd w:val="0"/>
        <w:snapToGrid w:val="0"/>
        <w:spacing w:line="406" w:lineRule="exact"/>
        <w:jc w:val="left"/>
        <w:rPr>
          <w:rFonts w:ascii="宋体" w:hAnsi="宋体"/>
          <w:b/>
          <w:bCs/>
          <w:sz w:val="24"/>
        </w:rPr>
      </w:pPr>
      <w:r>
        <w:rPr>
          <w:rFonts w:hint="eastAsia" w:ascii="宋体" w:hAnsi="宋体"/>
          <w:b/>
          <w:bCs/>
          <w:sz w:val="24"/>
        </w:rPr>
        <w:t>11. 保密义务</w:t>
      </w:r>
    </w:p>
    <w:p>
      <w:pPr>
        <w:autoSpaceDE w:val="0"/>
        <w:autoSpaceDN w:val="0"/>
        <w:adjustRightInd w:val="0"/>
        <w:snapToGrid w:val="0"/>
        <w:spacing w:line="406" w:lineRule="exact"/>
        <w:ind w:firstLine="420" w:firstLineChars="200"/>
        <w:jc w:val="left"/>
        <w:rPr>
          <w:rFonts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pPr>
        <w:autoSpaceDE w:val="0"/>
        <w:autoSpaceDN w:val="0"/>
        <w:adjustRightInd w:val="0"/>
        <w:snapToGrid w:val="0"/>
        <w:spacing w:line="406" w:lineRule="exact"/>
        <w:jc w:val="left"/>
        <w:rPr>
          <w:rFonts w:ascii="宋体" w:hAnsi="宋体"/>
          <w:b/>
          <w:bCs/>
          <w:sz w:val="24"/>
        </w:rPr>
      </w:pPr>
      <w:r>
        <w:rPr>
          <w:rFonts w:hint="eastAsia" w:ascii="宋体" w:hAnsi="宋体"/>
          <w:b/>
          <w:bCs/>
          <w:sz w:val="24"/>
        </w:rPr>
        <w:t>12. 合同价款支付</w:t>
      </w:r>
    </w:p>
    <w:p>
      <w:pPr>
        <w:adjustRightInd w:val="0"/>
        <w:snapToGrid w:val="0"/>
        <w:spacing w:line="406" w:lineRule="exact"/>
        <w:ind w:firstLine="420" w:firstLineChars="200"/>
        <w:jc w:val="left"/>
        <w:rPr>
          <w:rFonts w:ascii="宋体" w:hAnsi="宋体"/>
          <w:szCs w:val="21"/>
        </w:rPr>
      </w:pPr>
      <w:r>
        <w:rPr>
          <w:rFonts w:hint="eastAsia" w:ascii="宋体" w:hAnsi="宋体"/>
          <w:szCs w:val="21"/>
        </w:rPr>
        <w:t>12.1 合同价款支付按照国库集中支付制度及财政管理相关规定执行。</w:t>
      </w:r>
    </w:p>
    <w:p>
      <w:pPr>
        <w:keepNext/>
        <w:keepLines/>
        <w:spacing w:line="406" w:lineRule="exact"/>
        <w:ind w:firstLine="420" w:firstLineChars="200"/>
        <w:outlineLvl w:val="1"/>
        <w:rPr>
          <w:rFonts w:ascii="Arial" w:hAnsi="Arial"/>
          <w:b/>
          <w:bCs/>
          <w:sz w:val="24"/>
          <w:szCs w:val="32"/>
        </w:rPr>
      </w:pPr>
      <w:r>
        <w:rPr>
          <w:rFonts w:hint="eastAsia" w:ascii="宋体" w:hAnsi="宋体"/>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szCs w:val="21"/>
        </w:rPr>
        <w:t>政府采购合同专用条款</w:t>
      </w:r>
      <w:r>
        <w:rPr>
          <w:rFonts w:hint="eastAsia" w:ascii="宋体" w:hAnsi="宋体"/>
          <w:szCs w:val="21"/>
        </w:rPr>
        <w:t>】中约定。</w:t>
      </w:r>
    </w:p>
    <w:p>
      <w:pPr>
        <w:spacing w:line="406" w:lineRule="exact"/>
        <w:rPr>
          <w:rFonts w:ascii="宋体" w:hAnsi="宋体"/>
          <w:b/>
          <w:bCs/>
          <w:sz w:val="24"/>
        </w:rPr>
      </w:pPr>
      <w:r>
        <w:rPr>
          <w:rFonts w:hint="eastAsia" w:ascii="宋体" w:hAnsi="宋体"/>
          <w:b/>
          <w:bCs/>
          <w:sz w:val="24"/>
        </w:rPr>
        <w:t>13. 履约保证金</w:t>
      </w:r>
    </w:p>
    <w:p>
      <w:pPr>
        <w:adjustRightInd w:val="0"/>
        <w:snapToGrid w:val="0"/>
        <w:spacing w:line="406" w:lineRule="exact"/>
        <w:ind w:firstLine="420" w:firstLineChars="200"/>
        <w:jc w:val="left"/>
        <w:rPr>
          <w:rFonts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pPr>
        <w:adjustRightInd w:val="0"/>
        <w:snapToGrid w:val="0"/>
        <w:spacing w:line="406" w:lineRule="exact"/>
        <w:ind w:firstLine="420" w:firstLineChars="200"/>
        <w:jc w:val="left"/>
        <w:rPr>
          <w:rFonts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pPr>
        <w:spacing w:line="406"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pPr>
        <w:autoSpaceDE w:val="0"/>
        <w:autoSpaceDN w:val="0"/>
        <w:adjustRightInd w:val="0"/>
        <w:snapToGrid w:val="0"/>
        <w:spacing w:line="406" w:lineRule="exact"/>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14.1 除项目不涉及或采购活动中明确约定无须承担外，乙方还应提供下列服务：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（1）货物的现场移动、安装、调试、启动监督及技术支持；</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（2）提供货物组装和维修所需的专用工具和辅助材料；</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pPr>
        <w:widowControl/>
        <w:autoSpaceDE w:val="0"/>
        <w:autoSpaceDN w:val="0"/>
        <w:adjustRightInd w:val="0"/>
        <w:spacing w:line="406" w:lineRule="exact"/>
        <w:ind w:firstLine="420" w:firstLineChars="200"/>
        <w:jc w:val="left"/>
        <w:rPr>
          <w:rFonts w:ascii="宋体" w:hAnsi="宋体" w:cs="宋体"/>
          <w:kern w:val="0"/>
          <w:szCs w:val="21"/>
        </w:rPr>
      </w:pPr>
      <w:r>
        <w:rPr>
          <w:rFonts w:hint="eastAsia" w:ascii="宋体" w:hAnsi="宋体" w:cs="宋体"/>
          <w:kern w:val="0"/>
          <w:szCs w:val="21"/>
        </w:rPr>
        <w:t>（5）依照法律、行政法规的规定或者按照</w:t>
      </w:r>
      <w:r>
        <w:rPr>
          <w:rFonts w:hint="eastAsia" w:ascii="宋体" w:hAnsi="宋体" w:cs="宋体"/>
          <w:b/>
          <w:bCs/>
          <w:kern w:val="0"/>
          <w:szCs w:val="21"/>
        </w:rPr>
        <w:t>【政府采购合同专用条款】</w:t>
      </w:r>
      <w:r>
        <w:rPr>
          <w:rFonts w:hint="eastAsia" w:ascii="宋体" w:hAnsi="宋体" w:cs="宋体"/>
          <w:kern w:val="0"/>
          <w:szCs w:val="21"/>
        </w:rPr>
        <w:t>约定，货物在有效使用年限届满后应予回收的，乙方负有自行或者委托第三人对货物予以回收的义务；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14.2 乙方提供的售后服务的费用已包含在合同价款中，甲方不再另行支付。</w:t>
      </w:r>
    </w:p>
    <w:p>
      <w:pPr>
        <w:adjustRightInd w:val="0"/>
        <w:snapToGrid w:val="0"/>
        <w:spacing w:line="406" w:lineRule="exact"/>
        <w:jc w:val="left"/>
        <w:rPr>
          <w:rFonts w:ascii="宋体" w:hAnsi="宋体"/>
          <w:b/>
          <w:bCs/>
          <w:sz w:val="24"/>
        </w:rPr>
      </w:pPr>
      <w:r>
        <w:rPr>
          <w:rFonts w:hint="eastAsia" w:ascii="宋体" w:hAnsi="宋体"/>
          <w:b/>
          <w:bCs/>
          <w:sz w:val="24"/>
        </w:rPr>
        <w:t>15. 违约责任</w:t>
      </w:r>
    </w:p>
    <w:p>
      <w:pPr>
        <w:adjustRightInd w:val="0"/>
        <w:snapToGrid w:val="0"/>
        <w:spacing w:line="406" w:lineRule="exact"/>
        <w:ind w:firstLine="420" w:firstLineChars="200"/>
        <w:jc w:val="left"/>
        <w:rPr>
          <w:rFonts w:ascii="宋体" w:hAnsi="宋体"/>
          <w:bCs/>
          <w:szCs w:val="21"/>
        </w:rPr>
      </w:pPr>
      <w:r>
        <w:rPr>
          <w:rFonts w:hint="eastAsia" w:ascii="宋体" w:hAnsi="宋体"/>
          <w:bCs/>
          <w:szCs w:val="21"/>
        </w:rPr>
        <w:t>15.1质量瑕疵的违约责任</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pPr>
        <w:autoSpaceDE w:val="0"/>
        <w:autoSpaceDN w:val="0"/>
        <w:adjustRightInd w:val="0"/>
        <w:snapToGrid w:val="0"/>
        <w:spacing w:line="406" w:lineRule="exact"/>
        <w:ind w:firstLine="420" w:firstLineChars="200"/>
        <w:jc w:val="left"/>
        <w:rPr>
          <w:rFonts w:ascii="宋体" w:hAnsi="宋体"/>
          <w:bCs/>
          <w:szCs w:val="21"/>
        </w:rPr>
      </w:pPr>
      <w:r>
        <w:rPr>
          <w:rFonts w:hint="eastAsia" w:ascii="宋体" w:hAnsi="宋体"/>
          <w:bCs/>
          <w:szCs w:val="21"/>
        </w:rPr>
        <w:t>15.2 迟延交货的违约责任</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15.3 迟延支付的违约责任</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pPr>
        <w:adjustRightInd w:val="0"/>
        <w:snapToGrid w:val="0"/>
        <w:spacing w:line="406" w:lineRule="exact"/>
        <w:ind w:firstLine="420" w:firstLineChars="200"/>
        <w:jc w:val="left"/>
        <w:rPr>
          <w:rFonts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pPr>
        <w:numPr>
          <w:ilvl w:val="0"/>
          <w:numId w:val="6"/>
        </w:numPr>
        <w:autoSpaceDE w:val="0"/>
        <w:autoSpaceDN w:val="0"/>
        <w:adjustRightInd w:val="0"/>
        <w:snapToGrid w:val="0"/>
        <w:spacing w:line="406" w:lineRule="exact"/>
        <w:ind w:firstLine="482" w:firstLineChars="200"/>
        <w:jc w:val="left"/>
        <w:rPr>
          <w:rFonts w:ascii="宋体" w:hAnsi="宋体"/>
          <w:b/>
          <w:sz w:val="24"/>
        </w:rPr>
      </w:pPr>
      <w:r>
        <w:rPr>
          <w:rFonts w:hint="eastAsia" w:ascii="宋体" w:hAnsi="宋体"/>
          <w:b/>
          <w:sz w:val="24"/>
        </w:rPr>
        <w:t>合同变更、中止与终止</w:t>
      </w:r>
    </w:p>
    <w:p>
      <w:pPr>
        <w:adjustRightInd w:val="0"/>
        <w:snapToGrid w:val="0"/>
        <w:spacing w:line="406" w:lineRule="exact"/>
        <w:jc w:val="left"/>
        <w:rPr>
          <w:rFonts w:ascii="宋体" w:hAnsi="宋体"/>
          <w:szCs w:val="21"/>
        </w:rPr>
      </w:pPr>
      <w:r>
        <w:rPr>
          <w:rFonts w:hint="eastAsia" w:ascii="宋体" w:hAnsi="宋体"/>
          <w:szCs w:val="21"/>
        </w:rPr>
        <w:t xml:space="preserve">    16.1合同的变更</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pPr>
        <w:adjustRightInd w:val="0"/>
        <w:snapToGrid w:val="0"/>
        <w:spacing w:line="406" w:lineRule="exact"/>
        <w:ind w:firstLine="420" w:firstLineChars="200"/>
        <w:jc w:val="left"/>
        <w:rPr>
          <w:rFonts w:ascii="宋体" w:hAnsi="宋体"/>
          <w:szCs w:val="21"/>
        </w:rPr>
      </w:pPr>
      <w:r>
        <w:rPr>
          <w:rFonts w:hint="eastAsia" w:ascii="宋体" w:hAnsi="宋体"/>
          <w:szCs w:val="21"/>
        </w:rPr>
        <w:t>16.2合同的中止</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（1）合同履行过程中因供应商就采购文件、采购过程或结果提起投诉的，甲方认为有必要的，可以中止合同的履行。</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widowControl/>
        <w:autoSpaceDE w:val="0"/>
        <w:autoSpaceDN w:val="0"/>
        <w:adjustRightInd w:val="0"/>
        <w:spacing w:line="406" w:lineRule="exact"/>
        <w:ind w:firstLine="420" w:firstLineChars="200"/>
        <w:rPr>
          <w:rFonts w:ascii="华文楷体" w:hAnsi="华文楷体" w:eastAsia="华文楷体" w:cs="华文楷体"/>
          <w:kern w:val="0"/>
          <w:szCs w:val="21"/>
        </w:rPr>
      </w:pPr>
      <w:r>
        <w:rPr>
          <w:rFonts w:hint="eastAsia" w:ascii="宋体" w:hAnsi="宋体" w:cs="宋体"/>
          <w:kern w:val="0"/>
          <w:szCs w:val="21"/>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6" w:lineRule="exact"/>
        <w:ind w:firstLine="420" w:firstLineChars="200"/>
        <w:jc w:val="left"/>
      </w:pPr>
      <w:r>
        <w:rPr>
          <w:rFonts w:hint="eastAsia" w:ascii="宋体" w:hAnsi="宋体"/>
          <w:szCs w:val="21"/>
        </w:rPr>
        <w:t>（4）甲方不得以行政区划调整、政府换届、机构或者职能调整以及相关责任人更替为由中止合同。</w:t>
      </w:r>
    </w:p>
    <w:p>
      <w:pPr>
        <w:adjustRightInd w:val="0"/>
        <w:snapToGrid w:val="0"/>
        <w:spacing w:line="406" w:lineRule="exact"/>
        <w:ind w:firstLine="420" w:firstLineChars="200"/>
        <w:jc w:val="left"/>
        <w:rPr>
          <w:rFonts w:ascii="宋体" w:hAnsi="宋体"/>
          <w:szCs w:val="21"/>
        </w:rPr>
      </w:pPr>
      <w:r>
        <w:rPr>
          <w:rFonts w:hint="eastAsia" w:ascii="宋体" w:hAnsi="宋体"/>
          <w:szCs w:val="21"/>
        </w:rPr>
        <w:t>16.3合同的终止</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（1）合同因有效期限届满而终止；</w:t>
      </w:r>
    </w:p>
    <w:p>
      <w:pPr>
        <w:snapToGrid w:val="0"/>
        <w:spacing w:line="406" w:lineRule="exact"/>
        <w:ind w:firstLine="420" w:firstLineChars="200"/>
        <w:rPr>
          <w:rFonts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pPr>
        <w:widowControl/>
        <w:autoSpaceDE w:val="0"/>
        <w:autoSpaceDN w:val="0"/>
        <w:adjustRightInd w:val="0"/>
        <w:spacing w:line="406" w:lineRule="exact"/>
        <w:ind w:firstLine="440" w:firstLineChars="200"/>
        <w:jc w:val="left"/>
        <w:rPr>
          <w:rFonts w:ascii="宋体" w:hAnsi="宋体" w:eastAsia="华文楷体" w:cs="华文楷体"/>
          <w:kern w:val="0"/>
          <w:sz w:val="22"/>
          <w:szCs w:val="21"/>
        </w:rPr>
      </w:pPr>
      <w:r>
        <w:rPr>
          <w:rFonts w:hint="eastAsia" w:ascii="宋体" w:hAnsi="宋体" w:eastAsia="华文楷体" w:cs="华文楷体"/>
          <w:kern w:val="0"/>
          <w:sz w:val="22"/>
          <w:szCs w:val="21"/>
        </w:rPr>
        <w:t xml:space="preserve">16.4 </w:t>
      </w:r>
      <w:r>
        <w:rPr>
          <w:rFonts w:hint="eastAsia" w:ascii="宋体" w:hAnsi="宋体"/>
          <w:szCs w:val="21"/>
        </w:rPr>
        <w:t>涉及国家利益、社会公共利益的情形</w:t>
      </w:r>
    </w:p>
    <w:p>
      <w:pPr>
        <w:widowControl/>
        <w:autoSpaceDE w:val="0"/>
        <w:autoSpaceDN w:val="0"/>
        <w:adjustRightInd w:val="0"/>
        <w:spacing w:line="406" w:lineRule="exact"/>
        <w:ind w:firstLine="420" w:firstLineChars="200"/>
        <w:rPr>
          <w:rFonts w:ascii="华文楷体" w:hAnsi="华文楷体" w:eastAsia="华文楷体" w:cs="华文楷体"/>
          <w:kern w:val="0"/>
          <w:szCs w:val="21"/>
        </w:rPr>
      </w:pPr>
      <w:r>
        <w:rPr>
          <w:rFonts w:hint="eastAsia" w:ascii="宋体" w:hAnsi="宋体" w:cs="宋体"/>
          <w:kern w:val="0"/>
          <w:szCs w:val="21"/>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6" w:lineRule="exact"/>
        <w:jc w:val="left"/>
        <w:rPr>
          <w:rFonts w:ascii="宋体" w:hAnsi="宋体"/>
          <w:b/>
          <w:bCs/>
          <w:sz w:val="24"/>
        </w:rPr>
      </w:pPr>
      <w:r>
        <w:rPr>
          <w:rFonts w:hint="eastAsia" w:ascii="宋体" w:hAnsi="宋体"/>
          <w:b/>
          <w:bCs/>
          <w:sz w:val="24"/>
        </w:rPr>
        <w:t>17. 合同分包</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6" w:lineRule="exact"/>
        <w:jc w:val="left"/>
        <w:rPr>
          <w:rFonts w:ascii="宋体" w:hAnsi="宋体"/>
          <w:b/>
          <w:bCs/>
          <w:sz w:val="24"/>
        </w:rPr>
      </w:pPr>
      <w:r>
        <w:rPr>
          <w:rFonts w:hint="eastAsia" w:ascii="宋体" w:hAnsi="宋体"/>
          <w:b/>
          <w:bCs/>
          <w:sz w:val="24"/>
        </w:rPr>
        <w:t>18. 不可抗力</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18.1 不可抗力是指合同双方不能预见、不能避免且不能克服的客观情况。</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6" w:lineRule="exact"/>
        <w:jc w:val="left"/>
        <w:rPr>
          <w:rFonts w:ascii="宋体" w:hAnsi="宋体"/>
          <w:b/>
          <w:bCs/>
          <w:sz w:val="24"/>
        </w:rPr>
      </w:pPr>
      <w:r>
        <w:rPr>
          <w:rFonts w:hint="eastAsia" w:ascii="宋体" w:hAnsi="宋体"/>
          <w:b/>
          <w:bCs/>
          <w:sz w:val="24"/>
        </w:rPr>
        <w:t>19. 解决争议的方法</w:t>
      </w:r>
    </w:p>
    <w:p>
      <w:pPr>
        <w:widowControl/>
        <w:autoSpaceDE w:val="0"/>
        <w:autoSpaceDN w:val="0"/>
        <w:adjustRightInd w:val="0"/>
        <w:spacing w:line="406" w:lineRule="exact"/>
        <w:ind w:firstLine="420" w:firstLineChars="200"/>
        <w:rPr>
          <w:rFonts w:ascii="宋体" w:hAnsi="宋体" w:cs="宋体"/>
          <w:kern w:val="0"/>
          <w:szCs w:val="21"/>
        </w:rPr>
      </w:pPr>
      <w:r>
        <w:rPr>
          <w:rFonts w:hint="eastAsia" w:ascii="宋体" w:hAnsi="宋体" w:cs="宋体"/>
          <w:kern w:val="0"/>
          <w:szCs w:val="21"/>
        </w:rPr>
        <w:t>19.1 因本合同及合同有关事项发生的争议，由甲乙双方友好协商解决。协商不成时，可以向有关组织申请调解。合同一方或双方不愿调解或调解不成的，可以通过仲裁或诉讼的方式解决争议。</w:t>
      </w:r>
    </w:p>
    <w:p>
      <w:pPr>
        <w:widowControl/>
        <w:autoSpaceDE w:val="0"/>
        <w:autoSpaceDN w:val="0"/>
        <w:adjustRightInd w:val="0"/>
        <w:spacing w:line="406" w:lineRule="exact"/>
        <w:ind w:firstLine="420" w:firstLineChars="200"/>
        <w:rPr>
          <w:rFonts w:ascii="宋体" w:hAnsi="宋体" w:cs="宋体"/>
          <w:kern w:val="0"/>
          <w:szCs w:val="21"/>
        </w:rPr>
      </w:pPr>
      <w:r>
        <w:rPr>
          <w:rFonts w:hint="eastAsia" w:ascii="宋体" w:hAnsi="宋体" w:cs="宋体"/>
          <w:kern w:val="0"/>
          <w:szCs w:val="21"/>
        </w:rPr>
        <w:t>19.2 选择仲裁的，应在</w:t>
      </w:r>
      <w:r>
        <w:rPr>
          <w:rFonts w:hint="eastAsia" w:ascii="宋体" w:hAnsi="宋体" w:cs="宋体"/>
          <w:b/>
          <w:bCs/>
          <w:kern w:val="0"/>
          <w:szCs w:val="21"/>
        </w:rPr>
        <w:t>【政府采购合同专用条款】</w:t>
      </w:r>
      <w:r>
        <w:rPr>
          <w:rFonts w:hint="eastAsia" w:ascii="宋体" w:hAnsi="宋体" w:cs="宋体"/>
          <w:kern w:val="0"/>
          <w:szCs w:val="21"/>
        </w:rPr>
        <w:t>中明确仲裁机构及仲裁地；通过诉讼方式解决的，可以在</w:t>
      </w:r>
      <w:r>
        <w:rPr>
          <w:rFonts w:hint="eastAsia" w:ascii="宋体" w:hAnsi="宋体" w:cs="宋体"/>
          <w:b/>
          <w:bCs/>
          <w:kern w:val="0"/>
          <w:szCs w:val="21"/>
        </w:rPr>
        <w:t>【政府采购合同专用条款】</w:t>
      </w:r>
      <w:r>
        <w:rPr>
          <w:rFonts w:hint="eastAsia" w:ascii="宋体" w:hAnsi="宋体" w:cs="宋体"/>
          <w:kern w:val="0"/>
          <w:szCs w:val="21"/>
        </w:rPr>
        <w:t>中进一步约定选择与争议有实际联系的地点的人民法院管辖，但管辖法院的约定不得违反级别管辖和专属管辖的规定。</w:t>
      </w:r>
    </w:p>
    <w:p>
      <w:pPr>
        <w:widowControl/>
        <w:autoSpaceDE w:val="0"/>
        <w:autoSpaceDN w:val="0"/>
        <w:adjustRightInd w:val="0"/>
        <w:spacing w:line="406" w:lineRule="exact"/>
        <w:ind w:firstLine="420" w:firstLineChars="200"/>
        <w:rPr>
          <w:rFonts w:ascii="宋体" w:hAnsi="宋体" w:cs="宋体"/>
          <w:kern w:val="0"/>
          <w:szCs w:val="21"/>
        </w:rPr>
      </w:pPr>
      <w:r>
        <w:rPr>
          <w:rFonts w:hint="eastAsia" w:ascii="宋体" w:hAnsi="宋体" w:cs="宋体"/>
          <w:kern w:val="0"/>
          <w:szCs w:val="21"/>
        </w:rPr>
        <w:t>19.3 如甲乙双方有争议的事项不影响合同其他部分的履行，在争议解决期间，合同其他部分应当继续履行。</w:t>
      </w:r>
    </w:p>
    <w:p>
      <w:pPr>
        <w:autoSpaceDE w:val="0"/>
        <w:autoSpaceDN w:val="0"/>
        <w:adjustRightInd w:val="0"/>
        <w:snapToGrid w:val="0"/>
        <w:spacing w:line="406" w:lineRule="exact"/>
        <w:jc w:val="left"/>
        <w:rPr>
          <w:rFonts w:ascii="宋体" w:hAnsi="宋体"/>
          <w:sz w:val="24"/>
        </w:rPr>
      </w:pPr>
      <w:r>
        <w:rPr>
          <w:rFonts w:hint="eastAsia" w:ascii="宋体" w:hAnsi="宋体"/>
          <w:b/>
          <w:sz w:val="24"/>
        </w:rPr>
        <w:t>20. 政府采购政策</w:t>
      </w:r>
    </w:p>
    <w:p>
      <w:pPr>
        <w:autoSpaceDE w:val="0"/>
        <w:autoSpaceDN w:val="0"/>
        <w:adjustRightInd w:val="0"/>
        <w:snapToGrid w:val="0"/>
        <w:spacing w:line="406" w:lineRule="exact"/>
        <w:ind w:firstLine="420" w:firstLineChars="200"/>
        <w:jc w:val="left"/>
        <w:rPr>
          <w:rFonts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pPr>
        <w:autoSpaceDE w:val="0"/>
        <w:autoSpaceDN w:val="0"/>
        <w:adjustRightInd w:val="0"/>
        <w:snapToGrid w:val="0"/>
        <w:spacing w:line="406" w:lineRule="exact"/>
        <w:ind w:firstLine="420" w:firstLineChars="200"/>
        <w:jc w:val="left"/>
        <w:rPr>
          <w:rFonts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pPr>
        <w:spacing w:line="406" w:lineRule="exact"/>
        <w:ind w:firstLine="420" w:firstLineChars="200"/>
        <w:rPr>
          <w:rFonts w:ascii="Calibri" w:hAnsi="Calibri"/>
          <w:szCs w:val="22"/>
        </w:rPr>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6" w:lineRule="exact"/>
        <w:jc w:val="left"/>
        <w:rPr>
          <w:rFonts w:ascii="宋体" w:hAnsi="宋体"/>
          <w:b/>
          <w:sz w:val="24"/>
        </w:rPr>
      </w:pPr>
      <w:r>
        <w:rPr>
          <w:rFonts w:hint="eastAsia" w:ascii="宋体" w:hAnsi="宋体"/>
          <w:b/>
          <w:sz w:val="24"/>
        </w:rPr>
        <w:t>21. 法律适用</w:t>
      </w:r>
    </w:p>
    <w:p>
      <w:pPr>
        <w:widowControl/>
        <w:autoSpaceDE w:val="0"/>
        <w:autoSpaceDN w:val="0"/>
        <w:adjustRightInd w:val="0"/>
        <w:spacing w:line="406" w:lineRule="exact"/>
        <w:ind w:firstLine="420" w:firstLineChars="200"/>
        <w:rPr>
          <w:rFonts w:ascii="宋体" w:hAnsi="宋体" w:cs="宋体"/>
          <w:kern w:val="0"/>
          <w:szCs w:val="21"/>
        </w:rPr>
      </w:pPr>
      <w:r>
        <w:rPr>
          <w:rFonts w:hint="eastAsia" w:ascii="宋体" w:hAnsi="宋体" w:cs="宋体"/>
          <w:kern w:val="0"/>
          <w:szCs w:val="21"/>
        </w:rPr>
        <w:t>21.1 本合同的订立、生效、解释、履行及与本合同有关的争议解决，均适用法律、行政法规。</w:t>
      </w:r>
    </w:p>
    <w:p>
      <w:pPr>
        <w:widowControl/>
        <w:autoSpaceDE w:val="0"/>
        <w:autoSpaceDN w:val="0"/>
        <w:adjustRightInd w:val="0"/>
        <w:spacing w:line="406" w:lineRule="exact"/>
        <w:ind w:firstLine="420" w:firstLineChars="200"/>
        <w:rPr>
          <w:rFonts w:ascii="宋体" w:hAnsi="宋体" w:cs="宋体"/>
          <w:kern w:val="0"/>
          <w:szCs w:val="21"/>
        </w:rPr>
      </w:pPr>
      <w:r>
        <w:rPr>
          <w:rFonts w:hint="eastAsia" w:ascii="宋体" w:hAnsi="宋体" w:cs="宋体"/>
          <w:kern w:val="0"/>
          <w:szCs w:val="21"/>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6" w:lineRule="exact"/>
        <w:jc w:val="left"/>
        <w:rPr>
          <w:rFonts w:ascii="宋体" w:hAnsi="宋体"/>
          <w:b/>
          <w:sz w:val="24"/>
        </w:rPr>
      </w:pPr>
      <w:r>
        <w:rPr>
          <w:rFonts w:hint="eastAsia" w:ascii="宋体" w:hAnsi="宋体"/>
          <w:b/>
          <w:sz w:val="24"/>
        </w:rPr>
        <w:t>22. 通知</w:t>
      </w:r>
    </w:p>
    <w:p>
      <w:pPr>
        <w:widowControl/>
        <w:autoSpaceDE w:val="0"/>
        <w:autoSpaceDN w:val="0"/>
        <w:adjustRightInd w:val="0"/>
        <w:spacing w:line="406" w:lineRule="exact"/>
        <w:ind w:firstLine="420" w:firstLineChars="200"/>
        <w:rPr>
          <w:rFonts w:ascii="宋体" w:hAnsi="宋体" w:cs="宋体"/>
          <w:kern w:val="0"/>
          <w:szCs w:val="21"/>
        </w:rPr>
      </w:pPr>
      <w:r>
        <w:rPr>
          <w:rFonts w:hint="eastAsia" w:ascii="宋体" w:hAnsi="宋体" w:cs="宋体"/>
          <w:kern w:val="0"/>
          <w:szCs w:val="21"/>
        </w:rPr>
        <w:t>22.1 本合同任何一方向对方发出的通知、信件、数据电文等，应当发送至本合同第一部分《政府采购合同协议书》所约定的通讯地址、联系人、联系电话或电子邮箱。</w:t>
      </w:r>
    </w:p>
    <w:p>
      <w:pPr>
        <w:widowControl/>
        <w:autoSpaceDE w:val="0"/>
        <w:autoSpaceDN w:val="0"/>
        <w:adjustRightInd w:val="0"/>
        <w:spacing w:line="406" w:lineRule="exact"/>
        <w:rPr>
          <w:rFonts w:ascii="华文楷体" w:hAnsi="华文楷体" w:eastAsia="华文楷体" w:cs="华文楷体"/>
          <w:kern w:val="0"/>
          <w:szCs w:val="21"/>
        </w:rPr>
      </w:pPr>
      <w:r>
        <w:rPr>
          <w:rFonts w:hint="eastAsia" w:ascii="宋体" w:hAnsi="宋体" w:cs="宋体"/>
          <w:kern w:val="0"/>
          <w:szCs w:val="21"/>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6" w:lineRule="exact"/>
        <w:ind w:firstLine="420" w:firstLineChars="200"/>
        <w:jc w:val="left"/>
        <w:rPr>
          <w:rFonts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pPr>
        <w:adjustRightInd w:val="0"/>
        <w:snapToGrid w:val="0"/>
        <w:spacing w:line="406" w:lineRule="exact"/>
        <w:ind w:firstLine="420" w:firstLineChars="200"/>
        <w:jc w:val="left"/>
        <w:rPr>
          <w:rFonts w:ascii="宋体" w:hAnsi="宋体"/>
          <w:szCs w:val="21"/>
        </w:rPr>
      </w:pPr>
      <w:r>
        <w:rPr>
          <w:rFonts w:hint="eastAsia" w:ascii="宋体" w:hAnsi="宋体"/>
          <w:szCs w:val="21"/>
        </w:rPr>
        <w:t>22.4通知以送达之日或通知书中规定的生效之日起生效，两者中以较迟之日为准。</w:t>
      </w:r>
    </w:p>
    <w:p>
      <w:pPr>
        <w:numPr>
          <w:ilvl w:val="0"/>
          <w:numId w:val="7"/>
        </w:numPr>
        <w:adjustRightInd w:val="0"/>
        <w:snapToGrid w:val="0"/>
        <w:spacing w:line="406" w:lineRule="exact"/>
        <w:ind w:firstLine="482" w:firstLineChars="200"/>
        <w:jc w:val="left"/>
        <w:rPr>
          <w:rFonts w:ascii="宋体" w:hAnsi="宋体"/>
          <w:b/>
          <w:bCs/>
          <w:sz w:val="24"/>
        </w:rPr>
      </w:pPr>
      <w:r>
        <w:rPr>
          <w:rFonts w:hint="eastAsia" w:ascii="宋体" w:hAnsi="宋体"/>
          <w:b/>
          <w:bCs/>
          <w:sz w:val="24"/>
        </w:rPr>
        <w:t>合同未尽事项</w:t>
      </w:r>
    </w:p>
    <w:p>
      <w:pPr>
        <w:adjustRightInd w:val="0"/>
        <w:snapToGrid w:val="0"/>
        <w:spacing w:line="406" w:lineRule="exact"/>
        <w:ind w:firstLine="420" w:firstLineChars="200"/>
        <w:jc w:val="left"/>
        <w:rPr>
          <w:rFonts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pPr>
        <w:adjustRightInd w:val="0"/>
        <w:snapToGrid w:val="0"/>
        <w:spacing w:line="406" w:lineRule="exact"/>
        <w:jc w:val="left"/>
        <w:rPr>
          <w:rFonts w:ascii="黑体" w:hAnsi="华文中宋" w:eastAsia="黑体"/>
          <w:sz w:val="28"/>
          <w:szCs w:val="28"/>
        </w:rPr>
      </w:pPr>
      <w:r>
        <w:rPr>
          <w:rFonts w:hint="eastAsia" w:ascii="宋体" w:hAnsi="宋体"/>
          <w:bCs/>
          <w:szCs w:val="21"/>
        </w:rPr>
        <w:t xml:space="preserve">    23.2 合同附件与合同正文具有同等的法律效力。</w:t>
      </w:r>
      <w:bookmarkStart w:id="141" w:name="_Toc20313"/>
    </w:p>
    <w:p>
      <w:pPr>
        <w:adjustRightInd w:val="0"/>
        <w:snapToGrid w:val="0"/>
        <w:jc w:val="center"/>
        <w:rPr>
          <w:rFonts w:ascii="黑体" w:hAnsi="华文中宋" w:eastAsia="黑体"/>
          <w:sz w:val="28"/>
          <w:szCs w:val="28"/>
        </w:rPr>
      </w:pPr>
      <w:r>
        <w:rPr>
          <w:rFonts w:hint="eastAsia" w:ascii="黑体" w:hAnsi="华文中宋" w:eastAsia="黑体"/>
          <w:sz w:val="28"/>
          <w:szCs w:val="28"/>
        </w:rPr>
        <w:br w:type="page"/>
      </w:r>
    </w:p>
    <w:p>
      <w:pPr>
        <w:keepNext/>
        <w:keepLines/>
        <w:adjustRightInd w:val="0"/>
        <w:snapToGrid w:val="0"/>
        <w:spacing w:line="360" w:lineRule="auto"/>
        <w:jc w:val="center"/>
        <w:outlineLvl w:val="1"/>
        <w:rPr>
          <w:rFonts w:ascii="黑体" w:hAnsi="华文中宋" w:eastAsia="黑体"/>
          <w:sz w:val="28"/>
          <w:szCs w:val="28"/>
        </w:rPr>
      </w:pPr>
      <w:r>
        <w:rPr>
          <w:rFonts w:hint="eastAsia" w:ascii="黑体" w:hAnsi="华文中宋" w:eastAsia="黑体"/>
          <w:sz w:val="28"/>
          <w:szCs w:val="28"/>
        </w:rPr>
        <w:t>第三节 政府采购合同专用条款</w:t>
      </w:r>
      <w:bookmarkEnd w:id="141"/>
    </w:p>
    <w:tbl>
      <w:tblPr>
        <w:tblStyle w:val="35"/>
        <w:tblW w:w="10065" w:type="dxa"/>
        <w:tblInd w:w="-157"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72"/>
        <w:gridCol w:w="2362"/>
        <w:gridCol w:w="583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第1.2（6）项</w:t>
            </w:r>
          </w:p>
        </w:tc>
        <w:tc>
          <w:tcPr>
            <w:tcW w:w="2362" w:type="dxa"/>
            <w:vAlign w:val="center"/>
          </w:tcPr>
          <w:p>
            <w:pPr>
              <w:adjustRightInd w:val="0"/>
              <w:snapToGrid w:val="0"/>
              <w:jc w:val="left"/>
              <w:rPr>
                <w:rFonts w:ascii="宋体" w:hAnsi="宋体"/>
                <w:szCs w:val="21"/>
              </w:rPr>
            </w:pPr>
            <w:r>
              <w:rPr>
                <w:rFonts w:hint="eastAsia" w:ascii="宋体" w:hAnsi="宋体"/>
                <w:szCs w:val="21"/>
              </w:rPr>
              <w:t>联合体具体要求</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第1.2（7）项</w:t>
            </w:r>
          </w:p>
        </w:tc>
        <w:tc>
          <w:tcPr>
            <w:tcW w:w="2362" w:type="dxa"/>
            <w:vAlign w:val="center"/>
          </w:tcPr>
          <w:p>
            <w:pPr>
              <w:adjustRightInd w:val="0"/>
              <w:snapToGrid w:val="0"/>
              <w:jc w:val="left"/>
              <w:rPr>
                <w:rFonts w:ascii="宋体" w:hAnsi="宋体"/>
                <w:szCs w:val="21"/>
              </w:rPr>
            </w:pPr>
            <w:r>
              <w:rPr>
                <w:rFonts w:hint="eastAsia" w:ascii="宋体" w:hAnsi="宋体"/>
                <w:szCs w:val="21"/>
              </w:rPr>
              <w:t>其他术语解释</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第4.4款</w:t>
            </w:r>
          </w:p>
        </w:tc>
        <w:tc>
          <w:tcPr>
            <w:tcW w:w="2362" w:type="dxa"/>
            <w:vAlign w:val="center"/>
          </w:tcPr>
          <w:p>
            <w:pPr>
              <w:adjustRightInd w:val="0"/>
              <w:snapToGrid w:val="0"/>
              <w:jc w:val="left"/>
              <w:rPr>
                <w:rFonts w:ascii="宋体" w:hAnsi="宋体"/>
                <w:szCs w:val="21"/>
              </w:rPr>
            </w:pPr>
            <w:r>
              <w:rPr>
                <w:rFonts w:hint="eastAsia" w:ascii="宋体" w:hAnsi="宋体"/>
                <w:szCs w:val="21"/>
              </w:rPr>
              <w:t>履约验收中甲方提出异议或作出说明的期限</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第4.6款</w:t>
            </w:r>
          </w:p>
        </w:tc>
        <w:tc>
          <w:tcPr>
            <w:tcW w:w="2362" w:type="dxa"/>
            <w:vAlign w:val="center"/>
          </w:tcPr>
          <w:p>
            <w:pPr>
              <w:adjustRightInd w:val="0"/>
              <w:snapToGrid w:val="0"/>
              <w:jc w:val="left"/>
              <w:rPr>
                <w:rFonts w:ascii="宋体" w:hAnsi="宋体"/>
                <w:szCs w:val="21"/>
              </w:rPr>
            </w:pPr>
            <w:r>
              <w:rPr>
                <w:rFonts w:hint="eastAsia" w:ascii="宋体" w:hAnsi="宋体"/>
                <w:szCs w:val="21"/>
              </w:rPr>
              <w:t>约定甲方承担的其他义务和责任</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snapToGrid w:val="0"/>
              <w:jc w:val="center"/>
            </w:pPr>
            <w:r>
              <w:rPr>
                <w:rFonts w:hint="eastAsia" w:ascii="宋体" w:hAnsi="宋体"/>
                <w:szCs w:val="21"/>
              </w:rPr>
              <w:t>第5.4款</w:t>
            </w:r>
          </w:p>
        </w:tc>
        <w:tc>
          <w:tcPr>
            <w:tcW w:w="2362" w:type="dxa"/>
            <w:vAlign w:val="center"/>
          </w:tcPr>
          <w:p>
            <w:pPr>
              <w:adjustRightInd w:val="0"/>
              <w:snapToGrid w:val="0"/>
              <w:jc w:val="left"/>
              <w:rPr>
                <w:rFonts w:ascii="宋体" w:hAnsi="宋体"/>
                <w:szCs w:val="21"/>
              </w:rPr>
            </w:pPr>
            <w:r>
              <w:rPr>
                <w:rFonts w:hint="eastAsia" w:ascii="宋体" w:hAnsi="宋体"/>
                <w:szCs w:val="21"/>
              </w:rPr>
              <w:t>约定乙方承担的其他义务和责任</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snapToGrid w:val="0"/>
              <w:jc w:val="center"/>
              <w:rPr>
                <w:rFonts w:ascii="宋体" w:hAnsi="宋体"/>
                <w:szCs w:val="21"/>
              </w:rPr>
            </w:pPr>
            <w:r>
              <w:rPr>
                <w:rFonts w:hint="eastAsia" w:ascii="宋体" w:hAnsi="宋体"/>
                <w:szCs w:val="21"/>
              </w:rPr>
              <w:t>第6.1款</w:t>
            </w:r>
          </w:p>
        </w:tc>
        <w:tc>
          <w:tcPr>
            <w:tcW w:w="2362" w:type="dxa"/>
            <w:vAlign w:val="center"/>
          </w:tcPr>
          <w:p>
            <w:pPr>
              <w:adjustRightInd w:val="0"/>
              <w:snapToGrid w:val="0"/>
              <w:jc w:val="left"/>
              <w:rPr>
                <w:rFonts w:ascii="宋体" w:hAnsi="宋体"/>
                <w:szCs w:val="21"/>
              </w:rPr>
            </w:pPr>
            <w:r>
              <w:rPr>
                <w:rFonts w:hint="eastAsia" w:ascii="宋体" w:hAnsi="宋体"/>
                <w:szCs w:val="21"/>
              </w:rPr>
              <w:t>履行合同义务的顺序</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72" w:type="dxa"/>
            <w:vMerge w:val="restart"/>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第7.1款</w:t>
            </w:r>
          </w:p>
        </w:tc>
        <w:tc>
          <w:tcPr>
            <w:tcW w:w="2362" w:type="dxa"/>
            <w:vAlign w:val="center"/>
          </w:tcPr>
          <w:p>
            <w:pPr>
              <w:adjustRightInd w:val="0"/>
              <w:snapToGrid w:val="0"/>
              <w:jc w:val="left"/>
              <w:rPr>
                <w:rFonts w:ascii="宋体" w:hAnsi="宋体"/>
                <w:szCs w:val="21"/>
              </w:rPr>
            </w:pPr>
            <w:r>
              <w:rPr>
                <w:rFonts w:hint="eastAsia" w:ascii="宋体" w:hAnsi="宋体"/>
                <w:szCs w:val="21"/>
              </w:rPr>
              <w:t>包装特殊要求</w:t>
            </w:r>
          </w:p>
        </w:tc>
        <w:tc>
          <w:tcPr>
            <w:tcW w:w="5831"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72" w:type="dxa"/>
            <w:vMerge w:val="continue"/>
            <w:vAlign w:val="center"/>
          </w:tcPr>
          <w:p>
            <w:pPr>
              <w:adjustRightInd w:val="0"/>
              <w:snapToGrid w:val="0"/>
              <w:jc w:val="center"/>
              <w:rPr>
                <w:rFonts w:ascii="宋体" w:hAnsi="宋体"/>
                <w:szCs w:val="21"/>
              </w:rPr>
            </w:pPr>
          </w:p>
        </w:tc>
        <w:tc>
          <w:tcPr>
            <w:tcW w:w="2362" w:type="dxa"/>
            <w:vAlign w:val="center"/>
          </w:tcPr>
          <w:p>
            <w:pPr>
              <w:adjustRightInd w:val="0"/>
              <w:snapToGrid w:val="0"/>
              <w:jc w:val="left"/>
              <w:rPr>
                <w:rFonts w:ascii="宋体" w:hAnsi="宋体"/>
                <w:szCs w:val="21"/>
              </w:rPr>
            </w:pPr>
            <w:r>
              <w:rPr>
                <w:rFonts w:hint="eastAsia" w:ascii="宋体" w:hAnsi="宋体"/>
                <w:szCs w:val="21"/>
              </w:rPr>
              <w:t>指定现场</w:t>
            </w:r>
          </w:p>
        </w:tc>
        <w:tc>
          <w:tcPr>
            <w:tcW w:w="5831"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72"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第7.2款</w:t>
            </w:r>
          </w:p>
        </w:tc>
        <w:tc>
          <w:tcPr>
            <w:tcW w:w="2362" w:type="dxa"/>
            <w:vAlign w:val="center"/>
          </w:tcPr>
          <w:p>
            <w:pPr>
              <w:adjustRightInd w:val="0"/>
              <w:snapToGrid w:val="0"/>
              <w:jc w:val="left"/>
              <w:rPr>
                <w:rFonts w:ascii="宋体" w:hAnsi="宋体"/>
                <w:szCs w:val="21"/>
              </w:rPr>
            </w:pPr>
            <w:r>
              <w:rPr>
                <w:rFonts w:hint="eastAsia" w:ascii="宋体" w:hAnsi="宋体"/>
                <w:szCs w:val="21"/>
              </w:rPr>
              <w:t>运输特殊要求</w:t>
            </w:r>
          </w:p>
        </w:tc>
        <w:tc>
          <w:tcPr>
            <w:tcW w:w="5831"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第7.3款</w:t>
            </w:r>
          </w:p>
        </w:tc>
        <w:tc>
          <w:tcPr>
            <w:tcW w:w="2362" w:type="dxa"/>
            <w:vAlign w:val="center"/>
          </w:tcPr>
          <w:p>
            <w:pPr>
              <w:adjustRightInd w:val="0"/>
              <w:snapToGrid w:val="0"/>
              <w:jc w:val="left"/>
              <w:rPr>
                <w:rFonts w:ascii="宋体" w:hAnsi="宋体"/>
                <w:szCs w:val="21"/>
              </w:rPr>
            </w:pPr>
            <w:r>
              <w:rPr>
                <w:rFonts w:hint="eastAsia" w:ascii="宋体" w:hAnsi="宋体"/>
                <w:szCs w:val="21"/>
              </w:rPr>
              <w:t>保险要求</w:t>
            </w:r>
          </w:p>
        </w:tc>
        <w:tc>
          <w:tcPr>
            <w:tcW w:w="5831"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第8.2（1）项</w:t>
            </w:r>
          </w:p>
        </w:tc>
        <w:tc>
          <w:tcPr>
            <w:tcW w:w="2362" w:type="dxa"/>
            <w:vAlign w:val="center"/>
          </w:tcPr>
          <w:p>
            <w:pPr>
              <w:adjustRightInd w:val="0"/>
              <w:snapToGrid w:val="0"/>
              <w:jc w:val="left"/>
              <w:rPr>
                <w:rFonts w:ascii="宋体" w:hAnsi="宋体"/>
                <w:szCs w:val="21"/>
              </w:rPr>
            </w:pPr>
            <w:r>
              <w:rPr>
                <w:rFonts w:hint="eastAsia" w:ascii="宋体" w:hAnsi="宋体"/>
                <w:szCs w:val="21"/>
              </w:rPr>
              <w:t>质量保证期</w:t>
            </w:r>
          </w:p>
        </w:tc>
        <w:tc>
          <w:tcPr>
            <w:tcW w:w="5831" w:type="dxa"/>
            <w:vAlign w:val="center"/>
          </w:tcPr>
          <w:p>
            <w:pPr>
              <w:autoSpaceDE w:val="0"/>
              <w:autoSpaceDN w:val="0"/>
              <w:adjustRightInd w:val="0"/>
              <w:snapToGrid w:val="0"/>
              <w:ind w:firstLine="420" w:firstLineChars="20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第8.2（3）项</w:t>
            </w:r>
          </w:p>
        </w:tc>
        <w:tc>
          <w:tcPr>
            <w:tcW w:w="2362" w:type="dxa"/>
            <w:vAlign w:val="center"/>
          </w:tcPr>
          <w:p>
            <w:pPr>
              <w:adjustRightInd w:val="0"/>
              <w:snapToGrid w:val="0"/>
              <w:jc w:val="left"/>
              <w:rPr>
                <w:rFonts w:ascii="宋体" w:hAnsi="宋体"/>
                <w:szCs w:val="21"/>
              </w:rPr>
            </w:pPr>
            <w:r>
              <w:rPr>
                <w:rFonts w:hint="eastAsia" w:ascii="宋体" w:hAnsi="宋体"/>
                <w:szCs w:val="21"/>
              </w:rPr>
              <w:t>货物质量缺陷</w:t>
            </w:r>
          </w:p>
          <w:p>
            <w:pPr>
              <w:adjustRightInd w:val="0"/>
              <w:snapToGrid w:val="0"/>
              <w:jc w:val="left"/>
              <w:rPr>
                <w:rFonts w:ascii="宋体" w:hAnsi="宋体"/>
                <w:szCs w:val="21"/>
              </w:rPr>
            </w:pPr>
            <w:r>
              <w:rPr>
                <w:rFonts w:hint="eastAsia" w:ascii="宋体" w:hAnsi="宋体"/>
                <w:szCs w:val="21"/>
              </w:rPr>
              <w:t>响应时间</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snapToGrid w:val="0"/>
              <w:jc w:val="center"/>
              <w:rPr>
                <w:rFonts w:ascii="宋体" w:hAnsi="宋体" w:cs="宋体"/>
                <w:szCs w:val="21"/>
              </w:rPr>
            </w:pPr>
            <w:r>
              <w:rPr>
                <w:rFonts w:hint="eastAsia" w:ascii="宋体" w:hAnsi="宋体" w:cs="宋体"/>
                <w:szCs w:val="21"/>
              </w:rPr>
              <w:t>第二节</w:t>
            </w:r>
          </w:p>
          <w:p>
            <w:pPr>
              <w:widowControl/>
              <w:autoSpaceDE w:val="0"/>
              <w:autoSpaceDN w:val="0"/>
              <w:adjustRightInd w:val="0"/>
              <w:spacing w:line="400" w:lineRule="exact"/>
              <w:jc w:val="center"/>
              <w:rPr>
                <w:rFonts w:ascii="华文楷体" w:hAnsi="华文楷体" w:eastAsia="华文楷体" w:cs="华文楷体"/>
                <w:kern w:val="0"/>
                <w:sz w:val="22"/>
                <w:szCs w:val="21"/>
              </w:rPr>
            </w:pPr>
            <w:r>
              <w:rPr>
                <w:rFonts w:hint="eastAsia" w:ascii="宋体" w:hAnsi="宋体" w:cs="宋体"/>
                <w:kern w:val="0"/>
                <w:sz w:val="22"/>
                <w:szCs w:val="21"/>
              </w:rPr>
              <w:t>第11.1款</w:t>
            </w:r>
          </w:p>
        </w:tc>
        <w:tc>
          <w:tcPr>
            <w:tcW w:w="2362" w:type="dxa"/>
            <w:vAlign w:val="center"/>
          </w:tcPr>
          <w:p>
            <w:pPr>
              <w:adjustRightInd w:val="0"/>
              <w:snapToGrid w:val="0"/>
              <w:rPr>
                <w:rFonts w:ascii="宋体" w:hAnsi="宋体"/>
                <w:szCs w:val="21"/>
              </w:rPr>
            </w:pPr>
            <w:r>
              <w:rPr>
                <w:rFonts w:hint="eastAsia" w:ascii="宋体" w:hAnsi="宋体"/>
                <w:szCs w:val="21"/>
              </w:rPr>
              <w:t>其他应当保密的信息</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第12.2款</w:t>
            </w:r>
          </w:p>
        </w:tc>
        <w:tc>
          <w:tcPr>
            <w:tcW w:w="2362" w:type="dxa"/>
            <w:vAlign w:val="center"/>
          </w:tcPr>
          <w:p>
            <w:pPr>
              <w:adjustRightInd w:val="0"/>
              <w:snapToGrid w:val="0"/>
              <w:jc w:val="left"/>
              <w:rPr>
                <w:rFonts w:ascii="宋体" w:hAnsi="宋体"/>
                <w:szCs w:val="21"/>
              </w:rPr>
            </w:pPr>
            <w:r>
              <w:rPr>
                <w:rFonts w:hint="eastAsia" w:ascii="宋体" w:hAnsi="宋体"/>
                <w:szCs w:val="21"/>
              </w:rPr>
              <w:t>合同价款支付时间</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第13.2款</w:t>
            </w:r>
          </w:p>
        </w:tc>
        <w:tc>
          <w:tcPr>
            <w:tcW w:w="2362" w:type="dxa"/>
            <w:vAlign w:val="center"/>
          </w:tcPr>
          <w:p>
            <w:pPr>
              <w:adjustRightInd w:val="0"/>
              <w:snapToGrid w:val="0"/>
              <w:jc w:val="left"/>
              <w:rPr>
                <w:rFonts w:ascii="宋体" w:hAnsi="宋体"/>
                <w:szCs w:val="21"/>
              </w:rPr>
            </w:pPr>
            <w:r>
              <w:rPr>
                <w:rFonts w:hint="eastAsia" w:ascii="宋体" w:hAnsi="宋体"/>
                <w:szCs w:val="21"/>
              </w:rPr>
              <w:t>履约保证金不予退还的情形</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第13.3款</w:t>
            </w:r>
          </w:p>
        </w:tc>
        <w:tc>
          <w:tcPr>
            <w:tcW w:w="2362" w:type="dxa"/>
            <w:vAlign w:val="center"/>
          </w:tcPr>
          <w:p>
            <w:pPr>
              <w:adjustRightInd w:val="0"/>
              <w:snapToGrid w:val="0"/>
              <w:jc w:val="left"/>
              <w:rPr>
                <w:rFonts w:ascii="宋体" w:hAnsi="宋体"/>
                <w:szCs w:val="21"/>
              </w:rPr>
            </w:pPr>
            <w:r>
              <w:rPr>
                <w:rFonts w:hint="eastAsia" w:ascii="宋体" w:hAnsi="宋体"/>
                <w:szCs w:val="21"/>
              </w:rPr>
              <w:t>履约保证金退还时间及逾期退还的违约金</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第14.1（3）项</w:t>
            </w:r>
          </w:p>
        </w:tc>
        <w:tc>
          <w:tcPr>
            <w:tcW w:w="2362" w:type="dxa"/>
            <w:vAlign w:val="center"/>
          </w:tcPr>
          <w:p>
            <w:pPr>
              <w:adjustRightInd w:val="0"/>
              <w:snapToGrid w:val="0"/>
              <w:jc w:val="left"/>
              <w:rPr>
                <w:rFonts w:ascii="宋体" w:hAnsi="宋体"/>
                <w:szCs w:val="21"/>
              </w:rPr>
            </w:pPr>
            <w:r>
              <w:rPr>
                <w:rFonts w:hint="eastAsia" w:ascii="宋体" w:hAnsi="宋体"/>
                <w:szCs w:val="21"/>
              </w:rPr>
              <w:t>运行监督、维修期限</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第14.1（5）项</w:t>
            </w:r>
          </w:p>
        </w:tc>
        <w:tc>
          <w:tcPr>
            <w:tcW w:w="2362" w:type="dxa"/>
            <w:vAlign w:val="center"/>
          </w:tcPr>
          <w:p>
            <w:pPr>
              <w:adjustRightInd w:val="0"/>
              <w:snapToGrid w:val="0"/>
              <w:jc w:val="left"/>
              <w:rPr>
                <w:rFonts w:ascii="宋体" w:hAnsi="宋体"/>
                <w:szCs w:val="21"/>
              </w:rPr>
            </w:pPr>
            <w:r>
              <w:rPr>
                <w:rFonts w:hint="eastAsia" w:ascii="宋体" w:hAnsi="宋体"/>
                <w:szCs w:val="21"/>
              </w:rPr>
              <w:t>货物回收的约定</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第14.1（6）项</w:t>
            </w:r>
          </w:p>
        </w:tc>
        <w:tc>
          <w:tcPr>
            <w:tcW w:w="2362" w:type="dxa"/>
            <w:vAlign w:val="center"/>
          </w:tcPr>
          <w:p>
            <w:pPr>
              <w:adjustRightInd w:val="0"/>
              <w:snapToGrid w:val="0"/>
              <w:jc w:val="left"/>
              <w:rPr>
                <w:rFonts w:ascii="宋体" w:hAnsi="宋体"/>
                <w:szCs w:val="21"/>
              </w:rPr>
            </w:pPr>
            <w:r>
              <w:rPr>
                <w:rFonts w:hint="eastAsia" w:ascii="宋体" w:hAnsi="宋体"/>
                <w:szCs w:val="21"/>
              </w:rPr>
              <w:t>乙方提供的其他服务</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第15.1款</w:t>
            </w:r>
          </w:p>
        </w:tc>
        <w:tc>
          <w:tcPr>
            <w:tcW w:w="2362" w:type="dxa"/>
            <w:vAlign w:val="center"/>
          </w:tcPr>
          <w:p>
            <w:pPr>
              <w:adjustRightInd w:val="0"/>
              <w:snapToGrid w:val="0"/>
              <w:jc w:val="left"/>
              <w:rPr>
                <w:rFonts w:ascii="宋体" w:hAnsi="宋体"/>
                <w:szCs w:val="21"/>
              </w:rPr>
            </w:pPr>
            <w:r>
              <w:rPr>
                <w:rFonts w:hint="eastAsia" w:ascii="宋体" w:hAnsi="宋体"/>
                <w:szCs w:val="21"/>
              </w:rPr>
              <w:t>修理、重作、更换相关具体规定</w:t>
            </w:r>
          </w:p>
        </w:tc>
        <w:tc>
          <w:tcPr>
            <w:tcW w:w="5831"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第15.2（2）项</w:t>
            </w:r>
          </w:p>
        </w:tc>
        <w:tc>
          <w:tcPr>
            <w:tcW w:w="2362" w:type="dxa"/>
            <w:vAlign w:val="center"/>
          </w:tcPr>
          <w:p>
            <w:pPr>
              <w:adjustRightInd w:val="0"/>
              <w:snapToGrid w:val="0"/>
              <w:jc w:val="left"/>
              <w:rPr>
                <w:rFonts w:ascii="宋体" w:hAnsi="宋体"/>
                <w:szCs w:val="21"/>
              </w:rPr>
            </w:pPr>
            <w:r>
              <w:rPr>
                <w:rFonts w:hint="eastAsia" w:ascii="宋体" w:hAnsi="宋体"/>
                <w:szCs w:val="21"/>
              </w:rPr>
              <w:t>迟延交货赔偿费</w:t>
            </w:r>
          </w:p>
        </w:tc>
        <w:tc>
          <w:tcPr>
            <w:tcW w:w="5831" w:type="dxa"/>
            <w:vAlign w:val="center"/>
          </w:tcPr>
          <w:p>
            <w:pPr>
              <w:adjustRightInd w:val="0"/>
              <w:snapToGrid w:val="0"/>
              <w:jc w:val="left"/>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第15.3款</w:t>
            </w:r>
          </w:p>
        </w:tc>
        <w:tc>
          <w:tcPr>
            <w:tcW w:w="2362" w:type="dxa"/>
            <w:vAlign w:val="center"/>
          </w:tcPr>
          <w:p>
            <w:pPr>
              <w:adjustRightInd w:val="0"/>
              <w:snapToGrid w:val="0"/>
              <w:jc w:val="left"/>
              <w:rPr>
                <w:rFonts w:ascii="宋体" w:hAnsi="宋体"/>
                <w:szCs w:val="21"/>
              </w:rPr>
            </w:pPr>
            <w:r>
              <w:rPr>
                <w:rFonts w:hint="eastAsia" w:ascii="宋体" w:hAnsi="宋体"/>
                <w:szCs w:val="21"/>
              </w:rPr>
              <w:t>逾期付款利息</w:t>
            </w:r>
          </w:p>
        </w:tc>
        <w:tc>
          <w:tcPr>
            <w:tcW w:w="5831" w:type="dxa"/>
            <w:vAlign w:val="center"/>
          </w:tcPr>
          <w:p>
            <w:pPr>
              <w:adjustRightInd w:val="0"/>
              <w:snapToGrid w:val="0"/>
              <w:jc w:val="left"/>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872" w:type="dxa"/>
            <w:tcBorders>
              <w:bottom w:val="single" w:color="auto" w:sz="2" w:space="0"/>
              <w:right w:val="single" w:color="auto" w:sz="2" w:space="0"/>
            </w:tcBorders>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第15.4款</w:t>
            </w:r>
          </w:p>
        </w:tc>
        <w:tc>
          <w:tcPr>
            <w:tcW w:w="236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szCs w:val="21"/>
              </w:rPr>
            </w:pPr>
            <w:r>
              <w:rPr>
                <w:rFonts w:hint="eastAsia" w:ascii="宋体" w:hAnsi="宋体"/>
                <w:szCs w:val="21"/>
              </w:rPr>
              <w:t>其他违约责任</w:t>
            </w:r>
          </w:p>
        </w:tc>
        <w:tc>
          <w:tcPr>
            <w:tcW w:w="5831" w:type="dxa"/>
            <w:tcBorders>
              <w:left w:val="single" w:color="auto" w:sz="2" w:space="0"/>
              <w:bottom w:val="single" w:color="auto" w:sz="2" w:space="0"/>
            </w:tcBorders>
            <w:vAlign w:val="center"/>
          </w:tcPr>
          <w:p>
            <w:pPr>
              <w:adjustRightInd w:val="0"/>
              <w:snapToGrid w:val="0"/>
              <w:jc w:val="left"/>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72" w:type="dxa"/>
            <w:tcBorders>
              <w:top w:val="single" w:color="auto" w:sz="2" w:space="0"/>
              <w:right w:val="single" w:color="auto" w:sz="2" w:space="0"/>
            </w:tcBorders>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第19.2款</w:t>
            </w:r>
          </w:p>
        </w:tc>
        <w:tc>
          <w:tcPr>
            <w:tcW w:w="236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szCs w:val="21"/>
              </w:rPr>
            </w:pPr>
            <w:r>
              <w:rPr>
                <w:rFonts w:hint="eastAsia" w:ascii="宋体" w:hAnsi="宋体"/>
                <w:szCs w:val="21"/>
              </w:rPr>
              <w:t>解决争议的方法</w:t>
            </w:r>
          </w:p>
        </w:tc>
        <w:tc>
          <w:tcPr>
            <w:tcW w:w="5831"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w:t>
            </w:r>
            <w:r>
              <w:rPr>
                <w:rFonts w:hint="eastAsia" w:ascii="宋体" w:hAnsi="宋体" w:cs="宋体"/>
                <w:iCs/>
                <w:szCs w:val="21"/>
              </w:rPr>
              <w:t>种方式解决：</w:t>
            </w:r>
          </w:p>
          <w:p>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w:t>
            </w:r>
            <w:r>
              <w:rPr>
                <w:rFonts w:hint="eastAsia" w:ascii="宋体" w:hAnsi="宋体" w:cs="宋体"/>
                <w:iCs/>
                <w:szCs w:val="21"/>
              </w:rPr>
              <w:t>仲裁委员会申请仲裁，仲裁地点为</w:t>
            </w:r>
            <w:r>
              <w:rPr>
                <w:rFonts w:hint="eastAsia" w:ascii="宋体" w:hAnsi="宋体" w:cs="宋体"/>
                <w:iCs/>
                <w:szCs w:val="21"/>
                <w:u w:val="single"/>
              </w:rPr>
              <w:t xml:space="preserve">        </w:t>
            </w:r>
            <w:r>
              <w:rPr>
                <w:rFonts w:hint="eastAsia" w:ascii="宋体" w:hAnsi="宋体" w:cs="宋体"/>
                <w:iCs/>
                <w:szCs w:val="21"/>
              </w:rPr>
              <w:t>；</w:t>
            </w:r>
          </w:p>
          <w:p>
            <w:pPr>
              <w:adjustRightInd w:val="0"/>
              <w:snapToGrid w:val="0"/>
              <w:jc w:val="left"/>
              <w:rPr>
                <w:rFonts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w:t>
            </w:r>
            <w:r>
              <w:rPr>
                <w:rFonts w:hint="eastAsia" w:ascii="宋体" w:hAnsi="宋体" w:cs="宋体"/>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872"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第23.1款</w:t>
            </w:r>
          </w:p>
        </w:tc>
        <w:tc>
          <w:tcPr>
            <w:tcW w:w="2362" w:type="dxa"/>
            <w:vAlign w:val="center"/>
          </w:tcPr>
          <w:p>
            <w:pPr>
              <w:adjustRightInd w:val="0"/>
              <w:snapToGrid w:val="0"/>
              <w:jc w:val="left"/>
              <w:rPr>
                <w:rFonts w:ascii="宋体" w:hAnsi="宋体"/>
                <w:szCs w:val="21"/>
              </w:rPr>
            </w:pPr>
            <w:r>
              <w:rPr>
                <w:rFonts w:hint="eastAsia" w:ascii="宋体" w:hAnsi="宋体"/>
                <w:bCs/>
                <w:szCs w:val="21"/>
              </w:rPr>
              <w:t>其他专用条款</w:t>
            </w:r>
          </w:p>
        </w:tc>
        <w:tc>
          <w:tcPr>
            <w:tcW w:w="5831" w:type="dxa"/>
            <w:vAlign w:val="center"/>
          </w:tcPr>
          <w:p>
            <w:pPr>
              <w:adjustRightInd w:val="0"/>
              <w:snapToGrid w:val="0"/>
              <w:jc w:val="left"/>
              <w:rPr>
                <w:rFonts w:ascii="宋体" w:hAnsi="宋体"/>
                <w:szCs w:val="21"/>
              </w:rPr>
            </w:pPr>
          </w:p>
        </w:tc>
      </w:tr>
    </w:tbl>
    <w:p>
      <w:r>
        <w:br w:type="page"/>
      </w:r>
    </w:p>
    <w:p>
      <w:pPr>
        <w:pStyle w:val="21"/>
        <w:jc w:val="left"/>
      </w:pPr>
    </w:p>
    <w:p/>
    <w:p/>
    <w:p/>
    <w:p/>
    <w:p/>
    <w:p/>
    <w:p/>
    <w:p/>
    <w:p/>
    <w:p/>
    <w:p/>
    <w:p/>
    <w:p/>
    <w:p>
      <w:pPr>
        <w:pStyle w:val="3"/>
        <w:spacing w:line="400" w:lineRule="exact"/>
        <w:rPr>
          <w:rFonts w:ascii="方正小标宋_GBK" w:hAnsi="方正小标宋_GBK" w:eastAsia="方正小标宋_GBK"/>
        </w:rPr>
      </w:pPr>
      <w:bookmarkStart w:id="142" w:name="_Toc397585460"/>
      <w:bookmarkStart w:id="143" w:name="_Toc92355028"/>
      <w:r>
        <w:rPr>
          <w:rFonts w:hint="eastAsia" w:ascii="方正小标宋_GBK" w:hAnsi="方正小标宋_GBK" w:eastAsia="方正小标宋_GBK"/>
        </w:rPr>
        <w:t>第六章  响应文件格式</w:t>
      </w:r>
      <w:bookmarkEnd w:id="142"/>
      <w:bookmarkEnd w:id="143"/>
    </w:p>
    <w:p>
      <w:pPr>
        <w:jc w:val="left"/>
        <w:rPr>
          <w:rFonts w:hAnsi="宋体"/>
          <w:sz w:val="36"/>
          <w:szCs w:val="36"/>
        </w:rPr>
      </w:pPr>
      <w:r>
        <w:rPr>
          <w:b/>
          <w:sz w:val="30"/>
          <w:szCs w:val="30"/>
        </w:rPr>
        <w:br w:type="page"/>
      </w:r>
      <w:r>
        <w:rPr>
          <w:rFonts w:hint="eastAsia" w:ascii="仿宋_GB2312"/>
          <w:b/>
          <w:bCs/>
          <w:sz w:val="36"/>
          <w:szCs w:val="36"/>
        </w:rPr>
        <w:t>一、供应商资格文件</w:t>
      </w:r>
    </w:p>
    <w:p>
      <w:pPr>
        <w:tabs>
          <w:tab w:val="left" w:pos="3402"/>
        </w:tabs>
        <w:ind w:firstLine="602"/>
        <w:jc w:val="center"/>
        <w:rPr>
          <w:rFonts w:ascii="仿宋_GB2312" w:hAnsi="Adobe 仿宋 Std R" w:eastAsia="仿宋_GB2312"/>
          <w:b/>
          <w:spacing w:val="10"/>
          <w:sz w:val="32"/>
          <w:szCs w:val="32"/>
        </w:rPr>
      </w:pPr>
      <w:bookmarkStart w:id="144" w:name="_Hlk111728366"/>
      <w:r>
        <w:rPr>
          <w:rFonts w:hint="eastAsia" w:ascii="仿宋_GB2312" w:hAnsi="Adobe 仿宋 Std R" w:eastAsia="仿宋_GB2312"/>
          <w:b/>
          <w:spacing w:val="10"/>
          <w:sz w:val="32"/>
          <w:szCs w:val="32"/>
        </w:rPr>
        <w:t>供应商具备参加政府采购活动条件的承诺书</w:t>
      </w:r>
      <w:r>
        <w:rPr>
          <w:rFonts w:hint="eastAsia" w:ascii="仿宋_GB2312" w:hAnsi="Adobe 仿宋 Std R" w:eastAsia="仿宋_GB2312" w:cs="黑体"/>
          <w:bCs/>
          <w:sz w:val="24"/>
        </w:rPr>
        <w:t>(格式)</w:t>
      </w:r>
    </w:p>
    <w:p>
      <w:pPr>
        <w:tabs>
          <w:tab w:val="left" w:pos="3402"/>
        </w:tabs>
        <w:jc w:val="left"/>
        <w:rPr>
          <w:rFonts w:ascii="仿宋_GB2312" w:hAnsi="仿宋" w:eastAsia="仿宋_GB2312"/>
          <w:b/>
          <w:spacing w:val="10"/>
          <w:szCs w:val="21"/>
        </w:rPr>
      </w:pPr>
    </w:p>
    <w:p>
      <w:pPr>
        <w:spacing w:line="520" w:lineRule="exact"/>
        <w:rPr>
          <w:rFonts w:ascii="宋体" w:hAnsi="宋体"/>
          <w:bCs/>
          <w:szCs w:val="22"/>
        </w:rPr>
      </w:pPr>
      <w:r>
        <w:rPr>
          <w:rFonts w:hint="eastAsia" w:ascii="宋体" w:hAnsi="宋体"/>
          <w:bCs/>
          <w:szCs w:val="22"/>
        </w:rPr>
        <w:t>钦州市政府采购中心：</w:t>
      </w:r>
    </w:p>
    <w:p>
      <w:pPr>
        <w:spacing w:line="520" w:lineRule="exact"/>
        <w:ind w:firstLine="420"/>
        <w:rPr>
          <w:rFonts w:ascii="宋体" w:hAnsi="宋体"/>
          <w:bCs/>
          <w:szCs w:val="22"/>
        </w:rPr>
      </w:pPr>
      <w:r>
        <w:rPr>
          <w:rFonts w:hint="eastAsia" w:ascii="宋体" w:hAnsi="宋体"/>
          <w:bCs/>
          <w:szCs w:val="22"/>
        </w:rPr>
        <w:t>根据《中华人民共和国政府采购法》实施条例第十七条的规定，现郑重承诺：</w:t>
      </w:r>
    </w:p>
    <w:p>
      <w:pPr>
        <w:spacing w:line="520" w:lineRule="exact"/>
        <w:ind w:firstLine="420"/>
        <w:rPr>
          <w:rFonts w:ascii="宋体" w:hAnsi="宋体"/>
          <w:bCs/>
          <w:szCs w:val="22"/>
        </w:rPr>
      </w:pPr>
      <w:r>
        <w:rPr>
          <w:rFonts w:ascii="宋体" w:hAnsi="宋体"/>
          <w:bCs/>
          <w:szCs w:val="22"/>
          <w:u w:val="single"/>
        </w:rPr>
        <w:t>(</w:t>
      </w:r>
      <w:r>
        <w:rPr>
          <w:rFonts w:hint="eastAsia" w:ascii="宋体" w:hAnsi="宋体"/>
          <w:bCs/>
          <w:szCs w:val="22"/>
          <w:u w:val="single"/>
        </w:rPr>
        <w:t>供应商名称)</w:t>
      </w:r>
      <w:r>
        <w:rPr>
          <w:rFonts w:hint="eastAsia" w:ascii="宋体" w:hAnsi="宋体"/>
          <w:bCs/>
          <w:szCs w:val="22"/>
        </w:rPr>
        <w:t>具有良好的商业信誉和健全的财务会计制度，具有履行合同所必需的设备和专业技术能力，有依法缴纳税收和社会保障资金的良好记录。</w:t>
      </w:r>
    </w:p>
    <w:p>
      <w:pPr>
        <w:spacing w:line="520" w:lineRule="exact"/>
        <w:ind w:firstLine="420"/>
        <w:rPr>
          <w:rFonts w:ascii="宋体" w:hAnsi="宋体"/>
          <w:bCs/>
          <w:szCs w:val="22"/>
        </w:rPr>
      </w:pPr>
      <w:r>
        <w:rPr>
          <w:rFonts w:hint="eastAsia" w:ascii="宋体" w:hAnsi="宋体"/>
          <w:bCs/>
          <w:szCs w:val="22"/>
        </w:rPr>
        <w:t>本单位对上述承诺内容事项真实性负责，如有虚假，由我单位承担相关法律责任。</w:t>
      </w:r>
    </w:p>
    <w:p>
      <w:pPr>
        <w:spacing w:line="520" w:lineRule="exact"/>
        <w:ind w:firstLine="420"/>
        <w:rPr>
          <w:rFonts w:ascii="宋体" w:hAnsi="宋体"/>
          <w:bCs/>
          <w:szCs w:val="22"/>
        </w:rPr>
      </w:pPr>
      <w:r>
        <w:rPr>
          <w:rFonts w:hint="eastAsia" w:ascii="宋体" w:hAnsi="宋体"/>
          <w:bCs/>
          <w:szCs w:val="22"/>
        </w:rPr>
        <w:t>特此承诺。</w:t>
      </w:r>
    </w:p>
    <w:p>
      <w:pPr>
        <w:ind w:firstLine="420"/>
        <w:rPr>
          <w:rFonts w:ascii="宋体" w:hAnsi="宋体"/>
          <w:bCs/>
          <w:szCs w:val="22"/>
        </w:rPr>
      </w:pPr>
    </w:p>
    <w:p>
      <w:pPr>
        <w:ind w:firstLine="420"/>
        <w:rPr>
          <w:rFonts w:ascii="宋体" w:hAnsi="宋体"/>
          <w:bCs/>
          <w:szCs w:val="22"/>
        </w:rPr>
      </w:pPr>
    </w:p>
    <w:p>
      <w:pPr>
        <w:spacing w:line="440" w:lineRule="exact"/>
        <w:ind w:right="1050" w:rightChars="500" w:firstLine="5250" w:firstLineChars="2500"/>
        <w:jc w:val="left"/>
        <w:rPr>
          <w:rFonts w:ascii="宋体" w:hAnsi="宋体"/>
          <w:bCs/>
        </w:rPr>
      </w:pPr>
      <w:r>
        <w:rPr>
          <w:rFonts w:hint="eastAsia" w:ascii="宋体" w:hAnsi="宋体"/>
          <w:bCs/>
          <w:szCs w:val="22"/>
        </w:rPr>
        <w:t xml:space="preserve"> </w:t>
      </w:r>
      <w:r>
        <w:rPr>
          <w:rFonts w:ascii="宋体" w:hAnsi="宋体"/>
          <w:bCs/>
          <w:szCs w:val="22"/>
        </w:rPr>
        <w:t xml:space="preserve">   </w:t>
      </w:r>
      <w:r>
        <w:rPr>
          <w:rFonts w:hint="eastAsia" w:ascii="宋体" w:hAnsi="宋体"/>
          <w:bCs/>
        </w:rPr>
        <w:t>供应商（盖章）：</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p>
    <w:p>
      <w:pPr>
        <w:spacing w:line="440" w:lineRule="exact"/>
        <w:ind w:right="420"/>
        <w:jc w:val="center"/>
        <w:rPr>
          <w:rFonts w:ascii="宋体" w:hAnsi="宋体"/>
          <w:bCs/>
        </w:rPr>
      </w:pPr>
      <w:r>
        <w:rPr>
          <w:rFonts w:hint="eastAsia" w:ascii="宋体" w:hAnsi="宋体"/>
          <w:bCs/>
        </w:rPr>
        <w:t xml:space="preserve"> </w:t>
      </w:r>
      <w:r>
        <w:rPr>
          <w:rFonts w:ascii="宋体" w:hAnsi="宋体"/>
          <w:bCs/>
        </w:rPr>
        <w:t xml:space="preserve">                                                </w:t>
      </w:r>
      <w:r>
        <w:rPr>
          <w:rFonts w:hint="eastAsia" w:ascii="宋体" w:hAnsi="宋体"/>
          <w:bCs/>
        </w:rPr>
        <w:t>日期：</w:t>
      </w:r>
      <w:r>
        <w:rPr>
          <w:rFonts w:hint="eastAsia" w:ascii="宋体" w:hAnsi="宋体"/>
          <w:bCs/>
          <w:u w:val="single"/>
        </w:rPr>
        <w:t xml:space="preserve">      </w:t>
      </w:r>
      <w:r>
        <w:rPr>
          <w:rFonts w:hint="eastAsia" w:ascii="宋体" w:hAnsi="宋体"/>
          <w:bCs/>
        </w:rPr>
        <w:t>年</w:t>
      </w:r>
      <w:r>
        <w:rPr>
          <w:rFonts w:hint="eastAsia" w:ascii="宋体" w:hAnsi="宋体"/>
          <w:bCs/>
          <w:u w:val="single"/>
        </w:rPr>
        <w:t xml:space="preserve">    </w:t>
      </w:r>
      <w:r>
        <w:rPr>
          <w:rFonts w:hint="eastAsia" w:ascii="宋体" w:hAnsi="宋体"/>
          <w:bCs/>
        </w:rPr>
        <w:t>月</w:t>
      </w:r>
      <w:r>
        <w:rPr>
          <w:rFonts w:hint="eastAsia" w:ascii="宋体" w:hAnsi="宋体"/>
          <w:bCs/>
          <w:u w:val="single"/>
        </w:rPr>
        <w:t xml:space="preserve">    </w:t>
      </w:r>
      <w:r>
        <w:rPr>
          <w:rFonts w:hint="eastAsia" w:ascii="宋体" w:hAnsi="宋体"/>
          <w:bCs/>
        </w:rPr>
        <w:t>日</w:t>
      </w:r>
    </w:p>
    <w:bookmarkEnd w:id="144"/>
    <w:p/>
    <w:p/>
    <w:p/>
    <w:p/>
    <w:p/>
    <w:p>
      <w:pPr>
        <w:tabs>
          <w:tab w:val="left" w:pos="3402"/>
        </w:tabs>
        <w:spacing w:line="460" w:lineRule="exact"/>
        <w:jc w:val="center"/>
        <w:rPr>
          <w:rFonts w:ascii="仿宋_GB2312" w:hAnsi="仿宋" w:eastAsia="仿宋_GB2312"/>
          <w:b/>
          <w:spacing w:val="10"/>
          <w:sz w:val="32"/>
          <w:szCs w:val="32"/>
        </w:rPr>
      </w:pPr>
      <w:r>
        <w:rPr>
          <w:rFonts w:hint="eastAsia" w:ascii="仿宋_GB2312" w:hAnsi="仿宋" w:eastAsia="仿宋_GB2312"/>
          <w:b/>
          <w:spacing w:val="10"/>
          <w:sz w:val="32"/>
          <w:szCs w:val="32"/>
        </w:rPr>
        <w:t>无重大违法记录的书面声明</w:t>
      </w:r>
      <w:r>
        <w:rPr>
          <w:rFonts w:hint="eastAsia" w:ascii="仿宋" w:hAnsi="仿宋" w:eastAsia="仿宋" w:cs="黑体"/>
          <w:bCs/>
          <w:sz w:val="24"/>
        </w:rPr>
        <w:t>(格式</w:t>
      </w:r>
      <w:r>
        <w:rPr>
          <w:rFonts w:ascii="仿宋" w:hAnsi="仿宋" w:eastAsia="仿宋" w:cs="黑体"/>
          <w:bCs/>
          <w:sz w:val="24"/>
        </w:rPr>
        <w:t>)</w:t>
      </w:r>
    </w:p>
    <w:p>
      <w:pPr>
        <w:spacing w:line="400" w:lineRule="exact"/>
        <w:rPr>
          <w:rFonts w:ascii="宋体" w:hAnsi="宋体"/>
          <w:b/>
        </w:rPr>
      </w:pPr>
    </w:p>
    <w:p>
      <w:pPr>
        <w:spacing w:line="520" w:lineRule="exact"/>
        <w:rPr>
          <w:rFonts w:ascii="宋体" w:hAnsi="宋体"/>
          <w:bCs/>
        </w:rPr>
      </w:pPr>
      <w:r>
        <w:rPr>
          <w:rFonts w:hint="eastAsia" w:ascii="宋体" w:hAnsi="宋体"/>
          <w:bCs/>
        </w:rPr>
        <w:t>钦州市政府采购中心：</w:t>
      </w:r>
    </w:p>
    <w:p>
      <w:pPr>
        <w:spacing w:line="520" w:lineRule="exact"/>
        <w:ind w:firstLine="420"/>
        <w:rPr>
          <w:rFonts w:ascii="宋体" w:hAnsi="宋体"/>
          <w:bCs/>
        </w:rPr>
      </w:pPr>
      <w:r>
        <w:rPr>
          <w:rFonts w:hint="eastAsia" w:ascii="宋体" w:hAnsi="宋体"/>
          <w:bCs/>
        </w:rPr>
        <w:t>根据《中华人民共和国政府采购法实施条例》第十七条第一款第(四</w:t>
      </w:r>
      <w:r>
        <w:rPr>
          <w:rFonts w:ascii="宋体" w:hAnsi="宋体"/>
          <w:bCs/>
        </w:rPr>
        <w:t>）</w:t>
      </w:r>
      <w:r>
        <w:rPr>
          <w:rFonts w:hint="eastAsia" w:ascii="宋体" w:hAnsi="宋体"/>
          <w:bCs/>
        </w:rPr>
        <w:t>项的规定，现郑重声明：</w:t>
      </w:r>
    </w:p>
    <w:p>
      <w:pPr>
        <w:spacing w:line="520" w:lineRule="exact"/>
        <w:ind w:firstLine="420"/>
        <w:rPr>
          <w:rFonts w:ascii="宋体" w:hAnsi="宋体"/>
          <w:bCs/>
        </w:rPr>
      </w:pPr>
      <w:r>
        <w:rPr>
          <w:rFonts w:ascii="宋体" w:hAnsi="宋体"/>
          <w:bCs/>
          <w:u w:val="single"/>
        </w:rPr>
        <w:t>(</w:t>
      </w:r>
      <w:r>
        <w:rPr>
          <w:rFonts w:hint="eastAsia" w:ascii="宋体" w:hAnsi="宋体"/>
          <w:bCs/>
          <w:u w:val="single"/>
        </w:rPr>
        <w:t>供应商名称)</w:t>
      </w:r>
      <w:r>
        <w:rPr>
          <w:rFonts w:hint="eastAsia" w:ascii="宋体" w:hAnsi="宋体"/>
          <w:bCs/>
        </w:rPr>
        <w:t>在参加本次政府采购活动前3年内在经营活动中没有重大违法记录（</w:t>
      </w:r>
      <w:r>
        <w:rPr>
          <w:rFonts w:hint="eastAsia" w:ascii="宋体" w:hAnsi="宋体"/>
          <w:bCs/>
          <w:u w:val="single"/>
        </w:rPr>
        <w:t>即因违法经营受到刑事处罚或者责令停产停业、吊销许可证或者执照、较大数额罚款等行政处罚的行为</w:t>
      </w:r>
      <w:r>
        <w:rPr>
          <w:rFonts w:hint="eastAsia" w:ascii="宋体" w:hAnsi="宋体"/>
          <w:bCs/>
        </w:rPr>
        <w:t>）。</w:t>
      </w:r>
    </w:p>
    <w:p>
      <w:pPr>
        <w:spacing w:line="520" w:lineRule="exact"/>
        <w:ind w:firstLine="420"/>
        <w:rPr>
          <w:rFonts w:ascii="宋体" w:hAnsi="宋体"/>
          <w:bCs/>
        </w:rPr>
      </w:pPr>
      <w:r>
        <w:rPr>
          <w:rFonts w:hint="eastAsia" w:ascii="宋体" w:hAnsi="宋体"/>
          <w:bCs/>
        </w:rPr>
        <w:t>本单位对上述声明内容事项真实性负责，如有虚假，由我单位承担相关法律责任。</w:t>
      </w:r>
    </w:p>
    <w:p>
      <w:pPr>
        <w:spacing w:line="520" w:lineRule="exact"/>
        <w:ind w:firstLine="420"/>
        <w:rPr>
          <w:rFonts w:ascii="宋体" w:hAnsi="宋体"/>
          <w:bCs/>
        </w:rPr>
      </w:pPr>
      <w:r>
        <w:rPr>
          <w:rFonts w:hint="eastAsia" w:ascii="宋体" w:hAnsi="宋体"/>
          <w:bCs/>
        </w:rPr>
        <w:t>特此声明。</w:t>
      </w:r>
    </w:p>
    <w:p>
      <w:pPr>
        <w:rPr>
          <w:rFonts w:ascii="宋体" w:hAnsi="宋体"/>
          <w:bCs/>
          <w:szCs w:val="22"/>
        </w:rPr>
      </w:pPr>
    </w:p>
    <w:p>
      <w:pPr>
        <w:rPr>
          <w:rFonts w:ascii="宋体" w:hAnsi="宋体"/>
          <w:bCs/>
          <w:szCs w:val="22"/>
        </w:rPr>
      </w:pPr>
    </w:p>
    <w:p>
      <w:pPr>
        <w:spacing w:line="440" w:lineRule="exact"/>
        <w:ind w:right="1050" w:rightChars="500" w:firstLine="5670" w:firstLineChars="2700"/>
        <w:jc w:val="left"/>
        <w:rPr>
          <w:rFonts w:ascii="宋体" w:hAnsi="宋体"/>
          <w:bCs/>
        </w:rPr>
      </w:pPr>
      <w:r>
        <w:rPr>
          <w:rFonts w:hint="eastAsia" w:ascii="宋体" w:hAnsi="宋体"/>
          <w:bCs/>
        </w:rPr>
        <w:t>供应商（盖章）：</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p>
    <w:p>
      <w:pPr>
        <w:spacing w:line="440" w:lineRule="exact"/>
        <w:ind w:right="420"/>
        <w:jc w:val="center"/>
        <w:rPr>
          <w:rFonts w:ascii="宋体" w:hAnsi="宋体"/>
          <w:bCs/>
        </w:rPr>
      </w:pPr>
      <w:r>
        <w:rPr>
          <w:rFonts w:hint="eastAsia" w:ascii="宋体" w:hAnsi="宋体"/>
          <w:bCs/>
        </w:rPr>
        <w:t xml:space="preserve"> </w:t>
      </w:r>
      <w:r>
        <w:rPr>
          <w:rFonts w:ascii="宋体" w:hAnsi="宋体"/>
          <w:bCs/>
        </w:rPr>
        <w:t xml:space="preserve">                                                </w:t>
      </w:r>
      <w:r>
        <w:rPr>
          <w:rFonts w:hint="eastAsia" w:ascii="宋体" w:hAnsi="宋体"/>
          <w:bCs/>
        </w:rPr>
        <w:t>日期：</w:t>
      </w:r>
      <w:r>
        <w:rPr>
          <w:rFonts w:hint="eastAsia" w:ascii="宋体" w:hAnsi="宋体"/>
          <w:bCs/>
          <w:u w:val="single"/>
        </w:rPr>
        <w:t xml:space="preserve">      </w:t>
      </w:r>
      <w:r>
        <w:rPr>
          <w:rFonts w:hint="eastAsia" w:ascii="宋体" w:hAnsi="宋体"/>
          <w:bCs/>
        </w:rPr>
        <w:t>年</w:t>
      </w:r>
      <w:r>
        <w:rPr>
          <w:rFonts w:hint="eastAsia" w:ascii="宋体" w:hAnsi="宋体"/>
          <w:bCs/>
          <w:u w:val="single"/>
        </w:rPr>
        <w:t xml:space="preserve">    </w:t>
      </w:r>
      <w:r>
        <w:rPr>
          <w:rFonts w:hint="eastAsia" w:ascii="宋体" w:hAnsi="宋体"/>
          <w:bCs/>
        </w:rPr>
        <w:t>月</w:t>
      </w:r>
      <w:r>
        <w:rPr>
          <w:rFonts w:hint="eastAsia" w:ascii="宋体" w:hAnsi="宋体"/>
          <w:bCs/>
          <w:u w:val="single"/>
        </w:rPr>
        <w:t xml:space="preserve">    </w:t>
      </w:r>
      <w:r>
        <w:rPr>
          <w:rFonts w:hint="eastAsia" w:ascii="宋体" w:hAnsi="宋体"/>
          <w:bCs/>
        </w:rPr>
        <w:t>日</w:t>
      </w:r>
    </w:p>
    <w:p>
      <w:pPr>
        <w:spacing w:line="400" w:lineRule="exact"/>
        <w:ind w:right="1050" w:rightChars="500"/>
        <w:jc w:val="right"/>
        <w:rPr>
          <w:rFonts w:ascii="黑体" w:hAnsi="黑体" w:eastAsia="黑体" w:cs="黑体"/>
          <w:b/>
          <w:sz w:val="32"/>
          <w:szCs w:val="32"/>
        </w:rPr>
      </w:pPr>
    </w:p>
    <w:p>
      <w:pPr>
        <w:widowControl/>
        <w:jc w:val="left"/>
        <w:rPr>
          <w:rFonts w:ascii="黑体" w:hAnsi="黑体" w:eastAsia="黑体" w:cs="黑体"/>
          <w:b/>
          <w:sz w:val="32"/>
          <w:szCs w:val="32"/>
        </w:rPr>
      </w:pPr>
      <w:r>
        <w:rPr>
          <w:rFonts w:ascii="黑体" w:hAnsi="黑体" w:eastAsia="黑体" w:cs="黑体"/>
          <w:b/>
          <w:sz w:val="32"/>
          <w:szCs w:val="32"/>
        </w:rPr>
        <w:br w:type="page"/>
      </w:r>
      <w:r>
        <w:rPr>
          <w:rFonts w:hint="eastAsia" w:ascii="仿宋" w:hAnsi="仿宋" w:eastAsia="仿宋"/>
          <w:b/>
          <w:sz w:val="36"/>
          <w:szCs w:val="36"/>
        </w:rPr>
        <w:t>二、商务技术文件</w:t>
      </w:r>
    </w:p>
    <w:p>
      <w:pPr>
        <w:widowControl/>
        <w:jc w:val="center"/>
        <w:rPr>
          <w:rFonts w:ascii="仿宋" w:hAnsi="仿宋" w:eastAsia="仿宋" w:cs="黑体"/>
          <w:b/>
          <w:sz w:val="32"/>
          <w:szCs w:val="32"/>
        </w:rPr>
      </w:pPr>
      <w:bookmarkStart w:id="145" w:name="_Hlk92702324"/>
      <w:r>
        <w:rPr>
          <w:rFonts w:hint="eastAsia" w:ascii="仿宋" w:hAnsi="仿宋" w:eastAsia="仿宋" w:cs="黑体"/>
          <w:b/>
          <w:sz w:val="32"/>
          <w:szCs w:val="32"/>
        </w:rPr>
        <w:t>谈 判 函</w:t>
      </w:r>
      <w:bookmarkEnd w:id="145"/>
      <w:r>
        <w:rPr>
          <w:rFonts w:hint="eastAsia" w:ascii="仿宋" w:hAnsi="仿宋" w:eastAsia="仿宋" w:cs="黑体"/>
          <w:bCs/>
          <w:sz w:val="24"/>
        </w:rPr>
        <w:t>(格式</w:t>
      </w:r>
      <w:r>
        <w:rPr>
          <w:rFonts w:ascii="仿宋" w:hAnsi="仿宋" w:eastAsia="仿宋" w:cs="黑体"/>
          <w:bCs/>
          <w:sz w:val="24"/>
        </w:rPr>
        <w:t>)</w:t>
      </w:r>
    </w:p>
    <w:p>
      <w:pPr>
        <w:spacing w:line="360" w:lineRule="exact"/>
        <w:jc w:val="center"/>
        <w:rPr>
          <w:rFonts w:ascii="宋体" w:hAnsi="宋体"/>
          <w:b/>
          <w:szCs w:val="21"/>
        </w:rPr>
      </w:pPr>
    </w:p>
    <w:p>
      <w:pPr>
        <w:spacing w:line="400" w:lineRule="exact"/>
        <w:rPr>
          <w:rFonts w:ascii="宋体" w:hAnsi="宋体"/>
          <w:szCs w:val="21"/>
        </w:rPr>
      </w:pPr>
      <w:r>
        <w:rPr>
          <w:rFonts w:hint="eastAsia" w:ascii="宋体" w:hAnsi="宋体"/>
          <w:szCs w:val="21"/>
        </w:rPr>
        <w:t>致：钦州市政府采购中心：</w:t>
      </w:r>
    </w:p>
    <w:p>
      <w:pPr>
        <w:pStyle w:val="21"/>
        <w:spacing w:line="480" w:lineRule="exact"/>
        <w:ind w:firstLine="420"/>
        <w:rPr>
          <w:rFonts w:hAnsi="宋体"/>
        </w:rPr>
      </w:pPr>
      <w:r>
        <w:rPr>
          <w:rFonts w:hint="eastAsia" w:hAnsi="宋体"/>
        </w:rPr>
        <w:t>依据贵方</w:t>
      </w:r>
      <w:r>
        <w:rPr>
          <w:rFonts w:hint="eastAsia" w:hAnsi="宋体"/>
          <w:u w:val="single"/>
        </w:rPr>
        <w:t>（项目名称/文件编号）</w:t>
      </w:r>
      <w:r>
        <w:rPr>
          <w:rFonts w:hint="eastAsia" w:hAnsi="宋体"/>
        </w:rPr>
        <w:t>项目竞争性谈判采购文件，我方</w:t>
      </w:r>
      <w:r>
        <w:rPr>
          <w:rFonts w:hint="eastAsia" w:hAnsi="宋体"/>
          <w:u w:val="single"/>
        </w:rPr>
        <w:t xml:space="preserve"> （供应商名称） </w:t>
      </w:r>
      <w:r>
        <w:rPr>
          <w:rFonts w:hint="eastAsia" w:hAnsi="宋体"/>
        </w:rPr>
        <w:t>经正式授权代表</w:t>
      </w:r>
      <w:r>
        <w:rPr>
          <w:rFonts w:hint="eastAsia" w:hAnsi="宋体"/>
          <w:u w:val="single"/>
        </w:rPr>
        <w:t xml:space="preserve">   （被授权人）</w:t>
      </w:r>
      <w:r>
        <w:rPr>
          <w:rFonts w:hint="eastAsia" w:hAnsi="宋体"/>
        </w:rPr>
        <w:t>提交响应文件。</w:t>
      </w:r>
    </w:p>
    <w:p>
      <w:pPr>
        <w:spacing w:line="400" w:lineRule="exact"/>
        <w:rPr>
          <w:rFonts w:ascii="宋体" w:hAnsi="宋体"/>
          <w:szCs w:val="21"/>
        </w:rPr>
      </w:pPr>
      <w:r>
        <w:rPr>
          <w:rFonts w:ascii="宋体" w:hAnsi="宋体"/>
          <w:szCs w:val="21"/>
        </w:rPr>
        <w:tab/>
      </w:r>
      <w:r>
        <w:rPr>
          <w:rFonts w:hint="eastAsia" w:ascii="宋体" w:hAnsi="宋体"/>
          <w:szCs w:val="21"/>
        </w:rPr>
        <w:t>据此函，我公司承诺：</w:t>
      </w:r>
    </w:p>
    <w:p>
      <w:pPr>
        <w:snapToGrid w:val="0"/>
        <w:spacing w:line="360" w:lineRule="exact"/>
        <w:ind w:firstLine="420" w:firstLineChars="200"/>
        <w:rPr>
          <w:rFonts w:ascii="宋体" w:hAnsi="宋体"/>
          <w:szCs w:val="21"/>
        </w:rPr>
      </w:pPr>
      <w:r>
        <w:rPr>
          <w:rFonts w:ascii="宋体" w:hAnsi="宋体"/>
          <w:szCs w:val="21"/>
        </w:rPr>
        <w:t>1.</w:t>
      </w:r>
      <w:r>
        <w:rPr>
          <w:rFonts w:hint="eastAsia" w:ascii="宋体" w:hAnsi="宋体"/>
          <w:szCs w:val="21"/>
        </w:rPr>
        <w:t>我方已详细审阅采购文件（包括澄清或者修改文件），已经了解我方对于采购文件、采购过程、采购结果有依法进行询问、质疑、投诉的权利及相关渠道和要求。</w:t>
      </w:r>
    </w:p>
    <w:p>
      <w:pPr>
        <w:snapToGrid w:val="0"/>
        <w:spacing w:line="3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360" w:lineRule="exact"/>
        <w:ind w:firstLine="420" w:firstLineChars="200"/>
        <w:rPr>
          <w:rFonts w:ascii="宋体" w:hAnsi="宋体"/>
          <w:szCs w:val="21"/>
        </w:rPr>
      </w:pPr>
      <w:r>
        <w:rPr>
          <w:rFonts w:ascii="宋体" w:hAnsi="宋体"/>
          <w:szCs w:val="21"/>
        </w:rPr>
        <w:t>3.</w:t>
      </w:r>
      <w:r>
        <w:rPr>
          <w:rFonts w:hint="eastAsia" w:ascii="宋体" w:hAnsi="宋体"/>
          <w:szCs w:val="21"/>
        </w:rPr>
        <w:t>我方在谈判之前已经与贵方进行了充分的沟通，完全理解并接受采购文件的各项规定和要求，对采购文件的合理性、合法性不再有异议。</w:t>
      </w:r>
    </w:p>
    <w:p>
      <w:pPr>
        <w:spacing w:line="400" w:lineRule="exact"/>
        <w:rPr>
          <w:rFonts w:ascii="宋体" w:hAnsi="宋体"/>
          <w:szCs w:val="21"/>
        </w:rPr>
      </w:pPr>
      <w:r>
        <w:rPr>
          <w:rFonts w:ascii="宋体" w:hAnsi="宋体"/>
          <w:szCs w:val="21"/>
        </w:rPr>
        <w:tab/>
      </w:r>
      <w:r>
        <w:rPr>
          <w:rFonts w:ascii="宋体" w:hAnsi="宋体"/>
          <w:szCs w:val="21"/>
        </w:rPr>
        <w:t>4</w:t>
      </w:r>
      <w:r>
        <w:rPr>
          <w:rFonts w:hint="eastAsia" w:ascii="宋体" w:hAnsi="宋体"/>
          <w:szCs w:val="21"/>
        </w:rPr>
        <w:t>.我方根据采购文件的规定，承担完成合同的责任和义务。</w:t>
      </w:r>
    </w:p>
    <w:p>
      <w:pPr>
        <w:spacing w:line="400" w:lineRule="exact"/>
        <w:rPr>
          <w:rFonts w:ascii="宋体" w:hAnsi="宋体"/>
          <w:szCs w:val="21"/>
        </w:rPr>
      </w:pPr>
      <w:r>
        <w:rPr>
          <w:rFonts w:ascii="宋体" w:hAnsi="宋体"/>
          <w:szCs w:val="21"/>
        </w:rPr>
        <w:tab/>
      </w:r>
      <w:r>
        <w:rPr>
          <w:rFonts w:ascii="宋体" w:hAnsi="宋体"/>
          <w:szCs w:val="21"/>
        </w:rPr>
        <w:t>5</w:t>
      </w:r>
      <w:r>
        <w:rPr>
          <w:rFonts w:hint="eastAsia" w:ascii="宋体" w:hAnsi="宋体"/>
          <w:szCs w:val="21"/>
        </w:rPr>
        <w:t>.同意向贵方提供贵方可能要求的与本项目采购有关的人员、数据和资料。</w:t>
      </w:r>
    </w:p>
    <w:p>
      <w:pPr>
        <w:spacing w:line="400" w:lineRule="exact"/>
        <w:ind w:firstLine="424" w:firstLineChars="202"/>
        <w:rPr>
          <w:rFonts w:ascii="宋体" w:hAnsi="宋体"/>
          <w:szCs w:val="21"/>
        </w:rPr>
      </w:pPr>
      <w:r>
        <w:rPr>
          <w:rFonts w:ascii="宋体" w:hAnsi="宋体"/>
          <w:szCs w:val="21"/>
        </w:rPr>
        <w:t>6.</w:t>
      </w:r>
      <w:r>
        <w:rPr>
          <w:rFonts w:hint="eastAsia" w:ascii="宋体" w:hAnsi="宋体"/>
          <w:szCs w:val="21"/>
        </w:rPr>
        <w:t>我方向贵方提交的所有响应文件、资料都是准确的和真实的。</w:t>
      </w:r>
    </w:p>
    <w:p>
      <w:pPr>
        <w:spacing w:line="400" w:lineRule="exact"/>
        <w:rPr>
          <w:rFonts w:ascii="宋体" w:hAnsi="宋体"/>
          <w:szCs w:val="21"/>
        </w:rPr>
      </w:pPr>
    </w:p>
    <w:p>
      <w:pPr>
        <w:spacing w:line="400" w:lineRule="exact"/>
        <w:ind w:firstLine="426"/>
        <w:rPr>
          <w:rFonts w:ascii="宋体" w:hAnsi="宋体"/>
          <w:szCs w:val="21"/>
        </w:rPr>
      </w:pPr>
      <w:r>
        <w:rPr>
          <w:rFonts w:hint="eastAsia" w:ascii="宋体" w:hAnsi="宋体"/>
          <w:szCs w:val="21"/>
        </w:rPr>
        <w:t>与我公司有关的正式通讯方式：</w:t>
      </w:r>
    </w:p>
    <w:p>
      <w:pPr>
        <w:spacing w:line="400" w:lineRule="exact"/>
        <w:rPr>
          <w:rFonts w:ascii="宋体" w:hAnsi="宋体"/>
          <w:szCs w:val="21"/>
        </w:rPr>
      </w:pPr>
      <w:r>
        <w:rPr>
          <w:rFonts w:ascii="宋体" w:hAnsi="宋体"/>
          <w:szCs w:val="21"/>
        </w:rPr>
        <w:tab/>
      </w:r>
      <w:r>
        <w:rPr>
          <w:rFonts w:hint="eastAsia" w:ascii="宋体" w:hAnsi="宋体"/>
          <w:szCs w:val="21"/>
        </w:rPr>
        <w:t>地址：</w:t>
      </w:r>
      <w:r>
        <w:rPr>
          <w:rFonts w:hint="eastAsia" w:ascii="宋体" w:hAnsi="宋体"/>
          <w:szCs w:val="21"/>
          <w:u w:val="single"/>
        </w:rPr>
        <w:t xml:space="preserve">                                   </w:t>
      </w:r>
    </w:p>
    <w:p>
      <w:pPr>
        <w:spacing w:line="400" w:lineRule="exact"/>
        <w:rPr>
          <w:rFonts w:ascii="宋体" w:hAnsi="宋体"/>
          <w:szCs w:val="21"/>
        </w:rPr>
      </w:pPr>
      <w:r>
        <w:rPr>
          <w:rFonts w:ascii="宋体" w:hAnsi="宋体"/>
          <w:szCs w:val="21"/>
        </w:rPr>
        <w:tab/>
      </w:r>
      <w:r>
        <w:rPr>
          <w:rFonts w:hint="eastAsia" w:ascii="宋体" w:hAnsi="宋体"/>
          <w:szCs w:val="21"/>
        </w:rPr>
        <w:t>邮政编码：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400" w:lineRule="exact"/>
        <w:rPr>
          <w:rFonts w:ascii="宋体" w:hAnsi="宋体"/>
          <w:szCs w:val="21"/>
        </w:rPr>
      </w:pPr>
      <w:r>
        <w:rPr>
          <w:rFonts w:ascii="宋体" w:hAnsi="宋体"/>
          <w:szCs w:val="21"/>
        </w:rPr>
        <w:tab/>
      </w:r>
      <w:r>
        <w:rPr>
          <w:rFonts w:hint="eastAsia" w:ascii="宋体" w:hAnsi="宋体"/>
          <w:szCs w:val="21"/>
        </w:rPr>
        <w:t>电话、电报、传真或电传：</w:t>
      </w:r>
      <w:r>
        <w:rPr>
          <w:rFonts w:hint="eastAsia" w:ascii="宋体" w:hAnsi="宋体"/>
          <w:szCs w:val="21"/>
          <w:u w:val="single"/>
        </w:rPr>
        <w:t xml:space="preserve">                 </w:t>
      </w:r>
    </w:p>
    <w:p>
      <w:pPr>
        <w:spacing w:line="400" w:lineRule="exact"/>
        <w:rPr>
          <w:rFonts w:ascii="宋体" w:hAnsi="宋体"/>
          <w:szCs w:val="21"/>
        </w:rPr>
      </w:pPr>
      <w:r>
        <w:rPr>
          <w:rFonts w:ascii="宋体" w:hAnsi="宋体"/>
          <w:szCs w:val="21"/>
        </w:rPr>
        <w:tab/>
      </w:r>
      <w:r>
        <w:rPr>
          <w:rFonts w:hint="eastAsia" w:ascii="宋体" w:hAnsi="宋体"/>
          <w:szCs w:val="21"/>
        </w:rPr>
        <w:t>开户名称：</w:t>
      </w:r>
      <w:r>
        <w:rPr>
          <w:rFonts w:hint="eastAsia" w:ascii="宋体" w:hAnsi="宋体"/>
          <w:szCs w:val="21"/>
          <w:u w:val="single"/>
        </w:rPr>
        <w:t xml:space="preserve">                               </w:t>
      </w:r>
    </w:p>
    <w:p>
      <w:pPr>
        <w:spacing w:line="400" w:lineRule="exact"/>
        <w:rPr>
          <w:rFonts w:ascii="宋体" w:hAnsi="宋体"/>
          <w:szCs w:val="21"/>
        </w:rPr>
      </w:pPr>
      <w:r>
        <w:rPr>
          <w:rFonts w:ascii="宋体" w:hAnsi="宋体"/>
          <w:szCs w:val="21"/>
        </w:rPr>
        <w:tab/>
      </w:r>
      <w:r>
        <w:rPr>
          <w:rFonts w:hint="eastAsia" w:ascii="宋体" w:hAnsi="宋体"/>
          <w:szCs w:val="21"/>
        </w:rPr>
        <w:t>开户银行：</w:t>
      </w:r>
      <w:r>
        <w:rPr>
          <w:rFonts w:hint="eastAsia" w:ascii="宋体" w:hAnsi="宋体"/>
          <w:szCs w:val="21"/>
          <w:u w:val="single"/>
        </w:rPr>
        <w:t xml:space="preserve">                               </w:t>
      </w:r>
    </w:p>
    <w:p>
      <w:pPr>
        <w:spacing w:line="400" w:lineRule="exact"/>
        <w:rPr>
          <w:rFonts w:ascii="宋体" w:hAnsi="宋体"/>
          <w:szCs w:val="21"/>
          <w:u w:val="single"/>
        </w:rPr>
      </w:pPr>
      <w:r>
        <w:rPr>
          <w:rFonts w:ascii="宋体" w:hAnsi="宋体"/>
          <w:szCs w:val="21"/>
        </w:rPr>
        <w:tab/>
      </w:r>
      <w:r>
        <w:rPr>
          <w:rFonts w:hint="eastAsia" w:ascii="宋体" w:hAnsi="宋体"/>
          <w:szCs w:val="21"/>
        </w:rPr>
        <w:t>账    号：</w:t>
      </w:r>
      <w:r>
        <w:rPr>
          <w:rFonts w:hint="eastAsia" w:ascii="宋体" w:hAnsi="宋体"/>
          <w:szCs w:val="21"/>
          <w:u w:val="single"/>
        </w:rPr>
        <w:t xml:space="preserve">                               </w:t>
      </w:r>
    </w:p>
    <w:p/>
    <w:p/>
    <w:p/>
    <w:p/>
    <w:p/>
    <w:p>
      <w:pPr>
        <w:spacing w:line="400" w:lineRule="exact"/>
        <w:rPr>
          <w:rFonts w:ascii="宋体" w:hAnsi="宋体"/>
          <w:szCs w:val="21"/>
        </w:rPr>
      </w:pPr>
      <w:r>
        <w:rPr>
          <w:rFonts w:ascii="宋体" w:hAnsi="宋体"/>
          <w:szCs w:val="21"/>
        </w:rPr>
        <w:tab/>
      </w:r>
      <w:r>
        <w:rPr>
          <w:rFonts w:ascii="宋体" w:hAnsi="宋体"/>
          <w:szCs w:val="21"/>
        </w:rPr>
        <w:t xml:space="preserve">                                           </w:t>
      </w:r>
      <w:r>
        <w:rPr>
          <w:rFonts w:hint="eastAsia" w:ascii="宋体" w:hAnsi="宋体"/>
          <w:szCs w:val="21"/>
        </w:rPr>
        <w:t>供应商（盖章）：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400" w:lineRule="exact"/>
        <w:rPr>
          <w:rFonts w:ascii="宋体" w:hAnsi="宋体"/>
          <w:szCs w:val="21"/>
        </w:rPr>
      </w:pPr>
      <w:r>
        <w:rPr>
          <w:rFonts w:ascii="宋体" w:hAnsi="宋体"/>
          <w:szCs w:val="21"/>
        </w:rPr>
        <w:tab/>
      </w:r>
      <w:r>
        <w:rPr>
          <w:rFonts w:ascii="宋体" w:hAnsi="宋体"/>
          <w:szCs w:val="21"/>
        </w:rPr>
        <w:t xml:space="preserve">                                           </w:t>
      </w: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p>
    <w:p>
      <w:pPr>
        <w:widowControl/>
        <w:jc w:val="left"/>
      </w:pPr>
      <w:r>
        <w:br w:type="page"/>
      </w:r>
    </w:p>
    <w:p/>
    <w:p>
      <w:pPr>
        <w:jc w:val="center"/>
        <w:rPr>
          <w:rFonts w:ascii="仿宋" w:hAnsi="仿宋" w:eastAsia="仿宋"/>
          <w:sz w:val="32"/>
          <w:szCs w:val="32"/>
        </w:rPr>
      </w:pPr>
      <w:r>
        <w:rPr>
          <w:rFonts w:hint="eastAsia" w:ascii="仿宋" w:hAnsi="仿宋" w:eastAsia="仿宋"/>
          <w:b/>
          <w:sz w:val="32"/>
          <w:szCs w:val="32"/>
        </w:rPr>
        <w:t>授权委托书</w:t>
      </w:r>
      <w:bookmarkStart w:id="146" w:name="_Hlk92703623"/>
      <w:r>
        <w:rPr>
          <w:rFonts w:hint="eastAsia" w:ascii="仿宋" w:hAnsi="仿宋" w:eastAsia="仿宋"/>
          <w:sz w:val="24"/>
        </w:rPr>
        <w:t>(格式</w:t>
      </w:r>
      <w:r>
        <w:rPr>
          <w:rFonts w:ascii="仿宋" w:hAnsi="仿宋" w:eastAsia="仿宋"/>
          <w:sz w:val="24"/>
        </w:rPr>
        <w:t>)</w:t>
      </w:r>
      <w:bookmarkEnd w:id="146"/>
    </w:p>
    <w:p>
      <w:pPr>
        <w:snapToGrid w:val="0"/>
        <w:spacing w:before="156" w:beforeLines="50" w:after="50" w:line="500" w:lineRule="exact"/>
        <w:rPr>
          <w:rFonts w:ascii="宋体" w:hAnsi="宋体"/>
          <w:b/>
          <w:bCs/>
          <w:szCs w:val="21"/>
        </w:rPr>
      </w:pPr>
      <w:r>
        <w:rPr>
          <w:rFonts w:hint="eastAsia" w:ascii="宋体" w:hAnsi="宋体"/>
          <w:bCs/>
          <w:szCs w:val="21"/>
        </w:rPr>
        <w:t>致：</w:t>
      </w:r>
      <w:r>
        <w:rPr>
          <w:rFonts w:hint="eastAsia"/>
        </w:rPr>
        <w:t>钦州市政府采购中心</w:t>
      </w:r>
    </w:p>
    <w:p>
      <w:pPr>
        <w:snapToGrid w:val="0"/>
        <w:spacing w:before="156" w:beforeLines="50" w:after="50" w:line="500" w:lineRule="exact"/>
        <w:ind w:firstLine="420" w:firstLineChars="200"/>
        <w:rPr>
          <w:rFonts w:ascii="宋体" w:hAnsi="宋体"/>
          <w:szCs w:val="21"/>
        </w:rPr>
      </w:pPr>
      <w:r>
        <w:rPr>
          <w:rFonts w:hint="eastAsia" w:ascii="宋体" w:hAnsi="宋体"/>
          <w:szCs w:val="21"/>
        </w:rPr>
        <w:t>我</w:t>
      </w:r>
      <w:r>
        <w:rPr>
          <w:rFonts w:hint="eastAsia" w:ascii="宋体" w:hAnsi="宋体"/>
          <w:szCs w:val="21"/>
          <w:u w:val="single"/>
        </w:rPr>
        <w:t>（姓名）</w:t>
      </w:r>
      <w:r>
        <w:rPr>
          <w:rFonts w:hint="eastAsia" w:ascii="宋体" w:hAnsi="宋体"/>
          <w:szCs w:val="21"/>
        </w:rPr>
        <w:t>系</w:t>
      </w:r>
      <w:r>
        <w:rPr>
          <w:rFonts w:hint="eastAsia" w:ascii="宋体" w:hAnsi="宋体"/>
          <w:szCs w:val="21"/>
          <w:u w:val="single"/>
        </w:rPr>
        <w:t>（供应商名称）</w:t>
      </w:r>
      <w:r>
        <w:rPr>
          <w:rFonts w:hint="eastAsia" w:ascii="宋体" w:hAnsi="宋体"/>
          <w:szCs w:val="21"/>
        </w:rPr>
        <w:t>的法定代表人，现授权委托本单位在职职工</w:t>
      </w:r>
      <w:r>
        <w:rPr>
          <w:rFonts w:hint="eastAsia" w:ascii="宋体" w:hAnsi="宋体"/>
          <w:szCs w:val="21"/>
          <w:u w:val="single"/>
        </w:rPr>
        <w:t>（姓名）</w:t>
      </w:r>
      <w:r>
        <w:rPr>
          <w:rFonts w:hint="eastAsia" w:ascii="宋体" w:hAnsi="宋体"/>
          <w:szCs w:val="21"/>
        </w:rPr>
        <w:t>以我方的名义参加</w:t>
      </w:r>
      <w:r>
        <w:rPr>
          <w:rFonts w:hint="eastAsia" w:ascii="宋体" w:hAnsi="宋体"/>
          <w:szCs w:val="21"/>
          <w:u w:val="single"/>
        </w:rPr>
        <w:t>（项目名称/项目编号）</w:t>
      </w:r>
      <w:r>
        <w:rPr>
          <w:rFonts w:hint="eastAsia" w:ascii="宋体" w:hAnsi="宋体"/>
          <w:szCs w:val="21"/>
        </w:rPr>
        <w:t>的谈判活动，并代表我方全权办理针对上述项目的谈判、签约等具体事务和签署相关文件。</w:t>
      </w:r>
    </w:p>
    <w:p>
      <w:pPr>
        <w:snapToGrid w:val="0"/>
        <w:spacing w:before="156" w:beforeLines="50" w:after="50" w:line="500" w:lineRule="exact"/>
        <w:ind w:firstLine="420" w:firstLineChars="200"/>
        <w:rPr>
          <w:rFonts w:ascii="宋体" w:hAnsi="宋体"/>
          <w:szCs w:val="21"/>
        </w:rPr>
      </w:pPr>
      <w:r>
        <w:rPr>
          <w:rFonts w:hint="eastAsia" w:ascii="宋体" w:hAnsi="宋体"/>
          <w:szCs w:val="21"/>
        </w:rPr>
        <w:t>我方对被授权人的签名事项负全部责任。</w:t>
      </w:r>
    </w:p>
    <w:p>
      <w:pPr>
        <w:snapToGrid w:val="0"/>
        <w:spacing w:before="156" w:beforeLines="50" w:after="50" w:line="500" w:lineRule="exact"/>
        <w:ind w:firstLine="420" w:firstLineChars="20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before="156" w:beforeLines="50" w:after="50" w:line="500" w:lineRule="exact"/>
        <w:ind w:firstLine="420" w:firstLineChars="200"/>
        <w:rPr>
          <w:rFonts w:ascii="宋体" w:hAnsi="宋体"/>
          <w:szCs w:val="21"/>
        </w:rPr>
      </w:pPr>
      <w:r>
        <w:rPr>
          <w:rFonts w:hint="eastAsia" w:ascii="宋体" w:hAnsi="宋体"/>
          <w:szCs w:val="21"/>
        </w:rPr>
        <w:t>被授权人无转委托权，特此委托。</w:t>
      </w:r>
    </w:p>
    <w:p>
      <w:pPr>
        <w:snapToGrid w:val="0"/>
        <w:spacing w:before="156" w:beforeLines="50" w:after="50" w:line="300" w:lineRule="exact"/>
        <w:ind w:firstLine="420" w:firstLineChars="200"/>
        <w:rPr>
          <w:rFonts w:ascii="宋体" w:hAnsi="宋体"/>
          <w:szCs w:val="21"/>
          <w:u w:val="single"/>
        </w:rPr>
      </w:pPr>
    </w:p>
    <w:p>
      <w:pPr>
        <w:snapToGrid w:val="0"/>
        <w:spacing w:before="156" w:beforeLines="50" w:after="50" w:line="300" w:lineRule="exact"/>
        <w:ind w:firstLine="420" w:firstLineChars="200"/>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before="156" w:beforeLines="50" w:after="50" w:line="300" w:lineRule="exact"/>
        <w:ind w:firstLine="420" w:firstLineChars="200"/>
        <w:rPr>
          <w:rFonts w:hAnsi="宋体"/>
        </w:rPr>
      </w:pPr>
      <w:r>
        <w:rPr>
          <w:rFonts w:hint="eastAsia" w:hAnsi="宋体"/>
        </w:rPr>
        <w:t>附：委托代理人身份证(正反面</w:t>
      </w:r>
      <w:r>
        <w:rPr>
          <w:rFonts w:hAnsi="宋体"/>
        </w:rPr>
        <w:t>)</w:t>
      </w:r>
    </w:p>
    <w:p/>
    <w:p/>
    <w:p>
      <w:pPr>
        <w:snapToGrid w:val="0"/>
        <w:spacing w:before="156" w:beforeLines="50" w:after="50" w:line="200" w:lineRule="exact"/>
        <w:ind w:firstLine="4620" w:firstLineChars="2200"/>
        <w:rPr>
          <w:rFonts w:ascii="宋体" w:hAnsi="宋体"/>
          <w:szCs w:val="21"/>
          <w:u w:val="single"/>
        </w:rPr>
      </w:pPr>
      <w:r>
        <w:rPr>
          <w:rFonts w:hint="eastAsia" w:ascii="宋体" w:hAnsi="宋体"/>
          <w:szCs w:val="21"/>
        </w:rPr>
        <w:t xml:space="preserve">       供应商（盖章）：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napToGrid w:val="0"/>
        <w:spacing w:before="156" w:beforeLines="50" w:after="50" w:line="200" w:lineRule="exact"/>
        <w:ind w:firstLine="5355" w:firstLineChars="25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napToGrid w:val="0"/>
        <w:spacing w:before="156" w:beforeLines="50" w:after="50" w:line="200" w:lineRule="exact"/>
        <w:ind w:firstLine="5355" w:firstLineChars="2550"/>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jc w:val="left"/>
        <w:rPr>
          <w:rFonts w:ascii="宋体" w:hAnsi="Courier New" w:cs="Courier New"/>
          <w:b/>
          <w:bCs/>
          <w:szCs w:val="21"/>
        </w:rPr>
      </w:pPr>
      <w:r>
        <w:rPr>
          <w:b/>
          <w:bCs/>
        </w:rPr>
        <w:br w:type="page"/>
      </w:r>
    </w:p>
    <w:p/>
    <w:p>
      <w:pPr>
        <w:snapToGrid w:val="0"/>
        <w:spacing w:before="156" w:beforeLines="50" w:after="50" w:line="360" w:lineRule="exact"/>
        <w:jc w:val="center"/>
        <w:rPr>
          <w:rFonts w:ascii="仿宋" w:hAnsi="仿宋" w:eastAsia="仿宋"/>
          <w:b/>
          <w:sz w:val="32"/>
          <w:szCs w:val="32"/>
        </w:rPr>
      </w:pPr>
      <w:r>
        <w:rPr>
          <w:rFonts w:hint="eastAsia" w:ascii="仿宋" w:hAnsi="仿宋" w:eastAsia="仿宋"/>
          <w:b/>
          <w:sz w:val="32"/>
          <w:szCs w:val="32"/>
        </w:rPr>
        <w:t>商务响应表</w:t>
      </w:r>
      <w:r>
        <w:rPr>
          <w:rFonts w:hint="eastAsia" w:ascii="仿宋" w:hAnsi="仿宋" w:eastAsia="仿宋"/>
          <w:sz w:val="24"/>
        </w:rPr>
        <w:t>(格式</w:t>
      </w:r>
      <w:r>
        <w:rPr>
          <w:rFonts w:ascii="仿宋" w:hAnsi="仿宋" w:eastAsia="仿宋"/>
          <w:sz w:val="24"/>
        </w:rPr>
        <w:t>)</w:t>
      </w:r>
    </w:p>
    <w:tbl>
      <w:tblPr>
        <w:tblStyle w:val="3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049"/>
        <w:gridCol w:w="2976"/>
        <w:gridCol w:w="15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b/>
                <w:szCs w:val="21"/>
              </w:rPr>
            </w:pPr>
            <w:r>
              <w:rPr>
                <w:rFonts w:hint="eastAsia" w:ascii="宋体" w:hAnsi="宋体"/>
                <w:b/>
                <w:szCs w:val="21"/>
              </w:rPr>
              <w:t>项目</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b/>
                <w:szCs w:val="21"/>
              </w:rPr>
            </w:pPr>
            <w:r>
              <w:rPr>
                <w:rFonts w:hint="eastAsia" w:ascii="宋体" w:hAnsi="宋体"/>
                <w:b/>
                <w:szCs w:val="21"/>
              </w:rPr>
              <w:t>采购文件要求</w:t>
            </w: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b/>
                <w:szCs w:val="21"/>
              </w:rPr>
            </w:pPr>
            <w:r>
              <w:rPr>
                <w:rFonts w:hint="eastAsia" w:ascii="宋体" w:hAnsi="宋体"/>
                <w:b/>
                <w:szCs w:val="21"/>
              </w:rPr>
              <w:t>供应商的承诺或说明</w:t>
            </w: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b/>
                <w:szCs w:val="21"/>
              </w:rPr>
            </w:pPr>
            <w:r>
              <w:rPr>
                <w:rFonts w:hint="eastAsia" w:ascii="宋体" w:hAnsi="宋体"/>
                <w:b/>
                <w:szCs w:val="21"/>
              </w:rPr>
              <w:t>是否响应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r>
              <w:rPr>
                <w:rFonts w:hint="eastAsia" w:ascii="宋体" w:hAnsi="宋体"/>
                <w:szCs w:val="21"/>
              </w:rPr>
              <w:t>质保期</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r>
              <w:rPr>
                <w:rFonts w:hint="eastAsia" w:ascii="宋体" w:hAnsi="宋体"/>
                <w:szCs w:val="21"/>
              </w:rPr>
              <w:t>售后技术服务要求</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r>
              <w:rPr>
                <w:rFonts w:hint="eastAsia" w:ascii="宋体" w:hAnsi="宋体"/>
                <w:szCs w:val="21"/>
              </w:rPr>
              <w:t>交货时间及地点</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r>
              <w:rPr>
                <w:rFonts w:hint="eastAsia" w:ascii="宋体" w:hAnsi="宋体"/>
                <w:szCs w:val="21"/>
              </w:rPr>
              <w:t>付款条件</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r>
              <w:rPr>
                <w:rFonts w:hint="eastAsia" w:ascii="宋体" w:hAnsi="宋体"/>
                <w:szCs w:val="21"/>
              </w:rPr>
              <w:t>…</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szCs w:val="21"/>
              </w:rPr>
            </w:pPr>
          </w:p>
        </w:tc>
      </w:tr>
    </w:tbl>
    <w:p>
      <w:pPr>
        <w:tabs>
          <w:tab w:val="left" w:pos="3870"/>
          <w:tab w:val="left" w:pos="4085"/>
        </w:tabs>
        <w:snapToGrid w:val="0"/>
        <w:spacing w:line="400" w:lineRule="exact"/>
        <w:rPr>
          <w:rFonts w:ascii="宋体" w:hAnsi="宋体"/>
          <w:b/>
          <w:szCs w:val="21"/>
        </w:rPr>
      </w:pPr>
    </w:p>
    <w:p>
      <w:pPr>
        <w:tabs>
          <w:tab w:val="left" w:pos="3870"/>
          <w:tab w:val="left" w:pos="4085"/>
        </w:tabs>
        <w:snapToGrid w:val="0"/>
        <w:spacing w:line="400" w:lineRule="exact"/>
        <w:rPr>
          <w:rFonts w:ascii="宋体" w:hAnsi="宋体"/>
          <w:b/>
          <w:szCs w:val="21"/>
        </w:rPr>
      </w:pPr>
    </w:p>
    <w:p>
      <w:pPr>
        <w:snapToGrid w:val="0"/>
        <w:spacing w:before="50" w:after="50" w:line="350" w:lineRule="exact"/>
        <w:ind w:right="-817" w:rightChars="-389"/>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供应商（盖章）：</w:t>
      </w:r>
      <w:r>
        <w:rPr>
          <w:rFonts w:hint="eastAsia" w:ascii="宋体" w:hAnsi="宋体"/>
          <w:szCs w:val="21"/>
          <w:u w:val="single"/>
        </w:rPr>
        <w:t xml:space="preserve">         </w:t>
      </w:r>
    </w:p>
    <w:p>
      <w:pPr>
        <w:snapToGrid w:val="0"/>
        <w:spacing w:before="50" w:after="50" w:line="350" w:lineRule="exact"/>
        <w:ind w:right="-817" w:rightChars="-389"/>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p>
    <w:p>
      <w:pPr>
        <w:snapToGrid w:val="0"/>
        <w:spacing w:before="50" w:after="50" w:line="350" w:lineRule="exact"/>
        <w:ind w:right="-817" w:rightChars="-389"/>
        <w:rPr>
          <w:rFonts w:ascii="宋体" w:hAnsi="宋体"/>
          <w:szCs w:val="21"/>
        </w:rPr>
      </w:pPr>
    </w:p>
    <w:p>
      <w:pPr>
        <w:snapToGrid w:val="0"/>
        <w:spacing w:before="50" w:after="50" w:line="350" w:lineRule="exact"/>
        <w:ind w:right="-817" w:rightChars="-389"/>
        <w:rPr>
          <w:rFonts w:ascii="宋体" w:hAnsi="宋体"/>
          <w:szCs w:val="21"/>
        </w:rPr>
      </w:pPr>
    </w:p>
    <w:p>
      <w:pPr>
        <w:pStyle w:val="21"/>
        <w:spacing w:line="440" w:lineRule="exact"/>
        <w:ind w:firstLine="840"/>
        <w:jc w:val="center"/>
        <w:rPr>
          <w:rFonts w:ascii="仿宋" w:hAnsi="仿宋" w:eastAsia="仿宋"/>
        </w:rPr>
      </w:pPr>
      <w:r>
        <w:rPr>
          <w:rFonts w:hint="eastAsia" w:ascii="仿宋" w:hAnsi="仿宋" w:eastAsia="仿宋" w:cs="黑体"/>
          <w:b/>
          <w:sz w:val="32"/>
          <w:szCs w:val="32"/>
        </w:rPr>
        <w:t>技术响应表</w:t>
      </w:r>
      <w:r>
        <w:rPr>
          <w:rFonts w:hint="eastAsia" w:ascii="仿宋" w:hAnsi="仿宋" w:eastAsia="仿宋"/>
          <w:sz w:val="24"/>
          <w:szCs w:val="24"/>
        </w:rPr>
        <w:t>(格式</w:t>
      </w:r>
      <w:r>
        <w:rPr>
          <w:rFonts w:ascii="仿宋" w:hAnsi="仿宋" w:eastAsia="仿宋"/>
          <w:sz w:val="24"/>
          <w:szCs w:val="24"/>
        </w:rPr>
        <w:t>)</w:t>
      </w:r>
    </w:p>
    <w:p/>
    <w:p>
      <w:r>
        <w:rPr>
          <w:rFonts w:hint="eastAsia"/>
        </w:rPr>
        <w:t>采购项目编号：</w:t>
      </w:r>
      <w:r>
        <w:rPr>
          <w:rFonts w:hint="eastAsia"/>
          <w:u w:val="single"/>
        </w:rPr>
        <w:t xml:space="preserve">                 </w:t>
      </w:r>
    </w:p>
    <w:p>
      <w:r>
        <w:rPr>
          <w:rFonts w:hint="eastAsia"/>
        </w:rPr>
        <w:t>采购项目名称：</w:t>
      </w:r>
      <w:r>
        <w:rPr>
          <w:rFonts w:hint="eastAsia"/>
          <w:u w:val="single"/>
        </w:rPr>
        <w:t xml:space="preserve">                 </w:t>
      </w:r>
    </w:p>
    <w:tbl>
      <w:tblPr>
        <w:tblStyle w:val="35"/>
        <w:tblW w:w="9415" w:type="dxa"/>
        <w:tblInd w:w="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480"/>
        <w:gridCol w:w="2835"/>
        <w:gridCol w:w="2268"/>
        <w:gridCol w:w="1418"/>
        <w:gridCol w:w="70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705" w:type="dxa"/>
            <w:vAlign w:val="center"/>
          </w:tcPr>
          <w:p>
            <w:pPr>
              <w:jc w:val="center"/>
            </w:pPr>
            <w:r>
              <w:rPr>
                <w:rFonts w:hint="eastAsia"/>
              </w:rPr>
              <w:t>序号</w:t>
            </w:r>
          </w:p>
        </w:tc>
        <w:tc>
          <w:tcPr>
            <w:tcW w:w="1480" w:type="dxa"/>
            <w:vAlign w:val="center"/>
          </w:tcPr>
          <w:p>
            <w:pPr>
              <w:jc w:val="center"/>
            </w:pPr>
            <w:r>
              <w:rPr>
                <w:rFonts w:hint="eastAsia"/>
              </w:rPr>
              <w:t>标的名称</w:t>
            </w:r>
          </w:p>
        </w:tc>
        <w:tc>
          <w:tcPr>
            <w:tcW w:w="2835" w:type="dxa"/>
            <w:vAlign w:val="center"/>
          </w:tcPr>
          <w:p>
            <w:pPr>
              <w:jc w:val="center"/>
            </w:pPr>
            <w:r>
              <w:rPr>
                <w:rFonts w:hint="eastAsia"/>
              </w:rPr>
              <w:t>竞争性谈判采购文件要求</w:t>
            </w:r>
          </w:p>
        </w:tc>
        <w:tc>
          <w:tcPr>
            <w:tcW w:w="2268" w:type="dxa"/>
            <w:vAlign w:val="center"/>
          </w:tcPr>
          <w:p>
            <w:pPr>
              <w:jc w:val="center"/>
            </w:pPr>
            <w:r>
              <w:rPr>
                <w:rFonts w:hint="eastAsia"/>
              </w:rPr>
              <w:t>响应文件具体响应</w:t>
            </w:r>
          </w:p>
        </w:tc>
        <w:tc>
          <w:tcPr>
            <w:tcW w:w="1418" w:type="dxa"/>
            <w:vAlign w:val="center"/>
          </w:tcPr>
          <w:p>
            <w:pPr>
              <w:jc w:val="center"/>
            </w:pPr>
            <w:r>
              <w:rPr>
                <w:rFonts w:hint="eastAsia"/>
              </w:rPr>
              <w:t>响应/偏离</w:t>
            </w:r>
          </w:p>
        </w:tc>
        <w:tc>
          <w:tcPr>
            <w:tcW w:w="709" w:type="dxa"/>
            <w:vAlign w:val="center"/>
          </w:tcPr>
          <w:p>
            <w:pPr>
              <w:jc w:val="center"/>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1</w:t>
            </w:r>
          </w:p>
        </w:tc>
        <w:tc>
          <w:tcPr>
            <w:tcW w:w="1480" w:type="dxa"/>
            <w:vAlign w:val="center"/>
          </w:tcPr>
          <w:p/>
        </w:tc>
        <w:tc>
          <w:tcPr>
            <w:tcW w:w="2835" w:type="dxa"/>
            <w:vAlign w:val="center"/>
          </w:tcPr>
          <w:p/>
        </w:tc>
        <w:tc>
          <w:tcPr>
            <w:tcW w:w="2268" w:type="dxa"/>
            <w:vAlign w:val="center"/>
          </w:tcPr>
          <w:p/>
        </w:tc>
        <w:tc>
          <w:tcPr>
            <w:tcW w:w="1418" w:type="dxa"/>
            <w:vAlign w:val="center"/>
          </w:tcPr>
          <w:p/>
        </w:tc>
        <w:tc>
          <w:tcPr>
            <w:tcW w:w="709"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2</w:t>
            </w:r>
          </w:p>
        </w:tc>
        <w:tc>
          <w:tcPr>
            <w:tcW w:w="1480" w:type="dxa"/>
            <w:vAlign w:val="center"/>
          </w:tcPr>
          <w:p/>
        </w:tc>
        <w:tc>
          <w:tcPr>
            <w:tcW w:w="2835" w:type="dxa"/>
            <w:vAlign w:val="center"/>
          </w:tcPr>
          <w:p/>
        </w:tc>
        <w:tc>
          <w:tcPr>
            <w:tcW w:w="2268" w:type="dxa"/>
            <w:vAlign w:val="center"/>
          </w:tcPr>
          <w:p/>
        </w:tc>
        <w:tc>
          <w:tcPr>
            <w:tcW w:w="1418" w:type="dxa"/>
            <w:vAlign w:val="center"/>
          </w:tcPr>
          <w:p/>
        </w:tc>
        <w:tc>
          <w:tcPr>
            <w:tcW w:w="709"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3</w:t>
            </w:r>
          </w:p>
        </w:tc>
        <w:tc>
          <w:tcPr>
            <w:tcW w:w="1480" w:type="dxa"/>
            <w:vAlign w:val="center"/>
          </w:tcPr>
          <w:p/>
        </w:tc>
        <w:tc>
          <w:tcPr>
            <w:tcW w:w="2835" w:type="dxa"/>
            <w:vAlign w:val="center"/>
          </w:tcPr>
          <w:p/>
        </w:tc>
        <w:tc>
          <w:tcPr>
            <w:tcW w:w="2268" w:type="dxa"/>
            <w:vAlign w:val="center"/>
          </w:tcPr>
          <w:p/>
        </w:tc>
        <w:tc>
          <w:tcPr>
            <w:tcW w:w="1418" w:type="dxa"/>
            <w:vAlign w:val="center"/>
          </w:tcPr>
          <w:p/>
        </w:tc>
        <w:tc>
          <w:tcPr>
            <w:tcW w:w="709"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4</w:t>
            </w:r>
          </w:p>
        </w:tc>
        <w:tc>
          <w:tcPr>
            <w:tcW w:w="1480" w:type="dxa"/>
            <w:vAlign w:val="center"/>
          </w:tcPr>
          <w:p/>
        </w:tc>
        <w:tc>
          <w:tcPr>
            <w:tcW w:w="2835" w:type="dxa"/>
            <w:vAlign w:val="center"/>
          </w:tcPr>
          <w:p/>
        </w:tc>
        <w:tc>
          <w:tcPr>
            <w:tcW w:w="2268" w:type="dxa"/>
            <w:vAlign w:val="center"/>
          </w:tcPr>
          <w:p/>
        </w:tc>
        <w:tc>
          <w:tcPr>
            <w:tcW w:w="1418" w:type="dxa"/>
            <w:vAlign w:val="center"/>
          </w:tcPr>
          <w:p/>
        </w:tc>
        <w:tc>
          <w:tcPr>
            <w:tcW w:w="709"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5</w:t>
            </w:r>
          </w:p>
        </w:tc>
        <w:tc>
          <w:tcPr>
            <w:tcW w:w="1480" w:type="dxa"/>
            <w:vAlign w:val="center"/>
          </w:tcPr>
          <w:p/>
        </w:tc>
        <w:tc>
          <w:tcPr>
            <w:tcW w:w="2835" w:type="dxa"/>
            <w:vAlign w:val="center"/>
          </w:tcPr>
          <w:p/>
        </w:tc>
        <w:tc>
          <w:tcPr>
            <w:tcW w:w="2268" w:type="dxa"/>
            <w:vAlign w:val="center"/>
          </w:tcPr>
          <w:p/>
        </w:tc>
        <w:tc>
          <w:tcPr>
            <w:tcW w:w="1418" w:type="dxa"/>
            <w:vAlign w:val="center"/>
          </w:tcPr>
          <w:p/>
        </w:tc>
        <w:tc>
          <w:tcPr>
            <w:tcW w:w="709"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w:t>
            </w:r>
          </w:p>
        </w:tc>
        <w:tc>
          <w:tcPr>
            <w:tcW w:w="1480" w:type="dxa"/>
            <w:vAlign w:val="center"/>
          </w:tcPr>
          <w:p/>
        </w:tc>
        <w:tc>
          <w:tcPr>
            <w:tcW w:w="2835" w:type="dxa"/>
            <w:vAlign w:val="center"/>
          </w:tcPr>
          <w:p/>
        </w:tc>
        <w:tc>
          <w:tcPr>
            <w:tcW w:w="2268" w:type="dxa"/>
            <w:vAlign w:val="center"/>
          </w:tcPr>
          <w:p/>
        </w:tc>
        <w:tc>
          <w:tcPr>
            <w:tcW w:w="1418" w:type="dxa"/>
            <w:tcBorders>
              <w:right w:val="single" w:color="auto" w:sz="4" w:space="0"/>
            </w:tcBorders>
            <w:vAlign w:val="center"/>
          </w:tcPr>
          <w:p/>
        </w:tc>
        <w:tc>
          <w:tcPr>
            <w:tcW w:w="709" w:type="dxa"/>
            <w:tcBorders>
              <w:left w:val="single" w:color="auto" w:sz="4" w:space="0"/>
            </w:tcBorders>
            <w:vAlign w:val="center"/>
          </w:tcPr>
          <w:p/>
        </w:tc>
      </w:tr>
    </w:tbl>
    <w:p>
      <w:pPr>
        <w:pStyle w:val="18"/>
        <w:spacing w:line="300" w:lineRule="auto"/>
        <w:ind w:firstLine="105" w:firstLineChars="50"/>
        <w:rPr>
          <w:rFonts w:ascii="宋体" w:hAnsi="宋体" w:eastAsia="宋体"/>
          <w:sz w:val="21"/>
          <w:szCs w:val="21"/>
        </w:rPr>
      </w:pPr>
      <w:r>
        <w:rPr>
          <w:rFonts w:hint="eastAsia" w:ascii="宋体" w:hAnsi="宋体" w:eastAsia="宋体"/>
          <w:sz w:val="21"/>
          <w:szCs w:val="21"/>
        </w:rPr>
        <w:t>注：供应商须对照竞争性谈判采购文件第二章《项目需求》，逐条说明所提供货物和服务对项目需求中货物的</w:t>
      </w:r>
      <w:bookmarkStart w:id="147" w:name="_Hlk92703260"/>
      <w:r>
        <w:rPr>
          <w:rFonts w:hint="eastAsia" w:ascii="宋体" w:hAnsi="宋体" w:eastAsia="宋体"/>
          <w:sz w:val="21"/>
          <w:szCs w:val="21"/>
        </w:rPr>
        <w:t>技术参数及其性能（规格）</w:t>
      </w:r>
      <w:bookmarkEnd w:id="147"/>
      <w:r>
        <w:rPr>
          <w:rFonts w:hint="eastAsia" w:ascii="宋体" w:hAnsi="宋体" w:eastAsia="宋体"/>
          <w:sz w:val="21"/>
          <w:szCs w:val="21"/>
        </w:rPr>
        <w:t>及服务要求作出的响应，并申明偏离情况。对有具体参数要求的指标，供应商须提供所供设备的具体技术参数及其性能（规格）。</w:t>
      </w:r>
    </w:p>
    <w:p>
      <w:pPr>
        <w:pStyle w:val="18"/>
        <w:spacing w:line="300" w:lineRule="auto"/>
        <w:ind w:firstLine="0" w:firstLineChars="0"/>
        <w:rPr>
          <w:rFonts w:ascii="宋体" w:hAnsi="宋体" w:eastAsia="宋体"/>
          <w:sz w:val="21"/>
          <w:szCs w:val="21"/>
        </w:rPr>
      </w:pPr>
    </w:p>
    <w:p>
      <w:pPr>
        <w:pStyle w:val="21"/>
        <w:spacing w:line="300" w:lineRule="auto"/>
        <w:rPr>
          <w:rFonts w:hAnsi="宋体"/>
        </w:rPr>
      </w:pPr>
    </w:p>
    <w:p>
      <w:pPr>
        <w:pStyle w:val="21"/>
        <w:spacing w:line="300" w:lineRule="auto"/>
        <w:ind w:firstLine="5880" w:firstLineChars="2800"/>
        <w:rPr>
          <w:rFonts w:hAnsi="宋体"/>
        </w:rPr>
      </w:pPr>
      <w:r>
        <w:rPr>
          <w:rFonts w:hint="eastAsia" w:hAnsi="宋体"/>
        </w:rPr>
        <w:t>供应商（盖章）：</w:t>
      </w:r>
      <w:r>
        <w:rPr>
          <w:rFonts w:hint="eastAsia" w:hAnsi="宋体"/>
          <w:u w:val="single"/>
        </w:rPr>
        <w:t xml:space="preserve">      </w:t>
      </w:r>
      <w:r>
        <w:rPr>
          <w:rFonts w:hAnsi="宋体"/>
          <w:u w:val="single"/>
        </w:rPr>
        <w:t xml:space="preserve">   </w:t>
      </w:r>
      <w:r>
        <w:rPr>
          <w:rFonts w:hint="eastAsia" w:hAnsi="宋体"/>
          <w:u w:val="single"/>
        </w:rPr>
        <w:t xml:space="preserve"> </w:t>
      </w:r>
    </w:p>
    <w:p>
      <w:pPr>
        <w:pStyle w:val="21"/>
        <w:spacing w:line="300" w:lineRule="auto"/>
        <w:ind w:firstLine="5880" w:firstLineChars="2800"/>
        <w:rPr>
          <w:rFonts w:hAnsi="宋体"/>
        </w:rPr>
      </w:pPr>
      <w:r>
        <w:rPr>
          <w:rFonts w:hint="eastAsia" w:hAnsi="宋体"/>
        </w:rPr>
        <w:t>日期：</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bookmarkEnd w:id="53"/>
    <w:bookmarkEnd w:id="54"/>
    <w:bookmarkEnd w:id="55"/>
    <w:bookmarkEnd w:id="56"/>
    <w:p/>
    <w:p>
      <w:pPr>
        <w:spacing w:line="440" w:lineRule="exact"/>
        <w:ind w:left="420" w:hanging="420"/>
        <w:jc w:val="center"/>
        <w:rPr>
          <w:rFonts w:hint="eastAsia" w:ascii="仿宋" w:hAnsi="仿宋" w:eastAsia="仿宋"/>
          <w:b/>
          <w:color w:val="0D0D0D" w:themeColor="text1" w:themeTint="F2"/>
          <w:sz w:val="32"/>
          <w:szCs w:val="32"/>
          <w14:textFill>
            <w14:solidFill>
              <w14:schemeClr w14:val="tx1">
                <w14:lumMod w14:val="95000"/>
                <w14:lumOff w14:val="5000"/>
              </w14:schemeClr>
            </w14:solidFill>
          </w14:textFill>
        </w:rPr>
      </w:pPr>
      <w:bookmarkStart w:id="148" w:name="_Hlk94194102"/>
      <w:r>
        <w:rPr>
          <w:rFonts w:hint="eastAsia" w:ascii="仿宋" w:hAnsi="仿宋" w:eastAsia="仿宋"/>
          <w:b/>
          <w:color w:val="0D0D0D" w:themeColor="text1" w:themeTint="F2"/>
          <w:sz w:val="32"/>
          <w:szCs w:val="32"/>
          <w14:textFill>
            <w14:solidFill>
              <w14:schemeClr w14:val="tx1">
                <w14:lumMod w14:val="95000"/>
                <w14:lumOff w14:val="5000"/>
              </w14:schemeClr>
            </w14:solidFill>
          </w14:textFill>
        </w:rPr>
        <w:t>中小企业声明函</w:t>
      </w:r>
      <w:r>
        <w:rPr>
          <w:rFonts w:hint="eastAsia" w:ascii="仿宋" w:hAnsi="仿宋" w:eastAsia="仿宋"/>
          <w:color w:val="0D0D0D" w:themeColor="text1" w:themeTint="F2"/>
          <w:sz w:val="24"/>
          <w14:textFill>
            <w14:solidFill>
              <w14:schemeClr w14:val="tx1">
                <w14:lumMod w14:val="95000"/>
                <w14:lumOff w14:val="5000"/>
              </w14:schemeClr>
            </w14:solidFill>
          </w14:textFill>
        </w:rPr>
        <w:t>(格式</w:t>
      </w:r>
      <w:r>
        <w:rPr>
          <w:rFonts w:ascii="仿宋" w:hAnsi="仿宋" w:eastAsia="仿宋"/>
          <w:color w:val="0D0D0D" w:themeColor="text1" w:themeTint="F2"/>
          <w:sz w:val="24"/>
          <w14:textFill>
            <w14:solidFill>
              <w14:schemeClr w14:val="tx1">
                <w14:lumMod w14:val="95000"/>
                <w14:lumOff w14:val="5000"/>
              </w14:schemeClr>
            </w14:solidFill>
          </w14:textFill>
        </w:rPr>
        <w:t>)</w:t>
      </w:r>
    </w:p>
    <w:p/>
    <w:p>
      <w:pPr>
        <w:spacing w:line="600" w:lineRule="exact"/>
        <w:ind w:firstLine="294" w:firstLineChars="140"/>
        <w:jc w:val="left"/>
        <w:rPr>
          <w:rFonts w:hint="eastAsia" w:ascii="宋体" w:hAnsi="宋体"/>
          <w:bCs/>
          <w:color w:val="000000"/>
          <w:szCs w:val="21"/>
        </w:rPr>
      </w:pPr>
      <w:r>
        <w:rPr>
          <w:rFonts w:hint="eastAsia" w:ascii="宋体" w:hAnsi="宋体"/>
          <w:bCs/>
          <w:color w:val="000000"/>
          <w:szCs w:val="21"/>
        </w:rPr>
        <w:t>本公司郑重声明，根据</w:t>
      </w:r>
      <w:bookmarkStart w:id="149" w:name="_Hlk82091685"/>
      <w:r>
        <w:rPr>
          <w:rFonts w:ascii="宋体" w:hAnsi="宋体"/>
          <w:bCs/>
          <w:color w:val="000000" w:themeColor="text1"/>
          <w:szCs w:val="21"/>
          <w14:textFill>
            <w14:solidFill>
              <w14:schemeClr w14:val="tx1"/>
            </w14:solidFill>
          </w14:textFill>
        </w:rPr>
        <w:fldChar w:fldCharType="begin"/>
      </w:r>
      <w:r>
        <w:rPr>
          <w:rFonts w:ascii="宋体" w:hAnsi="宋体"/>
          <w:bCs/>
          <w:color w:val="000000" w:themeColor="text1"/>
          <w:szCs w:val="21"/>
          <w14:textFill>
            <w14:solidFill>
              <w14:schemeClr w14:val="tx1"/>
            </w14:solidFill>
          </w14:textFill>
        </w:rPr>
        <w:instrText xml:space="preserve"> </w:instrText>
      </w:r>
      <w:r>
        <w:rPr>
          <w:rFonts w:hint="eastAsia" w:ascii="宋体" w:hAnsi="宋体"/>
          <w:bCs/>
          <w:color w:val="000000" w:themeColor="text1"/>
          <w:szCs w:val="21"/>
          <w14:textFill>
            <w14:solidFill>
              <w14:schemeClr w14:val="tx1"/>
            </w14:solidFill>
          </w14:textFill>
        </w:rPr>
        <w:instrText xml:space="preserve">HYPERLINK "http://www.gov.cn/zhengce/zhengceku/2020-12/29/content_5574611.htm"</w:instrText>
      </w:r>
      <w:r>
        <w:rPr>
          <w:rFonts w:ascii="宋体" w:hAnsi="宋体"/>
          <w:bCs/>
          <w:color w:val="000000" w:themeColor="text1"/>
          <w:szCs w:val="21"/>
          <w14:textFill>
            <w14:solidFill>
              <w14:schemeClr w14:val="tx1"/>
            </w14:solidFill>
          </w14:textFill>
        </w:rPr>
        <w:instrText xml:space="preserve"> </w:instrText>
      </w:r>
      <w:r>
        <w:rPr>
          <w:rFonts w:ascii="宋体" w:hAnsi="宋体"/>
          <w:bCs/>
          <w:color w:val="000000" w:themeColor="text1"/>
          <w:szCs w:val="21"/>
          <w14:textFill>
            <w14:solidFill>
              <w14:schemeClr w14:val="tx1"/>
            </w14:solidFill>
          </w14:textFill>
        </w:rPr>
        <w:fldChar w:fldCharType="separate"/>
      </w:r>
      <w:r>
        <w:rPr>
          <w:rStyle w:val="42"/>
          <w:rFonts w:hint="eastAsia" w:ascii="宋体" w:hAnsi="宋体"/>
          <w:bCs/>
          <w:color w:val="000000" w:themeColor="text1"/>
          <w:szCs w:val="21"/>
          <w:u w:val="none"/>
          <w14:textFill>
            <w14:solidFill>
              <w14:schemeClr w14:val="tx1"/>
            </w14:solidFill>
          </w14:textFill>
        </w:rPr>
        <w:t>《政府采购促进中小企业发展管理办法》</w:t>
      </w:r>
      <w:bookmarkStart w:id="150" w:name="_Hlk60836554"/>
      <w:r>
        <w:rPr>
          <w:rStyle w:val="42"/>
          <w:rFonts w:hint="eastAsia" w:ascii="宋体" w:hAnsi="宋体"/>
          <w:bCs/>
          <w:color w:val="000000" w:themeColor="text1"/>
          <w:szCs w:val="21"/>
          <w:u w:val="none"/>
          <w14:textFill>
            <w14:solidFill>
              <w14:schemeClr w14:val="tx1"/>
            </w14:solidFill>
          </w14:textFill>
        </w:rPr>
        <w:t>（财库﹝2020﹞46号）</w:t>
      </w:r>
      <w:bookmarkEnd w:id="149"/>
      <w:bookmarkEnd w:id="150"/>
      <w:r>
        <w:rPr>
          <w:rFonts w:ascii="宋体" w:hAnsi="宋体"/>
          <w:bCs/>
          <w:color w:val="000000" w:themeColor="text1"/>
          <w:szCs w:val="21"/>
          <w14:textFill>
            <w14:solidFill>
              <w14:schemeClr w14:val="tx1"/>
            </w14:solidFill>
          </w14:textFill>
        </w:rPr>
        <w:fldChar w:fldCharType="end"/>
      </w:r>
      <w:r>
        <w:rPr>
          <w:rFonts w:hint="eastAsia" w:ascii="宋体" w:hAnsi="宋体"/>
          <w:bCs/>
          <w:color w:val="000000"/>
          <w:szCs w:val="21"/>
        </w:rPr>
        <w:t>的规定，本公司参加</w:t>
      </w:r>
      <w:bookmarkStart w:id="151" w:name="_Hlk82091228"/>
      <w:r>
        <w:rPr>
          <w:rFonts w:hint="eastAsia" w:ascii="宋体" w:hAnsi="宋体"/>
          <w:bCs/>
          <w:color w:val="000000"/>
          <w:szCs w:val="21"/>
        </w:rPr>
        <w:t>（</w:t>
      </w:r>
      <w:r>
        <w:rPr>
          <w:rFonts w:hint="eastAsia" w:ascii="宋体" w:hAnsi="宋体"/>
          <w:bCs/>
          <w:color w:val="A6A6A6"/>
          <w:szCs w:val="21"/>
          <w:u w:val="single"/>
        </w:rPr>
        <w:t>单位名称</w:t>
      </w:r>
      <w:r>
        <w:rPr>
          <w:rFonts w:hint="eastAsia" w:ascii="宋体" w:hAnsi="宋体"/>
          <w:bCs/>
          <w:color w:val="000000"/>
          <w:szCs w:val="21"/>
        </w:rPr>
        <w:t>）的（</w:t>
      </w:r>
      <w:r>
        <w:rPr>
          <w:rFonts w:hint="eastAsia" w:ascii="宋体" w:hAnsi="宋体"/>
          <w:bCs/>
          <w:color w:val="A6A6A6"/>
          <w:szCs w:val="21"/>
          <w:u w:val="single"/>
        </w:rPr>
        <w:t>项目名称</w:t>
      </w:r>
      <w:r>
        <w:rPr>
          <w:rFonts w:hint="eastAsia" w:ascii="宋体" w:hAnsi="宋体"/>
          <w:bCs/>
          <w:color w:val="000000"/>
          <w:szCs w:val="21"/>
        </w:rPr>
        <w:t>）</w:t>
      </w:r>
      <w:bookmarkEnd w:id="151"/>
      <w:r>
        <w:rPr>
          <w:rFonts w:hint="eastAsia" w:ascii="宋体" w:hAnsi="宋体"/>
          <w:bCs/>
          <w:color w:val="000000"/>
          <w:szCs w:val="21"/>
        </w:rPr>
        <w:t>采购活动，提供的货物全部由符合政策要求的中小企业制造。相关企业的具体情况如下：</w:t>
      </w:r>
    </w:p>
    <w:p>
      <w:pPr>
        <w:spacing w:line="600" w:lineRule="exact"/>
        <w:ind w:firstLine="294" w:firstLineChars="140"/>
        <w:jc w:val="left"/>
        <w:rPr>
          <w:rFonts w:hint="eastAsia" w:ascii="宋体" w:hAnsi="宋体"/>
          <w:bCs/>
          <w:color w:val="000000"/>
          <w:szCs w:val="21"/>
        </w:rPr>
      </w:pPr>
      <w:r>
        <w:rPr>
          <w:rFonts w:hint="eastAsia" w:ascii="宋体" w:hAnsi="宋体"/>
          <w:bCs/>
          <w:color w:val="000000"/>
          <w:szCs w:val="21"/>
        </w:rPr>
        <w:t>1.</w:t>
      </w:r>
      <w:bookmarkStart w:id="152" w:name="_Hlk60836996"/>
      <w:r>
        <w:rPr>
          <w:rFonts w:hint="eastAsia" w:ascii="宋体" w:hAnsi="宋体"/>
          <w:bCs/>
          <w:color w:val="000000"/>
          <w:szCs w:val="21"/>
        </w:rPr>
        <w:t>（</w:t>
      </w:r>
      <w:r>
        <w:rPr>
          <w:rFonts w:hint="eastAsia" w:ascii="宋体" w:hAnsi="宋体"/>
          <w:bCs/>
          <w:color w:val="A6A6A6"/>
          <w:szCs w:val="21"/>
          <w:u w:val="single"/>
        </w:rPr>
        <w:t>标的名称</w:t>
      </w:r>
      <w:r>
        <w:rPr>
          <w:rFonts w:ascii="宋体" w:hAnsi="宋体"/>
          <w:bCs/>
          <w:color w:val="000000"/>
          <w:szCs w:val="21"/>
        </w:rPr>
        <w:t>）</w:t>
      </w:r>
      <w:r>
        <w:rPr>
          <w:rFonts w:hint="eastAsia" w:ascii="宋体" w:hAnsi="宋体"/>
          <w:bCs/>
          <w:color w:val="000000"/>
          <w:szCs w:val="21"/>
        </w:rPr>
        <w:t>，属于(</w:t>
      </w:r>
      <w:r>
        <w:rPr>
          <w:rFonts w:hint="eastAsia" w:ascii="宋体" w:hAnsi="宋体"/>
          <w:bCs/>
          <w:color w:val="A6A6A6"/>
          <w:szCs w:val="21"/>
          <w:u w:val="single"/>
        </w:rPr>
        <w:t>采购文件中明确的所属行业</w:t>
      </w:r>
      <w:r>
        <w:rPr>
          <w:rFonts w:ascii="宋体" w:hAnsi="宋体"/>
          <w:bCs/>
          <w:color w:val="000000"/>
          <w:szCs w:val="21"/>
        </w:rPr>
        <w:t>）</w:t>
      </w:r>
      <w:r>
        <w:rPr>
          <w:rFonts w:hint="eastAsia" w:ascii="宋体" w:hAnsi="宋体"/>
          <w:bCs/>
          <w:color w:val="000000"/>
          <w:szCs w:val="21"/>
        </w:rPr>
        <w:t>行业；制造商为(</w:t>
      </w:r>
      <w:r>
        <w:rPr>
          <w:rFonts w:hint="eastAsia" w:ascii="宋体" w:hAnsi="宋体"/>
          <w:bCs/>
          <w:color w:val="A6A6A6"/>
          <w:szCs w:val="21"/>
          <w:u w:val="single"/>
        </w:rPr>
        <w:t>企业名称</w:t>
      </w:r>
      <w:r>
        <w:rPr>
          <w:rFonts w:ascii="宋体" w:hAnsi="宋体"/>
          <w:bCs/>
          <w:color w:val="000000"/>
          <w:szCs w:val="21"/>
        </w:rPr>
        <w:t>）</w:t>
      </w:r>
      <w:r>
        <w:rPr>
          <w:rFonts w:hint="eastAsia" w:ascii="宋体" w:hAnsi="宋体"/>
          <w:bCs/>
          <w:color w:val="000000"/>
          <w:szCs w:val="21"/>
        </w:rPr>
        <w:t>，从业人员</w:t>
      </w:r>
      <w:r>
        <w:rPr>
          <w:rFonts w:hint="eastAsia" w:ascii="宋体" w:hAnsi="宋体"/>
          <w:bCs/>
          <w:color w:val="000000"/>
          <w:szCs w:val="21"/>
          <w:u w:val="single"/>
        </w:rPr>
        <w:t xml:space="preserve"> </w:t>
      </w:r>
      <w:r>
        <w:rPr>
          <w:rFonts w:ascii="宋体" w:hAnsi="宋体"/>
          <w:bCs/>
          <w:color w:val="000000"/>
          <w:szCs w:val="21"/>
          <w:u w:val="single"/>
        </w:rPr>
        <w:t xml:space="preserve">  </w:t>
      </w:r>
      <w:r>
        <w:rPr>
          <w:rFonts w:hint="eastAsia" w:ascii="宋体" w:hAnsi="宋体"/>
          <w:bCs/>
          <w:color w:val="000000"/>
          <w:szCs w:val="21"/>
        </w:rPr>
        <w:t>人，营业收入为</w:t>
      </w:r>
      <w:r>
        <w:rPr>
          <w:rFonts w:hint="eastAsia" w:ascii="宋体" w:hAnsi="宋体"/>
          <w:bCs/>
          <w:color w:val="000000"/>
          <w:szCs w:val="21"/>
          <w:u w:val="single"/>
        </w:rPr>
        <w:t xml:space="preserve"> </w:t>
      </w:r>
      <w:r>
        <w:rPr>
          <w:rFonts w:ascii="宋体" w:hAnsi="宋体"/>
          <w:bCs/>
          <w:color w:val="000000"/>
          <w:szCs w:val="21"/>
          <w:u w:val="single"/>
        </w:rPr>
        <w:t xml:space="preserve">  </w:t>
      </w:r>
      <w:r>
        <w:rPr>
          <w:rFonts w:hint="eastAsia" w:ascii="宋体" w:hAnsi="宋体"/>
          <w:bCs/>
          <w:color w:val="000000"/>
          <w:szCs w:val="21"/>
        </w:rPr>
        <w:t>万元，资产总额为</w:t>
      </w:r>
      <w:r>
        <w:rPr>
          <w:rFonts w:hint="eastAsia" w:ascii="宋体" w:hAnsi="宋体"/>
          <w:bCs/>
          <w:color w:val="000000"/>
          <w:szCs w:val="21"/>
          <w:u w:val="single"/>
        </w:rPr>
        <w:t xml:space="preserve"> </w:t>
      </w:r>
      <w:r>
        <w:rPr>
          <w:rFonts w:ascii="宋体" w:hAnsi="宋体"/>
          <w:bCs/>
          <w:color w:val="000000"/>
          <w:szCs w:val="21"/>
          <w:u w:val="single"/>
        </w:rPr>
        <w:t xml:space="preserve">  </w:t>
      </w:r>
      <w:r>
        <w:rPr>
          <w:rFonts w:hint="eastAsia" w:ascii="宋体" w:hAnsi="宋体"/>
          <w:bCs/>
          <w:color w:val="000000"/>
          <w:szCs w:val="21"/>
        </w:rPr>
        <w:t>万元，属于（</w:t>
      </w:r>
      <w:r>
        <w:rPr>
          <w:rFonts w:hint="eastAsia" w:ascii="宋体" w:hAnsi="宋体"/>
          <w:bCs/>
          <w:color w:val="A6A6A6"/>
          <w:szCs w:val="21"/>
          <w:u w:val="single"/>
        </w:rPr>
        <w:t>中型企业、小型企业、微型企业</w:t>
      </w:r>
      <w:r>
        <w:rPr>
          <w:rFonts w:hint="eastAsia" w:ascii="宋体" w:hAnsi="宋体"/>
          <w:bCs/>
          <w:color w:val="000000"/>
          <w:szCs w:val="21"/>
        </w:rPr>
        <w:t>）；</w:t>
      </w:r>
      <w:bookmarkEnd w:id="152"/>
    </w:p>
    <w:p>
      <w:pPr>
        <w:spacing w:line="600" w:lineRule="exact"/>
        <w:ind w:firstLine="294" w:firstLineChars="140"/>
        <w:jc w:val="left"/>
        <w:rPr>
          <w:rFonts w:hint="eastAsia" w:ascii="宋体" w:hAnsi="宋体"/>
          <w:bCs/>
          <w:color w:val="000000"/>
          <w:szCs w:val="21"/>
        </w:rPr>
      </w:pPr>
      <w:r>
        <w:rPr>
          <w:rFonts w:hint="eastAsia" w:ascii="宋体" w:hAnsi="宋体"/>
          <w:bCs/>
          <w:color w:val="000000"/>
          <w:szCs w:val="21"/>
        </w:rPr>
        <w:t>2.（</w:t>
      </w:r>
      <w:r>
        <w:rPr>
          <w:rFonts w:hint="eastAsia" w:ascii="宋体" w:hAnsi="宋体"/>
          <w:bCs/>
          <w:color w:val="A6A6A6"/>
          <w:szCs w:val="21"/>
          <w:u w:val="single"/>
        </w:rPr>
        <w:t>标的名称</w:t>
      </w:r>
      <w:r>
        <w:rPr>
          <w:rFonts w:hint="eastAsia" w:ascii="宋体" w:hAnsi="宋体"/>
          <w:bCs/>
          <w:color w:val="000000"/>
          <w:szCs w:val="21"/>
        </w:rPr>
        <w:t>），属于(</w:t>
      </w:r>
      <w:r>
        <w:rPr>
          <w:rFonts w:hint="eastAsia" w:ascii="宋体" w:hAnsi="宋体"/>
          <w:bCs/>
          <w:color w:val="A6A6A6"/>
          <w:szCs w:val="21"/>
          <w:u w:val="single"/>
        </w:rPr>
        <w:t>采购文件中明确的所属行业</w:t>
      </w:r>
      <w:r>
        <w:rPr>
          <w:rFonts w:hint="eastAsia" w:ascii="宋体" w:hAnsi="宋体"/>
          <w:bCs/>
          <w:color w:val="000000"/>
          <w:szCs w:val="21"/>
        </w:rPr>
        <w:t>)行业；制造商为(</w:t>
      </w:r>
      <w:r>
        <w:rPr>
          <w:rFonts w:hint="eastAsia" w:ascii="宋体" w:hAnsi="宋体"/>
          <w:bCs/>
          <w:color w:val="A6A6A6"/>
          <w:szCs w:val="21"/>
          <w:u w:val="single"/>
        </w:rPr>
        <w:t>企业名称</w:t>
      </w:r>
      <w:r>
        <w:rPr>
          <w:rFonts w:hint="eastAsia" w:ascii="宋体" w:hAnsi="宋体"/>
          <w:bCs/>
          <w:color w:val="000000"/>
          <w:szCs w:val="21"/>
        </w:rPr>
        <w:t>)，从业人员</w:t>
      </w:r>
      <w:r>
        <w:rPr>
          <w:rFonts w:hint="eastAsia" w:ascii="宋体" w:hAnsi="宋体"/>
          <w:bCs/>
          <w:color w:val="000000"/>
          <w:szCs w:val="21"/>
          <w:u w:val="single"/>
        </w:rPr>
        <w:t xml:space="preserve"> </w:t>
      </w:r>
      <w:r>
        <w:rPr>
          <w:rFonts w:ascii="宋体" w:hAnsi="宋体"/>
          <w:bCs/>
          <w:color w:val="000000"/>
          <w:szCs w:val="21"/>
          <w:u w:val="single"/>
        </w:rPr>
        <w:t xml:space="preserve">   </w:t>
      </w:r>
      <w:r>
        <w:rPr>
          <w:rFonts w:hint="eastAsia" w:ascii="宋体" w:hAnsi="宋体"/>
          <w:bCs/>
          <w:color w:val="000000"/>
          <w:szCs w:val="21"/>
        </w:rPr>
        <w:t>人，营业收入为</w:t>
      </w:r>
      <w:r>
        <w:rPr>
          <w:rFonts w:hint="eastAsia" w:ascii="宋体" w:hAnsi="宋体"/>
          <w:bCs/>
          <w:color w:val="000000"/>
          <w:szCs w:val="21"/>
          <w:u w:val="single"/>
        </w:rPr>
        <w:t xml:space="preserve"> </w:t>
      </w:r>
      <w:r>
        <w:rPr>
          <w:rFonts w:ascii="宋体" w:hAnsi="宋体"/>
          <w:bCs/>
          <w:color w:val="000000"/>
          <w:szCs w:val="21"/>
          <w:u w:val="single"/>
        </w:rPr>
        <w:t xml:space="preserve">  </w:t>
      </w:r>
      <w:r>
        <w:rPr>
          <w:rFonts w:hint="eastAsia" w:ascii="宋体" w:hAnsi="宋体"/>
          <w:bCs/>
          <w:color w:val="000000"/>
          <w:szCs w:val="21"/>
        </w:rPr>
        <w:t>万元，资产总额为</w:t>
      </w:r>
      <w:r>
        <w:rPr>
          <w:rFonts w:hint="eastAsia" w:ascii="宋体" w:hAnsi="宋体"/>
          <w:bCs/>
          <w:color w:val="000000"/>
          <w:szCs w:val="21"/>
          <w:u w:val="single"/>
        </w:rPr>
        <w:t xml:space="preserve"> </w:t>
      </w:r>
      <w:r>
        <w:rPr>
          <w:rFonts w:ascii="宋体" w:hAnsi="宋体"/>
          <w:bCs/>
          <w:color w:val="000000"/>
          <w:szCs w:val="21"/>
          <w:u w:val="single"/>
        </w:rPr>
        <w:t xml:space="preserve">  </w:t>
      </w:r>
      <w:r>
        <w:rPr>
          <w:rFonts w:hint="eastAsia" w:ascii="宋体" w:hAnsi="宋体"/>
          <w:bCs/>
          <w:color w:val="000000"/>
          <w:szCs w:val="21"/>
        </w:rPr>
        <w:t>万元，属于（</w:t>
      </w:r>
      <w:r>
        <w:rPr>
          <w:rFonts w:hint="eastAsia" w:ascii="宋体" w:hAnsi="宋体"/>
          <w:bCs/>
          <w:color w:val="A6A6A6"/>
          <w:szCs w:val="21"/>
          <w:u w:val="single"/>
        </w:rPr>
        <w:t>中型企业、小型企业、微型企业</w:t>
      </w:r>
      <w:r>
        <w:rPr>
          <w:rFonts w:hint="eastAsia" w:ascii="宋体" w:hAnsi="宋体"/>
          <w:bCs/>
          <w:color w:val="000000"/>
          <w:szCs w:val="21"/>
        </w:rPr>
        <w:t>）；</w:t>
      </w:r>
    </w:p>
    <w:p>
      <w:pPr>
        <w:spacing w:line="600" w:lineRule="exact"/>
        <w:ind w:firstLine="294" w:firstLineChars="140"/>
        <w:jc w:val="left"/>
        <w:rPr>
          <w:rFonts w:hint="eastAsia" w:ascii="宋体" w:hAnsi="宋体"/>
          <w:bCs/>
          <w:color w:val="000000"/>
          <w:szCs w:val="21"/>
        </w:rPr>
      </w:pPr>
      <w:r>
        <w:rPr>
          <w:rFonts w:hint="eastAsia" w:ascii="宋体" w:hAnsi="宋体"/>
          <w:bCs/>
          <w:color w:val="000000"/>
          <w:szCs w:val="21"/>
        </w:rPr>
        <w:t>……</w:t>
      </w:r>
    </w:p>
    <w:p>
      <w:pPr>
        <w:spacing w:line="600" w:lineRule="exact"/>
        <w:ind w:firstLine="294" w:firstLineChars="140"/>
        <w:jc w:val="left"/>
        <w:rPr>
          <w:rFonts w:hint="eastAsia" w:ascii="宋体" w:hAnsi="宋体"/>
          <w:bCs/>
          <w:color w:val="000000"/>
          <w:szCs w:val="21"/>
        </w:rPr>
      </w:pPr>
      <w:r>
        <w:rPr>
          <w:rFonts w:hint="eastAsia" w:ascii="宋体" w:hAnsi="宋体"/>
          <w:bCs/>
          <w:color w:val="000000"/>
          <w:szCs w:val="21"/>
        </w:rPr>
        <w:t>以上企业，不属于大企业的分支机构，不存在控股股东为大企业的情形，也不存在与大企业的负责人为同一人的情形。</w:t>
      </w:r>
    </w:p>
    <w:p>
      <w:pPr>
        <w:spacing w:line="600" w:lineRule="exact"/>
        <w:ind w:firstLine="294" w:firstLineChars="140"/>
        <w:jc w:val="left"/>
        <w:rPr>
          <w:rFonts w:hint="eastAsia" w:ascii="宋体" w:hAnsi="宋体"/>
          <w:bCs/>
          <w:color w:val="000000"/>
          <w:szCs w:val="21"/>
        </w:rPr>
      </w:pPr>
      <w:r>
        <w:rPr>
          <w:rFonts w:hint="eastAsia" w:ascii="宋体" w:hAnsi="宋体"/>
          <w:bCs/>
          <w:color w:val="000000"/>
          <w:szCs w:val="21"/>
        </w:rPr>
        <w:t>本企业对上述声明内容的真实性负责。如有虚假，将依法承担相应责任。</w:t>
      </w:r>
    </w:p>
    <w:p>
      <w:pPr>
        <w:spacing w:line="400" w:lineRule="exact"/>
        <w:rPr>
          <w:szCs w:val="21"/>
        </w:rPr>
      </w:pPr>
    </w:p>
    <w:p>
      <w:pPr>
        <w:spacing w:line="400" w:lineRule="exact"/>
        <w:rPr>
          <w:szCs w:val="21"/>
        </w:rPr>
      </w:pPr>
    </w:p>
    <w:p>
      <w:pPr>
        <w:spacing w:line="400" w:lineRule="exact"/>
        <w:rPr>
          <w:szCs w:val="21"/>
        </w:rPr>
      </w:pPr>
    </w:p>
    <w:p>
      <w:pPr>
        <w:spacing w:line="440" w:lineRule="exact"/>
        <w:ind w:firstLine="5250" w:firstLineChars="2500"/>
        <w:jc w:val="left"/>
        <w:rPr>
          <w:rFonts w:hint="eastAsia" w:ascii="宋体" w:hAnsi="宋体"/>
          <w:bCs/>
          <w:color w:val="000000"/>
          <w:szCs w:val="21"/>
        </w:rPr>
      </w:pPr>
      <w:r>
        <w:rPr>
          <w:rFonts w:hint="eastAsia" w:ascii="宋体" w:hAnsi="宋体"/>
          <w:bCs/>
          <w:color w:val="000000"/>
          <w:szCs w:val="21"/>
        </w:rPr>
        <w:t>企业名称（盖章）：</w:t>
      </w:r>
      <w:r>
        <w:rPr>
          <w:rFonts w:hint="eastAsia" w:hAnsi="宋体"/>
          <w:color w:val="000000"/>
          <w:szCs w:val="21"/>
          <w:u w:val="single"/>
        </w:rPr>
        <w:t xml:space="preserve"> </w:t>
      </w:r>
      <w:r>
        <w:rPr>
          <w:rFonts w:hAnsi="宋体"/>
          <w:color w:val="000000"/>
          <w:szCs w:val="21"/>
          <w:u w:val="single"/>
        </w:rPr>
        <w:t xml:space="preserve">              </w:t>
      </w:r>
    </w:p>
    <w:p>
      <w:pPr>
        <w:ind w:firstLine="5250" w:firstLineChars="2500"/>
      </w:pPr>
      <w:bookmarkStart w:id="156" w:name="_GoBack"/>
      <w:bookmarkEnd w:id="156"/>
      <w:r>
        <w:rPr>
          <w:rFonts w:hint="eastAsia" w:ascii="宋体" w:hAnsi="宋体"/>
          <w:bCs/>
          <w:color w:val="000000"/>
          <w:szCs w:val="21"/>
        </w:rPr>
        <w:t>日 期：</w:t>
      </w:r>
      <w:r>
        <w:rPr>
          <w:rFonts w:hint="eastAsia" w:hAnsi="宋体"/>
          <w:color w:val="000000"/>
          <w:szCs w:val="21"/>
          <w:u w:val="single"/>
        </w:rPr>
        <w:t xml:space="preserve"> </w:t>
      </w:r>
      <w:r>
        <w:rPr>
          <w:rFonts w:hAnsi="宋体"/>
          <w:color w:val="000000"/>
          <w:szCs w:val="21"/>
          <w:u w:val="single"/>
        </w:rPr>
        <w:t xml:space="preserve">                        </w:t>
      </w:r>
    </w:p>
    <w:p/>
    <w:p/>
    <w:p/>
    <w:p/>
    <w:p/>
    <w:p/>
    <w:p/>
    <w:p>
      <w:pPr>
        <w:pStyle w:val="2"/>
      </w:pPr>
    </w:p>
    <w:p/>
    <w:p/>
    <w:p/>
    <w:p>
      <w:pPr>
        <w:spacing w:line="320" w:lineRule="exact"/>
        <w:jc w:val="left"/>
        <w:rPr>
          <w:rFonts w:hAnsi="宋体"/>
          <w:bCs/>
          <w:sz w:val="18"/>
          <w:szCs w:val="18"/>
        </w:rPr>
      </w:pPr>
      <w:bookmarkStart w:id="153" w:name="_Hlk82091879"/>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),从)</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),业)</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),人)</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),员)</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),营)</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),业)</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),收)</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),入)</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),资)</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),产)</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),总)</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),额)</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),填)</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),报)</w:instrText>
      </w:r>
      <w:r>
        <w:rPr>
          <w:rFonts w:hAnsi="宋体"/>
          <w:bCs/>
          <w:sz w:val="18"/>
          <w:szCs w:val="18"/>
        </w:rPr>
        <w:fldChar w:fldCharType="end"/>
      </w:r>
      <w:bookmarkEnd w:id="153"/>
      <w:r>
        <w:rPr>
          <w:rFonts w:hint="eastAsia" w:hAnsi="宋体"/>
          <w:bCs/>
          <w:sz w:val="18"/>
          <w:szCs w:val="18"/>
        </w:rPr>
        <w:t>上一年度数据，无上一年度数据的新成立企业可不填报。</w:t>
      </w:r>
    </w:p>
    <w:tbl>
      <w:tblPr>
        <w:tblStyle w:val="35"/>
        <w:tblW w:w="9952" w:type="dxa"/>
        <w:tblInd w:w="150" w:type="dxa"/>
        <w:shd w:val="clear" w:color="auto" w:fill="FFFFFF"/>
        <w:tblLayout w:type="autofit"/>
        <w:tblCellMar>
          <w:top w:w="15" w:type="dxa"/>
          <w:left w:w="15" w:type="dxa"/>
          <w:bottom w:w="15" w:type="dxa"/>
          <w:right w:w="15" w:type="dxa"/>
        </w:tblCellMar>
      </w:tblPr>
      <w:tblGrid>
        <w:gridCol w:w="2127"/>
        <w:gridCol w:w="1413"/>
        <w:gridCol w:w="714"/>
        <w:gridCol w:w="1275"/>
        <w:gridCol w:w="1843"/>
        <w:gridCol w:w="1559"/>
        <w:gridCol w:w="1021"/>
      </w:tblGrid>
      <w:tr>
        <w:tblPrEx>
          <w:shd w:val="clear" w:color="auto" w:fill="FFFFFF"/>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pPr>
              <w:widowControl/>
              <w:jc w:val="center"/>
              <w:rPr>
                <w:rFonts w:ascii="Helvetica" w:hAnsi="Helvetica" w:cs="Helvetica"/>
                <w:b/>
                <w:bCs/>
                <w:kern w:val="0"/>
                <w:szCs w:val="21"/>
              </w:rPr>
            </w:pPr>
            <w:r>
              <w:rPr>
                <w:rFonts w:ascii="Helvetica" w:hAnsi="Helvetica" w:cs="Helvetica"/>
                <w:b/>
                <w:bCs/>
                <w:kern w:val="0"/>
                <w:szCs w:val="21"/>
              </w:rPr>
              <w:t>大中小微型企业划分标准</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计量</w:t>
            </w:r>
          </w:p>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小型</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微型</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50≤Y＜500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工业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6000≤Y＜80000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300≤Y＜6000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5000≤Z＜80000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300≤Z＜5000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5≤X＜20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X＜5</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10≤X＜50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交通运输业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200≤Y＜3000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仓储业*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信息传输业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5000≤Z＜10000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2000≤Z＜5000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Z＜2000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Y＜500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8000≤Z＜120000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100≤Z＜8000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Z＜100</w:t>
            </w:r>
          </w:p>
        </w:tc>
      </w:tr>
      <w:tr>
        <w:tblPrEx>
          <w:shd w:val="clear" w:color="auto" w:fill="FFFFFF"/>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其他未列明行业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bl>
    <w:p>
      <w:pPr>
        <w:widowControl/>
        <w:shd w:val="clear" w:color="auto" w:fill="FFFFFF"/>
        <w:spacing w:line="360" w:lineRule="atLeast"/>
        <w:ind w:firstLine="480"/>
        <w:jc w:val="left"/>
        <w:rPr>
          <w:rFonts w:ascii="Helvetica" w:hAnsi="Helvetica" w:cs="Helvetica"/>
          <w:kern w:val="0"/>
          <w:szCs w:val="21"/>
        </w:rPr>
      </w:pPr>
    </w:p>
    <w:p>
      <w:pPr>
        <w:widowControl/>
        <w:jc w:val="left"/>
        <w:rPr>
          <w:rFonts w:ascii="Helvetica" w:hAnsi="Helvetica" w:cs="Helvetica"/>
          <w:kern w:val="0"/>
          <w:szCs w:val="21"/>
        </w:rPr>
      </w:pPr>
      <w:r>
        <w:rPr>
          <w:rFonts w:ascii="Helvetica" w:hAnsi="Helvetica" w:cs="Helvetica"/>
          <w:kern w:val="0"/>
          <w:szCs w:val="21"/>
        </w:rPr>
        <w:br w:type="page"/>
      </w:r>
    </w:p>
    <w:p>
      <w:pPr>
        <w:widowControl/>
        <w:shd w:val="clear" w:color="auto" w:fill="FFFFFF"/>
        <w:spacing w:line="360" w:lineRule="atLeast"/>
        <w:jc w:val="left"/>
        <w:rPr>
          <w:rFonts w:ascii="Helvetica" w:hAnsi="Helvetica" w:cs="Helvetica"/>
          <w:kern w:val="0"/>
          <w:sz w:val="18"/>
          <w:szCs w:val="18"/>
        </w:rPr>
      </w:pPr>
      <w:r>
        <w:rPr>
          <w:rFonts w:ascii="Helvetica" w:hAnsi="Helvetica" w:cs="Helvetica"/>
          <w:kern w:val="0"/>
          <w:sz w:val="18"/>
          <w:szCs w:val="18"/>
        </w:rPr>
        <w:t>说明：</w:t>
      </w:r>
    </w:p>
    <w:p>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1.大型、中型和小型企业须同时满足所列指标的下限，否则下划一档；微型企业只须满足所列指标中的一项即可。</w:t>
      </w:r>
    </w:p>
    <w:p>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2.附表中各行业的范围以《国民经济行业分类》（GB/T4754-2017）为准。带*的项为行业组合类别，其中，工业包括采矿业，制造业，电力、热力、燃气及水生产和供应业；交通运输业包括道路运输业，水上运输业，航空运输业，管道运输业，</w:t>
      </w:r>
      <w:r>
        <w:fldChar w:fldCharType="begin"/>
      </w:r>
      <w:r>
        <w:instrText xml:space="preserve"> HYPERLINK "https://baike.baidu.com/item/%E5%A4%9A%E5%BC%8F%E8%81%94%E8%BF%90/3342240?fromModule=lemma_inlink" \t "_blank" </w:instrText>
      </w:r>
      <w:r>
        <w:fldChar w:fldCharType="separate"/>
      </w:r>
      <w:r>
        <w:rPr>
          <w:rFonts w:ascii="Helvetica" w:hAnsi="Helvetica" w:cs="Helvetica"/>
          <w:kern w:val="0"/>
          <w:sz w:val="18"/>
          <w:szCs w:val="18"/>
          <w:u w:val="single"/>
        </w:rPr>
        <w:t>多式联运</w:t>
      </w:r>
      <w:r>
        <w:rPr>
          <w:rFonts w:ascii="Helvetica" w:hAnsi="Helvetica" w:cs="Helvetica"/>
          <w:kern w:val="0"/>
          <w:sz w:val="18"/>
          <w:szCs w:val="18"/>
          <w:u w:val="single"/>
        </w:rPr>
        <w:fldChar w:fldCharType="end"/>
      </w:r>
      <w:r>
        <w:rPr>
          <w:rFonts w:ascii="Helvetica" w:hAnsi="Helvetica" w:cs="Helvetica"/>
          <w:kern w:val="0"/>
          <w:sz w:val="18"/>
          <w:szCs w:val="18"/>
        </w:rPr>
        <w:t>和运输代理业、</w:t>
      </w:r>
      <w:r>
        <w:fldChar w:fldCharType="begin"/>
      </w:r>
      <w:r>
        <w:instrText xml:space="preserve"> HYPERLINK "https://baike.baidu.com/item/%E8%A3%85%E5%8D%B8%E6%90%AC%E8%BF%90/6511400?fromModule=lemma_inlink" \t "_blank" </w:instrText>
      </w:r>
      <w:r>
        <w:fldChar w:fldCharType="separate"/>
      </w:r>
      <w:r>
        <w:rPr>
          <w:rFonts w:ascii="Helvetica" w:hAnsi="Helvetica" w:cs="Helvetica"/>
          <w:kern w:val="0"/>
          <w:sz w:val="18"/>
          <w:szCs w:val="18"/>
          <w:u w:val="single"/>
        </w:rPr>
        <w:t>装卸搬运</w:t>
      </w:r>
      <w:r>
        <w:rPr>
          <w:rFonts w:ascii="Helvetica" w:hAnsi="Helvetica" w:cs="Helvetica"/>
          <w:kern w:val="0"/>
          <w:sz w:val="18"/>
          <w:szCs w:val="18"/>
          <w:u w:val="single"/>
        </w:rPr>
        <w:fldChar w:fldCharType="end"/>
      </w:r>
      <w:r>
        <w:rPr>
          <w:rFonts w:ascii="Helvetica" w:hAnsi="Helvetica" w:cs="Helvetica"/>
          <w:kern w:val="0"/>
          <w:sz w:val="18"/>
          <w:szCs w:val="18"/>
        </w:rPr>
        <w:t>，不包括铁路运输业；</w:t>
      </w:r>
      <w:r>
        <w:fldChar w:fldCharType="begin"/>
      </w:r>
      <w:r>
        <w:instrText xml:space="preserve"> HYPERLINK "https://baike.baidu.com/item/%E4%BB%93%E5%82%A8%E4%B8%9A/3487863?fromModule=lemma_inlink" \t "_blank" </w:instrText>
      </w:r>
      <w:r>
        <w:fldChar w:fldCharType="separate"/>
      </w:r>
      <w:r>
        <w:rPr>
          <w:rFonts w:ascii="Helvetica" w:hAnsi="Helvetica" w:cs="Helvetica"/>
          <w:kern w:val="0"/>
          <w:sz w:val="18"/>
          <w:szCs w:val="18"/>
          <w:u w:val="single"/>
        </w:rPr>
        <w:t>仓储业</w:t>
      </w:r>
      <w:r>
        <w:rPr>
          <w:rFonts w:ascii="Helvetica" w:hAnsi="Helvetica" w:cs="Helvetica"/>
          <w:kern w:val="0"/>
          <w:sz w:val="18"/>
          <w:szCs w:val="18"/>
          <w:u w:val="single"/>
        </w:rPr>
        <w:fldChar w:fldCharType="end"/>
      </w:r>
      <w:r>
        <w:rPr>
          <w:rFonts w:ascii="Helvetica" w:hAnsi="Helvetica" w:cs="Helvetica"/>
          <w:kern w:val="0"/>
          <w:sz w:val="18"/>
          <w:szCs w:val="18"/>
        </w:rPr>
        <w:t>包括通用仓储，低温仓储，危险品仓储，谷物、棉花等农产品仓储，中药材仓储和其他仓储业;</w:t>
      </w:r>
      <w:r>
        <w:fldChar w:fldCharType="begin"/>
      </w:r>
      <w:r>
        <w:instrText xml:space="preserve"> HYPERLINK "https://baike.baidu.com/item/%E4%BF%A1%E6%81%AF%E4%BC%A0%E8%BE%93%E4%B8%9A/61331990?fromModule=lemma_inlink" \t "_blank" </w:instrText>
      </w:r>
      <w:r>
        <w:fldChar w:fldCharType="separate"/>
      </w:r>
      <w:r>
        <w:rPr>
          <w:rFonts w:ascii="Helvetica" w:hAnsi="Helvetica" w:cs="Helvetica"/>
          <w:kern w:val="0"/>
          <w:sz w:val="18"/>
          <w:szCs w:val="18"/>
          <w:u w:val="single"/>
        </w:rPr>
        <w:t>信息传输业</w:t>
      </w:r>
      <w:r>
        <w:rPr>
          <w:rFonts w:ascii="Helvetica" w:hAnsi="Helvetica" w:cs="Helvetica"/>
          <w:kern w:val="0"/>
          <w:sz w:val="18"/>
          <w:szCs w:val="18"/>
          <w:u w:val="single"/>
        </w:rPr>
        <w:fldChar w:fldCharType="end"/>
      </w:r>
      <w:r>
        <w:rPr>
          <w:rFonts w:ascii="Helvetica" w:hAnsi="Helvetica" w:cs="Helvetica"/>
          <w:kern w:val="0"/>
          <w:sz w:val="18"/>
          <w:szCs w:val="18"/>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3.企业划分指标以现行</w:t>
      </w:r>
      <w:r>
        <w:fldChar w:fldCharType="begin"/>
      </w:r>
      <w:r>
        <w:instrText xml:space="preserve"> HYPERLINK "https://baike.baidu.com/item/%E7%BB%9F%E8%AE%A1%E5%88%B6%E5%BA%A6/917165?fromModule=lemma_inlink" \t "_blank" </w:instrText>
      </w:r>
      <w:r>
        <w:fldChar w:fldCharType="separate"/>
      </w:r>
      <w:r>
        <w:rPr>
          <w:rFonts w:ascii="Helvetica" w:hAnsi="Helvetica" w:cs="Helvetica"/>
          <w:kern w:val="0"/>
          <w:sz w:val="18"/>
          <w:szCs w:val="18"/>
          <w:u w:val="single"/>
        </w:rPr>
        <w:t>统计制度</w:t>
      </w:r>
      <w:r>
        <w:rPr>
          <w:rFonts w:ascii="Helvetica" w:hAnsi="Helvetica" w:cs="Helvetica"/>
          <w:kern w:val="0"/>
          <w:sz w:val="18"/>
          <w:szCs w:val="18"/>
          <w:u w:val="single"/>
        </w:rPr>
        <w:fldChar w:fldCharType="end"/>
      </w:r>
      <w:r>
        <w:rPr>
          <w:rFonts w:ascii="Helvetica" w:hAnsi="Helvetica" w:cs="Helvetica"/>
          <w:kern w:val="0"/>
          <w:sz w:val="18"/>
          <w:szCs w:val="18"/>
        </w:rPr>
        <w:t>为准。（1）从业人员，是指期末从业人员数，没有期末从业人员数的，采用全年平均人员数代替。（2）</w:t>
      </w:r>
      <w:r>
        <w:fldChar w:fldCharType="begin"/>
      </w:r>
      <w:r>
        <w:instrText xml:space="preserve"> HYPERLINK "https://baike.baidu.com/item/%E8%90%A5%E4%B8%9A%E6%94%B6%E5%85%A5/5099832?fromModule=lemma_inlink" \t "_blank" </w:instrText>
      </w:r>
      <w:r>
        <w:fldChar w:fldCharType="separate"/>
      </w:r>
      <w:r>
        <w:rPr>
          <w:rFonts w:ascii="Helvetica" w:hAnsi="Helvetica" w:cs="Helvetica"/>
          <w:kern w:val="0"/>
          <w:sz w:val="18"/>
          <w:szCs w:val="18"/>
          <w:u w:val="single"/>
        </w:rPr>
        <w:t>营业收入</w:t>
      </w:r>
      <w:r>
        <w:rPr>
          <w:rFonts w:ascii="Helvetica" w:hAnsi="Helvetica" w:cs="Helvetica"/>
          <w:kern w:val="0"/>
          <w:sz w:val="18"/>
          <w:szCs w:val="18"/>
          <w:u w:val="single"/>
        </w:rPr>
        <w:fldChar w:fldCharType="end"/>
      </w:r>
      <w:r>
        <w:rPr>
          <w:rFonts w:ascii="Helvetica" w:hAnsi="Helvetica" w:cs="Helvetica"/>
          <w:kern w:val="0"/>
          <w:sz w:val="18"/>
          <w:szCs w:val="18"/>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fldChar w:fldCharType="begin"/>
      </w:r>
      <w:r>
        <w:instrText xml:space="preserve"> HYPERLINK "https://baike.baidu.com/item/%E8%B5%84%E4%BA%A7%E6%80%BB%E9%A2%9D/716517?fromModule=lemma_inlink" \t "_blank" </w:instrText>
      </w:r>
      <w:r>
        <w:fldChar w:fldCharType="separate"/>
      </w:r>
      <w:r>
        <w:rPr>
          <w:rFonts w:ascii="Helvetica" w:hAnsi="Helvetica" w:cs="Helvetica"/>
          <w:kern w:val="0"/>
          <w:sz w:val="18"/>
          <w:szCs w:val="18"/>
          <w:u w:val="single"/>
        </w:rPr>
        <w:t>资产总额</w:t>
      </w:r>
      <w:r>
        <w:rPr>
          <w:rFonts w:ascii="Helvetica" w:hAnsi="Helvetica" w:cs="Helvetica"/>
          <w:kern w:val="0"/>
          <w:sz w:val="18"/>
          <w:szCs w:val="18"/>
          <w:u w:val="single"/>
        </w:rPr>
        <w:fldChar w:fldCharType="end"/>
      </w:r>
      <w:r>
        <w:rPr>
          <w:rFonts w:ascii="Helvetica" w:hAnsi="Helvetica" w:cs="Helvetica"/>
          <w:kern w:val="0"/>
          <w:sz w:val="18"/>
          <w:szCs w:val="18"/>
        </w:rPr>
        <w:t>，采用资产总计代替。</w:t>
      </w:r>
    </w:p>
    <w:p>
      <w:pPr>
        <w:widowControl/>
        <w:jc w:val="left"/>
        <w:rPr>
          <w:rFonts w:hAnsi="宋体"/>
          <w:bCs/>
          <w:sz w:val="18"/>
          <w:szCs w:val="18"/>
        </w:rPr>
      </w:pPr>
      <w:r>
        <w:rPr>
          <w:rFonts w:hAnsi="宋体"/>
          <w:bCs/>
          <w:sz w:val="18"/>
          <w:szCs w:val="18"/>
        </w:rPr>
        <w:br w:type="page"/>
      </w:r>
    </w:p>
    <w:p>
      <w:pPr>
        <w:spacing w:line="320" w:lineRule="exact"/>
        <w:jc w:val="left"/>
        <w:rPr>
          <w:rFonts w:hAnsi="宋体"/>
          <w:bCs/>
          <w:sz w:val="18"/>
          <w:szCs w:val="18"/>
        </w:rPr>
      </w:pPr>
    </w:p>
    <w:p>
      <w:pPr>
        <w:pStyle w:val="21"/>
        <w:spacing w:line="440" w:lineRule="exact"/>
        <w:jc w:val="center"/>
        <w:rPr>
          <w:rFonts w:ascii="仿宋" w:hAnsi="仿宋" w:eastAsia="仿宋"/>
          <w:b/>
          <w:kern w:val="0"/>
          <w:sz w:val="32"/>
          <w:szCs w:val="32"/>
        </w:rPr>
      </w:pPr>
      <w:r>
        <w:rPr>
          <w:rFonts w:hint="eastAsia" w:ascii="仿宋" w:hAnsi="仿宋" w:eastAsia="仿宋"/>
          <w:b/>
          <w:kern w:val="0"/>
          <w:sz w:val="32"/>
          <w:szCs w:val="32"/>
        </w:rPr>
        <w:t>残疾人福利性单位声明函</w:t>
      </w:r>
      <w:r>
        <w:rPr>
          <w:rFonts w:hint="eastAsia" w:ascii="仿宋" w:hAnsi="仿宋" w:eastAsia="仿宋"/>
          <w:sz w:val="24"/>
        </w:rPr>
        <w:t>(格式</w:t>
      </w:r>
      <w:r>
        <w:rPr>
          <w:rFonts w:ascii="仿宋" w:hAnsi="仿宋" w:eastAsia="仿宋"/>
          <w:sz w:val="24"/>
        </w:rPr>
        <w:t>)</w:t>
      </w:r>
    </w:p>
    <w:p/>
    <w:p>
      <w:pPr>
        <w:spacing w:line="660" w:lineRule="exact"/>
        <w:ind w:firstLine="420" w:firstLineChars="200"/>
        <w:rPr>
          <w:rFonts w:ascii="宋体" w:hAnsi="宋体" w:cs="Courier New"/>
          <w:kern w:val="0"/>
          <w:szCs w:val="21"/>
        </w:rPr>
      </w:pPr>
      <w:r>
        <w:rPr>
          <w:rFonts w:hint="eastAsia" w:ascii="宋体" w:hAnsi="宋体" w:cs="Courier New"/>
          <w:kern w:val="0"/>
          <w:szCs w:val="21"/>
        </w:rPr>
        <w:t>本单位郑重声明，根据</w:t>
      </w:r>
      <w:bookmarkStart w:id="154" w:name="_Hlk82091361"/>
      <w:r>
        <w:rPr>
          <w:rFonts w:hint="eastAsia" w:ascii="宋体" w:hAnsi="宋体" w:cs="Courier New"/>
          <w:kern w:val="0"/>
          <w:szCs w:val="21"/>
        </w:rPr>
        <w:t>《</w:t>
      </w:r>
      <w:r>
        <w:fldChar w:fldCharType="begin"/>
      </w:r>
      <w:r>
        <w:instrText xml:space="preserve"> HYPERLINK "http://www.mof.gov.cn/gp/xxgkml/gks/201709/t20170901_2689542.htm" </w:instrText>
      </w:r>
      <w:r>
        <w:fldChar w:fldCharType="separate"/>
      </w:r>
      <w:r>
        <w:rPr>
          <w:rFonts w:hint="eastAsia" w:ascii="宋体" w:hAnsi="Courier New" w:cs="Courier New"/>
          <w:kern w:val="0"/>
          <w:szCs w:val="21"/>
        </w:rPr>
        <w:t>财政部 民政部 中国残疾人联合会关于促进残疾人就业政府采购政策的通知》（财库〔2017〕141号）</w:t>
      </w:r>
      <w:r>
        <w:rPr>
          <w:rFonts w:hint="eastAsia" w:ascii="宋体" w:hAnsi="Courier New" w:cs="Courier New"/>
          <w:kern w:val="0"/>
          <w:szCs w:val="21"/>
        </w:rPr>
        <w:fldChar w:fldCharType="end"/>
      </w:r>
      <w:bookmarkEnd w:id="154"/>
      <w:r>
        <w:rPr>
          <w:rFonts w:hint="eastAsia" w:ascii="宋体" w:hAnsi="宋体" w:cs="Courier New"/>
          <w:kern w:val="0"/>
          <w:szCs w:val="21"/>
        </w:rPr>
        <w:t>的规定，本单位为符合条件的残疾人福利性单位，且本单位参加（</w:t>
      </w:r>
      <w:r>
        <w:rPr>
          <w:rFonts w:hint="eastAsia" w:ascii="宋体" w:hAnsi="宋体" w:cs="Courier New"/>
          <w:kern w:val="0"/>
          <w:szCs w:val="21"/>
          <w:u w:val="single"/>
        </w:rPr>
        <w:t>单位名称</w:t>
      </w:r>
      <w:r>
        <w:rPr>
          <w:rFonts w:hint="eastAsia" w:ascii="宋体" w:hAnsi="宋体" w:cs="Courier New"/>
          <w:kern w:val="0"/>
          <w:szCs w:val="21"/>
        </w:rPr>
        <w:t>）的（</w:t>
      </w:r>
      <w:r>
        <w:rPr>
          <w:rFonts w:hint="eastAsia" w:ascii="宋体" w:hAnsi="宋体" w:cs="Courier New"/>
          <w:kern w:val="0"/>
          <w:szCs w:val="21"/>
          <w:u w:val="single"/>
        </w:rPr>
        <w:t>项目名称</w:t>
      </w:r>
      <w:r>
        <w:rPr>
          <w:rFonts w:hint="eastAsia" w:ascii="宋体" w:hAnsi="宋体" w:cs="Courier New"/>
          <w:kern w:val="0"/>
          <w:szCs w:val="21"/>
        </w:rPr>
        <w:t>）采购活动提供本单位制造的货物，或者提供其他残疾人福利性单位（</w:t>
      </w:r>
      <w:r>
        <w:rPr>
          <w:rFonts w:hint="eastAsia" w:ascii="宋体" w:hAnsi="宋体" w:cs="Courier New"/>
          <w:kern w:val="0"/>
          <w:szCs w:val="21"/>
          <w:u w:val="single"/>
        </w:rPr>
        <w:t>请填写具体单位名称</w:t>
      </w:r>
      <w:r>
        <w:rPr>
          <w:rFonts w:hint="eastAsia" w:ascii="宋体" w:hAnsi="宋体" w:cs="Courier New"/>
          <w:kern w:val="0"/>
          <w:szCs w:val="21"/>
        </w:rPr>
        <w:t>）制造的货物（不包括使用非残疾人福利性单位注册商标的货物）。</w:t>
      </w:r>
    </w:p>
    <w:p>
      <w:pPr>
        <w:spacing w:line="660" w:lineRule="exact"/>
        <w:ind w:firstLine="420" w:firstLineChars="200"/>
        <w:rPr>
          <w:rFonts w:ascii="宋体" w:hAnsi="宋体" w:cs="Courier New"/>
          <w:kern w:val="0"/>
          <w:szCs w:val="21"/>
        </w:rPr>
      </w:pPr>
      <w:r>
        <w:rPr>
          <w:rFonts w:hint="eastAsia" w:ascii="宋体" w:hAnsi="宋体" w:cs="Courier New"/>
          <w:kern w:val="0"/>
          <w:szCs w:val="21"/>
        </w:rPr>
        <w:t>本单位对上述声明的真实性负责。如有虚假，将依法承担相应责任。</w:t>
      </w:r>
    </w:p>
    <w:p>
      <w:pPr>
        <w:spacing w:line="400" w:lineRule="exact"/>
        <w:rPr>
          <w:szCs w:val="21"/>
        </w:rPr>
      </w:pPr>
    </w:p>
    <w:p>
      <w:pPr>
        <w:spacing w:line="400" w:lineRule="exact"/>
        <w:rPr>
          <w:szCs w:val="21"/>
        </w:rPr>
      </w:pPr>
    </w:p>
    <w:p>
      <w:pPr>
        <w:spacing w:line="400" w:lineRule="exact"/>
        <w:rPr>
          <w:szCs w:val="21"/>
        </w:rPr>
      </w:pPr>
    </w:p>
    <w:p>
      <w:pPr>
        <w:spacing w:line="440" w:lineRule="exact"/>
        <w:ind w:firstLine="5250" w:firstLineChars="2500"/>
        <w:rPr>
          <w:rFonts w:ascii="宋体" w:hAnsi="宋体" w:cs="Courier New"/>
          <w:kern w:val="0"/>
          <w:szCs w:val="21"/>
        </w:rPr>
      </w:pPr>
      <w:r>
        <w:rPr>
          <w:rFonts w:hint="eastAsia" w:ascii="宋体" w:hAnsi="宋体" w:cs="Courier New"/>
          <w:kern w:val="0"/>
          <w:szCs w:val="21"/>
        </w:rPr>
        <w:t>单位名称（盖章）：</w:t>
      </w:r>
      <w:r>
        <w:rPr>
          <w:rFonts w:hint="eastAsia" w:ascii="宋体" w:hAnsi="宋体" w:cs="Courier New"/>
          <w:szCs w:val="21"/>
          <w:u w:val="single"/>
        </w:rPr>
        <w:t xml:space="preserve"> </w:t>
      </w:r>
      <w:r>
        <w:rPr>
          <w:rFonts w:ascii="宋体" w:hAnsi="宋体" w:cs="Courier New"/>
          <w:szCs w:val="21"/>
          <w:u w:val="single"/>
        </w:rPr>
        <w:t xml:space="preserve">             </w:t>
      </w:r>
    </w:p>
    <w:p>
      <w:pPr>
        <w:spacing w:line="440" w:lineRule="exact"/>
        <w:ind w:firstLine="5250" w:firstLineChars="2500"/>
        <w:rPr>
          <w:rFonts w:ascii="宋体" w:hAnsi="宋体" w:cs="Courier New"/>
          <w:szCs w:val="21"/>
          <w:u w:val="single"/>
        </w:rPr>
      </w:pPr>
      <w:r>
        <w:rPr>
          <w:rFonts w:hint="eastAsia" w:ascii="宋体" w:hAnsi="宋体" w:cs="Courier New"/>
          <w:kern w:val="0"/>
          <w:szCs w:val="21"/>
        </w:rPr>
        <w:t>日  期：</w:t>
      </w:r>
      <w:r>
        <w:rPr>
          <w:rFonts w:hint="eastAsia" w:ascii="宋体" w:hAnsi="宋体" w:cs="Courier New"/>
          <w:szCs w:val="21"/>
          <w:u w:val="single"/>
        </w:rPr>
        <w:t xml:space="preserve"> </w:t>
      </w:r>
      <w:r>
        <w:rPr>
          <w:rFonts w:ascii="宋体" w:hAnsi="宋体" w:cs="Courier New"/>
          <w:szCs w:val="21"/>
          <w:u w:val="single"/>
        </w:rPr>
        <w:t xml:space="preserve">                       </w:t>
      </w:r>
    </w:p>
    <w:bookmarkEnd w:id="148"/>
    <w:p>
      <w:pPr>
        <w:widowControl/>
        <w:jc w:val="left"/>
        <w:rPr>
          <w:rFonts w:ascii="宋体" w:hAnsi="Courier New" w:cs="Courier New"/>
          <w:sz w:val="18"/>
          <w:szCs w:val="18"/>
        </w:rPr>
      </w:pPr>
      <w:r>
        <w:rPr>
          <w:rFonts w:ascii="宋体" w:hAnsi="Courier New" w:cs="Courier New"/>
          <w:sz w:val="18"/>
          <w:szCs w:val="18"/>
        </w:rPr>
        <w:br w:type="page"/>
      </w:r>
    </w:p>
    <w:p>
      <w:pPr>
        <w:jc w:val="left"/>
        <w:rPr>
          <w:rFonts w:ascii="宋体" w:hAnsi="宋体"/>
          <w:b/>
          <w:bCs/>
          <w:sz w:val="36"/>
          <w:szCs w:val="36"/>
        </w:rPr>
      </w:pPr>
      <w:r>
        <w:rPr>
          <w:rFonts w:hint="eastAsia" w:ascii="宋体" w:hAnsi="宋体"/>
          <w:b/>
          <w:bCs/>
          <w:sz w:val="36"/>
          <w:szCs w:val="36"/>
        </w:rPr>
        <w:t>三、报价文件</w:t>
      </w:r>
    </w:p>
    <w:p>
      <w:pPr>
        <w:jc w:val="center"/>
        <w:rPr>
          <w:rFonts w:ascii="仿宋" w:hAnsi="仿宋" w:eastAsia="仿宋"/>
          <w:b/>
          <w:bCs/>
          <w:sz w:val="30"/>
          <w:szCs w:val="30"/>
        </w:rPr>
      </w:pPr>
      <w:r>
        <w:rPr>
          <w:rFonts w:hint="eastAsia" w:ascii="仿宋" w:hAnsi="仿宋" w:eastAsia="仿宋"/>
          <w:b/>
          <w:bCs/>
          <w:sz w:val="32"/>
          <w:szCs w:val="32"/>
        </w:rPr>
        <w:t>报价明细表</w:t>
      </w:r>
      <w:r>
        <w:rPr>
          <w:rFonts w:hint="eastAsia" w:ascii="仿宋" w:hAnsi="仿宋" w:eastAsia="仿宋"/>
          <w:sz w:val="24"/>
        </w:rPr>
        <w:t>(格式</w:t>
      </w:r>
      <w:r>
        <w:rPr>
          <w:rFonts w:ascii="仿宋" w:hAnsi="仿宋" w:eastAsia="仿宋"/>
          <w:sz w:val="24"/>
        </w:rPr>
        <w:t>)</w:t>
      </w:r>
    </w:p>
    <w:p/>
    <w:p>
      <w:pPr>
        <w:spacing w:line="400" w:lineRule="exact"/>
        <w:rPr>
          <w:rFonts w:ascii="宋体" w:hAnsi="宋体"/>
          <w:szCs w:val="21"/>
          <w:u w:val="single"/>
        </w:rPr>
      </w:pPr>
      <w:r>
        <w:rPr>
          <w:rFonts w:hint="eastAsia" w:ascii="宋体" w:hAnsi="宋体"/>
          <w:szCs w:val="21"/>
        </w:rPr>
        <w:t>项目编号：</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400" w:lineRule="exact"/>
        <w:rPr>
          <w:rFonts w:ascii="宋体" w:hAnsi="宋体"/>
          <w:szCs w:val="21"/>
          <w:u w:val="single"/>
        </w:rPr>
      </w:pPr>
      <w:r>
        <w:rPr>
          <w:rFonts w:hint="eastAsia" w:ascii="宋体" w:hAnsi="宋体"/>
          <w:szCs w:val="21"/>
        </w:rPr>
        <w:t>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 xml:space="preserve">                                             单位：元</w:t>
      </w:r>
    </w:p>
    <w:tbl>
      <w:tblPr>
        <w:tblStyle w:val="35"/>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45"/>
        <w:gridCol w:w="699"/>
        <w:gridCol w:w="710"/>
        <w:gridCol w:w="709"/>
        <w:gridCol w:w="1702"/>
        <w:gridCol w:w="1702"/>
        <w:gridCol w:w="852"/>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704" w:type="dxa"/>
            <w:tcBorders>
              <w:bottom w:val="single" w:color="auto" w:sz="4" w:space="0"/>
            </w:tcBorders>
            <w:vAlign w:val="center"/>
          </w:tcPr>
          <w:p>
            <w:pPr>
              <w:spacing w:line="300" w:lineRule="exact"/>
              <w:jc w:val="center"/>
              <w:rPr>
                <w:rFonts w:ascii="宋体" w:hAnsi="宋体" w:cs="Courier New"/>
                <w:szCs w:val="21"/>
              </w:rPr>
            </w:pPr>
            <w:bookmarkStart w:id="155" w:name="_Hlk97823529"/>
            <w:r>
              <w:rPr>
                <w:rFonts w:hint="eastAsia" w:ascii="宋体" w:hAnsi="宋体" w:cs="Courier New"/>
                <w:szCs w:val="21"/>
              </w:rPr>
              <w:t>序号</w:t>
            </w:r>
          </w:p>
        </w:tc>
        <w:tc>
          <w:tcPr>
            <w:tcW w:w="1145"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货物名称</w:t>
            </w:r>
          </w:p>
        </w:tc>
        <w:tc>
          <w:tcPr>
            <w:tcW w:w="698"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品牌</w:t>
            </w:r>
          </w:p>
        </w:tc>
        <w:tc>
          <w:tcPr>
            <w:tcW w:w="709"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型号</w:t>
            </w:r>
          </w:p>
        </w:tc>
        <w:tc>
          <w:tcPr>
            <w:tcW w:w="708"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产地</w:t>
            </w:r>
          </w:p>
        </w:tc>
        <w:tc>
          <w:tcPr>
            <w:tcW w:w="1701"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技术参数及性能（规格）</w:t>
            </w:r>
          </w:p>
        </w:tc>
        <w:tc>
          <w:tcPr>
            <w:tcW w:w="1701"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数量、单位</w:t>
            </w:r>
            <w:r>
              <w:rPr>
                <w:rFonts w:hint="eastAsia" w:hAnsi="宋体"/>
              </w:rPr>
              <w:t>①</w:t>
            </w:r>
          </w:p>
        </w:tc>
        <w:tc>
          <w:tcPr>
            <w:tcW w:w="851"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单价</w:t>
            </w:r>
            <w:r>
              <w:rPr>
                <w:rFonts w:hint="eastAsia" w:hAnsi="宋体"/>
              </w:rPr>
              <w:t>②</w:t>
            </w:r>
          </w:p>
        </w:tc>
        <w:tc>
          <w:tcPr>
            <w:tcW w:w="1340" w:type="dxa"/>
            <w:tcBorders>
              <w:bottom w:val="single" w:color="auto" w:sz="4" w:space="0"/>
            </w:tcBorders>
            <w:vAlign w:val="center"/>
          </w:tcPr>
          <w:p>
            <w:pPr>
              <w:spacing w:line="300" w:lineRule="exact"/>
              <w:jc w:val="center"/>
              <w:rPr>
                <w:rFonts w:ascii="宋体" w:hAnsi="宋体" w:cs="Courier New"/>
                <w:szCs w:val="21"/>
              </w:rPr>
            </w:pPr>
            <w:r>
              <w:rPr>
                <w:rFonts w:hint="eastAsia" w:ascii="宋体" w:hAnsi="宋体" w:cs="Courier New"/>
                <w:szCs w:val="21"/>
              </w:rPr>
              <w:t>单项合价</w:t>
            </w:r>
          </w:p>
          <w:p>
            <w:pPr>
              <w:spacing w:line="300" w:lineRule="exact"/>
              <w:jc w:val="center"/>
              <w:rPr>
                <w:rFonts w:ascii="宋体" w:hAnsi="宋体" w:cs="Courier New"/>
                <w:szCs w:val="21"/>
              </w:rPr>
            </w:pPr>
            <w:r>
              <w:rPr>
                <w:rFonts w:hint="eastAsia" w:ascii="宋体" w:hAnsi="宋体" w:cs="Courier New"/>
                <w:szCs w:val="21"/>
              </w:rPr>
              <w:t>③</w:t>
            </w:r>
            <w:r>
              <w:rPr>
                <w:rFonts w:ascii="宋体" w:hAnsi="宋体" w:cs="Courier New"/>
                <w:szCs w:val="21"/>
              </w:rPr>
              <w:t>=</w:t>
            </w:r>
            <w:r>
              <w:rPr>
                <w:rFonts w:hint="eastAsia" w:ascii="宋体" w:hAnsi="宋体" w:cs="Courier New"/>
                <w:szCs w:val="21"/>
              </w:rPr>
              <w:t>①×②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ind w:right="-34" w:rightChars="-16"/>
              <w:jc w:val="center"/>
              <w:rPr>
                <w:rFonts w:ascii="宋体" w:hAnsi="宋体"/>
                <w:sz w:val="24"/>
              </w:rPr>
            </w:pPr>
            <w:r>
              <w:rPr>
                <w:rFonts w:hint="eastAsia" w:ascii="宋体" w:hAnsi="宋体"/>
                <w:sz w:val="24"/>
              </w:rPr>
              <w:t>1</w:t>
            </w:r>
          </w:p>
        </w:tc>
        <w:tc>
          <w:tcPr>
            <w:tcW w:w="1145" w:type="dxa"/>
            <w:vAlign w:val="center"/>
          </w:tcPr>
          <w:p>
            <w:pPr>
              <w:spacing w:line="440" w:lineRule="exact"/>
              <w:ind w:firstLine="33" w:firstLineChars="16"/>
              <w:jc w:val="center"/>
              <w:rPr>
                <w:rFonts w:ascii="宋体" w:hAnsi="宋体"/>
              </w:rPr>
            </w:pPr>
          </w:p>
        </w:tc>
        <w:tc>
          <w:tcPr>
            <w:tcW w:w="698" w:type="dxa"/>
            <w:vAlign w:val="center"/>
          </w:tcPr>
          <w:p>
            <w:pPr>
              <w:spacing w:line="440" w:lineRule="exact"/>
              <w:ind w:firstLine="35" w:firstLineChars="17"/>
              <w:jc w:val="center"/>
              <w:rPr>
                <w:rFonts w:ascii="宋体" w:hAnsi="宋体"/>
              </w:rPr>
            </w:pPr>
          </w:p>
        </w:tc>
        <w:tc>
          <w:tcPr>
            <w:tcW w:w="709" w:type="dxa"/>
            <w:vAlign w:val="center"/>
          </w:tcPr>
          <w:p>
            <w:pPr>
              <w:spacing w:line="440" w:lineRule="exact"/>
              <w:jc w:val="center"/>
              <w:rPr>
                <w:rFonts w:ascii="宋体" w:hAnsi="宋体"/>
              </w:rPr>
            </w:pPr>
          </w:p>
        </w:tc>
        <w:tc>
          <w:tcPr>
            <w:tcW w:w="708" w:type="dxa"/>
            <w:vAlign w:val="center"/>
          </w:tcPr>
          <w:p>
            <w:pPr>
              <w:spacing w:line="440" w:lineRule="exact"/>
              <w:ind w:firstLine="23" w:firstLineChars="11"/>
              <w:jc w:val="center"/>
              <w:rPr>
                <w:rFonts w:ascii="宋体" w:hAnsi="宋体"/>
              </w:rPr>
            </w:pPr>
          </w:p>
        </w:tc>
        <w:tc>
          <w:tcPr>
            <w:tcW w:w="1701" w:type="dxa"/>
            <w:vAlign w:val="center"/>
          </w:tcPr>
          <w:p>
            <w:pPr>
              <w:spacing w:line="440" w:lineRule="exact"/>
              <w:ind w:firstLine="23" w:firstLineChars="11"/>
              <w:jc w:val="center"/>
              <w:rPr>
                <w:rFonts w:ascii="宋体" w:hAnsi="宋体"/>
              </w:rPr>
            </w:pPr>
          </w:p>
        </w:tc>
        <w:tc>
          <w:tcPr>
            <w:tcW w:w="1701" w:type="dxa"/>
            <w:vAlign w:val="center"/>
          </w:tcPr>
          <w:p>
            <w:pPr>
              <w:spacing w:line="440" w:lineRule="exact"/>
              <w:jc w:val="center"/>
              <w:rPr>
                <w:rFonts w:ascii="宋体" w:hAnsi="宋体"/>
              </w:rPr>
            </w:pPr>
          </w:p>
        </w:tc>
        <w:tc>
          <w:tcPr>
            <w:tcW w:w="851" w:type="dxa"/>
            <w:vAlign w:val="center"/>
          </w:tcPr>
          <w:p>
            <w:pPr>
              <w:spacing w:line="440" w:lineRule="exact"/>
              <w:jc w:val="center"/>
              <w:rPr>
                <w:rFonts w:ascii="宋体" w:hAnsi="宋体"/>
              </w:rPr>
            </w:pPr>
          </w:p>
        </w:tc>
        <w:tc>
          <w:tcPr>
            <w:tcW w:w="1340" w:type="dxa"/>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jc w:val="center"/>
              <w:rPr>
                <w:rFonts w:ascii="宋体" w:hAnsi="宋体"/>
                <w:sz w:val="24"/>
              </w:rPr>
            </w:pPr>
            <w:r>
              <w:rPr>
                <w:rFonts w:hint="eastAsia" w:ascii="宋体" w:hAnsi="宋体"/>
                <w:sz w:val="24"/>
              </w:rPr>
              <w:t>2</w:t>
            </w:r>
          </w:p>
        </w:tc>
        <w:tc>
          <w:tcPr>
            <w:tcW w:w="1145" w:type="dxa"/>
            <w:vAlign w:val="center"/>
          </w:tcPr>
          <w:p>
            <w:pPr>
              <w:spacing w:line="440" w:lineRule="exact"/>
              <w:ind w:firstLine="33" w:firstLineChars="16"/>
              <w:jc w:val="center"/>
              <w:rPr>
                <w:rFonts w:ascii="宋体" w:hAnsi="宋体"/>
              </w:rPr>
            </w:pPr>
          </w:p>
        </w:tc>
        <w:tc>
          <w:tcPr>
            <w:tcW w:w="698" w:type="dxa"/>
            <w:vAlign w:val="center"/>
          </w:tcPr>
          <w:p>
            <w:pPr>
              <w:spacing w:line="440" w:lineRule="exact"/>
              <w:ind w:firstLine="35" w:firstLineChars="17"/>
              <w:jc w:val="center"/>
              <w:rPr>
                <w:rFonts w:ascii="宋体" w:hAnsi="宋体"/>
              </w:rPr>
            </w:pPr>
          </w:p>
        </w:tc>
        <w:tc>
          <w:tcPr>
            <w:tcW w:w="709" w:type="dxa"/>
            <w:vAlign w:val="center"/>
          </w:tcPr>
          <w:p>
            <w:pPr>
              <w:spacing w:line="440" w:lineRule="exact"/>
              <w:jc w:val="center"/>
              <w:rPr>
                <w:rFonts w:ascii="宋体" w:hAnsi="宋体"/>
              </w:rPr>
            </w:pPr>
          </w:p>
        </w:tc>
        <w:tc>
          <w:tcPr>
            <w:tcW w:w="708" w:type="dxa"/>
            <w:vAlign w:val="center"/>
          </w:tcPr>
          <w:p>
            <w:pPr>
              <w:spacing w:line="440" w:lineRule="exact"/>
              <w:ind w:firstLine="23" w:firstLineChars="11"/>
              <w:jc w:val="center"/>
              <w:rPr>
                <w:rFonts w:ascii="宋体" w:hAnsi="宋体"/>
              </w:rPr>
            </w:pPr>
          </w:p>
        </w:tc>
        <w:tc>
          <w:tcPr>
            <w:tcW w:w="1701" w:type="dxa"/>
            <w:vAlign w:val="center"/>
          </w:tcPr>
          <w:p>
            <w:pPr>
              <w:spacing w:line="440" w:lineRule="exact"/>
              <w:ind w:firstLine="23" w:firstLineChars="11"/>
              <w:jc w:val="center"/>
              <w:rPr>
                <w:rFonts w:ascii="宋体" w:hAnsi="宋体"/>
              </w:rPr>
            </w:pPr>
          </w:p>
        </w:tc>
        <w:tc>
          <w:tcPr>
            <w:tcW w:w="1701" w:type="dxa"/>
            <w:vAlign w:val="center"/>
          </w:tcPr>
          <w:p>
            <w:pPr>
              <w:spacing w:line="440" w:lineRule="exact"/>
              <w:jc w:val="center"/>
              <w:rPr>
                <w:rFonts w:ascii="宋体" w:hAnsi="宋体"/>
              </w:rPr>
            </w:pPr>
          </w:p>
        </w:tc>
        <w:tc>
          <w:tcPr>
            <w:tcW w:w="851" w:type="dxa"/>
            <w:vAlign w:val="center"/>
          </w:tcPr>
          <w:p>
            <w:pPr>
              <w:spacing w:line="440" w:lineRule="exact"/>
              <w:jc w:val="center"/>
              <w:rPr>
                <w:rFonts w:ascii="宋体" w:hAnsi="宋体"/>
              </w:rPr>
            </w:pPr>
          </w:p>
        </w:tc>
        <w:tc>
          <w:tcPr>
            <w:tcW w:w="1340" w:type="dxa"/>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jc w:val="center"/>
              <w:rPr>
                <w:rFonts w:ascii="宋体" w:hAnsi="宋体"/>
                <w:sz w:val="24"/>
              </w:rPr>
            </w:pPr>
            <w:r>
              <w:rPr>
                <w:rFonts w:hint="eastAsia" w:ascii="宋体" w:hAnsi="宋体"/>
                <w:sz w:val="24"/>
              </w:rPr>
              <w:t>3</w:t>
            </w:r>
          </w:p>
        </w:tc>
        <w:tc>
          <w:tcPr>
            <w:tcW w:w="1145" w:type="dxa"/>
            <w:vAlign w:val="center"/>
          </w:tcPr>
          <w:p>
            <w:pPr>
              <w:spacing w:line="440" w:lineRule="exact"/>
              <w:ind w:firstLine="33" w:firstLineChars="16"/>
              <w:jc w:val="center"/>
              <w:rPr>
                <w:rFonts w:ascii="宋体" w:hAnsi="宋体"/>
              </w:rPr>
            </w:pPr>
          </w:p>
        </w:tc>
        <w:tc>
          <w:tcPr>
            <w:tcW w:w="698" w:type="dxa"/>
            <w:vAlign w:val="center"/>
          </w:tcPr>
          <w:p>
            <w:pPr>
              <w:spacing w:line="440" w:lineRule="exact"/>
              <w:ind w:firstLine="35" w:firstLineChars="17"/>
              <w:jc w:val="center"/>
              <w:rPr>
                <w:rFonts w:ascii="宋体" w:hAnsi="宋体"/>
              </w:rPr>
            </w:pPr>
          </w:p>
        </w:tc>
        <w:tc>
          <w:tcPr>
            <w:tcW w:w="709" w:type="dxa"/>
            <w:vAlign w:val="center"/>
          </w:tcPr>
          <w:p>
            <w:pPr>
              <w:spacing w:line="440" w:lineRule="exact"/>
              <w:jc w:val="center"/>
              <w:rPr>
                <w:rFonts w:ascii="宋体" w:hAnsi="宋体"/>
              </w:rPr>
            </w:pPr>
          </w:p>
        </w:tc>
        <w:tc>
          <w:tcPr>
            <w:tcW w:w="708" w:type="dxa"/>
            <w:vAlign w:val="center"/>
          </w:tcPr>
          <w:p>
            <w:pPr>
              <w:spacing w:line="440" w:lineRule="exact"/>
              <w:ind w:firstLine="23" w:firstLineChars="11"/>
              <w:jc w:val="center"/>
              <w:rPr>
                <w:rFonts w:ascii="宋体" w:hAnsi="宋体"/>
              </w:rPr>
            </w:pPr>
          </w:p>
        </w:tc>
        <w:tc>
          <w:tcPr>
            <w:tcW w:w="1701" w:type="dxa"/>
            <w:vAlign w:val="center"/>
          </w:tcPr>
          <w:p>
            <w:pPr>
              <w:spacing w:line="440" w:lineRule="exact"/>
              <w:ind w:firstLine="23" w:firstLineChars="11"/>
              <w:jc w:val="center"/>
              <w:rPr>
                <w:rFonts w:ascii="宋体" w:hAnsi="宋体"/>
              </w:rPr>
            </w:pPr>
          </w:p>
        </w:tc>
        <w:tc>
          <w:tcPr>
            <w:tcW w:w="1701" w:type="dxa"/>
            <w:vAlign w:val="center"/>
          </w:tcPr>
          <w:p>
            <w:pPr>
              <w:spacing w:line="440" w:lineRule="exact"/>
              <w:jc w:val="center"/>
              <w:rPr>
                <w:rFonts w:ascii="宋体" w:hAnsi="宋体"/>
              </w:rPr>
            </w:pPr>
          </w:p>
        </w:tc>
        <w:tc>
          <w:tcPr>
            <w:tcW w:w="851" w:type="dxa"/>
            <w:vAlign w:val="center"/>
          </w:tcPr>
          <w:p>
            <w:pPr>
              <w:spacing w:line="440" w:lineRule="exact"/>
              <w:jc w:val="center"/>
              <w:rPr>
                <w:rFonts w:ascii="宋体" w:hAnsi="宋体"/>
              </w:rPr>
            </w:pPr>
          </w:p>
        </w:tc>
        <w:tc>
          <w:tcPr>
            <w:tcW w:w="1340" w:type="dxa"/>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jc w:val="center"/>
              <w:rPr>
                <w:rFonts w:ascii="宋体" w:hAnsi="宋体"/>
                <w:sz w:val="24"/>
              </w:rPr>
            </w:pPr>
            <w:r>
              <w:rPr>
                <w:rFonts w:ascii="宋体" w:hAnsi="宋体"/>
                <w:sz w:val="24"/>
              </w:rPr>
              <w:t>…</w:t>
            </w:r>
          </w:p>
        </w:tc>
        <w:tc>
          <w:tcPr>
            <w:tcW w:w="1145" w:type="dxa"/>
            <w:vAlign w:val="center"/>
          </w:tcPr>
          <w:p>
            <w:pPr>
              <w:spacing w:line="440" w:lineRule="exact"/>
              <w:ind w:firstLine="33" w:firstLineChars="16"/>
              <w:jc w:val="center"/>
              <w:rPr>
                <w:rFonts w:ascii="宋体" w:hAnsi="宋体"/>
              </w:rPr>
            </w:pPr>
          </w:p>
        </w:tc>
        <w:tc>
          <w:tcPr>
            <w:tcW w:w="698" w:type="dxa"/>
            <w:vAlign w:val="center"/>
          </w:tcPr>
          <w:p>
            <w:pPr>
              <w:spacing w:line="440" w:lineRule="exact"/>
              <w:ind w:firstLine="35" w:firstLineChars="17"/>
              <w:jc w:val="center"/>
              <w:rPr>
                <w:rFonts w:ascii="宋体" w:hAnsi="宋体"/>
              </w:rPr>
            </w:pPr>
          </w:p>
        </w:tc>
        <w:tc>
          <w:tcPr>
            <w:tcW w:w="709" w:type="dxa"/>
            <w:vAlign w:val="center"/>
          </w:tcPr>
          <w:p>
            <w:pPr>
              <w:spacing w:line="440" w:lineRule="exact"/>
              <w:jc w:val="center"/>
              <w:rPr>
                <w:rFonts w:ascii="宋体" w:hAnsi="宋体"/>
              </w:rPr>
            </w:pPr>
          </w:p>
        </w:tc>
        <w:tc>
          <w:tcPr>
            <w:tcW w:w="708" w:type="dxa"/>
            <w:vAlign w:val="center"/>
          </w:tcPr>
          <w:p>
            <w:pPr>
              <w:spacing w:line="440" w:lineRule="exact"/>
              <w:ind w:firstLine="23" w:firstLineChars="11"/>
              <w:jc w:val="center"/>
              <w:rPr>
                <w:rFonts w:ascii="宋体" w:hAnsi="宋体"/>
              </w:rPr>
            </w:pPr>
          </w:p>
        </w:tc>
        <w:tc>
          <w:tcPr>
            <w:tcW w:w="1701" w:type="dxa"/>
            <w:vAlign w:val="center"/>
          </w:tcPr>
          <w:p>
            <w:pPr>
              <w:spacing w:line="440" w:lineRule="exact"/>
              <w:ind w:firstLine="23" w:firstLineChars="11"/>
              <w:jc w:val="center"/>
              <w:rPr>
                <w:rFonts w:ascii="宋体" w:hAnsi="宋体"/>
              </w:rPr>
            </w:pPr>
          </w:p>
        </w:tc>
        <w:tc>
          <w:tcPr>
            <w:tcW w:w="1701" w:type="dxa"/>
            <w:vAlign w:val="center"/>
          </w:tcPr>
          <w:p>
            <w:pPr>
              <w:spacing w:line="440" w:lineRule="exact"/>
              <w:jc w:val="center"/>
              <w:rPr>
                <w:rFonts w:ascii="宋体" w:hAnsi="宋体"/>
              </w:rPr>
            </w:pPr>
          </w:p>
        </w:tc>
        <w:tc>
          <w:tcPr>
            <w:tcW w:w="851" w:type="dxa"/>
            <w:vAlign w:val="center"/>
          </w:tcPr>
          <w:p>
            <w:pPr>
              <w:spacing w:line="440" w:lineRule="exact"/>
              <w:jc w:val="center"/>
              <w:rPr>
                <w:rFonts w:ascii="宋体" w:hAnsi="宋体"/>
              </w:rPr>
            </w:pPr>
          </w:p>
        </w:tc>
        <w:tc>
          <w:tcPr>
            <w:tcW w:w="1340" w:type="dxa"/>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64" w:type="dxa"/>
            <w:gridSpan w:val="9"/>
            <w:vAlign w:val="center"/>
          </w:tcPr>
          <w:p>
            <w:pPr>
              <w:spacing w:line="440" w:lineRule="exact"/>
              <w:ind w:firstLine="27" w:firstLineChars="14"/>
              <w:rPr>
                <w:rFonts w:ascii="宋体" w:hAnsi="宋体" w:cs="Courier New"/>
                <w:spacing w:val="-6"/>
                <w:szCs w:val="21"/>
              </w:rPr>
            </w:pPr>
            <w:r>
              <w:rPr>
                <w:rFonts w:hint="eastAsia" w:ascii="宋体" w:hAnsi="宋体" w:cs="Courier New"/>
                <w:spacing w:val="-6"/>
                <w:szCs w:val="21"/>
              </w:rPr>
              <w:t>总报价（人民币大写）：</w:t>
            </w:r>
            <w:r>
              <w:rPr>
                <w:rFonts w:hint="eastAsia" w:ascii="宋体" w:hAnsi="宋体" w:cs="Courier New"/>
                <w:spacing w:val="-6"/>
                <w:szCs w:val="21"/>
                <w:u w:val="single"/>
              </w:rPr>
              <w:t xml:space="preserve">                                       </w:t>
            </w:r>
            <w:r>
              <w:rPr>
                <w:rFonts w:hint="eastAsia" w:ascii="宋体" w:hAnsi="宋体" w:cs="Courier New"/>
                <w:spacing w:val="-6"/>
                <w:szCs w:val="21"/>
              </w:rPr>
              <w:t>（￥</w:t>
            </w:r>
            <w:r>
              <w:rPr>
                <w:rFonts w:hint="eastAsia" w:ascii="宋体" w:hAnsi="宋体" w:cs="Courier New"/>
                <w:spacing w:val="-6"/>
                <w:szCs w:val="21"/>
                <w:u w:val="single"/>
              </w:rPr>
              <w:t xml:space="preserve">                       </w:t>
            </w:r>
            <w:r>
              <w:rPr>
                <w:rFonts w:hint="eastAsia" w:ascii="宋体" w:hAnsi="宋体" w:cs="Courier New"/>
                <w:spacing w:val="-6"/>
                <w:szCs w:val="21"/>
              </w:rPr>
              <w:t>）</w:t>
            </w:r>
          </w:p>
        </w:tc>
      </w:tr>
      <w:bookmarkEnd w:id="155"/>
    </w:tbl>
    <w:p>
      <w:pPr>
        <w:spacing w:line="440" w:lineRule="exact"/>
        <w:rPr>
          <w:rFonts w:ascii="宋体" w:hAnsi="宋体"/>
          <w:szCs w:val="21"/>
        </w:rPr>
      </w:pPr>
      <w:r>
        <w:rPr>
          <w:rFonts w:hint="eastAsia" w:ascii="宋体" w:hAnsi="宋体"/>
          <w:szCs w:val="21"/>
        </w:rPr>
        <w:t>注：1.所有价格均用人民币表示。</w:t>
      </w:r>
    </w:p>
    <w:p>
      <w:pPr>
        <w:spacing w:line="440" w:lineRule="exact"/>
        <w:rPr>
          <w:rFonts w:ascii="宋体" w:hAnsi="宋体"/>
          <w:szCs w:val="21"/>
        </w:rPr>
      </w:pPr>
      <w:r>
        <w:rPr>
          <w:rFonts w:hint="eastAsia" w:ascii="宋体" w:hAnsi="宋体"/>
          <w:szCs w:val="21"/>
        </w:rPr>
        <w:t xml:space="preserve">    </w:t>
      </w:r>
      <w:r>
        <w:rPr>
          <w:rFonts w:hint="eastAsia" w:ascii="宋体" w:hAnsi="宋体"/>
          <w:bCs/>
          <w:szCs w:val="21"/>
        </w:rPr>
        <w:t>2.总报价应包含货物、货物标准附件、备品备件、专用工具、设备安装辅材、包装、运输、保险等各种费用以及安装、调试、税金、售后服务、技术培训费、更新升级其所有成本费用。</w:t>
      </w:r>
    </w:p>
    <w:p/>
    <w:p/>
    <w:p>
      <w:pPr>
        <w:pStyle w:val="21"/>
        <w:spacing w:line="440" w:lineRule="exact"/>
        <w:ind w:firstLine="3675" w:firstLineChars="1750"/>
        <w:rPr>
          <w:rFonts w:hAnsi="宋体"/>
          <w:u w:val="single"/>
        </w:rPr>
      </w:pPr>
      <w:r>
        <w:rPr>
          <w:rFonts w:hint="eastAsia" w:hAnsi="宋体"/>
        </w:rPr>
        <w:t>法定代表人或授权代表（签名）：</w:t>
      </w:r>
      <w:r>
        <w:rPr>
          <w:rFonts w:hint="eastAsia" w:hAnsi="宋体"/>
          <w:u w:val="single"/>
        </w:rPr>
        <w:t xml:space="preserve">      </w:t>
      </w:r>
      <w:r>
        <w:rPr>
          <w:rFonts w:hAnsi="宋体"/>
          <w:u w:val="single"/>
        </w:rPr>
        <w:t xml:space="preserve">        </w:t>
      </w:r>
      <w:r>
        <w:rPr>
          <w:rFonts w:hint="eastAsia" w:hAnsi="宋体"/>
          <w:u w:val="single"/>
        </w:rPr>
        <w:t xml:space="preserve">     </w:t>
      </w:r>
      <w:r>
        <w:rPr>
          <w:rFonts w:hAnsi="宋体"/>
          <w:u w:val="single"/>
        </w:rPr>
        <w:t xml:space="preserve">     </w:t>
      </w:r>
    </w:p>
    <w:p>
      <w:pPr>
        <w:pStyle w:val="21"/>
        <w:spacing w:line="440" w:lineRule="exact"/>
        <w:ind w:firstLine="3675" w:firstLineChars="1750"/>
        <w:rPr>
          <w:rFonts w:hAnsi="宋体"/>
          <w:u w:val="single"/>
        </w:rPr>
      </w:pPr>
      <w:r>
        <w:rPr>
          <w:rFonts w:hint="eastAsia" w:hAnsi="宋体"/>
        </w:rPr>
        <w:t>供应商（盖章）：</w:t>
      </w:r>
      <w:r>
        <w:rPr>
          <w:rFonts w:hint="eastAsia" w:hAnsi="宋体"/>
          <w:u w:val="single"/>
        </w:rPr>
        <w:t xml:space="preserve">    </w:t>
      </w:r>
      <w:r>
        <w:rPr>
          <w:rFonts w:hAnsi="宋体"/>
          <w:u w:val="single"/>
        </w:rPr>
        <w:t xml:space="preserve">    </w:t>
      </w:r>
      <w:r>
        <w:rPr>
          <w:rFonts w:hint="eastAsia" w:hAnsi="宋体"/>
          <w:u w:val="single"/>
        </w:rPr>
        <w:t xml:space="preserve">       </w:t>
      </w:r>
      <w:r>
        <w:rPr>
          <w:rFonts w:hAnsi="宋体"/>
          <w:u w:val="single"/>
        </w:rPr>
        <w:t xml:space="preserve">    </w:t>
      </w:r>
      <w:r>
        <w:rPr>
          <w:rFonts w:hint="eastAsia" w:hAnsi="宋体"/>
          <w:u w:val="single"/>
        </w:rPr>
        <w:t xml:space="preserve">                   </w:t>
      </w:r>
    </w:p>
    <w:p>
      <w:pPr>
        <w:spacing w:line="440" w:lineRule="exact"/>
        <w:ind w:firstLine="3675" w:firstLineChars="1750"/>
        <w:rPr>
          <w:rFonts w:ascii="宋体" w:hAnsi="宋体"/>
          <w:szCs w:val="21"/>
        </w:rPr>
      </w:pPr>
      <w:r>
        <w:rPr>
          <w:rFonts w:hint="eastAsia" w:hAnsi="宋体"/>
        </w:rPr>
        <w:t>日期：</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年</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月</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日</w:t>
      </w:r>
    </w:p>
    <w:sectPr>
      <w:headerReference r:id="rId5" w:type="default"/>
      <w:footerReference r:id="rId6" w:type="default"/>
      <w:pgSz w:w="11906" w:h="16838"/>
      <w:pgMar w:top="936" w:right="991" w:bottom="1135" w:left="993"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Adobe 仿宋 Std R">
    <w:altName w:val="仿宋"/>
    <w:panose1 w:val="000000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f1mLBgMCAAAEBAAADgAAAAAAAAABACAAAAAeAQAAZHJzL2Uyb0Rv&#10;Yy54bWxQSwUGAAAAAAYABgBZAQAAk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2564419"/>
    </w:sdtPr>
    <w:sdtContent>
      <w:p>
        <w:pPr>
          <w:pStyle w:val="25"/>
          <w:jc w:val="center"/>
        </w:pPr>
        <w:r>
          <w:fldChar w:fldCharType="begin"/>
        </w:r>
        <w:r>
          <w:instrText xml:space="preserve">PAGE   \* MERGEFORMAT</w:instrText>
        </w:r>
        <w:r>
          <w:fldChar w:fldCharType="separate"/>
        </w:r>
        <w:r>
          <w:t>11</w:t>
        </w:r>
        <w:r>
          <w:fldChar w:fldCharType="end"/>
        </w:r>
      </w:p>
    </w:sdtContent>
  </w:sdt>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pPr>
    <w:r>
      <w:rPr>
        <w:rFonts w:hint="eastAsia"/>
      </w:rPr>
      <w:t xml:space="preserve">钦州市政府采购中心          </w:t>
    </w:r>
    <w:r>
      <w:rPr>
        <w:rFonts w:hint="eastAsia"/>
        <w:lang w:val="en-US" w:eastAsia="zh-CN"/>
      </w:rPr>
      <w:t xml:space="preserve">                         </w:t>
    </w:r>
    <w:r>
      <w:rPr>
        <w:rFonts w:hint="eastAsia"/>
        <w:lang w:eastAsia="zh-CN"/>
      </w:rPr>
      <w:t>钦州市中医医院前置机超融合项目</w:t>
    </w:r>
    <w:r>
      <w:rPr>
        <w:rFonts w:hint="eastAsia"/>
      </w:rPr>
      <w:t xml:space="preserve"> (</w:t>
    </w:r>
    <w:r>
      <w:rPr>
        <w:rFonts w:hint="eastAsia"/>
        <w:lang w:eastAsia="zh-CN"/>
      </w:rPr>
      <w:t>QZZC2025-J1-990416-QZSZ</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DDECD3BC"/>
    <w:multiLevelType w:val="singleLevel"/>
    <w:tmpl w:val="DDECD3BC"/>
    <w:lvl w:ilvl="0" w:tentative="0">
      <w:start w:val="6"/>
      <w:numFmt w:val="decimal"/>
      <w:suff w:val="space"/>
      <w:lvlText w:val="%1."/>
      <w:lvlJc w:val="left"/>
    </w:lvl>
  </w:abstractNum>
  <w:abstractNum w:abstractNumId="2">
    <w:nsid w:val="DE759F4B"/>
    <w:multiLevelType w:val="singleLevel"/>
    <w:tmpl w:val="DE759F4B"/>
    <w:lvl w:ilvl="0" w:tentative="0">
      <w:start w:val="2"/>
      <w:numFmt w:val="decimal"/>
      <w:suff w:val="space"/>
      <w:lvlText w:val="%1."/>
      <w:lvlJc w:val="left"/>
    </w:lvl>
  </w:abstractNum>
  <w:abstractNum w:abstractNumId="3">
    <w:nsid w:val="DEABE1DB"/>
    <w:multiLevelType w:val="singleLevel"/>
    <w:tmpl w:val="DEABE1DB"/>
    <w:lvl w:ilvl="0" w:tentative="0">
      <w:start w:val="23"/>
      <w:numFmt w:val="decimal"/>
      <w:suff w:val="space"/>
      <w:lvlText w:val="%1."/>
      <w:lvlJc w:val="left"/>
    </w:lvl>
  </w:abstractNum>
  <w:abstractNum w:abstractNumId="4">
    <w:nsid w:val="FE7CE625"/>
    <w:multiLevelType w:val="singleLevel"/>
    <w:tmpl w:val="FE7CE625"/>
    <w:lvl w:ilvl="0" w:tentative="0">
      <w:start w:val="1"/>
      <w:numFmt w:val="decimal"/>
      <w:suff w:val="nothing"/>
      <w:lvlText w:val="%1、"/>
      <w:lvlJc w:val="left"/>
    </w:lvl>
  </w:abstractNum>
  <w:abstractNum w:abstractNumId="5">
    <w:nsid w:val="00000007"/>
    <w:multiLevelType w:val="multilevel"/>
    <w:tmpl w:val="00000007"/>
    <w:lvl w:ilvl="0" w:tentative="0">
      <w:start w:val="1"/>
      <w:numFmt w:val="chineseCountingThousand"/>
      <w:pStyle w:val="19"/>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6">
    <w:nsid w:val="7A0F6431"/>
    <w:multiLevelType w:val="singleLevel"/>
    <w:tmpl w:val="7A0F6431"/>
    <w:lvl w:ilvl="0" w:tentative="0">
      <w:start w:val="1"/>
      <w:numFmt w:val="decimal"/>
      <w:suff w:val="space"/>
      <w:lvlText w:val="%1."/>
      <w:lvlJc w:val="left"/>
    </w:lvl>
  </w:abstractNum>
  <w:num w:numId="1">
    <w:abstractNumId w:val="5"/>
  </w:num>
  <w:num w:numId="2">
    <w:abstractNumId w:val="4"/>
  </w:num>
  <w:num w:numId="3">
    <w:abstractNumId w:val="6"/>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6D"/>
    <w:rsid w:val="000009A4"/>
    <w:rsid w:val="0000182C"/>
    <w:rsid w:val="00001C30"/>
    <w:rsid w:val="00001F66"/>
    <w:rsid w:val="000027DB"/>
    <w:rsid w:val="0000296D"/>
    <w:rsid w:val="00002E66"/>
    <w:rsid w:val="0000330D"/>
    <w:rsid w:val="00003781"/>
    <w:rsid w:val="00003F3C"/>
    <w:rsid w:val="0000486E"/>
    <w:rsid w:val="00004CB0"/>
    <w:rsid w:val="00004CDE"/>
    <w:rsid w:val="00005328"/>
    <w:rsid w:val="000059D3"/>
    <w:rsid w:val="000066F9"/>
    <w:rsid w:val="00007E2F"/>
    <w:rsid w:val="00007E51"/>
    <w:rsid w:val="000104B5"/>
    <w:rsid w:val="00010774"/>
    <w:rsid w:val="00010E05"/>
    <w:rsid w:val="00012061"/>
    <w:rsid w:val="000123EC"/>
    <w:rsid w:val="00013AC8"/>
    <w:rsid w:val="00013C7F"/>
    <w:rsid w:val="00014132"/>
    <w:rsid w:val="00014488"/>
    <w:rsid w:val="00016829"/>
    <w:rsid w:val="00017A2B"/>
    <w:rsid w:val="00020517"/>
    <w:rsid w:val="000207E1"/>
    <w:rsid w:val="00020DBA"/>
    <w:rsid w:val="00021054"/>
    <w:rsid w:val="000216CC"/>
    <w:rsid w:val="00022909"/>
    <w:rsid w:val="00022CE2"/>
    <w:rsid w:val="000234DD"/>
    <w:rsid w:val="000248E5"/>
    <w:rsid w:val="0002594F"/>
    <w:rsid w:val="00025985"/>
    <w:rsid w:val="00025AC0"/>
    <w:rsid w:val="00026612"/>
    <w:rsid w:val="000272D2"/>
    <w:rsid w:val="0002754E"/>
    <w:rsid w:val="00027BD3"/>
    <w:rsid w:val="00032229"/>
    <w:rsid w:val="00032A59"/>
    <w:rsid w:val="00032B1F"/>
    <w:rsid w:val="00032F50"/>
    <w:rsid w:val="00033214"/>
    <w:rsid w:val="00033587"/>
    <w:rsid w:val="000344F4"/>
    <w:rsid w:val="0003479C"/>
    <w:rsid w:val="00034B7D"/>
    <w:rsid w:val="00035002"/>
    <w:rsid w:val="0003509E"/>
    <w:rsid w:val="000369F6"/>
    <w:rsid w:val="00036EC4"/>
    <w:rsid w:val="00037318"/>
    <w:rsid w:val="00037EEA"/>
    <w:rsid w:val="000400F8"/>
    <w:rsid w:val="0004027B"/>
    <w:rsid w:val="00040DCA"/>
    <w:rsid w:val="000417D5"/>
    <w:rsid w:val="000419B7"/>
    <w:rsid w:val="00041EAA"/>
    <w:rsid w:val="00041FD1"/>
    <w:rsid w:val="00042B33"/>
    <w:rsid w:val="00042DEF"/>
    <w:rsid w:val="00044162"/>
    <w:rsid w:val="00044176"/>
    <w:rsid w:val="00044278"/>
    <w:rsid w:val="000444AF"/>
    <w:rsid w:val="000448E0"/>
    <w:rsid w:val="00045285"/>
    <w:rsid w:val="0004535A"/>
    <w:rsid w:val="00045D3B"/>
    <w:rsid w:val="00050908"/>
    <w:rsid w:val="00050B4D"/>
    <w:rsid w:val="000521BA"/>
    <w:rsid w:val="00053067"/>
    <w:rsid w:val="000530C2"/>
    <w:rsid w:val="00053FFD"/>
    <w:rsid w:val="00054058"/>
    <w:rsid w:val="000548EF"/>
    <w:rsid w:val="00054D61"/>
    <w:rsid w:val="00054F2A"/>
    <w:rsid w:val="0005526A"/>
    <w:rsid w:val="00055319"/>
    <w:rsid w:val="00055AA6"/>
    <w:rsid w:val="0005758A"/>
    <w:rsid w:val="000576C1"/>
    <w:rsid w:val="00060064"/>
    <w:rsid w:val="000601EC"/>
    <w:rsid w:val="0006170C"/>
    <w:rsid w:val="00061972"/>
    <w:rsid w:val="00061AC4"/>
    <w:rsid w:val="00063151"/>
    <w:rsid w:val="00063CE9"/>
    <w:rsid w:val="00064127"/>
    <w:rsid w:val="0006432D"/>
    <w:rsid w:val="00064B46"/>
    <w:rsid w:val="00064E81"/>
    <w:rsid w:val="000656B5"/>
    <w:rsid w:val="0006633A"/>
    <w:rsid w:val="0006699C"/>
    <w:rsid w:val="000670F3"/>
    <w:rsid w:val="000675EC"/>
    <w:rsid w:val="00067C97"/>
    <w:rsid w:val="000709DB"/>
    <w:rsid w:val="000714E8"/>
    <w:rsid w:val="00071DBC"/>
    <w:rsid w:val="000725F2"/>
    <w:rsid w:val="00072665"/>
    <w:rsid w:val="0007297B"/>
    <w:rsid w:val="00072ABB"/>
    <w:rsid w:val="0007345C"/>
    <w:rsid w:val="00074159"/>
    <w:rsid w:val="000749B7"/>
    <w:rsid w:val="000753D2"/>
    <w:rsid w:val="00075494"/>
    <w:rsid w:val="0007550C"/>
    <w:rsid w:val="00075C45"/>
    <w:rsid w:val="00076CDB"/>
    <w:rsid w:val="0007737B"/>
    <w:rsid w:val="00077E54"/>
    <w:rsid w:val="000813F4"/>
    <w:rsid w:val="000817C6"/>
    <w:rsid w:val="00081921"/>
    <w:rsid w:val="00081A1B"/>
    <w:rsid w:val="00082859"/>
    <w:rsid w:val="00082980"/>
    <w:rsid w:val="00083D28"/>
    <w:rsid w:val="00083D58"/>
    <w:rsid w:val="00083EC9"/>
    <w:rsid w:val="00084EA9"/>
    <w:rsid w:val="00084EC7"/>
    <w:rsid w:val="00085936"/>
    <w:rsid w:val="00085C49"/>
    <w:rsid w:val="00085EEB"/>
    <w:rsid w:val="000867B0"/>
    <w:rsid w:val="00086A01"/>
    <w:rsid w:val="00086B70"/>
    <w:rsid w:val="00087668"/>
    <w:rsid w:val="000904A2"/>
    <w:rsid w:val="00090AF0"/>
    <w:rsid w:val="000910C5"/>
    <w:rsid w:val="000923C1"/>
    <w:rsid w:val="00092839"/>
    <w:rsid w:val="00093BC2"/>
    <w:rsid w:val="00093C1A"/>
    <w:rsid w:val="00093E79"/>
    <w:rsid w:val="00094441"/>
    <w:rsid w:val="00094BC6"/>
    <w:rsid w:val="00094C47"/>
    <w:rsid w:val="000953A5"/>
    <w:rsid w:val="000963F4"/>
    <w:rsid w:val="00096670"/>
    <w:rsid w:val="00096B4A"/>
    <w:rsid w:val="00096DE8"/>
    <w:rsid w:val="000A0911"/>
    <w:rsid w:val="000A139A"/>
    <w:rsid w:val="000A2431"/>
    <w:rsid w:val="000A2A30"/>
    <w:rsid w:val="000A358F"/>
    <w:rsid w:val="000A38A0"/>
    <w:rsid w:val="000A3C64"/>
    <w:rsid w:val="000A4362"/>
    <w:rsid w:val="000A61B8"/>
    <w:rsid w:val="000A62BD"/>
    <w:rsid w:val="000A6603"/>
    <w:rsid w:val="000A679A"/>
    <w:rsid w:val="000A6972"/>
    <w:rsid w:val="000A6A7F"/>
    <w:rsid w:val="000A6F98"/>
    <w:rsid w:val="000A74E0"/>
    <w:rsid w:val="000A74F6"/>
    <w:rsid w:val="000A7B98"/>
    <w:rsid w:val="000B1427"/>
    <w:rsid w:val="000B1905"/>
    <w:rsid w:val="000B1CCA"/>
    <w:rsid w:val="000B200B"/>
    <w:rsid w:val="000B2684"/>
    <w:rsid w:val="000B2963"/>
    <w:rsid w:val="000B2AB7"/>
    <w:rsid w:val="000B2F6F"/>
    <w:rsid w:val="000B3976"/>
    <w:rsid w:val="000B3C2D"/>
    <w:rsid w:val="000B46A8"/>
    <w:rsid w:val="000B470D"/>
    <w:rsid w:val="000B4E66"/>
    <w:rsid w:val="000B5395"/>
    <w:rsid w:val="000B62CB"/>
    <w:rsid w:val="000B6350"/>
    <w:rsid w:val="000B678F"/>
    <w:rsid w:val="000B6FEF"/>
    <w:rsid w:val="000B7F9A"/>
    <w:rsid w:val="000C0328"/>
    <w:rsid w:val="000C03D4"/>
    <w:rsid w:val="000C0864"/>
    <w:rsid w:val="000C0B96"/>
    <w:rsid w:val="000C0D86"/>
    <w:rsid w:val="000C1621"/>
    <w:rsid w:val="000C1CD7"/>
    <w:rsid w:val="000C2778"/>
    <w:rsid w:val="000C32AE"/>
    <w:rsid w:val="000C3380"/>
    <w:rsid w:val="000C4807"/>
    <w:rsid w:val="000C4C6A"/>
    <w:rsid w:val="000C52AC"/>
    <w:rsid w:val="000C5751"/>
    <w:rsid w:val="000C57F9"/>
    <w:rsid w:val="000C598C"/>
    <w:rsid w:val="000C618E"/>
    <w:rsid w:val="000C6342"/>
    <w:rsid w:val="000C6CE1"/>
    <w:rsid w:val="000C720B"/>
    <w:rsid w:val="000C7B9D"/>
    <w:rsid w:val="000D02E9"/>
    <w:rsid w:val="000D059D"/>
    <w:rsid w:val="000D1274"/>
    <w:rsid w:val="000D1597"/>
    <w:rsid w:val="000D16A7"/>
    <w:rsid w:val="000D1C6A"/>
    <w:rsid w:val="000D1F8D"/>
    <w:rsid w:val="000D22BD"/>
    <w:rsid w:val="000D26E7"/>
    <w:rsid w:val="000D42CA"/>
    <w:rsid w:val="000D53F2"/>
    <w:rsid w:val="000D55C4"/>
    <w:rsid w:val="000D5748"/>
    <w:rsid w:val="000D5C5C"/>
    <w:rsid w:val="000D5C8A"/>
    <w:rsid w:val="000D6A24"/>
    <w:rsid w:val="000D6C9D"/>
    <w:rsid w:val="000D78E6"/>
    <w:rsid w:val="000E0487"/>
    <w:rsid w:val="000E285B"/>
    <w:rsid w:val="000E545D"/>
    <w:rsid w:val="000E660E"/>
    <w:rsid w:val="000E6EBD"/>
    <w:rsid w:val="000F0150"/>
    <w:rsid w:val="000F03FE"/>
    <w:rsid w:val="000F152C"/>
    <w:rsid w:val="000F17C9"/>
    <w:rsid w:val="000F3668"/>
    <w:rsid w:val="000F383E"/>
    <w:rsid w:val="000F38CF"/>
    <w:rsid w:val="000F3F16"/>
    <w:rsid w:val="000F449F"/>
    <w:rsid w:val="000F48C9"/>
    <w:rsid w:val="000F6024"/>
    <w:rsid w:val="00100A2B"/>
    <w:rsid w:val="00100B14"/>
    <w:rsid w:val="0010174C"/>
    <w:rsid w:val="0010201F"/>
    <w:rsid w:val="0010254F"/>
    <w:rsid w:val="00102B73"/>
    <w:rsid w:val="00102C51"/>
    <w:rsid w:val="00103216"/>
    <w:rsid w:val="0010330D"/>
    <w:rsid w:val="001039BF"/>
    <w:rsid w:val="00103CB4"/>
    <w:rsid w:val="00103D6B"/>
    <w:rsid w:val="00107F42"/>
    <w:rsid w:val="00110401"/>
    <w:rsid w:val="00110E22"/>
    <w:rsid w:val="001110F1"/>
    <w:rsid w:val="0011195C"/>
    <w:rsid w:val="00112E30"/>
    <w:rsid w:val="001138CB"/>
    <w:rsid w:val="00114453"/>
    <w:rsid w:val="00114D32"/>
    <w:rsid w:val="00115CAC"/>
    <w:rsid w:val="00116718"/>
    <w:rsid w:val="00116FC8"/>
    <w:rsid w:val="00117835"/>
    <w:rsid w:val="00120042"/>
    <w:rsid w:val="0012024C"/>
    <w:rsid w:val="00120493"/>
    <w:rsid w:val="00120DFA"/>
    <w:rsid w:val="001218FE"/>
    <w:rsid w:val="00121CC1"/>
    <w:rsid w:val="001221BE"/>
    <w:rsid w:val="00122219"/>
    <w:rsid w:val="00122477"/>
    <w:rsid w:val="00122899"/>
    <w:rsid w:val="00123679"/>
    <w:rsid w:val="001236BF"/>
    <w:rsid w:val="001236EB"/>
    <w:rsid w:val="00123ACC"/>
    <w:rsid w:val="00124792"/>
    <w:rsid w:val="00124CF0"/>
    <w:rsid w:val="00125726"/>
    <w:rsid w:val="001258B7"/>
    <w:rsid w:val="001267FF"/>
    <w:rsid w:val="00127F9D"/>
    <w:rsid w:val="0013084E"/>
    <w:rsid w:val="00130DB2"/>
    <w:rsid w:val="001315D8"/>
    <w:rsid w:val="00132B8C"/>
    <w:rsid w:val="0013360D"/>
    <w:rsid w:val="00133E41"/>
    <w:rsid w:val="00133E7C"/>
    <w:rsid w:val="00134D7F"/>
    <w:rsid w:val="00134F65"/>
    <w:rsid w:val="0013526C"/>
    <w:rsid w:val="001356B6"/>
    <w:rsid w:val="001365F4"/>
    <w:rsid w:val="0013661A"/>
    <w:rsid w:val="00136E07"/>
    <w:rsid w:val="001372D1"/>
    <w:rsid w:val="001374A2"/>
    <w:rsid w:val="00137EAE"/>
    <w:rsid w:val="00140295"/>
    <w:rsid w:val="00141121"/>
    <w:rsid w:val="001429D7"/>
    <w:rsid w:val="00143437"/>
    <w:rsid w:val="00143891"/>
    <w:rsid w:val="00143DE4"/>
    <w:rsid w:val="001447EF"/>
    <w:rsid w:val="00144800"/>
    <w:rsid w:val="00145073"/>
    <w:rsid w:val="0014515E"/>
    <w:rsid w:val="0014559E"/>
    <w:rsid w:val="00145749"/>
    <w:rsid w:val="00145EF0"/>
    <w:rsid w:val="001462D6"/>
    <w:rsid w:val="001464A7"/>
    <w:rsid w:val="00146F35"/>
    <w:rsid w:val="00147344"/>
    <w:rsid w:val="001476CB"/>
    <w:rsid w:val="001477F2"/>
    <w:rsid w:val="0015059D"/>
    <w:rsid w:val="00150778"/>
    <w:rsid w:val="00151322"/>
    <w:rsid w:val="00152C66"/>
    <w:rsid w:val="00153A5A"/>
    <w:rsid w:val="00153EDA"/>
    <w:rsid w:val="001547CA"/>
    <w:rsid w:val="00154C02"/>
    <w:rsid w:val="00154C69"/>
    <w:rsid w:val="0015529D"/>
    <w:rsid w:val="00156328"/>
    <w:rsid w:val="00157085"/>
    <w:rsid w:val="001573B4"/>
    <w:rsid w:val="001601A2"/>
    <w:rsid w:val="00160295"/>
    <w:rsid w:val="001607B6"/>
    <w:rsid w:val="00162969"/>
    <w:rsid w:val="00162E86"/>
    <w:rsid w:val="0016388F"/>
    <w:rsid w:val="00163D73"/>
    <w:rsid w:val="00163D88"/>
    <w:rsid w:val="00164096"/>
    <w:rsid w:val="0016529E"/>
    <w:rsid w:val="0016575C"/>
    <w:rsid w:val="00165B1C"/>
    <w:rsid w:val="00165BF8"/>
    <w:rsid w:val="00166036"/>
    <w:rsid w:val="001662BD"/>
    <w:rsid w:val="0016649A"/>
    <w:rsid w:val="00166560"/>
    <w:rsid w:val="001675A5"/>
    <w:rsid w:val="00170111"/>
    <w:rsid w:val="00170697"/>
    <w:rsid w:val="00171392"/>
    <w:rsid w:val="00171C1A"/>
    <w:rsid w:val="00171C72"/>
    <w:rsid w:val="00172708"/>
    <w:rsid w:val="001727B0"/>
    <w:rsid w:val="001729BA"/>
    <w:rsid w:val="00172A27"/>
    <w:rsid w:val="00173260"/>
    <w:rsid w:val="00173C43"/>
    <w:rsid w:val="00174BEA"/>
    <w:rsid w:val="001751E2"/>
    <w:rsid w:val="0017537B"/>
    <w:rsid w:val="001759CF"/>
    <w:rsid w:val="00175B5D"/>
    <w:rsid w:val="00176986"/>
    <w:rsid w:val="00176B7D"/>
    <w:rsid w:val="00177302"/>
    <w:rsid w:val="00177FB1"/>
    <w:rsid w:val="001809EC"/>
    <w:rsid w:val="00180D02"/>
    <w:rsid w:val="00181809"/>
    <w:rsid w:val="00182FF5"/>
    <w:rsid w:val="0018316B"/>
    <w:rsid w:val="001837AA"/>
    <w:rsid w:val="00183BC0"/>
    <w:rsid w:val="0018456A"/>
    <w:rsid w:val="00184681"/>
    <w:rsid w:val="001847DB"/>
    <w:rsid w:val="00184AE6"/>
    <w:rsid w:val="00185C46"/>
    <w:rsid w:val="00185D1E"/>
    <w:rsid w:val="00185D2D"/>
    <w:rsid w:val="00185EF5"/>
    <w:rsid w:val="00185F81"/>
    <w:rsid w:val="0018652D"/>
    <w:rsid w:val="00186AA0"/>
    <w:rsid w:val="00186C19"/>
    <w:rsid w:val="00187707"/>
    <w:rsid w:val="00187828"/>
    <w:rsid w:val="00187EAA"/>
    <w:rsid w:val="00190B5F"/>
    <w:rsid w:val="001912D2"/>
    <w:rsid w:val="00191575"/>
    <w:rsid w:val="00191FD8"/>
    <w:rsid w:val="0019224F"/>
    <w:rsid w:val="001923BA"/>
    <w:rsid w:val="00192DA5"/>
    <w:rsid w:val="0019338C"/>
    <w:rsid w:val="00194C01"/>
    <w:rsid w:val="001965CD"/>
    <w:rsid w:val="00196AD9"/>
    <w:rsid w:val="00197377"/>
    <w:rsid w:val="0019768C"/>
    <w:rsid w:val="00197F91"/>
    <w:rsid w:val="001A0381"/>
    <w:rsid w:val="001A04B7"/>
    <w:rsid w:val="001A10F0"/>
    <w:rsid w:val="001A24D5"/>
    <w:rsid w:val="001A2637"/>
    <w:rsid w:val="001A270B"/>
    <w:rsid w:val="001A2CE9"/>
    <w:rsid w:val="001A37A7"/>
    <w:rsid w:val="001A397E"/>
    <w:rsid w:val="001A3D56"/>
    <w:rsid w:val="001A4A03"/>
    <w:rsid w:val="001A51A4"/>
    <w:rsid w:val="001A52EC"/>
    <w:rsid w:val="001A592E"/>
    <w:rsid w:val="001A5B3D"/>
    <w:rsid w:val="001A608D"/>
    <w:rsid w:val="001A64AB"/>
    <w:rsid w:val="001A69D0"/>
    <w:rsid w:val="001A6CA2"/>
    <w:rsid w:val="001A79FC"/>
    <w:rsid w:val="001B08D0"/>
    <w:rsid w:val="001B0FFF"/>
    <w:rsid w:val="001B1422"/>
    <w:rsid w:val="001B1780"/>
    <w:rsid w:val="001B21BF"/>
    <w:rsid w:val="001B2789"/>
    <w:rsid w:val="001B3396"/>
    <w:rsid w:val="001B45AC"/>
    <w:rsid w:val="001B4641"/>
    <w:rsid w:val="001B49B9"/>
    <w:rsid w:val="001B53CE"/>
    <w:rsid w:val="001B5555"/>
    <w:rsid w:val="001B55FC"/>
    <w:rsid w:val="001B5A4E"/>
    <w:rsid w:val="001B5FB8"/>
    <w:rsid w:val="001B621A"/>
    <w:rsid w:val="001B639B"/>
    <w:rsid w:val="001B66C9"/>
    <w:rsid w:val="001B7226"/>
    <w:rsid w:val="001B79CA"/>
    <w:rsid w:val="001C006C"/>
    <w:rsid w:val="001C046C"/>
    <w:rsid w:val="001C0792"/>
    <w:rsid w:val="001C1068"/>
    <w:rsid w:val="001C111E"/>
    <w:rsid w:val="001C1954"/>
    <w:rsid w:val="001C1CB6"/>
    <w:rsid w:val="001C2637"/>
    <w:rsid w:val="001C2856"/>
    <w:rsid w:val="001C3032"/>
    <w:rsid w:val="001C36F2"/>
    <w:rsid w:val="001C37B8"/>
    <w:rsid w:val="001C3997"/>
    <w:rsid w:val="001C4006"/>
    <w:rsid w:val="001C4264"/>
    <w:rsid w:val="001C5049"/>
    <w:rsid w:val="001C5A88"/>
    <w:rsid w:val="001C5F33"/>
    <w:rsid w:val="001D131F"/>
    <w:rsid w:val="001D145B"/>
    <w:rsid w:val="001D2BC7"/>
    <w:rsid w:val="001D3347"/>
    <w:rsid w:val="001D342C"/>
    <w:rsid w:val="001D3D7A"/>
    <w:rsid w:val="001D3FE6"/>
    <w:rsid w:val="001D426E"/>
    <w:rsid w:val="001D47A2"/>
    <w:rsid w:val="001D4CB2"/>
    <w:rsid w:val="001D542E"/>
    <w:rsid w:val="001D5AB1"/>
    <w:rsid w:val="001D6C9C"/>
    <w:rsid w:val="001D7C0A"/>
    <w:rsid w:val="001E135A"/>
    <w:rsid w:val="001E1B96"/>
    <w:rsid w:val="001E3151"/>
    <w:rsid w:val="001E33E7"/>
    <w:rsid w:val="001E361F"/>
    <w:rsid w:val="001E389A"/>
    <w:rsid w:val="001E3A70"/>
    <w:rsid w:val="001E4160"/>
    <w:rsid w:val="001E4638"/>
    <w:rsid w:val="001E4649"/>
    <w:rsid w:val="001E4806"/>
    <w:rsid w:val="001E4F61"/>
    <w:rsid w:val="001E5228"/>
    <w:rsid w:val="001E556F"/>
    <w:rsid w:val="001E56BE"/>
    <w:rsid w:val="001E5D7F"/>
    <w:rsid w:val="001E606C"/>
    <w:rsid w:val="001E6E0F"/>
    <w:rsid w:val="001E7383"/>
    <w:rsid w:val="001E7A45"/>
    <w:rsid w:val="001F0090"/>
    <w:rsid w:val="001F01FC"/>
    <w:rsid w:val="001F09B2"/>
    <w:rsid w:val="001F145B"/>
    <w:rsid w:val="001F1B44"/>
    <w:rsid w:val="001F220E"/>
    <w:rsid w:val="001F299F"/>
    <w:rsid w:val="001F3380"/>
    <w:rsid w:val="001F409D"/>
    <w:rsid w:val="001F4B03"/>
    <w:rsid w:val="001F53DC"/>
    <w:rsid w:val="001F612B"/>
    <w:rsid w:val="001F69C1"/>
    <w:rsid w:val="001F78C9"/>
    <w:rsid w:val="00200210"/>
    <w:rsid w:val="002005D7"/>
    <w:rsid w:val="00200673"/>
    <w:rsid w:val="00200C07"/>
    <w:rsid w:val="00201D62"/>
    <w:rsid w:val="00201FA0"/>
    <w:rsid w:val="002030D5"/>
    <w:rsid w:val="00203236"/>
    <w:rsid w:val="00203374"/>
    <w:rsid w:val="002047A7"/>
    <w:rsid w:val="00204832"/>
    <w:rsid w:val="00205192"/>
    <w:rsid w:val="002069C4"/>
    <w:rsid w:val="00207574"/>
    <w:rsid w:val="00207788"/>
    <w:rsid w:val="0020781A"/>
    <w:rsid w:val="00207BB0"/>
    <w:rsid w:val="002100EE"/>
    <w:rsid w:val="00210236"/>
    <w:rsid w:val="00210822"/>
    <w:rsid w:val="00210837"/>
    <w:rsid w:val="00210B9B"/>
    <w:rsid w:val="002119E2"/>
    <w:rsid w:val="00213134"/>
    <w:rsid w:val="00214AE1"/>
    <w:rsid w:val="00215B9B"/>
    <w:rsid w:val="00215DE3"/>
    <w:rsid w:val="0021617D"/>
    <w:rsid w:val="00216288"/>
    <w:rsid w:val="002165EA"/>
    <w:rsid w:val="002168F3"/>
    <w:rsid w:val="00216ACD"/>
    <w:rsid w:val="00217785"/>
    <w:rsid w:val="00217AA5"/>
    <w:rsid w:val="00217F65"/>
    <w:rsid w:val="00220B21"/>
    <w:rsid w:val="00220BFA"/>
    <w:rsid w:val="00220CA4"/>
    <w:rsid w:val="00220EEC"/>
    <w:rsid w:val="00221ADA"/>
    <w:rsid w:val="00221C35"/>
    <w:rsid w:val="00221E2F"/>
    <w:rsid w:val="0022371D"/>
    <w:rsid w:val="00223AA0"/>
    <w:rsid w:val="00223AE2"/>
    <w:rsid w:val="00223DA7"/>
    <w:rsid w:val="002255D4"/>
    <w:rsid w:val="00225CAB"/>
    <w:rsid w:val="002262D7"/>
    <w:rsid w:val="002263C7"/>
    <w:rsid w:val="0022681A"/>
    <w:rsid w:val="00226A6D"/>
    <w:rsid w:val="00226C7E"/>
    <w:rsid w:val="00226F54"/>
    <w:rsid w:val="002277D4"/>
    <w:rsid w:val="00227BF2"/>
    <w:rsid w:val="00230B9C"/>
    <w:rsid w:val="0023120C"/>
    <w:rsid w:val="002313E0"/>
    <w:rsid w:val="002314F8"/>
    <w:rsid w:val="00231C0C"/>
    <w:rsid w:val="002323C0"/>
    <w:rsid w:val="00232AAB"/>
    <w:rsid w:val="00232BF8"/>
    <w:rsid w:val="0023312F"/>
    <w:rsid w:val="00233272"/>
    <w:rsid w:val="002332E7"/>
    <w:rsid w:val="00234D73"/>
    <w:rsid w:val="00235F11"/>
    <w:rsid w:val="00236110"/>
    <w:rsid w:val="00236A1E"/>
    <w:rsid w:val="0023765F"/>
    <w:rsid w:val="002406B7"/>
    <w:rsid w:val="00240858"/>
    <w:rsid w:val="00240C76"/>
    <w:rsid w:val="002420BD"/>
    <w:rsid w:val="002428DE"/>
    <w:rsid w:val="00244795"/>
    <w:rsid w:val="00244A39"/>
    <w:rsid w:val="00244F4D"/>
    <w:rsid w:val="00245603"/>
    <w:rsid w:val="00245C72"/>
    <w:rsid w:val="002460FA"/>
    <w:rsid w:val="00246576"/>
    <w:rsid w:val="002472D1"/>
    <w:rsid w:val="00247F10"/>
    <w:rsid w:val="00247FE9"/>
    <w:rsid w:val="00250231"/>
    <w:rsid w:val="00250620"/>
    <w:rsid w:val="00250DF3"/>
    <w:rsid w:val="002518C7"/>
    <w:rsid w:val="00251E58"/>
    <w:rsid w:val="00253905"/>
    <w:rsid w:val="00253B1F"/>
    <w:rsid w:val="00254615"/>
    <w:rsid w:val="00254CE6"/>
    <w:rsid w:val="00254EAD"/>
    <w:rsid w:val="002554CD"/>
    <w:rsid w:val="00255AD8"/>
    <w:rsid w:val="00256102"/>
    <w:rsid w:val="00256160"/>
    <w:rsid w:val="002562BF"/>
    <w:rsid w:val="002569C6"/>
    <w:rsid w:val="00256BBA"/>
    <w:rsid w:val="00257F6D"/>
    <w:rsid w:val="00260023"/>
    <w:rsid w:val="0026021A"/>
    <w:rsid w:val="00260547"/>
    <w:rsid w:val="00260C1C"/>
    <w:rsid w:val="002617CC"/>
    <w:rsid w:val="0026186B"/>
    <w:rsid w:val="00261A0E"/>
    <w:rsid w:val="002625CB"/>
    <w:rsid w:val="00263A90"/>
    <w:rsid w:val="00263D22"/>
    <w:rsid w:val="00264009"/>
    <w:rsid w:val="00264B45"/>
    <w:rsid w:val="002652AD"/>
    <w:rsid w:val="00266004"/>
    <w:rsid w:val="00267D9A"/>
    <w:rsid w:val="00270584"/>
    <w:rsid w:val="00270EA2"/>
    <w:rsid w:val="00271121"/>
    <w:rsid w:val="00272DFC"/>
    <w:rsid w:val="00275BF2"/>
    <w:rsid w:val="00275E57"/>
    <w:rsid w:val="0027616F"/>
    <w:rsid w:val="00276544"/>
    <w:rsid w:val="00276976"/>
    <w:rsid w:val="00280525"/>
    <w:rsid w:val="00280656"/>
    <w:rsid w:val="00280870"/>
    <w:rsid w:val="002833C1"/>
    <w:rsid w:val="00284030"/>
    <w:rsid w:val="002846C4"/>
    <w:rsid w:val="00284927"/>
    <w:rsid w:val="00284BF6"/>
    <w:rsid w:val="00284C89"/>
    <w:rsid w:val="0028576F"/>
    <w:rsid w:val="00286140"/>
    <w:rsid w:val="00286B67"/>
    <w:rsid w:val="00287246"/>
    <w:rsid w:val="002906BB"/>
    <w:rsid w:val="002908FC"/>
    <w:rsid w:val="00290940"/>
    <w:rsid w:val="00290BC0"/>
    <w:rsid w:val="00290E68"/>
    <w:rsid w:val="002910C9"/>
    <w:rsid w:val="00291DAD"/>
    <w:rsid w:val="00293BF8"/>
    <w:rsid w:val="00293EC9"/>
    <w:rsid w:val="00294080"/>
    <w:rsid w:val="00294418"/>
    <w:rsid w:val="00294552"/>
    <w:rsid w:val="00295227"/>
    <w:rsid w:val="00295F39"/>
    <w:rsid w:val="00295F45"/>
    <w:rsid w:val="00296775"/>
    <w:rsid w:val="00297942"/>
    <w:rsid w:val="002A0ED2"/>
    <w:rsid w:val="002A11BA"/>
    <w:rsid w:val="002A135C"/>
    <w:rsid w:val="002A267D"/>
    <w:rsid w:val="002A270F"/>
    <w:rsid w:val="002A2B15"/>
    <w:rsid w:val="002A2B1E"/>
    <w:rsid w:val="002A323D"/>
    <w:rsid w:val="002A40F2"/>
    <w:rsid w:val="002A5325"/>
    <w:rsid w:val="002A724F"/>
    <w:rsid w:val="002B05B1"/>
    <w:rsid w:val="002B0936"/>
    <w:rsid w:val="002B0C56"/>
    <w:rsid w:val="002B128E"/>
    <w:rsid w:val="002B1B6D"/>
    <w:rsid w:val="002B213F"/>
    <w:rsid w:val="002B278C"/>
    <w:rsid w:val="002B2D48"/>
    <w:rsid w:val="002B4C67"/>
    <w:rsid w:val="002B4F5A"/>
    <w:rsid w:val="002B5256"/>
    <w:rsid w:val="002B56E3"/>
    <w:rsid w:val="002B604A"/>
    <w:rsid w:val="002B63A2"/>
    <w:rsid w:val="002B6DF3"/>
    <w:rsid w:val="002B7809"/>
    <w:rsid w:val="002C04C6"/>
    <w:rsid w:val="002C0FD0"/>
    <w:rsid w:val="002C2AE1"/>
    <w:rsid w:val="002C35C5"/>
    <w:rsid w:val="002C37C7"/>
    <w:rsid w:val="002C3950"/>
    <w:rsid w:val="002C3E69"/>
    <w:rsid w:val="002C4303"/>
    <w:rsid w:val="002C4472"/>
    <w:rsid w:val="002C4C8F"/>
    <w:rsid w:val="002C5B91"/>
    <w:rsid w:val="002C6C98"/>
    <w:rsid w:val="002D00D0"/>
    <w:rsid w:val="002D00D7"/>
    <w:rsid w:val="002D04B3"/>
    <w:rsid w:val="002D0A76"/>
    <w:rsid w:val="002D0F4F"/>
    <w:rsid w:val="002D12D5"/>
    <w:rsid w:val="002D19C8"/>
    <w:rsid w:val="002D25AB"/>
    <w:rsid w:val="002D3C69"/>
    <w:rsid w:val="002D4074"/>
    <w:rsid w:val="002D4855"/>
    <w:rsid w:val="002D4F1C"/>
    <w:rsid w:val="002D5561"/>
    <w:rsid w:val="002D5749"/>
    <w:rsid w:val="002D681C"/>
    <w:rsid w:val="002D750B"/>
    <w:rsid w:val="002D7B35"/>
    <w:rsid w:val="002D7B63"/>
    <w:rsid w:val="002E0070"/>
    <w:rsid w:val="002E08D4"/>
    <w:rsid w:val="002E0964"/>
    <w:rsid w:val="002E0DD0"/>
    <w:rsid w:val="002E0E77"/>
    <w:rsid w:val="002E1625"/>
    <w:rsid w:val="002E30CD"/>
    <w:rsid w:val="002E319C"/>
    <w:rsid w:val="002E334E"/>
    <w:rsid w:val="002E3AE8"/>
    <w:rsid w:val="002E3FFE"/>
    <w:rsid w:val="002E53D0"/>
    <w:rsid w:val="002E5625"/>
    <w:rsid w:val="002E5931"/>
    <w:rsid w:val="002E6A86"/>
    <w:rsid w:val="002E6E46"/>
    <w:rsid w:val="002E7D58"/>
    <w:rsid w:val="002E7E40"/>
    <w:rsid w:val="002F00FE"/>
    <w:rsid w:val="002F0468"/>
    <w:rsid w:val="002F0609"/>
    <w:rsid w:val="002F1457"/>
    <w:rsid w:val="002F1614"/>
    <w:rsid w:val="002F17EB"/>
    <w:rsid w:val="002F1947"/>
    <w:rsid w:val="002F1B84"/>
    <w:rsid w:val="002F1D85"/>
    <w:rsid w:val="002F284C"/>
    <w:rsid w:val="002F2B81"/>
    <w:rsid w:val="002F3352"/>
    <w:rsid w:val="002F461E"/>
    <w:rsid w:val="002F4DAB"/>
    <w:rsid w:val="002F5103"/>
    <w:rsid w:val="002F5779"/>
    <w:rsid w:val="002F5C3F"/>
    <w:rsid w:val="002F5C8F"/>
    <w:rsid w:val="002F6AC6"/>
    <w:rsid w:val="002F703B"/>
    <w:rsid w:val="00301558"/>
    <w:rsid w:val="003023C6"/>
    <w:rsid w:val="00302A77"/>
    <w:rsid w:val="00302CF7"/>
    <w:rsid w:val="00302D27"/>
    <w:rsid w:val="00302E1C"/>
    <w:rsid w:val="00303D3C"/>
    <w:rsid w:val="0030429A"/>
    <w:rsid w:val="003052AB"/>
    <w:rsid w:val="00305F0B"/>
    <w:rsid w:val="003060C4"/>
    <w:rsid w:val="0030668D"/>
    <w:rsid w:val="003069D9"/>
    <w:rsid w:val="003073F5"/>
    <w:rsid w:val="00307B9C"/>
    <w:rsid w:val="00307BA1"/>
    <w:rsid w:val="003100DF"/>
    <w:rsid w:val="00310C8A"/>
    <w:rsid w:val="00311B0A"/>
    <w:rsid w:val="003137D4"/>
    <w:rsid w:val="00314227"/>
    <w:rsid w:val="00314DBA"/>
    <w:rsid w:val="00314EFA"/>
    <w:rsid w:val="00315AB3"/>
    <w:rsid w:val="003164A3"/>
    <w:rsid w:val="00317A63"/>
    <w:rsid w:val="00317BA9"/>
    <w:rsid w:val="003200AE"/>
    <w:rsid w:val="0032034B"/>
    <w:rsid w:val="00320BF6"/>
    <w:rsid w:val="00320EFA"/>
    <w:rsid w:val="00321E23"/>
    <w:rsid w:val="0032215C"/>
    <w:rsid w:val="00322259"/>
    <w:rsid w:val="003255F1"/>
    <w:rsid w:val="00325789"/>
    <w:rsid w:val="00325A5A"/>
    <w:rsid w:val="00325A89"/>
    <w:rsid w:val="00325FE2"/>
    <w:rsid w:val="00326A2E"/>
    <w:rsid w:val="003272E3"/>
    <w:rsid w:val="0032780E"/>
    <w:rsid w:val="00327CF0"/>
    <w:rsid w:val="00330325"/>
    <w:rsid w:val="00331922"/>
    <w:rsid w:val="00331AFB"/>
    <w:rsid w:val="0033215F"/>
    <w:rsid w:val="0033295D"/>
    <w:rsid w:val="00332B79"/>
    <w:rsid w:val="00333CAB"/>
    <w:rsid w:val="00333D3B"/>
    <w:rsid w:val="00334C5E"/>
    <w:rsid w:val="00334F81"/>
    <w:rsid w:val="00335E06"/>
    <w:rsid w:val="00336AC2"/>
    <w:rsid w:val="00336FD3"/>
    <w:rsid w:val="00337B76"/>
    <w:rsid w:val="00337BB7"/>
    <w:rsid w:val="00341DE7"/>
    <w:rsid w:val="00341FEE"/>
    <w:rsid w:val="003430E1"/>
    <w:rsid w:val="0034324B"/>
    <w:rsid w:val="00345199"/>
    <w:rsid w:val="003451FE"/>
    <w:rsid w:val="003462BA"/>
    <w:rsid w:val="00346B52"/>
    <w:rsid w:val="00346C19"/>
    <w:rsid w:val="00346E53"/>
    <w:rsid w:val="003471EA"/>
    <w:rsid w:val="0034781A"/>
    <w:rsid w:val="00350096"/>
    <w:rsid w:val="003503CD"/>
    <w:rsid w:val="00350421"/>
    <w:rsid w:val="0035042D"/>
    <w:rsid w:val="00350759"/>
    <w:rsid w:val="0035088B"/>
    <w:rsid w:val="00350FBD"/>
    <w:rsid w:val="003510DF"/>
    <w:rsid w:val="003511E3"/>
    <w:rsid w:val="0035181E"/>
    <w:rsid w:val="0035252E"/>
    <w:rsid w:val="00353BBF"/>
    <w:rsid w:val="00353C02"/>
    <w:rsid w:val="00353F48"/>
    <w:rsid w:val="0035422F"/>
    <w:rsid w:val="00354301"/>
    <w:rsid w:val="003544A3"/>
    <w:rsid w:val="00354AC8"/>
    <w:rsid w:val="00355454"/>
    <w:rsid w:val="0035571F"/>
    <w:rsid w:val="003560A3"/>
    <w:rsid w:val="00356A1A"/>
    <w:rsid w:val="0035700D"/>
    <w:rsid w:val="00357768"/>
    <w:rsid w:val="003579C1"/>
    <w:rsid w:val="00357A6C"/>
    <w:rsid w:val="00357B7A"/>
    <w:rsid w:val="00360B24"/>
    <w:rsid w:val="00360B88"/>
    <w:rsid w:val="00361409"/>
    <w:rsid w:val="00361478"/>
    <w:rsid w:val="00362098"/>
    <w:rsid w:val="003621B0"/>
    <w:rsid w:val="00363105"/>
    <w:rsid w:val="00363317"/>
    <w:rsid w:val="00363BEF"/>
    <w:rsid w:val="00365288"/>
    <w:rsid w:val="00366C33"/>
    <w:rsid w:val="0036705C"/>
    <w:rsid w:val="003673C9"/>
    <w:rsid w:val="003737B0"/>
    <w:rsid w:val="003743F8"/>
    <w:rsid w:val="00374B13"/>
    <w:rsid w:val="00374BBC"/>
    <w:rsid w:val="00374FC1"/>
    <w:rsid w:val="003756A2"/>
    <w:rsid w:val="00375C87"/>
    <w:rsid w:val="00375DC1"/>
    <w:rsid w:val="00375E94"/>
    <w:rsid w:val="00376DED"/>
    <w:rsid w:val="003774A0"/>
    <w:rsid w:val="0037767D"/>
    <w:rsid w:val="003810DB"/>
    <w:rsid w:val="00381624"/>
    <w:rsid w:val="003816C1"/>
    <w:rsid w:val="00381985"/>
    <w:rsid w:val="00382571"/>
    <w:rsid w:val="0038489B"/>
    <w:rsid w:val="003849B0"/>
    <w:rsid w:val="003857D9"/>
    <w:rsid w:val="003862DF"/>
    <w:rsid w:val="003863BE"/>
    <w:rsid w:val="00386566"/>
    <w:rsid w:val="00387330"/>
    <w:rsid w:val="003876FF"/>
    <w:rsid w:val="00393401"/>
    <w:rsid w:val="003955B2"/>
    <w:rsid w:val="00395890"/>
    <w:rsid w:val="003959A5"/>
    <w:rsid w:val="00395F26"/>
    <w:rsid w:val="00395FAA"/>
    <w:rsid w:val="00397827"/>
    <w:rsid w:val="00397BEE"/>
    <w:rsid w:val="003A063A"/>
    <w:rsid w:val="003A0B73"/>
    <w:rsid w:val="003A104E"/>
    <w:rsid w:val="003A13C4"/>
    <w:rsid w:val="003A14AF"/>
    <w:rsid w:val="003A289D"/>
    <w:rsid w:val="003A2DD9"/>
    <w:rsid w:val="003A32F3"/>
    <w:rsid w:val="003A3817"/>
    <w:rsid w:val="003A384F"/>
    <w:rsid w:val="003A3985"/>
    <w:rsid w:val="003A50D9"/>
    <w:rsid w:val="003A543D"/>
    <w:rsid w:val="003A62CE"/>
    <w:rsid w:val="003A6FA5"/>
    <w:rsid w:val="003A7CFF"/>
    <w:rsid w:val="003B01F4"/>
    <w:rsid w:val="003B16AA"/>
    <w:rsid w:val="003B188F"/>
    <w:rsid w:val="003B1BEC"/>
    <w:rsid w:val="003B2BA8"/>
    <w:rsid w:val="003B3AF7"/>
    <w:rsid w:val="003B4180"/>
    <w:rsid w:val="003B4356"/>
    <w:rsid w:val="003B481F"/>
    <w:rsid w:val="003B536B"/>
    <w:rsid w:val="003B5DFF"/>
    <w:rsid w:val="003B6043"/>
    <w:rsid w:val="003B7850"/>
    <w:rsid w:val="003B7A06"/>
    <w:rsid w:val="003B7BF7"/>
    <w:rsid w:val="003C15D0"/>
    <w:rsid w:val="003C2435"/>
    <w:rsid w:val="003C2CE0"/>
    <w:rsid w:val="003C2F76"/>
    <w:rsid w:val="003C4C71"/>
    <w:rsid w:val="003C4DC7"/>
    <w:rsid w:val="003C5558"/>
    <w:rsid w:val="003C738A"/>
    <w:rsid w:val="003D06B5"/>
    <w:rsid w:val="003D1898"/>
    <w:rsid w:val="003D1F0B"/>
    <w:rsid w:val="003D22D7"/>
    <w:rsid w:val="003D25F7"/>
    <w:rsid w:val="003D3096"/>
    <w:rsid w:val="003D3994"/>
    <w:rsid w:val="003D3D95"/>
    <w:rsid w:val="003D3EC0"/>
    <w:rsid w:val="003D519A"/>
    <w:rsid w:val="003D7120"/>
    <w:rsid w:val="003D73AB"/>
    <w:rsid w:val="003E00AC"/>
    <w:rsid w:val="003E095B"/>
    <w:rsid w:val="003E1840"/>
    <w:rsid w:val="003E2F30"/>
    <w:rsid w:val="003E30A3"/>
    <w:rsid w:val="003E39C3"/>
    <w:rsid w:val="003E3D24"/>
    <w:rsid w:val="003E414B"/>
    <w:rsid w:val="003E427F"/>
    <w:rsid w:val="003E431F"/>
    <w:rsid w:val="003E439D"/>
    <w:rsid w:val="003E5810"/>
    <w:rsid w:val="003E5A25"/>
    <w:rsid w:val="003E5D32"/>
    <w:rsid w:val="003E691B"/>
    <w:rsid w:val="003E6E97"/>
    <w:rsid w:val="003E7765"/>
    <w:rsid w:val="003E778E"/>
    <w:rsid w:val="003E78F0"/>
    <w:rsid w:val="003E79D7"/>
    <w:rsid w:val="003E7F3F"/>
    <w:rsid w:val="003F0FAD"/>
    <w:rsid w:val="003F0FC1"/>
    <w:rsid w:val="003F1894"/>
    <w:rsid w:val="003F1C77"/>
    <w:rsid w:val="003F3898"/>
    <w:rsid w:val="003F3A1B"/>
    <w:rsid w:val="003F3D0B"/>
    <w:rsid w:val="003F3E3F"/>
    <w:rsid w:val="003F42B8"/>
    <w:rsid w:val="003F4E50"/>
    <w:rsid w:val="003F4EDF"/>
    <w:rsid w:val="003F564A"/>
    <w:rsid w:val="003F572D"/>
    <w:rsid w:val="003F5D0D"/>
    <w:rsid w:val="003F6A41"/>
    <w:rsid w:val="003F6B54"/>
    <w:rsid w:val="003F6CAD"/>
    <w:rsid w:val="003F7235"/>
    <w:rsid w:val="004003FD"/>
    <w:rsid w:val="00402898"/>
    <w:rsid w:val="00402A13"/>
    <w:rsid w:val="0040368D"/>
    <w:rsid w:val="00403A8C"/>
    <w:rsid w:val="004049EE"/>
    <w:rsid w:val="00404D01"/>
    <w:rsid w:val="00404D50"/>
    <w:rsid w:val="00404ECC"/>
    <w:rsid w:val="00404F56"/>
    <w:rsid w:val="004051A6"/>
    <w:rsid w:val="0040652E"/>
    <w:rsid w:val="004071FD"/>
    <w:rsid w:val="0040738B"/>
    <w:rsid w:val="0041009D"/>
    <w:rsid w:val="004112F1"/>
    <w:rsid w:val="00411E8B"/>
    <w:rsid w:val="004122FB"/>
    <w:rsid w:val="00412D87"/>
    <w:rsid w:val="00412F73"/>
    <w:rsid w:val="00413F7A"/>
    <w:rsid w:val="004147E2"/>
    <w:rsid w:val="00415BD1"/>
    <w:rsid w:val="00416802"/>
    <w:rsid w:val="00416812"/>
    <w:rsid w:val="00416BBD"/>
    <w:rsid w:val="00416D0A"/>
    <w:rsid w:val="00417112"/>
    <w:rsid w:val="00420556"/>
    <w:rsid w:val="00420B78"/>
    <w:rsid w:val="00420E3D"/>
    <w:rsid w:val="0042141A"/>
    <w:rsid w:val="00421725"/>
    <w:rsid w:val="00421E05"/>
    <w:rsid w:val="00422223"/>
    <w:rsid w:val="00422AB4"/>
    <w:rsid w:val="00422E58"/>
    <w:rsid w:val="0042311F"/>
    <w:rsid w:val="004234EC"/>
    <w:rsid w:val="004235E3"/>
    <w:rsid w:val="00423606"/>
    <w:rsid w:val="00424647"/>
    <w:rsid w:val="00424703"/>
    <w:rsid w:val="00424934"/>
    <w:rsid w:val="00425C37"/>
    <w:rsid w:val="0042603F"/>
    <w:rsid w:val="004274AD"/>
    <w:rsid w:val="00427703"/>
    <w:rsid w:val="00430C76"/>
    <w:rsid w:val="00430F20"/>
    <w:rsid w:val="00431CF2"/>
    <w:rsid w:val="00431D90"/>
    <w:rsid w:val="00431E46"/>
    <w:rsid w:val="00432002"/>
    <w:rsid w:val="004329FE"/>
    <w:rsid w:val="00432A04"/>
    <w:rsid w:val="004332C6"/>
    <w:rsid w:val="0043402A"/>
    <w:rsid w:val="00434769"/>
    <w:rsid w:val="0043518D"/>
    <w:rsid w:val="004351DE"/>
    <w:rsid w:val="00435C11"/>
    <w:rsid w:val="00436611"/>
    <w:rsid w:val="00437A2F"/>
    <w:rsid w:val="00437D58"/>
    <w:rsid w:val="00440164"/>
    <w:rsid w:val="004405EC"/>
    <w:rsid w:val="00440E18"/>
    <w:rsid w:val="004426B7"/>
    <w:rsid w:val="00442C6D"/>
    <w:rsid w:val="00443834"/>
    <w:rsid w:val="00444140"/>
    <w:rsid w:val="00444217"/>
    <w:rsid w:val="00444ACC"/>
    <w:rsid w:val="00444B3E"/>
    <w:rsid w:val="00445234"/>
    <w:rsid w:val="00446DAE"/>
    <w:rsid w:val="00446E47"/>
    <w:rsid w:val="004476FB"/>
    <w:rsid w:val="00447854"/>
    <w:rsid w:val="00447B58"/>
    <w:rsid w:val="00450013"/>
    <w:rsid w:val="00450709"/>
    <w:rsid w:val="004508C5"/>
    <w:rsid w:val="00450A8E"/>
    <w:rsid w:val="00450C55"/>
    <w:rsid w:val="004514E0"/>
    <w:rsid w:val="004516ED"/>
    <w:rsid w:val="004531AD"/>
    <w:rsid w:val="004532BB"/>
    <w:rsid w:val="004534D6"/>
    <w:rsid w:val="00453696"/>
    <w:rsid w:val="0045377E"/>
    <w:rsid w:val="00453DA8"/>
    <w:rsid w:val="004540DE"/>
    <w:rsid w:val="00454359"/>
    <w:rsid w:val="00454638"/>
    <w:rsid w:val="00454961"/>
    <w:rsid w:val="00455031"/>
    <w:rsid w:val="004551EE"/>
    <w:rsid w:val="00455682"/>
    <w:rsid w:val="00455922"/>
    <w:rsid w:val="00456610"/>
    <w:rsid w:val="00456BE9"/>
    <w:rsid w:val="00460061"/>
    <w:rsid w:val="004603B8"/>
    <w:rsid w:val="004607E7"/>
    <w:rsid w:val="004610FB"/>
    <w:rsid w:val="00461667"/>
    <w:rsid w:val="00461CAB"/>
    <w:rsid w:val="00463040"/>
    <w:rsid w:val="00463317"/>
    <w:rsid w:val="00463CCF"/>
    <w:rsid w:val="00463E66"/>
    <w:rsid w:val="0046562A"/>
    <w:rsid w:val="00465DDA"/>
    <w:rsid w:val="00465E8B"/>
    <w:rsid w:val="0046640E"/>
    <w:rsid w:val="00467256"/>
    <w:rsid w:val="00467674"/>
    <w:rsid w:val="00467A24"/>
    <w:rsid w:val="00470652"/>
    <w:rsid w:val="0047201A"/>
    <w:rsid w:val="004729B4"/>
    <w:rsid w:val="0047422F"/>
    <w:rsid w:val="004742C1"/>
    <w:rsid w:val="00477289"/>
    <w:rsid w:val="00477456"/>
    <w:rsid w:val="00477793"/>
    <w:rsid w:val="00477A00"/>
    <w:rsid w:val="00477F75"/>
    <w:rsid w:val="00480059"/>
    <w:rsid w:val="00480DC1"/>
    <w:rsid w:val="00480DE2"/>
    <w:rsid w:val="00481480"/>
    <w:rsid w:val="00481D6F"/>
    <w:rsid w:val="00482162"/>
    <w:rsid w:val="0048291E"/>
    <w:rsid w:val="00482A59"/>
    <w:rsid w:val="00483666"/>
    <w:rsid w:val="004843A9"/>
    <w:rsid w:val="0048472A"/>
    <w:rsid w:val="00484B49"/>
    <w:rsid w:val="00484D59"/>
    <w:rsid w:val="00485526"/>
    <w:rsid w:val="00485F07"/>
    <w:rsid w:val="00486100"/>
    <w:rsid w:val="0048646C"/>
    <w:rsid w:val="00486503"/>
    <w:rsid w:val="004866D8"/>
    <w:rsid w:val="00486987"/>
    <w:rsid w:val="00487537"/>
    <w:rsid w:val="00487B57"/>
    <w:rsid w:val="00491CDE"/>
    <w:rsid w:val="0049200E"/>
    <w:rsid w:val="00492566"/>
    <w:rsid w:val="00492C10"/>
    <w:rsid w:val="00492E53"/>
    <w:rsid w:val="004933FA"/>
    <w:rsid w:val="004935EE"/>
    <w:rsid w:val="00493F1E"/>
    <w:rsid w:val="00493F29"/>
    <w:rsid w:val="00493F3D"/>
    <w:rsid w:val="00494354"/>
    <w:rsid w:val="00494E82"/>
    <w:rsid w:val="00495886"/>
    <w:rsid w:val="0049662F"/>
    <w:rsid w:val="00496E76"/>
    <w:rsid w:val="00497018"/>
    <w:rsid w:val="00497A39"/>
    <w:rsid w:val="00497B27"/>
    <w:rsid w:val="00497F5B"/>
    <w:rsid w:val="004A0666"/>
    <w:rsid w:val="004A19F6"/>
    <w:rsid w:val="004A1CF8"/>
    <w:rsid w:val="004A1F56"/>
    <w:rsid w:val="004A259D"/>
    <w:rsid w:val="004A2E1F"/>
    <w:rsid w:val="004A3892"/>
    <w:rsid w:val="004A487F"/>
    <w:rsid w:val="004A4B9D"/>
    <w:rsid w:val="004A4CA4"/>
    <w:rsid w:val="004A6F45"/>
    <w:rsid w:val="004A78CA"/>
    <w:rsid w:val="004B02A4"/>
    <w:rsid w:val="004B0356"/>
    <w:rsid w:val="004B0916"/>
    <w:rsid w:val="004B1C66"/>
    <w:rsid w:val="004B1FAC"/>
    <w:rsid w:val="004B2291"/>
    <w:rsid w:val="004B2624"/>
    <w:rsid w:val="004B2A6A"/>
    <w:rsid w:val="004B2E7D"/>
    <w:rsid w:val="004B317D"/>
    <w:rsid w:val="004B4463"/>
    <w:rsid w:val="004B4B08"/>
    <w:rsid w:val="004B53FF"/>
    <w:rsid w:val="004B55ED"/>
    <w:rsid w:val="004B6418"/>
    <w:rsid w:val="004B666A"/>
    <w:rsid w:val="004B6989"/>
    <w:rsid w:val="004B6AD2"/>
    <w:rsid w:val="004B763D"/>
    <w:rsid w:val="004B76D4"/>
    <w:rsid w:val="004C0192"/>
    <w:rsid w:val="004C04BD"/>
    <w:rsid w:val="004C0E2B"/>
    <w:rsid w:val="004C1270"/>
    <w:rsid w:val="004C1B57"/>
    <w:rsid w:val="004C1E9C"/>
    <w:rsid w:val="004C36A9"/>
    <w:rsid w:val="004C497E"/>
    <w:rsid w:val="004C4AD3"/>
    <w:rsid w:val="004C53C4"/>
    <w:rsid w:val="004C5844"/>
    <w:rsid w:val="004C6408"/>
    <w:rsid w:val="004C6AD2"/>
    <w:rsid w:val="004C6F26"/>
    <w:rsid w:val="004C7513"/>
    <w:rsid w:val="004C782F"/>
    <w:rsid w:val="004C7F15"/>
    <w:rsid w:val="004D00C0"/>
    <w:rsid w:val="004D0448"/>
    <w:rsid w:val="004D0BA0"/>
    <w:rsid w:val="004D0BD0"/>
    <w:rsid w:val="004D1D79"/>
    <w:rsid w:val="004D34C3"/>
    <w:rsid w:val="004D45C4"/>
    <w:rsid w:val="004D487B"/>
    <w:rsid w:val="004D4D09"/>
    <w:rsid w:val="004D5652"/>
    <w:rsid w:val="004D5792"/>
    <w:rsid w:val="004D6A43"/>
    <w:rsid w:val="004D7C59"/>
    <w:rsid w:val="004E02E5"/>
    <w:rsid w:val="004E15D4"/>
    <w:rsid w:val="004E16F7"/>
    <w:rsid w:val="004E2127"/>
    <w:rsid w:val="004E296C"/>
    <w:rsid w:val="004E2AE2"/>
    <w:rsid w:val="004E3A28"/>
    <w:rsid w:val="004E3C34"/>
    <w:rsid w:val="004E3C87"/>
    <w:rsid w:val="004E3CE1"/>
    <w:rsid w:val="004E41E2"/>
    <w:rsid w:val="004E55B7"/>
    <w:rsid w:val="004E56D9"/>
    <w:rsid w:val="004E5DCB"/>
    <w:rsid w:val="004E637C"/>
    <w:rsid w:val="004E662F"/>
    <w:rsid w:val="004E725F"/>
    <w:rsid w:val="004E790B"/>
    <w:rsid w:val="004E7D1F"/>
    <w:rsid w:val="004F0307"/>
    <w:rsid w:val="004F0C75"/>
    <w:rsid w:val="004F142E"/>
    <w:rsid w:val="004F1517"/>
    <w:rsid w:val="004F1523"/>
    <w:rsid w:val="004F2892"/>
    <w:rsid w:val="004F29DC"/>
    <w:rsid w:val="004F2DD5"/>
    <w:rsid w:val="004F38D3"/>
    <w:rsid w:val="004F3ECB"/>
    <w:rsid w:val="004F45A5"/>
    <w:rsid w:val="004F49AE"/>
    <w:rsid w:val="004F4D44"/>
    <w:rsid w:val="004F60F0"/>
    <w:rsid w:val="004F6534"/>
    <w:rsid w:val="004F6FCA"/>
    <w:rsid w:val="004F7292"/>
    <w:rsid w:val="004F7453"/>
    <w:rsid w:val="005005A1"/>
    <w:rsid w:val="00500B8C"/>
    <w:rsid w:val="0050150A"/>
    <w:rsid w:val="005016FD"/>
    <w:rsid w:val="005017CC"/>
    <w:rsid w:val="005027F1"/>
    <w:rsid w:val="00502B48"/>
    <w:rsid w:val="00502EEA"/>
    <w:rsid w:val="00503DD2"/>
    <w:rsid w:val="005048DA"/>
    <w:rsid w:val="00504C15"/>
    <w:rsid w:val="00504CCB"/>
    <w:rsid w:val="00505537"/>
    <w:rsid w:val="00506754"/>
    <w:rsid w:val="00506C1E"/>
    <w:rsid w:val="00506CCD"/>
    <w:rsid w:val="0050717B"/>
    <w:rsid w:val="00507647"/>
    <w:rsid w:val="0051007E"/>
    <w:rsid w:val="00510BB6"/>
    <w:rsid w:val="00511D79"/>
    <w:rsid w:val="0051305D"/>
    <w:rsid w:val="0051432D"/>
    <w:rsid w:val="005154AD"/>
    <w:rsid w:val="00515628"/>
    <w:rsid w:val="00515BE6"/>
    <w:rsid w:val="005160F6"/>
    <w:rsid w:val="005173B6"/>
    <w:rsid w:val="00520280"/>
    <w:rsid w:val="00520497"/>
    <w:rsid w:val="00520520"/>
    <w:rsid w:val="00520CEA"/>
    <w:rsid w:val="005213D0"/>
    <w:rsid w:val="00521423"/>
    <w:rsid w:val="005229B8"/>
    <w:rsid w:val="00523135"/>
    <w:rsid w:val="0052318E"/>
    <w:rsid w:val="00523C54"/>
    <w:rsid w:val="00523E78"/>
    <w:rsid w:val="00524020"/>
    <w:rsid w:val="0052466B"/>
    <w:rsid w:val="005248DE"/>
    <w:rsid w:val="00525D3A"/>
    <w:rsid w:val="005261D6"/>
    <w:rsid w:val="005262E7"/>
    <w:rsid w:val="00526A26"/>
    <w:rsid w:val="0053207B"/>
    <w:rsid w:val="00532381"/>
    <w:rsid w:val="005323FA"/>
    <w:rsid w:val="0053380D"/>
    <w:rsid w:val="00533837"/>
    <w:rsid w:val="00534688"/>
    <w:rsid w:val="00534A8F"/>
    <w:rsid w:val="00535A75"/>
    <w:rsid w:val="0053617F"/>
    <w:rsid w:val="005362E8"/>
    <w:rsid w:val="0053654A"/>
    <w:rsid w:val="00536689"/>
    <w:rsid w:val="00536855"/>
    <w:rsid w:val="00536872"/>
    <w:rsid w:val="00536D50"/>
    <w:rsid w:val="00536D89"/>
    <w:rsid w:val="00536F4A"/>
    <w:rsid w:val="00537C9C"/>
    <w:rsid w:val="0054163B"/>
    <w:rsid w:val="00542B31"/>
    <w:rsid w:val="00545239"/>
    <w:rsid w:val="005454E5"/>
    <w:rsid w:val="00546B8A"/>
    <w:rsid w:val="00546D05"/>
    <w:rsid w:val="00547244"/>
    <w:rsid w:val="00547933"/>
    <w:rsid w:val="005508AD"/>
    <w:rsid w:val="0055098D"/>
    <w:rsid w:val="00550B24"/>
    <w:rsid w:val="00550FD2"/>
    <w:rsid w:val="005513B4"/>
    <w:rsid w:val="00552031"/>
    <w:rsid w:val="005528E7"/>
    <w:rsid w:val="00553018"/>
    <w:rsid w:val="0055382B"/>
    <w:rsid w:val="0055412E"/>
    <w:rsid w:val="0055419D"/>
    <w:rsid w:val="0055583F"/>
    <w:rsid w:val="005573C1"/>
    <w:rsid w:val="00557817"/>
    <w:rsid w:val="00557A6F"/>
    <w:rsid w:val="00557ED9"/>
    <w:rsid w:val="005601C1"/>
    <w:rsid w:val="005603EF"/>
    <w:rsid w:val="00560A56"/>
    <w:rsid w:val="00560B40"/>
    <w:rsid w:val="00560CD8"/>
    <w:rsid w:val="005611CE"/>
    <w:rsid w:val="005612EC"/>
    <w:rsid w:val="00561575"/>
    <w:rsid w:val="005627B1"/>
    <w:rsid w:val="005631C0"/>
    <w:rsid w:val="00563B8A"/>
    <w:rsid w:val="0056408D"/>
    <w:rsid w:val="005651D0"/>
    <w:rsid w:val="00565220"/>
    <w:rsid w:val="00565370"/>
    <w:rsid w:val="00565470"/>
    <w:rsid w:val="005658E3"/>
    <w:rsid w:val="00565B06"/>
    <w:rsid w:val="00566941"/>
    <w:rsid w:val="00566DB4"/>
    <w:rsid w:val="005670F9"/>
    <w:rsid w:val="005672F2"/>
    <w:rsid w:val="005678DE"/>
    <w:rsid w:val="0056793E"/>
    <w:rsid w:val="00567C83"/>
    <w:rsid w:val="005700B8"/>
    <w:rsid w:val="0057024B"/>
    <w:rsid w:val="00570292"/>
    <w:rsid w:val="0057092B"/>
    <w:rsid w:val="0057110F"/>
    <w:rsid w:val="00571B2A"/>
    <w:rsid w:val="00572145"/>
    <w:rsid w:val="00572CE9"/>
    <w:rsid w:val="00573A2D"/>
    <w:rsid w:val="005749DA"/>
    <w:rsid w:val="005760B0"/>
    <w:rsid w:val="0057769E"/>
    <w:rsid w:val="00580435"/>
    <w:rsid w:val="005805B7"/>
    <w:rsid w:val="00580751"/>
    <w:rsid w:val="005812C5"/>
    <w:rsid w:val="00581990"/>
    <w:rsid w:val="0058223C"/>
    <w:rsid w:val="0058260F"/>
    <w:rsid w:val="00583EF1"/>
    <w:rsid w:val="005865CB"/>
    <w:rsid w:val="00586784"/>
    <w:rsid w:val="00586C4A"/>
    <w:rsid w:val="005871CB"/>
    <w:rsid w:val="00587424"/>
    <w:rsid w:val="005878DB"/>
    <w:rsid w:val="0058797B"/>
    <w:rsid w:val="00587E29"/>
    <w:rsid w:val="005927A5"/>
    <w:rsid w:val="00593039"/>
    <w:rsid w:val="005936F6"/>
    <w:rsid w:val="00593785"/>
    <w:rsid w:val="005938A2"/>
    <w:rsid w:val="005940FD"/>
    <w:rsid w:val="00595AA4"/>
    <w:rsid w:val="00595B4C"/>
    <w:rsid w:val="0059666A"/>
    <w:rsid w:val="00596851"/>
    <w:rsid w:val="0059713E"/>
    <w:rsid w:val="00597444"/>
    <w:rsid w:val="005A00B5"/>
    <w:rsid w:val="005A08EF"/>
    <w:rsid w:val="005A0AC7"/>
    <w:rsid w:val="005A0E6F"/>
    <w:rsid w:val="005A1051"/>
    <w:rsid w:val="005A16C7"/>
    <w:rsid w:val="005A299D"/>
    <w:rsid w:val="005A328B"/>
    <w:rsid w:val="005A3AC4"/>
    <w:rsid w:val="005A4B7F"/>
    <w:rsid w:val="005A5AC3"/>
    <w:rsid w:val="005A5B4C"/>
    <w:rsid w:val="005A5BE3"/>
    <w:rsid w:val="005A691E"/>
    <w:rsid w:val="005A6A43"/>
    <w:rsid w:val="005A6F87"/>
    <w:rsid w:val="005A70AD"/>
    <w:rsid w:val="005A797A"/>
    <w:rsid w:val="005B08E4"/>
    <w:rsid w:val="005B0BD6"/>
    <w:rsid w:val="005B13FA"/>
    <w:rsid w:val="005B197A"/>
    <w:rsid w:val="005B201E"/>
    <w:rsid w:val="005B23DC"/>
    <w:rsid w:val="005B321C"/>
    <w:rsid w:val="005B37F7"/>
    <w:rsid w:val="005B3D2A"/>
    <w:rsid w:val="005B45A3"/>
    <w:rsid w:val="005B4D67"/>
    <w:rsid w:val="005B535B"/>
    <w:rsid w:val="005B59CB"/>
    <w:rsid w:val="005B5DAB"/>
    <w:rsid w:val="005B6435"/>
    <w:rsid w:val="005B775D"/>
    <w:rsid w:val="005B790D"/>
    <w:rsid w:val="005C0C8C"/>
    <w:rsid w:val="005C1213"/>
    <w:rsid w:val="005C1661"/>
    <w:rsid w:val="005C17AA"/>
    <w:rsid w:val="005C27A6"/>
    <w:rsid w:val="005C3507"/>
    <w:rsid w:val="005C373C"/>
    <w:rsid w:val="005C3DFA"/>
    <w:rsid w:val="005C4574"/>
    <w:rsid w:val="005C45D7"/>
    <w:rsid w:val="005C4AFE"/>
    <w:rsid w:val="005C5F92"/>
    <w:rsid w:val="005C684D"/>
    <w:rsid w:val="005C6997"/>
    <w:rsid w:val="005C7210"/>
    <w:rsid w:val="005C784C"/>
    <w:rsid w:val="005C786F"/>
    <w:rsid w:val="005C79C9"/>
    <w:rsid w:val="005C7AFE"/>
    <w:rsid w:val="005D02BA"/>
    <w:rsid w:val="005D04B6"/>
    <w:rsid w:val="005D0A54"/>
    <w:rsid w:val="005D0B56"/>
    <w:rsid w:val="005D0F20"/>
    <w:rsid w:val="005D10E6"/>
    <w:rsid w:val="005D1294"/>
    <w:rsid w:val="005D25F9"/>
    <w:rsid w:val="005D3885"/>
    <w:rsid w:val="005D3F38"/>
    <w:rsid w:val="005D500D"/>
    <w:rsid w:val="005D51FF"/>
    <w:rsid w:val="005D5CE7"/>
    <w:rsid w:val="005D6357"/>
    <w:rsid w:val="005D6D4B"/>
    <w:rsid w:val="005D70FE"/>
    <w:rsid w:val="005E0FBD"/>
    <w:rsid w:val="005E11B5"/>
    <w:rsid w:val="005E2AFF"/>
    <w:rsid w:val="005E3430"/>
    <w:rsid w:val="005E396E"/>
    <w:rsid w:val="005E477F"/>
    <w:rsid w:val="005E4D25"/>
    <w:rsid w:val="005E4DCC"/>
    <w:rsid w:val="005E5151"/>
    <w:rsid w:val="005E5214"/>
    <w:rsid w:val="005E5F08"/>
    <w:rsid w:val="005E658F"/>
    <w:rsid w:val="005E7885"/>
    <w:rsid w:val="005F0613"/>
    <w:rsid w:val="005F0850"/>
    <w:rsid w:val="005F0A72"/>
    <w:rsid w:val="005F0F9C"/>
    <w:rsid w:val="005F101C"/>
    <w:rsid w:val="005F12E1"/>
    <w:rsid w:val="005F184D"/>
    <w:rsid w:val="005F1F1F"/>
    <w:rsid w:val="005F1F64"/>
    <w:rsid w:val="005F29AA"/>
    <w:rsid w:val="005F2E3B"/>
    <w:rsid w:val="005F334D"/>
    <w:rsid w:val="005F38B1"/>
    <w:rsid w:val="005F3B90"/>
    <w:rsid w:val="005F3BC1"/>
    <w:rsid w:val="005F3D78"/>
    <w:rsid w:val="005F4276"/>
    <w:rsid w:val="005F4746"/>
    <w:rsid w:val="005F4791"/>
    <w:rsid w:val="005F4CCA"/>
    <w:rsid w:val="005F50F3"/>
    <w:rsid w:val="005F55C1"/>
    <w:rsid w:val="005F5C1E"/>
    <w:rsid w:val="005F5EAC"/>
    <w:rsid w:val="005F5FB6"/>
    <w:rsid w:val="005F6107"/>
    <w:rsid w:val="005F61AE"/>
    <w:rsid w:val="005F6F92"/>
    <w:rsid w:val="005F7C3B"/>
    <w:rsid w:val="005F7E8D"/>
    <w:rsid w:val="00600398"/>
    <w:rsid w:val="00600A90"/>
    <w:rsid w:val="00600DCD"/>
    <w:rsid w:val="0060129B"/>
    <w:rsid w:val="006017EB"/>
    <w:rsid w:val="006020AC"/>
    <w:rsid w:val="00602E24"/>
    <w:rsid w:val="00602E6A"/>
    <w:rsid w:val="006046C8"/>
    <w:rsid w:val="00604E35"/>
    <w:rsid w:val="0060528E"/>
    <w:rsid w:val="00605574"/>
    <w:rsid w:val="00606941"/>
    <w:rsid w:val="006072E7"/>
    <w:rsid w:val="00610901"/>
    <w:rsid w:val="0061131E"/>
    <w:rsid w:val="00611B2A"/>
    <w:rsid w:val="006122AE"/>
    <w:rsid w:val="006130AE"/>
    <w:rsid w:val="00613CB7"/>
    <w:rsid w:val="00613E1F"/>
    <w:rsid w:val="0061448D"/>
    <w:rsid w:val="00614C4F"/>
    <w:rsid w:val="00614DC7"/>
    <w:rsid w:val="00615AA2"/>
    <w:rsid w:val="00616395"/>
    <w:rsid w:val="0062044D"/>
    <w:rsid w:val="0062044E"/>
    <w:rsid w:val="00620606"/>
    <w:rsid w:val="00620639"/>
    <w:rsid w:val="00620EE7"/>
    <w:rsid w:val="00621018"/>
    <w:rsid w:val="0062169F"/>
    <w:rsid w:val="00621D10"/>
    <w:rsid w:val="006229C0"/>
    <w:rsid w:val="00622CB5"/>
    <w:rsid w:val="00623A30"/>
    <w:rsid w:val="0062476E"/>
    <w:rsid w:val="006248E6"/>
    <w:rsid w:val="00624EC6"/>
    <w:rsid w:val="0062534F"/>
    <w:rsid w:val="006270FF"/>
    <w:rsid w:val="006279E4"/>
    <w:rsid w:val="00627E13"/>
    <w:rsid w:val="00630222"/>
    <w:rsid w:val="00630459"/>
    <w:rsid w:val="00630F6F"/>
    <w:rsid w:val="00631505"/>
    <w:rsid w:val="00632245"/>
    <w:rsid w:val="0063225C"/>
    <w:rsid w:val="006323DD"/>
    <w:rsid w:val="006327BB"/>
    <w:rsid w:val="00632FD3"/>
    <w:rsid w:val="006335EF"/>
    <w:rsid w:val="006348C2"/>
    <w:rsid w:val="00634A4C"/>
    <w:rsid w:val="00634DE6"/>
    <w:rsid w:val="0063508F"/>
    <w:rsid w:val="006372BF"/>
    <w:rsid w:val="00637322"/>
    <w:rsid w:val="00637434"/>
    <w:rsid w:val="0063785D"/>
    <w:rsid w:val="0064055F"/>
    <w:rsid w:val="0064076F"/>
    <w:rsid w:val="00640CA8"/>
    <w:rsid w:val="006418E5"/>
    <w:rsid w:val="006421EA"/>
    <w:rsid w:val="00642772"/>
    <w:rsid w:val="00642ED3"/>
    <w:rsid w:val="006431C8"/>
    <w:rsid w:val="006439AE"/>
    <w:rsid w:val="006441C1"/>
    <w:rsid w:val="006446BC"/>
    <w:rsid w:val="0064578A"/>
    <w:rsid w:val="00645953"/>
    <w:rsid w:val="00646614"/>
    <w:rsid w:val="00646BC6"/>
    <w:rsid w:val="00646CCC"/>
    <w:rsid w:val="00646D03"/>
    <w:rsid w:val="00650445"/>
    <w:rsid w:val="00651109"/>
    <w:rsid w:val="006517A0"/>
    <w:rsid w:val="00651A1C"/>
    <w:rsid w:val="006536AF"/>
    <w:rsid w:val="00654230"/>
    <w:rsid w:val="00655371"/>
    <w:rsid w:val="00655DFD"/>
    <w:rsid w:val="006562D8"/>
    <w:rsid w:val="00656B2E"/>
    <w:rsid w:val="00656B88"/>
    <w:rsid w:val="00657332"/>
    <w:rsid w:val="00657C33"/>
    <w:rsid w:val="006605F9"/>
    <w:rsid w:val="00660999"/>
    <w:rsid w:val="00660BC7"/>
    <w:rsid w:val="00661E42"/>
    <w:rsid w:val="006620E0"/>
    <w:rsid w:val="006630BE"/>
    <w:rsid w:val="00664805"/>
    <w:rsid w:val="00664B10"/>
    <w:rsid w:val="00664E88"/>
    <w:rsid w:val="006650D3"/>
    <w:rsid w:val="006653B3"/>
    <w:rsid w:val="006654A9"/>
    <w:rsid w:val="006667E1"/>
    <w:rsid w:val="00670317"/>
    <w:rsid w:val="0067093E"/>
    <w:rsid w:val="006713AB"/>
    <w:rsid w:val="00671976"/>
    <w:rsid w:val="00672890"/>
    <w:rsid w:val="00672B19"/>
    <w:rsid w:val="00673B1C"/>
    <w:rsid w:val="00674A59"/>
    <w:rsid w:val="00674C74"/>
    <w:rsid w:val="00675260"/>
    <w:rsid w:val="00675350"/>
    <w:rsid w:val="0067650E"/>
    <w:rsid w:val="00676E14"/>
    <w:rsid w:val="00676F2E"/>
    <w:rsid w:val="00677896"/>
    <w:rsid w:val="00677AAE"/>
    <w:rsid w:val="00677ABE"/>
    <w:rsid w:val="00677DB8"/>
    <w:rsid w:val="00680FCC"/>
    <w:rsid w:val="006811FF"/>
    <w:rsid w:val="00681B16"/>
    <w:rsid w:val="00681BF8"/>
    <w:rsid w:val="00681E6F"/>
    <w:rsid w:val="00682287"/>
    <w:rsid w:val="006822B5"/>
    <w:rsid w:val="00683102"/>
    <w:rsid w:val="0068317C"/>
    <w:rsid w:val="006832D6"/>
    <w:rsid w:val="00683CE9"/>
    <w:rsid w:val="006841BF"/>
    <w:rsid w:val="006845A4"/>
    <w:rsid w:val="00684DB1"/>
    <w:rsid w:val="006872CF"/>
    <w:rsid w:val="00687FB6"/>
    <w:rsid w:val="006914EA"/>
    <w:rsid w:val="00691B91"/>
    <w:rsid w:val="006925DD"/>
    <w:rsid w:val="006928AC"/>
    <w:rsid w:val="00692BB2"/>
    <w:rsid w:val="00692BFF"/>
    <w:rsid w:val="00693091"/>
    <w:rsid w:val="0069401A"/>
    <w:rsid w:val="006948AC"/>
    <w:rsid w:val="00694D39"/>
    <w:rsid w:val="006953CA"/>
    <w:rsid w:val="006954EC"/>
    <w:rsid w:val="006959D6"/>
    <w:rsid w:val="00695EC8"/>
    <w:rsid w:val="00696909"/>
    <w:rsid w:val="00697114"/>
    <w:rsid w:val="00697BC6"/>
    <w:rsid w:val="006A1B84"/>
    <w:rsid w:val="006A1FEF"/>
    <w:rsid w:val="006A27C2"/>
    <w:rsid w:val="006A2EBD"/>
    <w:rsid w:val="006A3009"/>
    <w:rsid w:val="006A3E7B"/>
    <w:rsid w:val="006A4D9B"/>
    <w:rsid w:val="006A6950"/>
    <w:rsid w:val="006A7210"/>
    <w:rsid w:val="006A757D"/>
    <w:rsid w:val="006A7B32"/>
    <w:rsid w:val="006B002A"/>
    <w:rsid w:val="006B130C"/>
    <w:rsid w:val="006B15F2"/>
    <w:rsid w:val="006B28B5"/>
    <w:rsid w:val="006B32C8"/>
    <w:rsid w:val="006B3A46"/>
    <w:rsid w:val="006B5301"/>
    <w:rsid w:val="006B698B"/>
    <w:rsid w:val="006B7C2C"/>
    <w:rsid w:val="006C1A19"/>
    <w:rsid w:val="006C221E"/>
    <w:rsid w:val="006C376B"/>
    <w:rsid w:val="006C4319"/>
    <w:rsid w:val="006C440B"/>
    <w:rsid w:val="006C453C"/>
    <w:rsid w:val="006C45C7"/>
    <w:rsid w:val="006C4881"/>
    <w:rsid w:val="006C4BC0"/>
    <w:rsid w:val="006C50E7"/>
    <w:rsid w:val="006C5C73"/>
    <w:rsid w:val="006C5DC3"/>
    <w:rsid w:val="006C616B"/>
    <w:rsid w:val="006C63FB"/>
    <w:rsid w:val="006C6D72"/>
    <w:rsid w:val="006D0115"/>
    <w:rsid w:val="006D0279"/>
    <w:rsid w:val="006D03DF"/>
    <w:rsid w:val="006D1327"/>
    <w:rsid w:val="006D1F03"/>
    <w:rsid w:val="006D1F8F"/>
    <w:rsid w:val="006D2971"/>
    <w:rsid w:val="006D2E24"/>
    <w:rsid w:val="006D38EB"/>
    <w:rsid w:val="006D4A4A"/>
    <w:rsid w:val="006D4ADB"/>
    <w:rsid w:val="006D4D36"/>
    <w:rsid w:val="006D6E79"/>
    <w:rsid w:val="006E017B"/>
    <w:rsid w:val="006E06A9"/>
    <w:rsid w:val="006E0888"/>
    <w:rsid w:val="006E097F"/>
    <w:rsid w:val="006E0E4A"/>
    <w:rsid w:val="006E1778"/>
    <w:rsid w:val="006E17B0"/>
    <w:rsid w:val="006E1A8C"/>
    <w:rsid w:val="006E2595"/>
    <w:rsid w:val="006E2694"/>
    <w:rsid w:val="006E2A1F"/>
    <w:rsid w:val="006E2A78"/>
    <w:rsid w:val="006E5500"/>
    <w:rsid w:val="006E58AF"/>
    <w:rsid w:val="006E5D0E"/>
    <w:rsid w:val="006E6261"/>
    <w:rsid w:val="006E65F8"/>
    <w:rsid w:val="006E6A69"/>
    <w:rsid w:val="006E6AC7"/>
    <w:rsid w:val="006E6B4F"/>
    <w:rsid w:val="006E6DD4"/>
    <w:rsid w:val="006E73BA"/>
    <w:rsid w:val="006E7651"/>
    <w:rsid w:val="006E7C40"/>
    <w:rsid w:val="006E7F60"/>
    <w:rsid w:val="006F0181"/>
    <w:rsid w:val="006F03E3"/>
    <w:rsid w:val="006F0660"/>
    <w:rsid w:val="006F0A1F"/>
    <w:rsid w:val="006F0EA8"/>
    <w:rsid w:val="006F0F5F"/>
    <w:rsid w:val="006F150D"/>
    <w:rsid w:val="006F26F3"/>
    <w:rsid w:val="006F2CF3"/>
    <w:rsid w:val="006F3059"/>
    <w:rsid w:val="006F3A64"/>
    <w:rsid w:val="006F5987"/>
    <w:rsid w:val="006F5F1A"/>
    <w:rsid w:val="006F6C67"/>
    <w:rsid w:val="006F6EB9"/>
    <w:rsid w:val="006F7078"/>
    <w:rsid w:val="00700222"/>
    <w:rsid w:val="007002FB"/>
    <w:rsid w:val="0070040B"/>
    <w:rsid w:val="007008C7"/>
    <w:rsid w:val="007008D0"/>
    <w:rsid w:val="00701188"/>
    <w:rsid w:val="0070137E"/>
    <w:rsid w:val="0070287D"/>
    <w:rsid w:val="00702DB9"/>
    <w:rsid w:val="00702E2E"/>
    <w:rsid w:val="00703F39"/>
    <w:rsid w:val="0070554F"/>
    <w:rsid w:val="00705942"/>
    <w:rsid w:val="00705AB2"/>
    <w:rsid w:val="0070619A"/>
    <w:rsid w:val="0070678A"/>
    <w:rsid w:val="00707173"/>
    <w:rsid w:val="007072F0"/>
    <w:rsid w:val="00707607"/>
    <w:rsid w:val="0071055F"/>
    <w:rsid w:val="0071095F"/>
    <w:rsid w:val="007118EB"/>
    <w:rsid w:val="00712C57"/>
    <w:rsid w:val="007136CC"/>
    <w:rsid w:val="00713902"/>
    <w:rsid w:val="00713B9A"/>
    <w:rsid w:val="00714281"/>
    <w:rsid w:val="00714BEF"/>
    <w:rsid w:val="007157C8"/>
    <w:rsid w:val="007161CE"/>
    <w:rsid w:val="00716B38"/>
    <w:rsid w:val="00717EE2"/>
    <w:rsid w:val="007206D3"/>
    <w:rsid w:val="00721BEF"/>
    <w:rsid w:val="00722055"/>
    <w:rsid w:val="007228F2"/>
    <w:rsid w:val="00722C23"/>
    <w:rsid w:val="007246ED"/>
    <w:rsid w:val="0072578A"/>
    <w:rsid w:val="00725A8D"/>
    <w:rsid w:val="00727851"/>
    <w:rsid w:val="00727B18"/>
    <w:rsid w:val="00727FA5"/>
    <w:rsid w:val="007314A9"/>
    <w:rsid w:val="007318E5"/>
    <w:rsid w:val="00731984"/>
    <w:rsid w:val="00733157"/>
    <w:rsid w:val="007333F4"/>
    <w:rsid w:val="00733EE3"/>
    <w:rsid w:val="00733F89"/>
    <w:rsid w:val="00734A03"/>
    <w:rsid w:val="007372F4"/>
    <w:rsid w:val="00737FDC"/>
    <w:rsid w:val="007400AC"/>
    <w:rsid w:val="007406F0"/>
    <w:rsid w:val="0074189A"/>
    <w:rsid w:val="00741BAA"/>
    <w:rsid w:val="00741E2A"/>
    <w:rsid w:val="007421DB"/>
    <w:rsid w:val="0074274E"/>
    <w:rsid w:val="00744BA5"/>
    <w:rsid w:val="0074528C"/>
    <w:rsid w:val="00745567"/>
    <w:rsid w:val="00745D02"/>
    <w:rsid w:val="00745D65"/>
    <w:rsid w:val="00745F54"/>
    <w:rsid w:val="007461D4"/>
    <w:rsid w:val="007463A4"/>
    <w:rsid w:val="00746C32"/>
    <w:rsid w:val="007473EE"/>
    <w:rsid w:val="00747802"/>
    <w:rsid w:val="00747E9F"/>
    <w:rsid w:val="00747F86"/>
    <w:rsid w:val="00750184"/>
    <w:rsid w:val="007520CE"/>
    <w:rsid w:val="00752414"/>
    <w:rsid w:val="00752573"/>
    <w:rsid w:val="00752A09"/>
    <w:rsid w:val="007548EC"/>
    <w:rsid w:val="00754B63"/>
    <w:rsid w:val="00756180"/>
    <w:rsid w:val="00756636"/>
    <w:rsid w:val="007566F3"/>
    <w:rsid w:val="00756BC6"/>
    <w:rsid w:val="00756F23"/>
    <w:rsid w:val="00757736"/>
    <w:rsid w:val="00757BB3"/>
    <w:rsid w:val="00760777"/>
    <w:rsid w:val="00762B3F"/>
    <w:rsid w:val="00762B7E"/>
    <w:rsid w:val="007637A9"/>
    <w:rsid w:val="00763B8B"/>
    <w:rsid w:val="0076417B"/>
    <w:rsid w:val="00764C92"/>
    <w:rsid w:val="007651DB"/>
    <w:rsid w:val="0076552A"/>
    <w:rsid w:val="007674EC"/>
    <w:rsid w:val="007675BE"/>
    <w:rsid w:val="0077012E"/>
    <w:rsid w:val="00770158"/>
    <w:rsid w:val="00770B56"/>
    <w:rsid w:val="00770EC4"/>
    <w:rsid w:val="007710A5"/>
    <w:rsid w:val="007717BF"/>
    <w:rsid w:val="0077225D"/>
    <w:rsid w:val="00772E28"/>
    <w:rsid w:val="007734C9"/>
    <w:rsid w:val="00773560"/>
    <w:rsid w:val="007736D0"/>
    <w:rsid w:val="007737B8"/>
    <w:rsid w:val="0077463A"/>
    <w:rsid w:val="007747D1"/>
    <w:rsid w:val="00776341"/>
    <w:rsid w:val="007767C3"/>
    <w:rsid w:val="00776BC9"/>
    <w:rsid w:val="00777325"/>
    <w:rsid w:val="0077786E"/>
    <w:rsid w:val="00777E53"/>
    <w:rsid w:val="007801E4"/>
    <w:rsid w:val="00780A67"/>
    <w:rsid w:val="00780A9A"/>
    <w:rsid w:val="00780AC7"/>
    <w:rsid w:val="00781105"/>
    <w:rsid w:val="007816AC"/>
    <w:rsid w:val="007817D3"/>
    <w:rsid w:val="0078183C"/>
    <w:rsid w:val="00781D05"/>
    <w:rsid w:val="007823ED"/>
    <w:rsid w:val="007838C6"/>
    <w:rsid w:val="007839AA"/>
    <w:rsid w:val="00783C5E"/>
    <w:rsid w:val="00784784"/>
    <w:rsid w:val="0078491B"/>
    <w:rsid w:val="00784D14"/>
    <w:rsid w:val="00784F1D"/>
    <w:rsid w:val="0078588F"/>
    <w:rsid w:val="00787636"/>
    <w:rsid w:val="00787B5A"/>
    <w:rsid w:val="007906B4"/>
    <w:rsid w:val="007916AA"/>
    <w:rsid w:val="007919DB"/>
    <w:rsid w:val="00791A91"/>
    <w:rsid w:val="007929EE"/>
    <w:rsid w:val="00792B92"/>
    <w:rsid w:val="00792E68"/>
    <w:rsid w:val="007930CD"/>
    <w:rsid w:val="00793F64"/>
    <w:rsid w:val="0079532A"/>
    <w:rsid w:val="00795D00"/>
    <w:rsid w:val="0079678C"/>
    <w:rsid w:val="00796F83"/>
    <w:rsid w:val="007972C6"/>
    <w:rsid w:val="00797CE7"/>
    <w:rsid w:val="007A0950"/>
    <w:rsid w:val="007A2176"/>
    <w:rsid w:val="007A2429"/>
    <w:rsid w:val="007A27C4"/>
    <w:rsid w:val="007A34D9"/>
    <w:rsid w:val="007A3771"/>
    <w:rsid w:val="007A39B7"/>
    <w:rsid w:val="007A3A5D"/>
    <w:rsid w:val="007A41EC"/>
    <w:rsid w:val="007A5446"/>
    <w:rsid w:val="007A5863"/>
    <w:rsid w:val="007A5F29"/>
    <w:rsid w:val="007A6883"/>
    <w:rsid w:val="007A6D85"/>
    <w:rsid w:val="007A6E92"/>
    <w:rsid w:val="007A7F00"/>
    <w:rsid w:val="007B06CC"/>
    <w:rsid w:val="007B1015"/>
    <w:rsid w:val="007B1A5C"/>
    <w:rsid w:val="007B3AB0"/>
    <w:rsid w:val="007B4168"/>
    <w:rsid w:val="007B433E"/>
    <w:rsid w:val="007B4AB9"/>
    <w:rsid w:val="007B5BF6"/>
    <w:rsid w:val="007B5C2D"/>
    <w:rsid w:val="007B7058"/>
    <w:rsid w:val="007B74E0"/>
    <w:rsid w:val="007B77EC"/>
    <w:rsid w:val="007B785D"/>
    <w:rsid w:val="007B7B20"/>
    <w:rsid w:val="007C164A"/>
    <w:rsid w:val="007C236F"/>
    <w:rsid w:val="007C2738"/>
    <w:rsid w:val="007C2746"/>
    <w:rsid w:val="007C2BCF"/>
    <w:rsid w:val="007C3645"/>
    <w:rsid w:val="007C429E"/>
    <w:rsid w:val="007C445E"/>
    <w:rsid w:val="007C4B10"/>
    <w:rsid w:val="007C56A9"/>
    <w:rsid w:val="007C5785"/>
    <w:rsid w:val="007C627E"/>
    <w:rsid w:val="007C6C74"/>
    <w:rsid w:val="007C76C8"/>
    <w:rsid w:val="007D03D2"/>
    <w:rsid w:val="007D0A66"/>
    <w:rsid w:val="007D27D9"/>
    <w:rsid w:val="007D2842"/>
    <w:rsid w:val="007D3061"/>
    <w:rsid w:val="007D376D"/>
    <w:rsid w:val="007D3BA1"/>
    <w:rsid w:val="007D401F"/>
    <w:rsid w:val="007D4F2C"/>
    <w:rsid w:val="007D5151"/>
    <w:rsid w:val="007D7383"/>
    <w:rsid w:val="007D7E2A"/>
    <w:rsid w:val="007E1113"/>
    <w:rsid w:val="007E155F"/>
    <w:rsid w:val="007E1BDD"/>
    <w:rsid w:val="007E20BA"/>
    <w:rsid w:val="007E28AC"/>
    <w:rsid w:val="007E2928"/>
    <w:rsid w:val="007E2C07"/>
    <w:rsid w:val="007E3350"/>
    <w:rsid w:val="007E3ABE"/>
    <w:rsid w:val="007E455D"/>
    <w:rsid w:val="007E467A"/>
    <w:rsid w:val="007E51A5"/>
    <w:rsid w:val="007E5E3C"/>
    <w:rsid w:val="007E65BE"/>
    <w:rsid w:val="007E69AB"/>
    <w:rsid w:val="007E6BB3"/>
    <w:rsid w:val="007F042F"/>
    <w:rsid w:val="007F081A"/>
    <w:rsid w:val="007F0A0A"/>
    <w:rsid w:val="007F1727"/>
    <w:rsid w:val="007F1B48"/>
    <w:rsid w:val="007F1D70"/>
    <w:rsid w:val="007F1E8C"/>
    <w:rsid w:val="007F2464"/>
    <w:rsid w:val="007F248C"/>
    <w:rsid w:val="007F3C2C"/>
    <w:rsid w:val="007F441B"/>
    <w:rsid w:val="007F5555"/>
    <w:rsid w:val="007F5AD1"/>
    <w:rsid w:val="007F5EF6"/>
    <w:rsid w:val="007F6A57"/>
    <w:rsid w:val="007F6BBF"/>
    <w:rsid w:val="007F6EAA"/>
    <w:rsid w:val="007F782D"/>
    <w:rsid w:val="00800136"/>
    <w:rsid w:val="00800575"/>
    <w:rsid w:val="00801CCA"/>
    <w:rsid w:val="00802783"/>
    <w:rsid w:val="0080290B"/>
    <w:rsid w:val="0080417F"/>
    <w:rsid w:val="008043A1"/>
    <w:rsid w:val="008045E4"/>
    <w:rsid w:val="008051C9"/>
    <w:rsid w:val="00806D25"/>
    <w:rsid w:val="008110DA"/>
    <w:rsid w:val="0081135B"/>
    <w:rsid w:val="00812EDE"/>
    <w:rsid w:val="0081304C"/>
    <w:rsid w:val="00813373"/>
    <w:rsid w:val="0081353E"/>
    <w:rsid w:val="00814CE6"/>
    <w:rsid w:val="00814F17"/>
    <w:rsid w:val="0081696A"/>
    <w:rsid w:val="00816EBB"/>
    <w:rsid w:val="008170CE"/>
    <w:rsid w:val="00817642"/>
    <w:rsid w:val="00821C08"/>
    <w:rsid w:val="00821D78"/>
    <w:rsid w:val="0082313D"/>
    <w:rsid w:val="00823153"/>
    <w:rsid w:val="008235A6"/>
    <w:rsid w:val="00823718"/>
    <w:rsid w:val="008240B3"/>
    <w:rsid w:val="00824186"/>
    <w:rsid w:val="008248CE"/>
    <w:rsid w:val="00826265"/>
    <w:rsid w:val="00826288"/>
    <w:rsid w:val="00826980"/>
    <w:rsid w:val="008277D5"/>
    <w:rsid w:val="008303D2"/>
    <w:rsid w:val="008313D1"/>
    <w:rsid w:val="008325BF"/>
    <w:rsid w:val="00832658"/>
    <w:rsid w:val="00832E14"/>
    <w:rsid w:val="00833150"/>
    <w:rsid w:val="00834231"/>
    <w:rsid w:val="008344B3"/>
    <w:rsid w:val="00834CEE"/>
    <w:rsid w:val="00834EA0"/>
    <w:rsid w:val="00835CAA"/>
    <w:rsid w:val="00836163"/>
    <w:rsid w:val="008368B9"/>
    <w:rsid w:val="008368E9"/>
    <w:rsid w:val="00837134"/>
    <w:rsid w:val="0083735B"/>
    <w:rsid w:val="0083787C"/>
    <w:rsid w:val="008378CA"/>
    <w:rsid w:val="00840131"/>
    <w:rsid w:val="008403BF"/>
    <w:rsid w:val="00840A7D"/>
    <w:rsid w:val="00841D48"/>
    <w:rsid w:val="00842CE2"/>
    <w:rsid w:val="0084355E"/>
    <w:rsid w:val="008439AB"/>
    <w:rsid w:val="00844042"/>
    <w:rsid w:val="008447D4"/>
    <w:rsid w:val="008464F6"/>
    <w:rsid w:val="00846FC6"/>
    <w:rsid w:val="0084736E"/>
    <w:rsid w:val="00847BDD"/>
    <w:rsid w:val="0085093E"/>
    <w:rsid w:val="00851BBA"/>
    <w:rsid w:val="0085254F"/>
    <w:rsid w:val="00852DE2"/>
    <w:rsid w:val="008540D0"/>
    <w:rsid w:val="00854918"/>
    <w:rsid w:val="008553AA"/>
    <w:rsid w:val="00855BAE"/>
    <w:rsid w:val="00856DFA"/>
    <w:rsid w:val="00857B23"/>
    <w:rsid w:val="0086027E"/>
    <w:rsid w:val="008603B7"/>
    <w:rsid w:val="00861681"/>
    <w:rsid w:val="00861B04"/>
    <w:rsid w:val="00863552"/>
    <w:rsid w:val="00863A44"/>
    <w:rsid w:val="00864042"/>
    <w:rsid w:val="00864B06"/>
    <w:rsid w:val="00865BC3"/>
    <w:rsid w:val="0086628D"/>
    <w:rsid w:val="008662A7"/>
    <w:rsid w:val="0086762E"/>
    <w:rsid w:val="00867691"/>
    <w:rsid w:val="00867E3B"/>
    <w:rsid w:val="00870161"/>
    <w:rsid w:val="00870708"/>
    <w:rsid w:val="00870782"/>
    <w:rsid w:val="008707B8"/>
    <w:rsid w:val="00871C82"/>
    <w:rsid w:val="008723AE"/>
    <w:rsid w:val="008726D6"/>
    <w:rsid w:val="008732ED"/>
    <w:rsid w:val="008733D7"/>
    <w:rsid w:val="008737F3"/>
    <w:rsid w:val="00873938"/>
    <w:rsid w:val="00873A79"/>
    <w:rsid w:val="00874D4F"/>
    <w:rsid w:val="00874DFA"/>
    <w:rsid w:val="008755B8"/>
    <w:rsid w:val="00875AAC"/>
    <w:rsid w:val="00875D0E"/>
    <w:rsid w:val="00875EFD"/>
    <w:rsid w:val="00876641"/>
    <w:rsid w:val="008771EE"/>
    <w:rsid w:val="0087737B"/>
    <w:rsid w:val="00877D5F"/>
    <w:rsid w:val="00880E16"/>
    <w:rsid w:val="00880F2B"/>
    <w:rsid w:val="00881330"/>
    <w:rsid w:val="008817D2"/>
    <w:rsid w:val="00881C8C"/>
    <w:rsid w:val="00882464"/>
    <w:rsid w:val="00882833"/>
    <w:rsid w:val="00882FC1"/>
    <w:rsid w:val="00883CEE"/>
    <w:rsid w:val="00883D25"/>
    <w:rsid w:val="00884A53"/>
    <w:rsid w:val="0088507D"/>
    <w:rsid w:val="008853ED"/>
    <w:rsid w:val="0088545D"/>
    <w:rsid w:val="00885EAC"/>
    <w:rsid w:val="00885F21"/>
    <w:rsid w:val="008860D2"/>
    <w:rsid w:val="0088628D"/>
    <w:rsid w:val="008863A2"/>
    <w:rsid w:val="00887DF6"/>
    <w:rsid w:val="00890810"/>
    <w:rsid w:val="00890C62"/>
    <w:rsid w:val="00891E31"/>
    <w:rsid w:val="00892ADB"/>
    <w:rsid w:val="008933B8"/>
    <w:rsid w:val="0089360E"/>
    <w:rsid w:val="00893671"/>
    <w:rsid w:val="00893ACE"/>
    <w:rsid w:val="00893D30"/>
    <w:rsid w:val="00894B07"/>
    <w:rsid w:val="00894D05"/>
    <w:rsid w:val="00894EE4"/>
    <w:rsid w:val="0089507F"/>
    <w:rsid w:val="00896C03"/>
    <w:rsid w:val="00896EFD"/>
    <w:rsid w:val="008974FE"/>
    <w:rsid w:val="00897F5D"/>
    <w:rsid w:val="008A01B8"/>
    <w:rsid w:val="008A0F38"/>
    <w:rsid w:val="008A1BF8"/>
    <w:rsid w:val="008A1E13"/>
    <w:rsid w:val="008A353B"/>
    <w:rsid w:val="008A54E7"/>
    <w:rsid w:val="008A5BDF"/>
    <w:rsid w:val="008A6A26"/>
    <w:rsid w:val="008A6BAF"/>
    <w:rsid w:val="008A6F28"/>
    <w:rsid w:val="008A7640"/>
    <w:rsid w:val="008A79A1"/>
    <w:rsid w:val="008B08A8"/>
    <w:rsid w:val="008B0934"/>
    <w:rsid w:val="008B09E4"/>
    <w:rsid w:val="008B0B15"/>
    <w:rsid w:val="008B10CB"/>
    <w:rsid w:val="008B17E9"/>
    <w:rsid w:val="008B1BA0"/>
    <w:rsid w:val="008B1E15"/>
    <w:rsid w:val="008B1E21"/>
    <w:rsid w:val="008B1FA5"/>
    <w:rsid w:val="008B2BA3"/>
    <w:rsid w:val="008B3133"/>
    <w:rsid w:val="008B33AC"/>
    <w:rsid w:val="008B3900"/>
    <w:rsid w:val="008B3CB6"/>
    <w:rsid w:val="008B4B66"/>
    <w:rsid w:val="008B562D"/>
    <w:rsid w:val="008B643D"/>
    <w:rsid w:val="008B69BE"/>
    <w:rsid w:val="008B6CA7"/>
    <w:rsid w:val="008B7868"/>
    <w:rsid w:val="008B7DFC"/>
    <w:rsid w:val="008C021D"/>
    <w:rsid w:val="008C0654"/>
    <w:rsid w:val="008C0853"/>
    <w:rsid w:val="008C3975"/>
    <w:rsid w:val="008C47BA"/>
    <w:rsid w:val="008C5185"/>
    <w:rsid w:val="008C55EB"/>
    <w:rsid w:val="008C67E5"/>
    <w:rsid w:val="008C6C0B"/>
    <w:rsid w:val="008C73C3"/>
    <w:rsid w:val="008C766F"/>
    <w:rsid w:val="008D0819"/>
    <w:rsid w:val="008D0859"/>
    <w:rsid w:val="008D14CF"/>
    <w:rsid w:val="008D2081"/>
    <w:rsid w:val="008D297A"/>
    <w:rsid w:val="008D2B08"/>
    <w:rsid w:val="008D35B1"/>
    <w:rsid w:val="008D4205"/>
    <w:rsid w:val="008D49C9"/>
    <w:rsid w:val="008D6020"/>
    <w:rsid w:val="008D63E9"/>
    <w:rsid w:val="008D6BBC"/>
    <w:rsid w:val="008D7455"/>
    <w:rsid w:val="008D74D0"/>
    <w:rsid w:val="008D74EB"/>
    <w:rsid w:val="008D7BCB"/>
    <w:rsid w:val="008E0C42"/>
    <w:rsid w:val="008E1494"/>
    <w:rsid w:val="008E15EA"/>
    <w:rsid w:val="008E1B5A"/>
    <w:rsid w:val="008E2F74"/>
    <w:rsid w:val="008E3532"/>
    <w:rsid w:val="008E3E3E"/>
    <w:rsid w:val="008E4681"/>
    <w:rsid w:val="008E5216"/>
    <w:rsid w:val="008E68A7"/>
    <w:rsid w:val="008E728C"/>
    <w:rsid w:val="008E7327"/>
    <w:rsid w:val="008E78BF"/>
    <w:rsid w:val="008F03CC"/>
    <w:rsid w:val="008F087E"/>
    <w:rsid w:val="008F189D"/>
    <w:rsid w:val="008F1B54"/>
    <w:rsid w:val="008F255D"/>
    <w:rsid w:val="008F2853"/>
    <w:rsid w:val="008F2EDB"/>
    <w:rsid w:val="008F3209"/>
    <w:rsid w:val="008F3A03"/>
    <w:rsid w:val="008F3FDD"/>
    <w:rsid w:val="008F702F"/>
    <w:rsid w:val="008F70E1"/>
    <w:rsid w:val="008F735D"/>
    <w:rsid w:val="008F78C0"/>
    <w:rsid w:val="009012A5"/>
    <w:rsid w:val="00901A8A"/>
    <w:rsid w:val="0090208D"/>
    <w:rsid w:val="009024C4"/>
    <w:rsid w:val="009029DE"/>
    <w:rsid w:val="0090316E"/>
    <w:rsid w:val="009032CC"/>
    <w:rsid w:val="0090353B"/>
    <w:rsid w:val="009040EB"/>
    <w:rsid w:val="009045E3"/>
    <w:rsid w:val="00905267"/>
    <w:rsid w:val="0090627F"/>
    <w:rsid w:val="0090766A"/>
    <w:rsid w:val="00907B64"/>
    <w:rsid w:val="009101A1"/>
    <w:rsid w:val="0091055F"/>
    <w:rsid w:val="009115D6"/>
    <w:rsid w:val="00912AAC"/>
    <w:rsid w:val="00913442"/>
    <w:rsid w:val="00913CB2"/>
    <w:rsid w:val="00913E0F"/>
    <w:rsid w:val="00915D22"/>
    <w:rsid w:val="00915ECE"/>
    <w:rsid w:val="0091610D"/>
    <w:rsid w:val="009163AD"/>
    <w:rsid w:val="009166B8"/>
    <w:rsid w:val="00916B30"/>
    <w:rsid w:val="00916EFB"/>
    <w:rsid w:val="009201EE"/>
    <w:rsid w:val="009209BD"/>
    <w:rsid w:val="009212C2"/>
    <w:rsid w:val="00921361"/>
    <w:rsid w:val="0092191C"/>
    <w:rsid w:val="00922464"/>
    <w:rsid w:val="00922D98"/>
    <w:rsid w:val="00923600"/>
    <w:rsid w:val="0092394D"/>
    <w:rsid w:val="00923AB8"/>
    <w:rsid w:val="00923AC1"/>
    <w:rsid w:val="00923BAC"/>
    <w:rsid w:val="00923E46"/>
    <w:rsid w:val="00923E7D"/>
    <w:rsid w:val="00925FA1"/>
    <w:rsid w:val="00926019"/>
    <w:rsid w:val="00926A42"/>
    <w:rsid w:val="0092700E"/>
    <w:rsid w:val="009276B1"/>
    <w:rsid w:val="009301AE"/>
    <w:rsid w:val="0093039C"/>
    <w:rsid w:val="00930F58"/>
    <w:rsid w:val="00932182"/>
    <w:rsid w:val="00932A54"/>
    <w:rsid w:val="00932C21"/>
    <w:rsid w:val="00933057"/>
    <w:rsid w:val="009333DA"/>
    <w:rsid w:val="0093379B"/>
    <w:rsid w:val="00933B5D"/>
    <w:rsid w:val="00933BE8"/>
    <w:rsid w:val="00933C65"/>
    <w:rsid w:val="00933CA9"/>
    <w:rsid w:val="00934CDB"/>
    <w:rsid w:val="00935728"/>
    <w:rsid w:val="00936B38"/>
    <w:rsid w:val="00936B7E"/>
    <w:rsid w:val="00937046"/>
    <w:rsid w:val="009370FF"/>
    <w:rsid w:val="009375FD"/>
    <w:rsid w:val="00937911"/>
    <w:rsid w:val="00941CE3"/>
    <w:rsid w:val="00942B91"/>
    <w:rsid w:val="00943A37"/>
    <w:rsid w:val="00944258"/>
    <w:rsid w:val="00944518"/>
    <w:rsid w:val="00944F09"/>
    <w:rsid w:val="0094537C"/>
    <w:rsid w:val="00945899"/>
    <w:rsid w:val="009460D9"/>
    <w:rsid w:val="00946B3E"/>
    <w:rsid w:val="00946D21"/>
    <w:rsid w:val="009474A0"/>
    <w:rsid w:val="00947B58"/>
    <w:rsid w:val="00947ECA"/>
    <w:rsid w:val="00950865"/>
    <w:rsid w:val="00950C35"/>
    <w:rsid w:val="00951444"/>
    <w:rsid w:val="00951816"/>
    <w:rsid w:val="0095273E"/>
    <w:rsid w:val="00952C40"/>
    <w:rsid w:val="00953589"/>
    <w:rsid w:val="009535F6"/>
    <w:rsid w:val="00953A15"/>
    <w:rsid w:val="00954DB3"/>
    <w:rsid w:val="00955755"/>
    <w:rsid w:val="00956091"/>
    <w:rsid w:val="009564B0"/>
    <w:rsid w:val="00957D5A"/>
    <w:rsid w:val="0096023A"/>
    <w:rsid w:val="009602F2"/>
    <w:rsid w:val="0096059E"/>
    <w:rsid w:val="00960F4B"/>
    <w:rsid w:val="0096139B"/>
    <w:rsid w:val="00961AFF"/>
    <w:rsid w:val="009634B8"/>
    <w:rsid w:val="0096394B"/>
    <w:rsid w:val="00963ED8"/>
    <w:rsid w:val="009640D3"/>
    <w:rsid w:val="00964D5A"/>
    <w:rsid w:val="00965C2C"/>
    <w:rsid w:val="00966078"/>
    <w:rsid w:val="00966CA6"/>
    <w:rsid w:val="00970C34"/>
    <w:rsid w:val="0097102C"/>
    <w:rsid w:val="00972702"/>
    <w:rsid w:val="0097275B"/>
    <w:rsid w:val="0097285E"/>
    <w:rsid w:val="00972ED7"/>
    <w:rsid w:val="00973519"/>
    <w:rsid w:val="00973A11"/>
    <w:rsid w:val="0097578C"/>
    <w:rsid w:val="0097581D"/>
    <w:rsid w:val="00975B95"/>
    <w:rsid w:val="00976CE7"/>
    <w:rsid w:val="00976F30"/>
    <w:rsid w:val="00976F92"/>
    <w:rsid w:val="00977563"/>
    <w:rsid w:val="00977A76"/>
    <w:rsid w:val="00980019"/>
    <w:rsid w:val="009804CB"/>
    <w:rsid w:val="009806F1"/>
    <w:rsid w:val="009811F7"/>
    <w:rsid w:val="0098199C"/>
    <w:rsid w:val="00982F14"/>
    <w:rsid w:val="00983CFE"/>
    <w:rsid w:val="009842DC"/>
    <w:rsid w:val="0098438F"/>
    <w:rsid w:val="00984EEA"/>
    <w:rsid w:val="00984FC0"/>
    <w:rsid w:val="0098554F"/>
    <w:rsid w:val="009855AE"/>
    <w:rsid w:val="00985667"/>
    <w:rsid w:val="00986287"/>
    <w:rsid w:val="009875FA"/>
    <w:rsid w:val="0098764F"/>
    <w:rsid w:val="0098784D"/>
    <w:rsid w:val="009878CD"/>
    <w:rsid w:val="00987C93"/>
    <w:rsid w:val="00987E21"/>
    <w:rsid w:val="00987EA5"/>
    <w:rsid w:val="0099023B"/>
    <w:rsid w:val="009909C3"/>
    <w:rsid w:val="00991216"/>
    <w:rsid w:val="00991349"/>
    <w:rsid w:val="00991354"/>
    <w:rsid w:val="009913D2"/>
    <w:rsid w:val="00991A65"/>
    <w:rsid w:val="00992415"/>
    <w:rsid w:val="009924AE"/>
    <w:rsid w:val="009934BD"/>
    <w:rsid w:val="009935C1"/>
    <w:rsid w:val="00993943"/>
    <w:rsid w:val="00993F01"/>
    <w:rsid w:val="00994035"/>
    <w:rsid w:val="0099441A"/>
    <w:rsid w:val="0099476D"/>
    <w:rsid w:val="009960CC"/>
    <w:rsid w:val="00996724"/>
    <w:rsid w:val="00996779"/>
    <w:rsid w:val="009A0607"/>
    <w:rsid w:val="009A357E"/>
    <w:rsid w:val="009A368D"/>
    <w:rsid w:val="009A3D96"/>
    <w:rsid w:val="009A3E02"/>
    <w:rsid w:val="009A4829"/>
    <w:rsid w:val="009A4ACF"/>
    <w:rsid w:val="009A621B"/>
    <w:rsid w:val="009A6ECD"/>
    <w:rsid w:val="009A6EFC"/>
    <w:rsid w:val="009A7E33"/>
    <w:rsid w:val="009B0780"/>
    <w:rsid w:val="009B11D0"/>
    <w:rsid w:val="009B13CF"/>
    <w:rsid w:val="009B16B7"/>
    <w:rsid w:val="009B21D3"/>
    <w:rsid w:val="009B2D7F"/>
    <w:rsid w:val="009B2E9F"/>
    <w:rsid w:val="009B2EB9"/>
    <w:rsid w:val="009B414C"/>
    <w:rsid w:val="009B41C6"/>
    <w:rsid w:val="009B498F"/>
    <w:rsid w:val="009B51AF"/>
    <w:rsid w:val="009B53E1"/>
    <w:rsid w:val="009B5586"/>
    <w:rsid w:val="009B5934"/>
    <w:rsid w:val="009B5EB5"/>
    <w:rsid w:val="009B6EEB"/>
    <w:rsid w:val="009B7205"/>
    <w:rsid w:val="009B72F3"/>
    <w:rsid w:val="009B737A"/>
    <w:rsid w:val="009B7639"/>
    <w:rsid w:val="009B77EE"/>
    <w:rsid w:val="009B7F81"/>
    <w:rsid w:val="009C0449"/>
    <w:rsid w:val="009C04C6"/>
    <w:rsid w:val="009C0C34"/>
    <w:rsid w:val="009C0E53"/>
    <w:rsid w:val="009C13F5"/>
    <w:rsid w:val="009C14DE"/>
    <w:rsid w:val="009C20F0"/>
    <w:rsid w:val="009C336E"/>
    <w:rsid w:val="009C3B4C"/>
    <w:rsid w:val="009C4C7E"/>
    <w:rsid w:val="009C5240"/>
    <w:rsid w:val="009C566F"/>
    <w:rsid w:val="009C56FC"/>
    <w:rsid w:val="009C5ABE"/>
    <w:rsid w:val="009C6600"/>
    <w:rsid w:val="009C690C"/>
    <w:rsid w:val="009C70A3"/>
    <w:rsid w:val="009C72E1"/>
    <w:rsid w:val="009C7776"/>
    <w:rsid w:val="009C7BEF"/>
    <w:rsid w:val="009D02B7"/>
    <w:rsid w:val="009D2726"/>
    <w:rsid w:val="009D2834"/>
    <w:rsid w:val="009D4FAE"/>
    <w:rsid w:val="009D7292"/>
    <w:rsid w:val="009E0B58"/>
    <w:rsid w:val="009E147D"/>
    <w:rsid w:val="009E17C0"/>
    <w:rsid w:val="009E1BC1"/>
    <w:rsid w:val="009E1BF4"/>
    <w:rsid w:val="009E1F8D"/>
    <w:rsid w:val="009E2020"/>
    <w:rsid w:val="009E21C8"/>
    <w:rsid w:val="009E27AA"/>
    <w:rsid w:val="009E2A3E"/>
    <w:rsid w:val="009E4219"/>
    <w:rsid w:val="009E431F"/>
    <w:rsid w:val="009E47C1"/>
    <w:rsid w:val="009E4F4F"/>
    <w:rsid w:val="009E501C"/>
    <w:rsid w:val="009E521F"/>
    <w:rsid w:val="009E56E2"/>
    <w:rsid w:val="009E5CBF"/>
    <w:rsid w:val="009E621E"/>
    <w:rsid w:val="009E6BBC"/>
    <w:rsid w:val="009F0826"/>
    <w:rsid w:val="009F15A7"/>
    <w:rsid w:val="009F1638"/>
    <w:rsid w:val="009F19E1"/>
    <w:rsid w:val="009F200C"/>
    <w:rsid w:val="009F210D"/>
    <w:rsid w:val="009F287D"/>
    <w:rsid w:val="009F3454"/>
    <w:rsid w:val="009F3BBB"/>
    <w:rsid w:val="009F44FF"/>
    <w:rsid w:val="009F50E1"/>
    <w:rsid w:val="009F57EC"/>
    <w:rsid w:val="009F68AA"/>
    <w:rsid w:val="009F695B"/>
    <w:rsid w:val="009F6F83"/>
    <w:rsid w:val="00A0011F"/>
    <w:rsid w:val="00A00A2A"/>
    <w:rsid w:val="00A02D8B"/>
    <w:rsid w:val="00A02DDE"/>
    <w:rsid w:val="00A0317A"/>
    <w:rsid w:val="00A035A2"/>
    <w:rsid w:val="00A0362D"/>
    <w:rsid w:val="00A037BD"/>
    <w:rsid w:val="00A0384A"/>
    <w:rsid w:val="00A03C44"/>
    <w:rsid w:val="00A041E4"/>
    <w:rsid w:val="00A045F2"/>
    <w:rsid w:val="00A06BDD"/>
    <w:rsid w:val="00A07308"/>
    <w:rsid w:val="00A07345"/>
    <w:rsid w:val="00A07D1C"/>
    <w:rsid w:val="00A07F05"/>
    <w:rsid w:val="00A10993"/>
    <w:rsid w:val="00A112F0"/>
    <w:rsid w:val="00A11DD5"/>
    <w:rsid w:val="00A1544B"/>
    <w:rsid w:val="00A1659E"/>
    <w:rsid w:val="00A16FAC"/>
    <w:rsid w:val="00A178A9"/>
    <w:rsid w:val="00A17D48"/>
    <w:rsid w:val="00A20927"/>
    <w:rsid w:val="00A21479"/>
    <w:rsid w:val="00A21640"/>
    <w:rsid w:val="00A21747"/>
    <w:rsid w:val="00A2188E"/>
    <w:rsid w:val="00A224F8"/>
    <w:rsid w:val="00A22832"/>
    <w:rsid w:val="00A22AB4"/>
    <w:rsid w:val="00A23FB0"/>
    <w:rsid w:val="00A241BD"/>
    <w:rsid w:val="00A251F4"/>
    <w:rsid w:val="00A26358"/>
    <w:rsid w:val="00A26652"/>
    <w:rsid w:val="00A26AC9"/>
    <w:rsid w:val="00A277E4"/>
    <w:rsid w:val="00A27A5F"/>
    <w:rsid w:val="00A30167"/>
    <w:rsid w:val="00A301C7"/>
    <w:rsid w:val="00A30AB2"/>
    <w:rsid w:val="00A316DF"/>
    <w:rsid w:val="00A323E5"/>
    <w:rsid w:val="00A32B87"/>
    <w:rsid w:val="00A3441A"/>
    <w:rsid w:val="00A34B0C"/>
    <w:rsid w:val="00A34E8B"/>
    <w:rsid w:val="00A35996"/>
    <w:rsid w:val="00A35E78"/>
    <w:rsid w:val="00A363C8"/>
    <w:rsid w:val="00A37422"/>
    <w:rsid w:val="00A37478"/>
    <w:rsid w:val="00A37922"/>
    <w:rsid w:val="00A4023F"/>
    <w:rsid w:val="00A4043C"/>
    <w:rsid w:val="00A40D54"/>
    <w:rsid w:val="00A41276"/>
    <w:rsid w:val="00A4136F"/>
    <w:rsid w:val="00A41873"/>
    <w:rsid w:val="00A41B6D"/>
    <w:rsid w:val="00A41E6E"/>
    <w:rsid w:val="00A41F5A"/>
    <w:rsid w:val="00A421B9"/>
    <w:rsid w:val="00A42493"/>
    <w:rsid w:val="00A43592"/>
    <w:rsid w:val="00A43D18"/>
    <w:rsid w:val="00A43F1F"/>
    <w:rsid w:val="00A44262"/>
    <w:rsid w:val="00A44CBD"/>
    <w:rsid w:val="00A5139A"/>
    <w:rsid w:val="00A52F63"/>
    <w:rsid w:val="00A5436E"/>
    <w:rsid w:val="00A54D38"/>
    <w:rsid w:val="00A550AE"/>
    <w:rsid w:val="00A559C9"/>
    <w:rsid w:val="00A564D4"/>
    <w:rsid w:val="00A56BA0"/>
    <w:rsid w:val="00A57F14"/>
    <w:rsid w:val="00A600ED"/>
    <w:rsid w:val="00A6080C"/>
    <w:rsid w:val="00A61E0B"/>
    <w:rsid w:val="00A6224B"/>
    <w:rsid w:val="00A623BD"/>
    <w:rsid w:val="00A62A82"/>
    <w:rsid w:val="00A6368B"/>
    <w:rsid w:val="00A63B46"/>
    <w:rsid w:val="00A64D8F"/>
    <w:rsid w:val="00A65040"/>
    <w:rsid w:val="00A651BE"/>
    <w:rsid w:val="00A66666"/>
    <w:rsid w:val="00A677E0"/>
    <w:rsid w:val="00A67840"/>
    <w:rsid w:val="00A67966"/>
    <w:rsid w:val="00A70383"/>
    <w:rsid w:val="00A70393"/>
    <w:rsid w:val="00A719AE"/>
    <w:rsid w:val="00A734B1"/>
    <w:rsid w:val="00A74588"/>
    <w:rsid w:val="00A75216"/>
    <w:rsid w:val="00A75999"/>
    <w:rsid w:val="00A75A90"/>
    <w:rsid w:val="00A767C9"/>
    <w:rsid w:val="00A7699E"/>
    <w:rsid w:val="00A769AD"/>
    <w:rsid w:val="00A76DAA"/>
    <w:rsid w:val="00A76F0D"/>
    <w:rsid w:val="00A80636"/>
    <w:rsid w:val="00A80866"/>
    <w:rsid w:val="00A8105D"/>
    <w:rsid w:val="00A811E4"/>
    <w:rsid w:val="00A824FE"/>
    <w:rsid w:val="00A82727"/>
    <w:rsid w:val="00A850D2"/>
    <w:rsid w:val="00A856A7"/>
    <w:rsid w:val="00A85E75"/>
    <w:rsid w:val="00A86002"/>
    <w:rsid w:val="00A86104"/>
    <w:rsid w:val="00A86836"/>
    <w:rsid w:val="00A8687B"/>
    <w:rsid w:val="00A87773"/>
    <w:rsid w:val="00A877E2"/>
    <w:rsid w:val="00A87C20"/>
    <w:rsid w:val="00A90992"/>
    <w:rsid w:val="00A90C4D"/>
    <w:rsid w:val="00A918BA"/>
    <w:rsid w:val="00A92ACF"/>
    <w:rsid w:val="00A92CE3"/>
    <w:rsid w:val="00A93317"/>
    <w:rsid w:val="00A93F88"/>
    <w:rsid w:val="00A94055"/>
    <w:rsid w:val="00A94056"/>
    <w:rsid w:val="00A94231"/>
    <w:rsid w:val="00A94B5C"/>
    <w:rsid w:val="00A9529C"/>
    <w:rsid w:val="00A9558D"/>
    <w:rsid w:val="00A9577C"/>
    <w:rsid w:val="00A95D47"/>
    <w:rsid w:val="00A964CC"/>
    <w:rsid w:val="00A964D0"/>
    <w:rsid w:val="00A9697D"/>
    <w:rsid w:val="00A97928"/>
    <w:rsid w:val="00A97D17"/>
    <w:rsid w:val="00AA038F"/>
    <w:rsid w:val="00AA04CA"/>
    <w:rsid w:val="00AA0EB9"/>
    <w:rsid w:val="00AA13A3"/>
    <w:rsid w:val="00AA18FB"/>
    <w:rsid w:val="00AA1FD0"/>
    <w:rsid w:val="00AA2110"/>
    <w:rsid w:val="00AA2C69"/>
    <w:rsid w:val="00AA32CE"/>
    <w:rsid w:val="00AA3660"/>
    <w:rsid w:val="00AA382B"/>
    <w:rsid w:val="00AA4549"/>
    <w:rsid w:val="00AA4601"/>
    <w:rsid w:val="00AA4DAB"/>
    <w:rsid w:val="00AA4E66"/>
    <w:rsid w:val="00AA4FFC"/>
    <w:rsid w:val="00AA51D2"/>
    <w:rsid w:val="00AA63EB"/>
    <w:rsid w:val="00AA648F"/>
    <w:rsid w:val="00AA6F19"/>
    <w:rsid w:val="00AA7073"/>
    <w:rsid w:val="00AB0120"/>
    <w:rsid w:val="00AB02DB"/>
    <w:rsid w:val="00AB0B13"/>
    <w:rsid w:val="00AB0C37"/>
    <w:rsid w:val="00AB0E61"/>
    <w:rsid w:val="00AB106D"/>
    <w:rsid w:val="00AB1D9F"/>
    <w:rsid w:val="00AB26E6"/>
    <w:rsid w:val="00AB4868"/>
    <w:rsid w:val="00AB499B"/>
    <w:rsid w:val="00AB4E90"/>
    <w:rsid w:val="00AB4FF3"/>
    <w:rsid w:val="00AB51E5"/>
    <w:rsid w:val="00AB53FB"/>
    <w:rsid w:val="00AB541F"/>
    <w:rsid w:val="00AB5906"/>
    <w:rsid w:val="00AB5DC4"/>
    <w:rsid w:val="00AB6092"/>
    <w:rsid w:val="00AB636C"/>
    <w:rsid w:val="00AB6716"/>
    <w:rsid w:val="00AB6937"/>
    <w:rsid w:val="00AB69AA"/>
    <w:rsid w:val="00AB6ADF"/>
    <w:rsid w:val="00AB6ED5"/>
    <w:rsid w:val="00AB6F6D"/>
    <w:rsid w:val="00AB769C"/>
    <w:rsid w:val="00AC052D"/>
    <w:rsid w:val="00AC0B88"/>
    <w:rsid w:val="00AC0E21"/>
    <w:rsid w:val="00AC2F81"/>
    <w:rsid w:val="00AC3332"/>
    <w:rsid w:val="00AC35F0"/>
    <w:rsid w:val="00AC3ADF"/>
    <w:rsid w:val="00AC3EF5"/>
    <w:rsid w:val="00AC48F4"/>
    <w:rsid w:val="00AC5317"/>
    <w:rsid w:val="00AC5EF6"/>
    <w:rsid w:val="00AC6587"/>
    <w:rsid w:val="00AC6E1C"/>
    <w:rsid w:val="00AC7E2C"/>
    <w:rsid w:val="00AD0218"/>
    <w:rsid w:val="00AD07F8"/>
    <w:rsid w:val="00AD0E73"/>
    <w:rsid w:val="00AD0F7B"/>
    <w:rsid w:val="00AD18A8"/>
    <w:rsid w:val="00AD1F9D"/>
    <w:rsid w:val="00AD29DB"/>
    <w:rsid w:val="00AD36A2"/>
    <w:rsid w:val="00AD3A1E"/>
    <w:rsid w:val="00AD3CEC"/>
    <w:rsid w:val="00AD44EF"/>
    <w:rsid w:val="00AD45C8"/>
    <w:rsid w:val="00AD4F49"/>
    <w:rsid w:val="00AD5E9A"/>
    <w:rsid w:val="00AD66DB"/>
    <w:rsid w:val="00AD6AA9"/>
    <w:rsid w:val="00AE0B1E"/>
    <w:rsid w:val="00AE233C"/>
    <w:rsid w:val="00AE2434"/>
    <w:rsid w:val="00AE26DB"/>
    <w:rsid w:val="00AE51FE"/>
    <w:rsid w:val="00AE5313"/>
    <w:rsid w:val="00AE5364"/>
    <w:rsid w:val="00AE6A54"/>
    <w:rsid w:val="00AE720B"/>
    <w:rsid w:val="00AE786D"/>
    <w:rsid w:val="00AE7F27"/>
    <w:rsid w:val="00AF0C7C"/>
    <w:rsid w:val="00AF2C27"/>
    <w:rsid w:val="00AF353E"/>
    <w:rsid w:val="00AF3D70"/>
    <w:rsid w:val="00AF439D"/>
    <w:rsid w:val="00AF442F"/>
    <w:rsid w:val="00AF44B7"/>
    <w:rsid w:val="00AF4926"/>
    <w:rsid w:val="00AF52C6"/>
    <w:rsid w:val="00AF5A60"/>
    <w:rsid w:val="00AF73EA"/>
    <w:rsid w:val="00B00CD6"/>
    <w:rsid w:val="00B00FD2"/>
    <w:rsid w:val="00B0227F"/>
    <w:rsid w:val="00B0344F"/>
    <w:rsid w:val="00B0354B"/>
    <w:rsid w:val="00B059A7"/>
    <w:rsid w:val="00B05BCF"/>
    <w:rsid w:val="00B061BF"/>
    <w:rsid w:val="00B06780"/>
    <w:rsid w:val="00B067C4"/>
    <w:rsid w:val="00B06DC0"/>
    <w:rsid w:val="00B073F1"/>
    <w:rsid w:val="00B07B9A"/>
    <w:rsid w:val="00B07DEC"/>
    <w:rsid w:val="00B07FEE"/>
    <w:rsid w:val="00B102FC"/>
    <w:rsid w:val="00B10A34"/>
    <w:rsid w:val="00B110F4"/>
    <w:rsid w:val="00B121E6"/>
    <w:rsid w:val="00B125D5"/>
    <w:rsid w:val="00B127D2"/>
    <w:rsid w:val="00B131C6"/>
    <w:rsid w:val="00B13282"/>
    <w:rsid w:val="00B13596"/>
    <w:rsid w:val="00B156D1"/>
    <w:rsid w:val="00B16429"/>
    <w:rsid w:val="00B16808"/>
    <w:rsid w:val="00B169A4"/>
    <w:rsid w:val="00B16D9A"/>
    <w:rsid w:val="00B20176"/>
    <w:rsid w:val="00B2055C"/>
    <w:rsid w:val="00B207D8"/>
    <w:rsid w:val="00B20C48"/>
    <w:rsid w:val="00B20D3C"/>
    <w:rsid w:val="00B21940"/>
    <w:rsid w:val="00B21C7D"/>
    <w:rsid w:val="00B22A72"/>
    <w:rsid w:val="00B22AC4"/>
    <w:rsid w:val="00B23174"/>
    <w:rsid w:val="00B24083"/>
    <w:rsid w:val="00B240A5"/>
    <w:rsid w:val="00B24F20"/>
    <w:rsid w:val="00B25DD6"/>
    <w:rsid w:val="00B26209"/>
    <w:rsid w:val="00B27215"/>
    <w:rsid w:val="00B27EA2"/>
    <w:rsid w:val="00B315DB"/>
    <w:rsid w:val="00B319A4"/>
    <w:rsid w:val="00B3204F"/>
    <w:rsid w:val="00B32984"/>
    <w:rsid w:val="00B337CA"/>
    <w:rsid w:val="00B33E86"/>
    <w:rsid w:val="00B3428E"/>
    <w:rsid w:val="00B34686"/>
    <w:rsid w:val="00B349AC"/>
    <w:rsid w:val="00B36577"/>
    <w:rsid w:val="00B36ED3"/>
    <w:rsid w:val="00B372A1"/>
    <w:rsid w:val="00B400DB"/>
    <w:rsid w:val="00B42F2E"/>
    <w:rsid w:val="00B43466"/>
    <w:rsid w:val="00B449D1"/>
    <w:rsid w:val="00B44C4F"/>
    <w:rsid w:val="00B45276"/>
    <w:rsid w:val="00B4541F"/>
    <w:rsid w:val="00B45583"/>
    <w:rsid w:val="00B45B7A"/>
    <w:rsid w:val="00B46195"/>
    <w:rsid w:val="00B46836"/>
    <w:rsid w:val="00B46B6A"/>
    <w:rsid w:val="00B46D80"/>
    <w:rsid w:val="00B47314"/>
    <w:rsid w:val="00B47CDE"/>
    <w:rsid w:val="00B51292"/>
    <w:rsid w:val="00B521DD"/>
    <w:rsid w:val="00B53257"/>
    <w:rsid w:val="00B53617"/>
    <w:rsid w:val="00B53B68"/>
    <w:rsid w:val="00B53D02"/>
    <w:rsid w:val="00B5450A"/>
    <w:rsid w:val="00B54600"/>
    <w:rsid w:val="00B56587"/>
    <w:rsid w:val="00B56594"/>
    <w:rsid w:val="00B56A88"/>
    <w:rsid w:val="00B5708C"/>
    <w:rsid w:val="00B57E4B"/>
    <w:rsid w:val="00B57E5E"/>
    <w:rsid w:val="00B6023B"/>
    <w:rsid w:val="00B60579"/>
    <w:rsid w:val="00B60FCB"/>
    <w:rsid w:val="00B61D17"/>
    <w:rsid w:val="00B63EE9"/>
    <w:rsid w:val="00B64E8F"/>
    <w:rsid w:val="00B6559F"/>
    <w:rsid w:val="00B6597A"/>
    <w:rsid w:val="00B65E65"/>
    <w:rsid w:val="00B66056"/>
    <w:rsid w:val="00B66127"/>
    <w:rsid w:val="00B6617F"/>
    <w:rsid w:val="00B667EB"/>
    <w:rsid w:val="00B66B42"/>
    <w:rsid w:val="00B67071"/>
    <w:rsid w:val="00B6719C"/>
    <w:rsid w:val="00B67E4B"/>
    <w:rsid w:val="00B70A84"/>
    <w:rsid w:val="00B71787"/>
    <w:rsid w:val="00B71B1C"/>
    <w:rsid w:val="00B71C39"/>
    <w:rsid w:val="00B721F6"/>
    <w:rsid w:val="00B731BB"/>
    <w:rsid w:val="00B734ED"/>
    <w:rsid w:val="00B73712"/>
    <w:rsid w:val="00B73A9E"/>
    <w:rsid w:val="00B74418"/>
    <w:rsid w:val="00B75816"/>
    <w:rsid w:val="00B759C0"/>
    <w:rsid w:val="00B775BA"/>
    <w:rsid w:val="00B80651"/>
    <w:rsid w:val="00B82842"/>
    <w:rsid w:val="00B84155"/>
    <w:rsid w:val="00B84431"/>
    <w:rsid w:val="00B853F9"/>
    <w:rsid w:val="00B85425"/>
    <w:rsid w:val="00B85762"/>
    <w:rsid w:val="00B85D59"/>
    <w:rsid w:val="00B863E2"/>
    <w:rsid w:val="00B86B25"/>
    <w:rsid w:val="00B86F02"/>
    <w:rsid w:val="00B87693"/>
    <w:rsid w:val="00B87DB4"/>
    <w:rsid w:val="00B904E4"/>
    <w:rsid w:val="00B905FC"/>
    <w:rsid w:val="00B90FE8"/>
    <w:rsid w:val="00B9204F"/>
    <w:rsid w:val="00B929CE"/>
    <w:rsid w:val="00B92FCF"/>
    <w:rsid w:val="00B93380"/>
    <w:rsid w:val="00B9444D"/>
    <w:rsid w:val="00B945FE"/>
    <w:rsid w:val="00B954F6"/>
    <w:rsid w:val="00B95A48"/>
    <w:rsid w:val="00B970A4"/>
    <w:rsid w:val="00B97855"/>
    <w:rsid w:val="00BA03DC"/>
    <w:rsid w:val="00BA061F"/>
    <w:rsid w:val="00BA079A"/>
    <w:rsid w:val="00BA277F"/>
    <w:rsid w:val="00BA2D7D"/>
    <w:rsid w:val="00BA3C8B"/>
    <w:rsid w:val="00BA4155"/>
    <w:rsid w:val="00BA4378"/>
    <w:rsid w:val="00BA5587"/>
    <w:rsid w:val="00BA6434"/>
    <w:rsid w:val="00BA66EA"/>
    <w:rsid w:val="00BA7346"/>
    <w:rsid w:val="00BA755A"/>
    <w:rsid w:val="00BA7BCA"/>
    <w:rsid w:val="00BA7D14"/>
    <w:rsid w:val="00BA7FD6"/>
    <w:rsid w:val="00BB0428"/>
    <w:rsid w:val="00BB05E7"/>
    <w:rsid w:val="00BB0621"/>
    <w:rsid w:val="00BB0DE4"/>
    <w:rsid w:val="00BB1E00"/>
    <w:rsid w:val="00BB1E03"/>
    <w:rsid w:val="00BB2E14"/>
    <w:rsid w:val="00BB2E88"/>
    <w:rsid w:val="00BB2FE2"/>
    <w:rsid w:val="00BB30CF"/>
    <w:rsid w:val="00BB4421"/>
    <w:rsid w:val="00BB4887"/>
    <w:rsid w:val="00BB55ED"/>
    <w:rsid w:val="00BC11E2"/>
    <w:rsid w:val="00BC1DCC"/>
    <w:rsid w:val="00BC26C0"/>
    <w:rsid w:val="00BC2FDB"/>
    <w:rsid w:val="00BC3215"/>
    <w:rsid w:val="00BC42AF"/>
    <w:rsid w:val="00BC4471"/>
    <w:rsid w:val="00BC4A30"/>
    <w:rsid w:val="00BC4A90"/>
    <w:rsid w:val="00BC5334"/>
    <w:rsid w:val="00BC5610"/>
    <w:rsid w:val="00BC6026"/>
    <w:rsid w:val="00BC6061"/>
    <w:rsid w:val="00BC6A12"/>
    <w:rsid w:val="00BC6C11"/>
    <w:rsid w:val="00BC7A84"/>
    <w:rsid w:val="00BC7F3D"/>
    <w:rsid w:val="00BD0F58"/>
    <w:rsid w:val="00BD13D8"/>
    <w:rsid w:val="00BD1CE5"/>
    <w:rsid w:val="00BD2860"/>
    <w:rsid w:val="00BD2AB3"/>
    <w:rsid w:val="00BD327A"/>
    <w:rsid w:val="00BD349B"/>
    <w:rsid w:val="00BD398B"/>
    <w:rsid w:val="00BD3A56"/>
    <w:rsid w:val="00BD5A3D"/>
    <w:rsid w:val="00BD61A8"/>
    <w:rsid w:val="00BD6459"/>
    <w:rsid w:val="00BD6714"/>
    <w:rsid w:val="00BD6A05"/>
    <w:rsid w:val="00BD6DF0"/>
    <w:rsid w:val="00BD745F"/>
    <w:rsid w:val="00BE1064"/>
    <w:rsid w:val="00BE14F4"/>
    <w:rsid w:val="00BE1820"/>
    <w:rsid w:val="00BE1D76"/>
    <w:rsid w:val="00BE1D92"/>
    <w:rsid w:val="00BE287F"/>
    <w:rsid w:val="00BE2C6C"/>
    <w:rsid w:val="00BE34DB"/>
    <w:rsid w:val="00BE3CD6"/>
    <w:rsid w:val="00BE3D65"/>
    <w:rsid w:val="00BE5BC1"/>
    <w:rsid w:val="00BE62F1"/>
    <w:rsid w:val="00BE63A7"/>
    <w:rsid w:val="00BE6828"/>
    <w:rsid w:val="00BE68FA"/>
    <w:rsid w:val="00BE77EC"/>
    <w:rsid w:val="00BF03F1"/>
    <w:rsid w:val="00BF053B"/>
    <w:rsid w:val="00BF199C"/>
    <w:rsid w:val="00BF1BF2"/>
    <w:rsid w:val="00BF1D61"/>
    <w:rsid w:val="00BF218A"/>
    <w:rsid w:val="00BF2D94"/>
    <w:rsid w:val="00BF3303"/>
    <w:rsid w:val="00BF3D6F"/>
    <w:rsid w:val="00BF477A"/>
    <w:rsid w:val="00BF5FBB"/>
    <w:rsid w:val="00BF68E0"/>
    <w:rsid w:val="00BF7334"/>
    <w:rsid w:val="00C003AB"/>
    <w:rsid w:val="00C0083B"/>
    <w:rsid w:val="00C01354"/>
    <w:rsid w:val="00C013C5"/>
    <w:rsid w:val="00C02AFC"/>
    <w:rsid w:val="00C043FD"/>
    <w:rsid w:val="00C0478B"/>
    <w:rsid w:val="00C047D6"/>
    <w:rsid w:val="00C04836"/>
    <w:rsid w:val="00C0489F"/>
    <w:rsid w:val="00C0490D"/>
    <w:rsid w:val="00C05234"/>
    <w:rsid w:val="00C052D3"/>
    <w:rsid w:val="00C05AD0"/>
    <w:rsid w:val="00C06502"/>
    <w:rsid w:val="00C065DD"/>
    <w:rsid w:val="00C06A90"/>
    <w:rsid w:val="00C06B2A"/>
    <w:rsid w:val="00C07078"/>
    <w:rsid w:val="00C0767A"/>
    <w:rsid w:val="00C1042D"/>
    <w:rsid w:val="00C11019"/>
    <w:rsid w:val="00C1162A"/>
    <w:rsid w:val="00C11A89"/>
    <w:rsid w:val="00C1223E"/>
    <w:rsid w:val="00C135C4"/>
    <w:rsid w:val="00C13D55"/>
    <w:rsid w:val="00C15312"/>
    <w:rsid w:val="00C15836"/>
    <w:rsid w:val="00C15EF3"/>
    <w:rsid w:val="00C171A0"/>
    <w:rsid w:val="00C1789C"/>
    <w:rsid w:val="00C17E85"/>
    <w:rsid w:val="00C20A03"/>
    <w:rsid w:val="00C2199F"/>
    <w:rsid w:val="00C21AFE"/>
    <w:rsid w:val="00C222FA"/>
    <w:rsid w:val="00C2243A"/>
    <w:rsid w:val="00C22D7C"/>
    <w:rsid w:val="00C22E37"/>
    <w:rsid w:val="00C2370D"/>
    <w:rsid w:val="00C24249"/>
    <w:rsid w:val="00C2518F"/>
    <w:rsid w:val="00C2627F"/>
    <w:rsid w:val="00C26FDC"/>
    <w:rsid w:val="00C27B79"/>
    <w:rsid w:val="00C3079D"/>
    <w:rsid w:val="00C30DA7"/>
    <w:rsid w:val="00C310A9"/>
    <w:rsid w:val="00C31837"/>
    <w:rsid w:val="00C31A2D"/>
    <w:rsid w:val="00C320FB"/>
    <w:rsid w:val="00C32173"/>
    <w:rsid w:val="00C322EE"/>
    <w:rsid w:val="00C328BF"/>
    <w:rsid w:val="00C3378A"/>
    <w:rsid w:val="00C34F6E"/>
    <w:rsid w:val="00C34FEB"/>
    <w:rsid w:val="00C357FE"/>
    <w:rsid w:val="00C35E23"/>
    <w:rsid w:val="00C364E8"/>
    <w:rsid w:val="00C378AD"/>
    <w:rsid w:val="00C40861"/>
    <w:rsid w:val="00C4131C"/>
    <w:rsid w:val="00C421C7"/>
    <w:rsid w:val="00C42572"/>
    <w:rsid w:val="00C42630"/>
    <w:rsid w:val="00C426F8"/>
    <w:rsid w:val="00C4304E"/>
    <w:rsid w:val="00C4350F"/>
    <w:rsid w:val="00C43B95"/>
    <w:rsid w:val="00C43D50"/>
    <w:rsid w:val="00C43F65"/>
    <w:rsid w:val="00C469E4"/>
    <w:rsid w:val="00C46BE6"/>
    <w:rsid w:val="00C47D80"/>
    <w:rsid w:val="00C47EC1"/>
    <w:rsid w:val="00C50EBA"/>
    <w:rsid w:val="00C5116C"/>
    <w:rsid w:val="00C5301F"/>
    <w:rsid w:val="00C5349E"/>
    <w:rsid w:val="00C538F8"/>
    <w:rsid w:val="00C53E0C"/>
    <w:rsid w:val="00C53FC9"/>
    <w:rsid w:val="00C5498C"/>
    <w:rsid w:val="00C55058"/>
    <w:rsid w:val="00C55175"/>
    <w:rsid w:val="00C552A6"/>
    <w:rsid w:val="00C559BF"/>
    <w:rsid w:val="00C55BC4"/>
    <w:rsid w:val="00C5730F"/>
    <w:rsid w:val="00C60154"/>
    <w:rsid w:val="00C60A1A"/>
    <w:rsid w:val="00C613D2"/>
    <w:rsid w:val="00C617BA"/>
    <w:rsid w:val="00C62A9D"/>
    <w:rsid w:val="00C633F7"/>
    <w:rsid w:val="00C63707"/>
    <w:rsid w:val="00C63825"/>
    <w:rsid w:val="00C64525"/>
    <w:rsid w:val="00C64E9E"/>
    <w:rsid w:val="00C658FB"/>
    <w:rsid w:val="00C6643E"/>
    <w:rsid w:val="00C66E4B"/>
    <w:rsid w:val="00C67CF0"/>
    <w:rsid w:val="00C700F2"/>
    <w:rsid w:val="00C710F6"/>
    <w:rsid w:val="00C712D9"/>
    <w:rsid w:val="00C7156E"/>
    <w:rsid w:val="00C71DA3"/>
    <w:rsid w:val="00C72940"/>
    <w:rsid w:val="00C72B99"/>
    <w:rsid w:val="00C737C9"/>
    <w:rsid w:val="00C744B1"/>
    <w:rsid w:val="00C74E7A"/>
    <w:rsid w:val="00C7568D"/>
    <w:rsid w:val="00C75698"/>
    <w:rsid w:val="00C7651F"/>
    <w:rsid w:val="00C76659"/>
    <w:rsid w:val="00C76E2C"/>
    <w:rsid w:val="00C80780"/>
    <w:rsid w:val="00C80796"/>
    <w:rsid w:val="00C80907"/>
    <w:rsid w:val="00C81AF4"/>
    <w:rsid w:val="00C8201C"/>
    <w:rsid w:val="00C8246F"/>
    <w:rsid w:val="00C82E23"/>
    <w:rsid w:val="00C833AB"/>
    <w:rsid w:val="00C837F9"/>
    <w:rsid w:val="00C84170"/>
    <w:rsid w:val="00C85E21"/>
    <w:rsid w:val="00C86421"/>
    <w:rsid w:val="00C8708C"/>
    <w:rsid w:val="00C87547"/>
    <w:rsid w:val="00C9049F"/>
    <w:rsid w:val="00C905E1"/>
    <w:rsid w:val="00C93360"/>
    <w:rsid w:val="00C934A7"/>
    <w:rsid w:val="00C9600E"/>
    <w:rsid w:val="00C96730"/>
    <w:rsid w:val="00C967BD"/>
    <w:rsid w:val="00C96A9B"/>
    <w:rsid w:val="00C9767C"/>
    <w:rsid w:val="00C97F01"/>
    <w:rsid w:val="00CA052C"/>
    <w:rsid w:val="00CA098E"/>
    <w:rsid w:val="00CA0A19"/>
    <w:rsid w:val="00CA0F7C"/>
    <w:rsid w:val="00CA2649"/>
    <w:rsid w:val="00CA278C"/>
    <w:rsid w:val="00CA2991"/>
    <w:rsid w:val="00CA4A2B"/>
    <w:rsid w:val="00CA4A3D"/>
    <w:rsid w:val="00CA5D42"/>
    <w:rsid w:val="00CA666A"/>
    <w:rsid w:val="00CA79E2"/>
    <w:rsid w:val="00CB03D3"/>
    <w:rsid w:val="00CB0504"/>
    <w:rsid w:val="00CB1515"/>
    <w:rsid w:val="00CB164B"/>
    <w:rsid w:val="00CB1F8E"/>
    <w:rsid w:val="00CB270E"/>
    <w:rsid w:val="00CB2FBE"/>
    <w:rsid w:val="00CB33F8"/>
    <w:rsid w:val="00CB462C"/>
    <w:rsid w:val="00CB484E"/>
    <w:rsid w:val="00CB5900"/>
    <w:rsid w:val="00CB6519"/>
    <w:rsid w:val="00CB67D0"/>
    <w:rsid w:val="00CB6878"/>
    <w:rsid w:val="00CC03BA"/>
    <w:rsid w:val="00CC1386"/>
    <w:rsid w:val="00CC172C"/>
    <w:rsid w:val="00CC3AF2"/>
    <w:rsid w:val="00CC404B"/>
    <w:rsid w:val="00CC410F"/>
    <w:rsid w:val="00CC495D"/>
    <w:rsid w:val="00CC553D"/>
    <w:rsid w:val="00CC5721"/>
    <w:rsid w:val="00CC6292"/>
    <w:rsid w:val="00CC72CB"/>
    <w:rsid w:val="00CC7564"/>
    <w:rsid w:val="00CC79EA"/>
    <w:rsid w:val="00CD06C6"/>
    <w:rsid w:val="00CD0947"/>
    <w:rsid w:val="00CD0B5F"/>
    <w:rsid w:val="00CD115F"/>
    <w:rsid w:val="00CD153C"/>
    <w:rsid w:val="00CD1705"/>
    <w:rsid w:val="00CD1A26"/>
    <w:rsid w:val="00CD2219"/>
    <w:rsid w:val="00CD2DFE"/>
    <w:rsid w:val="00CD48D4"/>
    <w:rsid w:val="00CD4E71"/>
    <w:rsid w:val="00CD6A2E"/>
    <w:rsid w:val="00CD6F4C"/>
    <w:rsid w:val="00CE031A"/>
    <w:rsid w:val="00CE05F5"/>
    <w:rsid w:val="00CE0A30"/>
    <w:rsid w:val="00CE1DFF"/>
    <w:rsid w:val="00CE1F7F"/>
    <w:rsid w:val="00CE32B1"/>
    <w:rsid w:val="00CE32F8"/>
    <w:rsid w:val="00CE3300"/>
    <w:rsid w:val="00CE390B"/>
    <w:rsid w:val="00CE4129"/>
    <w:rsid w:val="00CE4EA4"/>
    <w:rsid w:val="00CE50C4"/>
    <w:rsid w:val="00CE575F"/>
    <w:rsid w:val="00CE57DE"/>
    <w:rsid w:val="00CE647F"/>
    <w:rsid w:val="00CE66BB"/>
    <w:rsid w:val="00CE69DB"/>
    <w:rsid w:val="00CE6A2A"/>
    <w:rsid w:val="00CE6A53"/>
    <w:rsid w:val="00CE71EF"/>
    <w:rsid w:val="00CE73AD"/>
    <w:rsid w:val="00CE75F6"/>
    <w:rsid w:val="00CF038A"/>
    <w:rsid w:val="00CF065A"/>
    <w:rsid w:val="00CF127D"/>
    <w:rsid w:val="00CF23B9"/>
    <w:rsid w:val="00CF278D"/>
    <w:rsid w:val="00CF35E8"/>
    <w:rsid w:val="00CF3EC8"/>
    <w:rsid w:val="00CF4189"/>
    <w:rsid w:val="00CF4334"/>
    <w:rsid w:val="00CF4402"/>
    <w:rsid w:val="00CF4569"/>
    <w:rsid w:val="00CF4888"/>
    <w:rsid w:val="00CF4F70"/>
    <w:rsid w:val="00CF60EC"/>
    <w:rsid w:val="00CF7E56"/>
    <w:rsid w:val="00D00492"/>
    <w:rsid w:val="00D00AA3"/>
    <w:rsid w:val="00D01014"/>
    <w:rsid w:val="00D018A0"/>
    <w:rsid w:val="00D01B90"/>
    <w:rsid w:val="00D01D34"/>
    <w:rsid w:val="00D0245F"/>
    <w:rsid w:val="00D0253F"/>
    <w:rsid w:val="00D02699"/>
    <w:rsid w:val="00D030AD"/>
    <w:rsid w:val="00D03D7B"/>
    <w:rsid w:val="00D04157"/>
    <w:rsid w:val="00D0433D"/>
    <w:rsid w:val="00D0490A"/>
    <w:rsid w:val="00D05068"/>
    <w:rsid w:val="00D05B1B"/>
    <w:rsid w:val="00D068E3"/>
    <w:rsid w:val="00D0764C"/>
    <w:rsid w:val="00D07F60"/>
    <w:rsid w:val="00D1088D"/>
    <w:rsid w:val="00D1117C"/>
    <w:rsid w:val="00D11238"/>
    <w:rsid w:val="00D11D67"/>
    <w:rsid w:val="00D12D17"/>
    <w:rsid w:val="00D12D91"/>
    <w:rsid w:val="00D135A5"/>
    <w:rsid w:val="00D1388C"/>
    <w:rsid w:val="00D13E42"/>
    <w:rsid w:val="00D145D4"/>
    <w:rsid w:val="00D15EEA"/>
    <w:rsid w:val="00D20BA9"/>
    <w:rsid w:val="00D22011"/>
    <w:rsid w:val="00D224E7"/>
    <w:rsid w:val="00D22FB3"/>
    <w:rsid w:val="00D236C2"/>
    <w:rsid w:val="00D23814"/>
    <w:rsid w:val="00D251AB"/>
    <w:rsid w:val="00D25292"/>
    <w:rsid w:val="00D25507"/>
    <w:rsid w:val="00D256E5"/>
    <w:rsid w:val="00D25A2C"/>
    <w:rsid w:val="00D26E1C"/>
    <w:rsid w:val="00D274D2"/>
    <w:rsid w:val="00D2786B"/>
    <w:rsid w:val="00D27D85"/>
    <w:rsid w:val="00D30D41"/>
    <w:rsid w:val="00D3122B"/>
    <w:rsid w:val="00D31B75"/>
    <w:rsid w:val="00D3201B"/>
    <w:rsid w:val="00D33326"/>
    <w:rsid w:val="00D347E9"/>
    <w:rsid w:val="00D34D53"/>
    <w:rsid w:val="00D34F0D"/>
    <w:rsid w:val="00D3532B"/>
    <w:rsid w:val="00D36388"/>
    <w:rsid w:val="00D364BC"/>
    <w:rsid w:val="00D37712"/>
    <w:rsid w:val="00D37D94"/>
    <w:rsid w:val="00D401FA"/>
    <w:rsid w:val="00D407CC"/>
    <w:rsid w:val="00D41146"/>
    <w:rsid w:val="00D417DB"/>
    <w:rsid w:val="00D418F4"/>
    <w:rsid w:val="00D42794"/>
    <w:rsid w:val="00D42ADB"/>
    <w:rsid w:val="00D42CDC"/>
    <w:rsid w:val="00D44575"/>
    <w:rsid w:val="00D44D89"/>
    <w:rsid w:val="00D44DCE"/>
    <w:rsid w:val="00D453A1"/>
    <w:rsid w:val="00D46546"/>
    <w:rsid w:val="00D46A00"/>
    <w:rsid w:val="00D46D25"/>
    <w:rsid w:val="00D516D3"/>
    <w:rsid w:val="00D517B4"/>
    <w:rsid w:val="00D518D2"/>
    <w:rsid w:val="00D52AB6"/>
    <w:rsid w:val="00D52D4B"/>
    <w:rsid w:val="00D5360A"/>
    <w:rsid w:val="00D53D03"/>
    <w:rsid w:val="00D540AB"/>
    <w:rsid w:val="00D54A42"/>
    <w:rsid w:val="00D56598"/>
    <w:rsid w:val="00D56C08"/>
    <w:rsid w:val="00D5764E"/>
    <w:rsid w:val="00D577D1"/>
    <w:rsid w:val="00D57A67"/>
    <w:rsid w:val="00D61112"/>
    <w:rsid w:val="00D62347"/>
    <w:rsid w:val="00D64D10"/>
    <w:rsid w:val="00D65856"/>
    <w:rsid w:val="00D66903"/>
    <w:rsid w:val="00D67422"/>
    <w:rsid w:val="00D708E2"/>
    <w:rsid w:val="00D70A0F"/>
    <w:rsid w:val="00D719E8"/>
    <w:rsid w:val="00D71AFB"/>
    <w:rsid w:val="00D723DA"/>
    <w:rsid w:val="00D7255C"/>
    <w:rsid w:val="00D72856"/>
    <w:rsid w:val="00D72E86"/>
    <w:rsid w:val="00D74F8F"/>
    <w:rsid w:val="00D75373"/>
    <w:rsid w:val="00D764A3"/>
    <w:rsid w:val="00D76BB7"/>
    <w:rsid w:val="00D80F3A"/>
    <w:rsid w:val="00D82BCE"/>
    <w:rsid w:val="00D82DA2"/>
    <w:rsid w:val="00D82E48"/>
    <w:rsid w:val="00D83DCA"/>
    <w:rsid w:val="00D844AB"/>
    <w:rsid w:val="00D851BB"/>
    <w:rsid w:val="00D8521D"/>
    <w:rsid w:val="00D861C2"/>
    <w:rsid w:val="00D86267"/>
    <w:rsid w:val="00D86582"/>
    <w:rsid w:val="00D86B73"/>
    <w:rsid w:val="00D87574"/>
    <w:rsid w:val="00D87C5D"/>
    <w:rsid w:val="00D908C0"/>
    <w:rsid w:val="00D90DA0"/>
    <w:rsid w:val="00D935C4"/>
    <w:rsid w:val="00D93896"/>
    <w:rsid w:val="00D9579F"/>
    <w:rsid w:val="00D95979"/>
    <w:rsid w:val="00D95C97"/>
    <w:rsid w:val="00D96DE2"/>
    <w:rsid w:val="00D97057"/>
    <w:rsid w:val="00D97559"/>
    <w:rsid w:val="00DA0229"/>
    <w:rsid w:val="00DA0897"/>
    <w:rsid w:val="00DA0A99"/>
    <w:rsid w:val="00DA15D2"/>
    <w:rsid w:val="00DA27B9"/>
    <w:rsid w:val="00DA29D1"/>
    <w:rsid w:val="00DA30D8"/>
    <w:rsid w:val="00DA3C65"/>
    <w:rsid w:val="00DA3CE0"/>
    <w:rsid w:val="00DA4E66"/>
    <w:rsid w:val="00DA4FA3"/>
    <w:rsid w:val="00DA5092"/>
    <w:rsid w:val="00DA6975"/>
    <w:rsid w:val="00DA6AC1"/>
    <w:rsid w:val="00DA7243"/>
    <w:rsid w:val="00DA77FA"/>
    <w:rsid w:val="00DA7D1C"/>
    <w:rsid w:val="00DB127E"/>
    <w:rsid w:val="00DB1C28"/>
    <w:rsid w:val="00DB288F"/>
    <w:rsid w:val="00DB2AAD"/>
    <w:rsid w:val="00DB3094"/>
    <w:rsid w:val="00DB3431"/>
    <w:rsid w:val="00DB3972"/>
    <w:rsid w:val="00DB3F40"/>
    <w:rsid w:val="00DB5EE3"/>
    <w:rsid w:val="00DB603C"/>
    <w:rsid w:val="00DB61C7"/>
    <w:rsid w:val="00DB6EF7"/>
    <w:rsid w:val="00DB7503"/>
    <w:rsid w:val="00DB7B4A"/>
    <w:rsid w:val="00DC0A31"/>
    <w:rsid w:val="00DC10CC"/>
    <w:rsid w:val="00DC215E"/>
    <w:rsid w:val="00DC2824"/>
    <w:rsid w:val="00DC28A9"/>
    <w:rsid w:val="00DC2B34"/>
    <w:rsid w:val="00DC2B56"/>
    <w:rsid w:val="00DC33C3"/>
    <w:rsid w:val="00DC3532"/>
    <w:rsid w:val="00DC3963"/>
    <w:rsid w:val="00DC3CAC"/>
    <w:rsid w:val="00DC44A5"/>
    <w:rsid w:val="00DC4707"/>
    <w:rsid w:val="00DC51B4"/>
    <w:rsid w:val="00DC5976"/>
    <w:rsid w:val="00DC61C5"/>
    <w:rsid w:val="00DC667E"/>
    <w:rsid w:val="00DC69A0"/>
    <w:rsid w:val="00DC7DAF"/>
    <w:rsid w:val="00DD0713"/>
    <w:rsid w:val="00DD1090"/>
    <w:rsid w:val="00DD1520"/>
    <w:rsid w:val="00DD157A"/>
    <w:rsid w:val="00DD1903"/>
    <w:rsid w:val="00DD1A3B"/>
    <w:rsid w:val="00DD2065"/>
    <w:rsid w:val="00DD2BEC"/>
    <w:rsid w:val="00DD3051"/>
    <w:rsid w:val="00DD3A56"/>
    <w:rsid w:val="00DD456D"/>
    <w:rsid w:val="00DD46CA"/>
    <w:rsid w:val="00DD5130"/>
    <w:rsid w:val="00DD5605"/>
    <w:rsid w:val="00DD5716"/>
    <w:rsid w:val="00DD5FBC"/>
    <w:rsid w:val="00DD64AD"/>
    <w:rsid w:val="00DD6BDA"/>
    <w:rsid w:val="00DD707A"/>
    <w:rsid w:val="00DD776F"/>
    <w:rsid w:val="00DD7F79"/>
    <w:rsid w:val="00DE0573"/>
    <w:rsid w:val="00DE27E3"/>
    <w:rsid w:val="00DE2840"/>
    <w:rsid w:val="00DE2A9B"/>
    <w:rsid w:val="00DE348F"/>
    <w:rsid w:val="00DE3907"/>
    <w:rsid w:val="00DE3A0D"/>
    <w:rsid w:val="00DE4ACE"/>
    <w:rsid w:val="00DE5120"/>
    <w:rsid w:val="00DE521C"/>
    <w:rsid w:val="00DE643A"/>
    <w:rsid w:val="00DE6590"/>
    <w:rsid w:val="00DE7AC1"/>
    <w:rsid w:val="00DF033F"/>
    <w:rsid w:val="00DF05AF"/>
    <w:rsid w:val="00DF11F1"/>
    <w:rsid w:val="00DF1DBD"/>
    <w:rsid w:val="00DF2899"/>
    <w:rsid w:val="00DF3E05"/>
    <w:rsid w:val="00DF3FF1"/>
    <w:rsid w:val="00DF422F"/>
    <w:rsid w:val="00DF4557"/>
    <w:rsid w:val="00DF5A06"/>
    <w:rsid w:val="00DF60D3"/>
    <w:rsid w:val="00DF7320"/>
    <w:rsid w:val="00DF7897"/>
    <w:rsid w:val="00DF7F27"/>
    <w:rsid w:val="00E00686"/>
    <w:rsid w:val="00E02B92"/>
    <w:rsid w:val="00E03753"/>
    <w:rsid w:val="00E05A52"/>
    <w:rsid w:val="00E06F82"/>
    <w:rsid w:val="00E07987"/>
    <w:rsid w:val="00E07ECB"/>
    <w:rsid w:val="00E10446"/>
    <w:rsid w:val="00E10AAD"/>
    <w:rsid w:val="00E114F8"/>
    <w:rsid w:val="00E11D41"/>
    <w:rsid w:val="00E12DF9"/>
    <w:rsid w:val="00E13002"/>
    <w:rsid w:val="00E1364B"/>
    <w:rsid w:val="00E13966"/>
    <w:rsid w:val="00E14140"/>
    <w:rsid w:val="00E144A9"/>
    <w:rsid w:val="00E14D66"/>
    <w:rsid w:val="00E16313"/>
    <w:rsid w:val="00E1744E"/>
    <w:rsid w:val="00E17F9D"/>
    <w:rsid w:val="00E2049B"/>
    <w:rsid w:val="00E205A9"/>
    <w:rsid w:val="00E2071B"/>
    <w:rsid w:val="00E20754"/>
    <w:rsid w:val="00E21725"/>
    <w:rsid w:val="00E22196"/>
    <w:rsid w:val="00E229AE"/>
    <w:rsid w:val="00E235FA"/>
    <w:rsid w:val="00E23D60"/>
    <w:rsid w:val="00E24871"/>
    <w:rsid w:val="00E24F99"/>
    <w:rsid w:val="00E25502"/>
    <w:rsid w:val="00E25653"/>
    <w:rsid w:val="00E257C1"/>
    <w:rsid w:val="00E25C8E"/>
    <w:rsid w:val="00E26760"/>
    <w:rsid w:val="00E27381"/>
    <w:rsid w:val="00E30406"/>
    <w:rsid w:val="00E30438"/>
    <w:rsid w:val="00E30BF9"/>
    <w:rsid w:val="00E313AD"/>
    <w:rsid w:val="00E31BD8"/>
    <w:rsid w:val="00E3245D"/>
    <w:rsid w:val="00E3246B"/>
    <w:rsid w:val="00E325D8"/>
    <w:rsid w:val="00E328FF"/>
    <w:rsid w:val="00E331B7"/>
    <w:rsid w:val="00E3365B"/>
    <w:rsid w:val="00E336E4"/>
    <w:rsid w:val="00E3400D"/>
    <w:rsid w:val="00E34436"/>
    <w:rsid w:val="00E34996"/>
    <w:rsid w:val="00E34CEB"/>
    <w:rsid w:val="00E3538C"/>
    <w:rsid w:val="00E35810"/>
    <w:rsid w:val="00E35F86"/>
    <w:rsid w:val="00E3648E"/>
    <w:rsid w:val="00E36E30"/>
    <w:rsid w:val="00E37263"/>
    <w:rsid w:val="00E374F7"/>
    <w:rsid w:val="00E37608"/>
    <w:rsid w:val="00E37751"/>
    <w:rsid w:val="00E37BDB"/>
    <w:rsid w:val="00E4079E"/>
    <w:rsid w:val="00E40D7F"/>
    <w:rsid w:val="00E41ABD"/>
    <w:rsid w:val="00E41E65"/>
    <w:rsid w:val="00E421CC"/>
    <w:rsid w:val="00E425E6"/>
    <w:rsid w:val="00E429EF"/>
    <w:rsid w:val="00E430DF"/>
    <w:rsid w:val="00E434F9"/>
    <w:rsid w:val="00E43C39"/>
    <w:rsid w:val="00E43CA1"/>
    <w:rsid w:val="00E44793"/>
    <w:rsid w:val="00E44950"/>
    <w:rsid w:val="00E44AD3"/>
    <w:rsid w:val="00E45377"/>
    <w:rsid w:val="00E45DC9"/>
    <w:rsid w:val="00E45E05"/>
    <w:rsid w:val="00E46978"/>
    <w:rsid w:val="00E46C71"/>
    <w:rsid w:val="00E47C67"/>
    <w:rsid w:val="00E514C7"/>
    <w:rsid w:val="00E5156F"/>
    <w:rsid w:val="00E51BC2"/>
    <w:rsid w:val="00E51E96"/>
    <w:rsid w:val="00E52404"/>
    <w:rsid w:val="00E52F36"/>
    <w:rsid w:val="00E53F5C"/>
    <w:rsid w:val="00E544B6"/>
    <w:rsid w:val="00E545B0"/>
    <w:rsid w:val="00E54861"/>
    <w:rsid w:val="00E54AFA"/>
    <w:rsid w:val="00E5516A"/>
    <w:rsid w:val="00E55347"/>
    <w:rsid w:val="00E5556C"/>
    <w:rsid w:val="00E55890"/>
    <w:rsid w:val="00E55D8D"/>
    <w:rsid w:val="00E56A40"/>
    <w:rsid w:val="00E57667"/>
    <w:rsid w:val="00E600C0"/>
    <w:rsid w:val="00E603F8"/>
    <w:rsid w:val="00E60ED2"/>
    <w:rsid w:val="00E60FC4"/>
    <w:rsid w:val="00E615F5"/>
    <w:rsid w:val="00E62CD8"/>
    <w:rsid w:val="00E64E53"/>
    <w:rsid w:val="00E6715F"/>
    <w:rsid w:val="00E673FD"/>
    <w:rsid w:val="00E67C5E"/>
    <w:rsid w:val="00E70061"/>
    <w:rsid w:val="00E7096F"/>
    <w:rsid w:val="00E71682"/>
    <w:rsid w:val="00E720FC"/>
    <w:rsid w:val="00E72401"/>
    <w:rsid w:val="00E7271A"/>
    <w:rsid w:val="00E731A5"/>
    <w:rsid w:val="00E7376C"/>
    <w:rsid w:val="00E73CC2"/>
    <w:rsid w:val="00E748B6"/>
    <w:rsid w:val="00E74950"/>
    <w:rsid w:val="00E753B5"/>
    <w:rsid w:val="00E75F11"/>
    <w:rsid w:val="00E7700B"/>
    <w:rsid w:val="00E77C6E"/>
    <w:rsid w:val="00E809EB"/>
    <w:rsid w:val="00E80A86"/>
    <w:rsid w:val="00E8501C"/>
    <w:rsid w:val="00E851A5"/>
    <w:rsid w:val="00E851AA"/>
    <w:rsid w:val="00E8576B"/>
    <w:rsid w:val="00E85A30"/>
    <w:rsid w:val="00E85FBE"/>
    <w:rsid w:val="00E86CBC"/>
    <w:rsid w:val="00E86E48"/>
    <w:rsid w:val="00E870AB"/>
    <w:rsid w:val="00E87CD5"/>
    <w:rsid w:val="00E9082B"/>
    <w:rsid w:val="00E911CE"/>
    <w:rsid w:val="00E91664"/>
    <w:rsid w:val="00E91C0B"/>
    <w:rsid w:val="00E924C5"/>
    <w:rsid w:val="00E92D29"/>
    <w:rsid w:val="00E92D44"/>
    <w:rsid w:val="00E9394D"/>
    <w:rsid w:val="00E94337"/>
    <w:rsid w:val="00E94965"/>
    <w:rsid w:val="00E94A5A"/>
    <w:rsid w:val="00E96BBA"/>
    <w:rsid w:val="00E975EF"/>
    <w:rsid w:val="00E97801"/>
    <w:rsid w:val="00EA11FC"/>
    <w:rsid w:val="00EA1C42"/>
    <w:rsid w:val="00EA1E5B"/>
    <w:rsid w:val="00EA2324"/>
    <w:rsid w:val="00EA3529"/>
    <w:rsid w:val="00EA42DD"/>
    <w:rsid w:val="00EA49B8"/>
    <w:rsid w:val="00EA4A5A"/>
    <w:rsid w:val="00EA4F11"/>
    <w:rsid w:val="00EA5A37"/>
    <w:rsid w:val="00EA5F42"/>
    <w:rsid w:val="00EA61F1"/>
    <w:rsid w:val="00EA62A2"/>
    <w:rsid w:val="00EA655B"/>
    <w:rsid w:val="00EA68D6"/>
    <w:rsid w:val="00EA6C92"/>
    <w:rsid w:val="00EA7669"/>
    <w:rsid w:val="00EA7C44"/>
    <w:rsid w:val="00EB05EC"/>
    <w:rsid w:val="00EB0C1A"/>
    <w:rsid w:val="00EB15FB"/>
    <w:rsid w:val="00EB1E31"/>
    <w:rsid w:val="00EB1EA2"/>
    <w:rsid w:val="00EB21C2"/>
    <w:rsid w:val="00EB2466"/>
    <w:rsid w:val="00EB26ED"/>
    <w:rsid w:val="00EB279C"/>
    <w:rsid w:val="00EB320E"/>
    <w:rsid w:val="00EB4FFB"/>
    <w:rsid w:val="00EB598D"/>
    <w:rsid w:val="00EB6C1C"/>
    <w:rsid w:val="00EB7271"/>
    <w:rsid w:val="00EC0FD6"/>
    <w:rsid w:val="00EC190C"/>
    <w:rsid w:val="00EC27BB"/>
    <w:rsid w:val="00EC3C4B"/>
    <w:rsid w:val="00EC3CF5"/>
    <w:rsid w:val="00EC3E9E"/>
    <w:rsid w:val="00EC42C8"/>
    <w:rsid w:val="00EC5A7B"/>
    <w:rsid w:val="00EC5B60"/>
    <w:rsid w:val="00EC5EF1"/>
    <w:rsid w:val="00EC6072"/>
    <w:rsid w:val="00EC75EC"/>
    <w:rsid w:val="00EC798B"/>
    <w:rsid w:val="00ED183B"/>
    <w:rsid w:val="00ED2F0F"/>
    <w:rsid w:val="00ED30D0"/>
    <w:rsid w:val="00ED31A4"/>
    <w:rsid w:val="00ED3203"/>
    <w:rsid w:val="00ED337A"/>
    <w:rsid w:val="00ED367A"/>
    <w:rsid w:val="00ED36E8"/>
    <w:rsid w:val="00ED50C9"/>
    <w:rsid w:val="00ED603D"/>
    <w:rsid w:val="00ED6328"/>
    <w:rsid w:val="00ED6345"/>
    <w:rsid w:val="00ED672A"/>
    <w:rsid w:val="00ED6A9A"/>
    <w:rsid w:val="00ED6BF1"/>
    <w:rsid w:val="00ED6C96"/>
    <w:rsid w:val="00ED6FE7"/>
    <w:rsid w:val="00ED7570"/>
    <w:rsid w:val="00EE01BA"/>
    <w:rsid w:val="00EE0A61"/>
    <w:rsid w:val="00EE1534"/>
    <w:rsid w:val="00EE199A"/>
    <w:rsid w:val="00EE3AD2"/>
    <w:rsid w:val="00EE558E"/>
    <w:rsid w:val="00EE5937"/>
    <w:rsid w:val="00EE645F"/>
    <w:rsid w:val="00EE678E"/>
    <w:rsid w:val="00EE6918"/>
    <w:rsid w:val="00EF072D"/>
    <w:rsid w:val="00EF135F"/>
    <w:rsid w:val="00EF1B00"/>
    <w:rsid w:val="00EF375B"/>
    <w:rsid w:val="00EF38F2"/>
    <w:rsid w:val="00EF41B6"/>
    <w:rsid w:val="00EF4A7B"/>
    <w:rsid w:val="00EF71EE"/>
    <w:rsid w:val="00EF74B5"/>
    <w:rsid w:val="00EF7825"/>
    <w:rsid w:val="00F0044E"/>
    <w:rsid w:val="00F010E9"/>
    <w:rsid w:val="00F01974"/>
    <w:rsid w:val="00F0290D"/>
    <w:rsid w:val="00F02F72"/>
    <w:rsid w:val="00F0307B"/>
    <w:rsid w:val="00F03948"/>
    <w:rsid w:val="00F03C1D"/>
    <w:rsid w:val="00F03E5D"/>
    <w:rsid w:val="00F04615"/>
    <w:rsid w:val="00F04771"/>
    <w:rsid w:val="00F04F98"/>
    <w:rsid w:val="00F05675"/>
    <w:rsid w:val="00F056BB"/>
    <w:rsid w:val="00F05F14"/>
    <w:rsid w:val="00F06DFD"/>
    <w:rsid w:val="00F0752F"/>
    <w:rsid w:val="00F0765A"/>
    <w:rsid w:val="00F10236"/>
    <w:rsid w:val="00F104E3"/>
    <w:rsid w:val="00F125FA"/>
    <w:rsid w:val="00F1277D"/>
    <w:rsid w:val="00F135D5"/>
    <w:rsid w:val="00F13836"/>
    <w:rsid w:val="00F13863"/>
    <w:rsid w:val="00F14190"/>
    <w:rsid w:val="00F15C0E"/>
    <w:rsid w:val="00F16015"/>
    <w:rsid w:val="00F16281"/>
    <w:rsid w:val="00F16A50"/>
    <w:rsid w:val="00F16B55"/>
    <w:rsid w:val="00F17396"/>
    <w:rsid w:val="00F17C65"/>
    <w:rsid w:val="00F20046"/>
    <w:rsid w:val="00F21062"/>
    <w:rsid w:val="00F215A0"/>
    <w:rsid w:val="00F21E7C"/>
    <w:rsid w:val="00F22176"/>
    <w:rsid w:val="00F228D8"/>
    <w:rsid w:val="00F22F76"/>
    <w:rsid w:val="00F2317A"/>
    <w:rsid w:val="00F23C66"/>
    <w:rsid w:val="00F23D8D"/>
    <w:rsid w:val="00F242DC"/>
    <w:rsid w:val="00F24BD1"/>
    <w:rsid w:val="00F260C9"/>
    <w:rsid w:val="00F261EF"/>
    <w:rsid w:val="00F2635F"/>
    <w:rsid w:val="00F26FFB"/>
    <w:rsid w:val="00F27404"/>
    <w:rsid w:val="00F278C4"/>
    <w:rsid w:val="00F27DA3"/>
    <w:rsid w:val="00F27E8A"/>
    <w:rsid w:val="00F3085A"/>
    <w:rsid w:val="00F30905"/>
    <w:rsid w:val="00F314A2"/>
    <w:rsid w:val="00F323A5"/>
    <w:rsid w:val="00F32894"/>
    <w:rsid w:val="00F32A44"/>
    <w:rsid w:val="00F32D4D"/>
    <w:rsid w:val="00F32F58"/>
    <w:rsid w:val="00F333B8"/>
    <w:rsid w:val="00F33A07"/>
    <w:rsid w:val="00F33B22"/>
    <w:rsid w:val="00F33B6F"/>
    <w:rsid w:val="00F34415"/>
    <w:rsid w:val="00F3478A"/>
    <w:rsid w:val="00F353BC"/>
    <w:rsid w:val="00F35686"/>
    <w:rsid w:val="00F3614C"/>
    <w:rsid w:val="00F3738D"/>
    <w:rsid w:val="00F37786"/>
    <w:rsid w:val="00F377DB"/>
    <w:rsid w:val="00F37AA3"/>
    <w:rsid w:val="00F37E99"/>
    <w:rsid w:val="00F40CD4"/>
    <w:rsid w:val="00F41035"/>
    <w:rsid w:val="00F41688"/>
    <w:rsid w:val="00F4242E"/>
    <w:rsid w:val="00F424A3"/>
    <w:rsid w:val="00F42F6A"/>
    <w:rsid w:val="00F431B8"/>
    <w:rsid w:val="00F43CF7"/>
    <w:rsid w:val="00F44F27"/>
    <w:rsid w:val="00F45F1D"/>
    <w:rsid w:val="00F46401"/>
    <w:rsid w:val="00F471FD"/>
    <w:rsid w:val="00F4768E"/>
    <w:rsid w:val="00F50BCC"/>
    <w:rsid w:val="00F50C08"/>
    <w:rsid w:val="00F5159B"/>
    <w:rsid w:val="00F51E48"/>
    <w:rsid w:val="00F5293A"/>
    <w:rsid w:val="00F52AC0"/>
    <w:rsid w:val="00F52E2D"/>
    <w:rsid w:val="00F54084"/>
    <w:rsid w:val="00F549A1"/>
    <w:rsid w:val="00F5603F"/>
    <w:rsid w:val="00F5682E"/>
    <w:rsid w:val="00F57DA4"/>
    <w:rsid w:val="00F603F8"/>
    <w:rsid w:val="00F6062F"/>
    <w:rsid w:val="00F606A7"/>
    <w:rsid w:val="00F606C2"/>
    <w:rsid w:val="00F60715"/>
    <w:rsid w:val="00F60B09"/>
    <w:rsid w:val="00F61877"/>
    <w:rsid w:val="00F61ABE"/>
    <w:rsid w:val="00F61ACE"/>
    <w:rsid w:val="00F61D84"/>
    <w:rsid w:val="00F62810"/>
    <w:rsid w:val="00F64888"/>
    <w:rsid w:val="00F65260"/>
    <w:rsid w:val="00F6612D"/>
    <w:rsid w:val="00F662BB"/>
    <w:rsid w:val="00F66A9E"/>
    <w:rsid w:val="00F67239"/>
    <w:rsid w:val="00F70762"/>
    <w:rsid w:val="00F721CA"/>
    <w:rsid w:val="00F72655"/>
    <w:rsid w:val="00F72660"/>
    <w:rsid w:val="00F73B9F"/>
    <w:rsid w:val="00F740A0"/>
    <w:rsid w:val="00F74801"/>
    <w:rsid w:val="00F74AE7"/>
    <w:rsid w:val="00F74C5A"/>
    <w:rsid w:val="00F76B6A"/>
    <w:rsid w:val="00F76C17"/>
    <w:rsid w:val="00F779B1"/>
    <w:rsid w:val="00F80F83"/>
    <w:rsid w:val="00F81011"/>
    <w:rsid w:val="00F81B08"/>
    <w:rsid w:val="00F81BDE"/>
    <w:rsid w:val="00F8258B"/>
    <w:rsid w:val="00F82614"/>
    <w:rsid w:val="00F826C1"/>
    <w:rsid w:val="00F828EE"/>
    <w:rsid w:val="00F83970"/>
    <w:rsid w:val="00F84018"/>
    <w:rsid w:val="00F84B09"/>
    <w:rsid w:val="00F84B5A"/>
    <w:rsid w:val="00F84B93"/>
    <w:rsid w:val="00F84D11"/>
    <w:rsid w:val="00F855B5"/>
    <w:rsid w:val="00F858B5"/>
    <w:rsid w:val="00F85FF6"/>
    <w:rsid w:val="00F868C1"/>
    <w:rsid w:val="00F87A66"/>
    <w:rsid w:val="00F87CBF"/>
    <w:rsid w:val="00F90206"/>
    <w:rsid w:val="00F9230A"/>
    <w:rsid w:val="00F92626"/>
    <w:rsid w:val="00F9285A"/>
    <w:rsid w:val="00F92B52"/>
    <w:rsid w:val="00F93BBC"/>
    <w:rsid w:val="00F94F5F"/>
    <w:rsid w:val="00F958C2"/>
    <w:rsid w:val="00F95F56"/>
    <w:rsid w:val="00F96137"/>
    <w:rsid w:val="00F9644D"/>
    <w:rsid w:val="00F97296"/>
    <w:rsid w:val="00F979AC"/>
    <w:rsid w:val="00F97DF6"/>
    <w:rsid w:val="00FA0BA0"/>
    <w:rsid w:val="00FA19C1"/>
    <w:rsid w:val="00FA1ED1"/>
    <w:rsid w:val="00FA25EE"/>
    <w:rsid w:val="00FA3B86"/>
    <w:rsid w:val="00FA4969"/>
    <w:rsid w:val="00FA53D7"/>
    <w:rsid w:val="00FA58E1"/>
    <w:rsid w:val="00FA60BD"/>
    <w:rsid w:val="00FA6796"/>
    <w:rsid w:val="00FA7557"/>
    <w:rsid w:val="00FA7558"/>
    <w:rsid w:val="00FA774E"/>
    <w:rsid w:val="00FB12FB"/>
    <w:rsid w:val="00FB1E74"/>
    <w:rsid w:val="00FB2347"/>
    <w:rsid w:val="00FB2D85"/>
    <w:rsid w:val="00FB3108"/>
    <w:rsid w:val="00FB3587"/>
    <w:rsid w:val="00FB3B2E"/>
    <w:rsid w:val="00FB3D97"/>
    <w:rsid w:val="00FB3EE6"/>
    <w:rsid w:val="00FB440B"/>
    <w:rsid w:val="00FB4510"/>
    <w:rsid w:val="00FB4A92"/>
    <w:rsid w:val="00FB56AF"/>
    <w:rsid w:val="00FB5AA2"/>
    <w:rsid w:val="00FB63BC"/>
    <w:rsid w:val="00FB6514"/>
    <w:rsid w:val="00FB6614"/>
    <w:rsid w:val="00FC05C0"/>
    <w:rsid w:val="00FC085D"/>
    <w:rsid w:val="00FC1CE1"/>
    <w:rsid w:val="00FC29E0"/>
    <w:rsid w:val="00FC2B13"/>
    <w:rsid w:val="00FC315E"/>
    <w:rsid w:val="00FC3E96"/>
    <w:rsid w:val="00FC5728"/>
    <w:rsid w:val="00FC572D"/>
    <w:rsid w:val="00FC6714"/>
    <w:rsid w:val="00FC6E87"/>
    <w:rsid w:val="00FC7EBB"/>
    <w:rsid w:val="00FC7F08"/>
    <w:rsid w:val="00FD0FD1"/>
    <w:rsid w:val="00FD106D"/>
    <w:rsid w:val="00FD13AA"/>
    <w:rsid w:val="00FD1975"/>
    <w:rsid w:val="00FD1A3D"/>
    <w:rsid w:val="00FD2191"/>
    <w:rsid w:val="00FD2500"/>
    <w:rsid w:val="00FD266B"/>
    <w:rsid w:val="00FD2B28"/>
    <w:rsid w:val="00FD2D33"/>
    <w:rsid w:val="00FD3580"/>
    <w:rsid w:val="00FD4710"/>
    <w:rsid w:val="00FD5B50"/>
    <w:rsid w:val="00FD6195"/>
    <w:rsid w:val="00FD63FC"/>
    <w:rsid w:val="00FE0670"/>
    <w:rsid w:val="00FE2147"/>
    <w:rsid w:val="00FE219D"/>
    <w:rsid w:val="00FE2620"/>
    <w:rsid w:val="00FE3864"/>
    <w:rsid w:val="00FE3E75"/>
    <w:rsid w:val="00FE4B0E"/>
    <w:rsid w:val="00FE4D6E"/>
    <w:rsid w:val="00FE6349"/>
    <w:rsid w:val="00FE6BFA"/>
    <w:rsid w:val="00FE7282"/>
    <w:rsid w:val="00FE7304"/>
    <w:rsid w:val="00FE79B7"/>
    <w:rsid w:val="00FF0310"/>
    <w:rsid w:val="00FF11DA"/>
    <w:rsid w:val="00FF23DE"/>
    <w:rsid w:val="00FF2792"/>
    <w:rsid w:val="00FF59D0"/>
    <w:rsid w:val="00FF670F"/>
    <w:rsid w:val="00FF72F4"/>
    <w:rsid w:val="00FF7454"/>
    <w:rsid w:val="00FF7ED8"/>
    <w:rsid w:val="01330404"/>
    <w:rsid w:val="01DF58FF"/>
    <w:rsid w:val="01FB5C4F"/>
    <w:rsid w:val="0248546F"/>
    <w:rsid w:val="0256548E"/>
    <w:rsid w:val="02883D21"/>
    <w:rsid w:val="02890D36"/>
    <w:rsid w:val="029370C7"/>
    <w:rsid w:val="02CA11FF"/>
    <w:rsid w:val="02FF41F8"/>
    <w:rsid w:val="0314419D"/>
    <w:rsid w:val="032327D8"/>
    <w:rsid w:val="03933815"/>
    <w:rsid w:val="04335DCA"/>
    <w:rsid w:val="04E24159"/>
    <w:rsid w:val="04E81B1A"/>
    <w:rsid w:val="05097AD0"/>
    <w:rsid w:val="05CC0E93"/>
    <w:rsid w:val="06443FD4"/>
    <w:rsid w:val="06922C55"/>
    <w:rsid w:val="06EE427E"/>
    <w:rsid w:val="070E32C1"/>
    <w:rsid w:val="07277E4A"/>
    <w:rsid w:val="07B039F2"/>
    <w:rsid w:val="08073E22"/>
    <w:rsid w:val="08822685"/>
    <w:rsid w:val="08D97BB9"/>
    <w:rsid w:val="08FA104A"/>
    <w:rsid w:val="08FA57C7"/>
    <w:rsid w:val="091E45B4"/>
    <w:rsid w:val="0933542B"/>
    <w:rsid w:val="09422C4C"/>
    <w:rsid w:val="09AA1547"/>
    <w:rsid w:val="09F96B44"/>
    <w:rsid w:val="0A765FB8"/>
    <w:rsid w:val="0A814349"/>
    <w:rsid w:val="0AA94A66"/>
    <w:rsid w:val="0AF8308E"/>
    <w:rsid w:val="0B6F08F7"/>
    <w:rsid w:val="0BD72DB1"/>
    <w:rsid w:val="0C483CB5"/>
    <w:rsid w:val="0C5F0057"/>
    <w:rsid w:val="0C72663C"/>
    <w:rsid w:val="0D8D654B"/>
    <w:rsid w:val="0D9553DC"/>
    <w:rsid w:val="0DA914DF"/>
    <w:rsid w:val="0E263246"/>
    <w:rsid w:val="0E3015D7"/>
    <w:rsid w:val="0E6A02CB"/>
    <w:rsid w:val="0E6F2744"/>
    <w:rsid w:val="0EA73BA0"/>
    <w:rsid w:val="0EEC2402"/>
    <w:rsid w:val="10147804"/>
    <w:rsid w:val="101500B2"/>
    <w:rsid w:val="102E7D98"/>
    <w:rsid w:val="10507C42"/>
    <w:rsid w:val="10525C37"/>
    <w:rsid w:val="105A7962"/>
    <w:rsid w:val="108968E3"/>
    <w:rsid w:val="109C3C4F"/>
    <w:rsid w:val="10D27F8E"/>
    <w:rsid w:val="115C57C9"/>
    <w:rsid w:val="11AC2EE9"/>
    <w:rsid w:val="11F62C07"/>
    <w:rsid w:val="124F3295"/>
    <w:rsid w:val="12AA447F"/>
    <w:rsid w:val="133A58CB"/>
    <w:rsid w:val="134921CE"/>
    <w:rsid w:val="13737B75"/>
    <w:rsid w:val="13B43E61"/>
    <w:rsid w:val="147719A1"/>
    <w:rsid w:val="148072C1"/>
    <w:rsid w:val="148C1946"/>
    <w:rsid w:val="14B7376E"/>
    <w:rsid w:val="14B8240A"/>
    <w:rsid w:val="154C7218"/>
    <w:rsid w:val="15730679"/>
    <w:rsid w:val="15777179"/>
    <w:rsid w:val="161F36D9"/>
    <w:rsid w:val="172719B3"/>
    <w:rsid w:val="17707100"/>
    <w:rsid w:val="17853822"/>
    <w:rsid w:val="17856795"/>
    <w:rsid w:val="179F0964"/>
    <w:rsid w:val="17E06C0C"/>
    <w:rsid w:val="18071A18"/>
    <w:rsid w:val="18947263"/>
    <w:rsid w:val="18D67A3E"/>
    <w:rsid w:val="196C36C2"/>
    <w:rsid w:val="196C5A40"/>
    <w:rsid w:val="19AB6A2A"/>
    <w:rsid w:val="19C2556A"/>
    <w:rsid w:val="19C41B53"/>
    <w:rsid w:val="1A164B5A"/>
    <w:rsid w:val="1A2608F3"/>
    <w:rsid w:val="1A336B23"/>
    <w:rsid w:val="1B2A271F"/>
    <w:rsid w:val="1B7E3DAE"/>
    <w:rsid w:val="1BCD57AB"/>
    <w:rsid w:val="1BE753BD"/>
    <w:rsid w:val="1C0E1A98"/>
    <w:rsid w:val="1C237A06"/>
    <w:rsid w:val="1C252021"/>
    <w:rsid w:val="1C393AA4"/>
    <w:rsid w:val="1C490289"/>
    <w:rsid w:val="1C6F4FB4"/>
    <w:rsid w:val="1CA6768D"/>
    <w:rsid w:val="1CDB5968"/>
    <w:rsid w:val="1CE417D1"/>
    <w:rsid w:val="1D1F6145"/>
    <w:rsid w:val="1D54432D"/>
    <w:rsid w:val="1D8F69AC"/>
    <w:rsid w:val="1E2D620F"/>
    <w:rsid w:val="1E422931"/>
    <w:rsid w:val="1E5C45CC"/>
    <w:rsid w:val="1F573F7F"/>
    <w:rsid w:val="1F5E4382"/>
    <w:rsid w:val="200F7AB8"/>
    <w:rsid w:val="202D3756"/>
    <w:rsid w:val="20313FC9"/>
    <w:rsid w:val="20621846"/>
    <w:rsid w:val="208244E5"/>
    <w:rsid w:val="20CC67C1"/>
    <w:rsid w:val="20DC5E78"/>
    <w:rsid w:val="210B394C"/>
    <w:rsid w:val="21BD09EA"/>
    <w:rsid w:val="21C734F7"/>
    <w:rsid w:val="21D2510C"/>
    <w:rsid w:val="226650A3"/>
    <w:rsid w:val="227E6D21"/>
    <w:rsid w:val="22851A6B"/>
    <w:rsid w:val="22B60C01"/>
    <w:rsid w:val="231879A1"/>
    <w:rsid w:val="23197D8A"/>
    <w:rsid w:val="23462FA7"/>
    <w:rsid w:val="239A46F7"/>
    <w:rsid w:val="2411343C"/>
    <w:rsid w:val="249F6523"/>
    <w:rsid w:val="25574A23"/>
    <w:rsid w:val="25B84A72"/>
    <w:rsid w:val="263338DA"/>
    <w:rsid w:val="264B53EC"/>
    <w:rsid w:val="2678274F"/>
    <w:rsid w:val="26CA35AD"/>
    <w:rsid w:val="26F91E7B"/>
    <w:rsid w:val="27022FF6"/>
    <w:rsid w:val="279A2A09"/>
    <w:rsid w:val="28B1694E"/>
    <w:rsid w:val="28BC0562"/>
    <w:rsid w:val="28D00B27"/>
    <w:rsid w:val="293F68E6"/>
    <w:rsid w:val="29747D10"/>
    <w:rsid w:val="297D6669"/>
    <w:rsid w:val="29C86A02"/>
    <w:rsid w:val="2A2D713F"/>
    <w:rsid w:val="2A423861"/>
    <w:rsid w:val="2A5D75B2"/>
    <w:rsid w:val="2A63541A"/>
    <w:rsid w:val="2A8F5EDF"/>
    <w:rsid w:val="2AA73F36"/>
    <w:rsid w:val="2AA84B6D"/>
    <w:rsid w:val="2AB11E8F"/>
    <w:rsid w:val="2ABF0192"/>
    <w:rsid w:val="2AFB6893"/>
    <w:rsid w:val="2B1C6E47"/>
    <w:rsid w:val="2B937D0B"/>
    <w:rsid w:val="2D0E5F45"/>
    <w:rsid w:val="2D6C1D53"/>
    <w:rsid w:val="2DB26785"/>
    <w:rsid w:val="2E1E06B9"/>
    <w:rsid w:val="2EB61B31"/>
    <w:rsid w:val="2EEC1895"/>
    <w:rsid w:val="2EF8259B"/>
    <w:rsid w:val="2F2954D5"/>
    <w:rsid w:val="2F3F27D7"/>
    <w:rsid w:val="2F6241C8"/>
    <w:rsid w:val="2F831EC3"/>
    <w:rsid w:val="2F9959A7"/>
    <w:rsid w:val="2FAF42C8"/>
    <w:rsid w:val="2FD44978"/>
    <w:rsid w:val="2FDE4A00"/>
    <w:rsid w:val="30A957E4"/>
    <w:rsid w:val="30C56DD2"/>
    <w:rsid w:val="30F068D5"/>
    <w:rsid w:val="318556DB"/>
    <w:rsid w:val="3198766B"/>
    <w:rsid w:val="319D0DD6"/>
    <w:rsid w:val="31C74937"/>
    <w:rsid w:val="31F314D0"/>
    <w:rsid w:val="31F55F59"/>
    <w:rsid w:val="32294115"/>
    <w:rsid w:val="32DE1F01"/>
    <w:rsid w:val="331630E9"/>
    <w:rsid w:val="335F6FD7"/>
    <w:rsid w:val="348B76F3"/>
    <w:rsid w:val="34B20B82"/>
    <w:rsid w:val="34C131AF"/>
    <w:rsid w:val="34E87C04"/>
    <w:rsid w:val="35476355"/>
    <w:rsid w:val="356928AF"/>
    <w:rsid w:val="357D0CD9"/>
    <w:rsid w:val="35BC2091"/>
    <w:rsid w:val="35D579E0"/>
    <w:rsid w:val="35F90E99"/>
    <w:rsid w:val="36013D27"/>
    <w:rsid w:val="36025D97"/>
    <w:rsid w:val="36E47B9D"/>
    <w:rsid w:val="38733E42"/>
    <w:rsid w:val="38C2712E"/>
    <w:rsid w:val="39A62C24"/>
    <w:rsid w:val="3A29797A"/>
    <w:rsid w:val="3A3E409C"/>
    <w:rsid w:val="3A5B7D04"/>
    <w:rsid w:val="3B1D351E"/>
    <w:rsid w:val="3B2575DE"/>
    <w:rsid w:val="3B7C2C0B"/>
    <w:rsid w:val="3BC66EAB"/>
    <w:rsid w:val="3BE128EE"/>
    <w:rsid w:val="3C0E122F"/>
    <w:rsid w:val="3C682428"/>
    <w:rsid w:val="3CA0697A"/>
    <w:rsid w:val="3CD742D5"/>
    <w:rsid w:val="3D417B8C"/>
    <w:rsid w:val="3D4C5F1D"/>
    <w:rsid w:val="3DC65968"/>
    <w:rsid w:val="3DF93FBC"/>
    <w:rsid w:val="3E1A5671"/>
    <w:rsid w:val="3E667CEF"/>
    <w:rsid w:val="3EC5576E"/>
    <w:rsid w:val="3ED34AA0"/>
    <w:rsid w:val="3F2A54AE"/>
    <w:rsid w:val="3F6E789D"/>
    <w:rsid w:val="3FE04FF8"/>
    <w:rsid w:val="3FED2FEE"/>
    <w:rsid w:val="3FF22C00"/>
    <w:rsid w:val="40463BE0"/>
    <w:rsid w:val="40B118C6"/>
    <w:rsid w:val="412874F2"/>
    <w:rsid w:val="41965843"/>
    <w:rsid w:val="41A05EB7"/>
    <w:rsid w:val="41D4081A"/>
    <w:rsid w:val="41FD0C19"/>
    <w:rsid w:val="42014C57"/>
    <w:rsid w:val="42161379"/>
    <w:rsid w:val="425828A0"/>
    <w:rsid w:val="42AF6075"/>
    <w:rsid w:val="42B44FC7"/>
    <w:rsid w:val="42CF43AB"/>
    <w:rsid w:val="42EE6E5E"/>
    <w:rsid w:val="43204EC2"/>
    <w:rsid w:val="435D2698"/>
    <w:rsid w:val="43A6660D"/>
    <w:rsid w:val="43C845C3"/>
    <w:rsid w:val="44973C18"/>
    <w:rsid w:val="461E4DC2"/>
    <w:rsid w:val="46206466"/>
    <w:rsid w:val="463D1F7B"/>
    <w:rsid w:val="463E02DC"/>
    <w:rsid w:val="46737A24"/>
    <w:rsid w:val="46CA0433"/>
    <w:rsid w:val="47520E10"/>
    <w:rsid w:val="4775098E"/>
    <w:rsid w:val="47753731"/>
    <w:rsid w:val="48516FB5"/>
    <w:rsid w:val="48B459D5"/>
    <w:rsid w:val="48C01F80"/>
    <w:rsid w:val="49272DE2"/>
    <w:rsid w:val="49497D40"/>
    <w:rsid w:val="4A053FE3"/>
    <w:rsid w:val="4A9216E3"/>
    <w:rsid w:val="4AE820F1"/>
    <w:rsid w:val="4B315D69"/>
    <w:rsid w:val="4BE76618"/>
    <w:rsid w:val="4CC72CAB"/>
    <w:rsid w:val="4D2C7DCB"/>
    <w:rsid w:val="4DBB0B83"/>
    <w:rsid w:val="4E6138C4"/>
    <w:rsid w:val="4E634927"/>
    <w:rsid w:val="4ED85BEA"/>
    <w:rsid w:val="4F105D44"/>
    <w:rsid w:val="4F355850"/>
    <w:rsid w:val="4F5C4B3F"/>
    <w:rsid w:val="4F8B14B0"/>
    <w:rsid w:val="4FB671CF"/>
    <w:rsid w:val="4FFD7F4B"/>
    <w:rsid w:val="501F5F01"/>
    <w:rsid w:val="50BF05A8"/>
    <w:rsid w:val="51190623"/>
    <w:rsid w:val="5133771D"/>
    <w:rsid w:val="51A66A0C"/>
    <w:rsid w:val="52077FA0"/>
    <w:rsid w:val="52580603"/>
    <w:rsid w:val="529F178F"/>
    <w:rsid w:val="52F61E27"/>
    <w:rsid w:val="53372305"/>
    <w:rsid w:val="535316C2"/>
    <w:rsid w:val="53C44BA8"/>
    <w:rsid w:val="53E259A0"/>
    <w:rsid w:val="541909C0"/>
    <w:rsid w:val="545C6276"/>
    <w:rsid w:val="552E0C4B"/>
    <w:rsid w:val="556C60B3"/>
    <w:rsid w:val="55763369"/>
    <w:rsid w:val="561A74D1"/>
    <w:rsid w:val="56D86652"/>
    <w:rsid w:val="57283E0B"/>
    <w:rsid w:val="574A1DC1"/>
    <w:rsid w:val="57C00B06"/>
    <w:rsid w:val="57E52089"/>
    <w:rsid w:val="58021570"/>
    <w:rsid w:val="580E5197"/>
    <w:rsid w:val="5831455A"/>
    <w:rsid w:val="5863030F"/>
    <w:rsid w:val="589A668A"/>
    <w:rsid w:val="58F22B40"/>
    <w:rsid w:val="5906339C"/>
    <w:rsid w:val="592616D2"/>
    <w:rsid w:val="59341B00"/>
    <w:rsid w:val="59523377"/>
    <w:rsid w:val="59DE0E81"/>
    <w:rsid w:val="59F55223"/>
    <w:rsid w:val="59FF35B4"/>
    <w:rsid w:val="5AD444AA"/>
    <w:rsid w:val="5AE470AA"/>
    <w:rsid w:val="5B083FE3"/>
    <w:rsid w:val="5B301727"/>
    <w:rsid w:val="5B415B5C"/>
    <w:rsid w:val="5B5773E8"/>
    <w:rsid w:val="5B5A5DEF"/>
    <w:rsid w:val="5B8422A3"/>
    <w:rsid w:val="5BC56904"/>
    <w:rsid w:val="5C0A6E8C"/>
    <w:rsid w:val="5C8939A2"/>
    <w:rsid w:val="5CEC2D02"/>
    <w:rsid w:val="5D2353DA"/>
    <w:rsid w:val="5E326290"/>
    <w:rsid w:val="5E5C734E"/>
    <w:rsid w:val="5E8072DA"/>
    <w:rsid w:val="5F185A0A"/>
    <w:rsid w:val="5F6D531F"/>
    <w:rsid w:val="5FAE2505"/>
    <w:rsid w:val="5FE20EFF"/>
    <w:rsid w:val="60056797"/>
    <w:rsid w:val="603478AE"/>
    <w:rsid w:val="60D55D8A"/>
    <w:rsid w:val="61094D40"/>
    <w:rsid w:val="614172DE"/>
    <w:rsid w:val="6160574F"/>
    <w:rsid w:val="616F0A88"/>
    <w:rsid w:val="62D95E61"/>
    <w:rsid w:val="63707248"/>
    <w:rsid w:val="63A86B21"/>
    <w:rsid w:val="64A81D34"/>
    <w:rsid w:val="64C2705A"/>
    <w:rsid w:val="6511265D"/>
    <w:rsid w:val="651C4271"/>
    <w:rsid w:val="65A93AD5"/>
    <w:rsid w:val="662B3EC2"/>
    <w:rsid w:val="66606F70"/>
    <w:rsid w:val="66B25BAB"/>
    <w:rsid w:val="6786514B"/>
    <w:rsid w:val="67F55C0F"/>
    <w:rsid w:val="6808013C"/>
    <w:rsid w:val="68490BA5"/>
    <w:rsid w:val="68500CDA"/>
    <w:rsid w:val="6872092B"/>
    <w:rsid w:val="68720D3D"/>
    <w:rsid w:val="68A320F0"/>
    <w:rsid w:val="68C10A03"/>
    <w:rsid w:val="68D23109"/>
    <w:rsid w:val="691702F9"/>
    <w:rsid w:val="692E7F1E"/>
    <w:rsid w:val="69423526"/>
    <w:rsid w:val="69430A4C"/>
    <w:rsid w:val="69586B5E"/>
    <w:rsid w:val="6A242849"/>
    <w:rsid w:val="6A9E3FF1"/>
    <w:rsid w:val="6AA61B9C"/>
    <w:rsid w:val="6AD37EE9"/>
    <w:rsid w:val="6ADF78E5"/>
    <w:rsid w:val="6B0B3C2C"/>
    <w:rsid w:val="6B353ACE"/>
    <w:rsid w:val="6B403D4E"/>
    <w:rsid w:val="6B8D0D02"/>
    <w:rsid w:val="6C7C2B89"/>
    <w:rsid w:val="6CB30AE5"/>
    <w:rsid w:val="6DF523F6"/>
    <w:rsid w:val="6E4C115B"/>
    <w:rsid w:val="6E531DC3"/>
    <w:rsid w:val="6E92338D"/>
    <w:rsid w:val="6EA50F15"/>
    <w:rsid w:val="6F1218C9"/>
    <w:rsid w:val="6F35142D"/>
    <w:rsid w:val="6FB80462"/>
    <w:rsid w:val="6FE10C9C"/>
    <w:rsid w:val="70257F20"/>
    <w:rsid w:val="70375E28"/>
    <w:rsid w:val="70593DDE"/>
    <w:rsid w:val="708505A9"/>
    <w:rsid w:val="70D0654C"/>
    <w:rsid w:val="70EC22C8"/>
    <w:rsid w:val="712E1E4B"/>
    <w:rsid w:val="71693786"/>
    <w:rsid w:val="71CD2FDE"/>
    <w:rsid w:val="72401A80"/>
    <w:rsid w:val="72847405"/>
    <w:rsid w:val="7298562B"/>
    <w:rsid w:val="73047240"/>
    <w:rsid w:val="736E2F25"/>
    <w:rsid w:val="73E46AB8"/>
    <w:rsid w:val="74125278"/>
    <w:rsid w:val="741A021E"/>
    <w:rsid w:val="74556A6B"/>
    <w:rsid w:val="7474619D"/>
    <w:rsid w:val="74DC18EE"/>
    <w:rsid w:val="74FD0C6E"/>
    <w:rsid w:val="753C5A8D"/>
    <w:rsid w:val="75435570"/>
    <w:rsid w:val="75AF679C"/>
    <w:rsid w:val="75D71CD0"/>
    <w:rsid w:val="761F6D59"/>
    <w:rsid w:val="765E373E"/>
    <w:rsid w:val="76912AA8"/>
    <w:rsid w:val="76936197"/>
    <w:rsid w:val="77281327"/>
    <w:rsid w:val="78175E36"/>
    <w:rsid w:val="78825B31"/>
    <w:rsid w:val="78DA438B"/>
    <w:rsid w:val="7A2D6D03"/>
    <w:rsid w:val="7A986F61"/>
    <w:rsid w:val="7AF244C2"/>
    <w:rsid w:val="7B4A666E"/>
    <w:rsid w:val="7B831833"/>
    <w:rsid w:val="7C034870"/>
    <w:rsid w:val="7C8313D5"/>
    <w:rsid w:val="7CB1637A"/>
    <w:rsid w:val="7CDA6256"/>
    <w:rsid w:val="7D0564AB"/>
    <w:rsid w:val="7D5052A6"/>
    <w:rsid w:val="7D5843C2"/>
    <w:rsid w:val="7DAA61E1"/>
    <w:rsid w:val="7DCC458D"/>
    <w:rsid w:val="7DE50961"/>
    <w:rsid w:val="7E467245"/>
    <w:rsid w:val="7E542C37"/>
    <w:rsid w:val="7E813419"/>
    <w:rsid w:val="7E8D09DC"/>
    <w:rsid w:val="7F0204F0"/>
    <w:rsid w:val="7F106C3A"/>
    <w:rsid w:val="7F652AED"/>
    <w:rsid w:val="7FA66625"/>
    <w:rsid w:val="7FAD4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keepLines/>
      <w:spacing w:before="340" w:after="330" w:line="578" w:lineRule="auto"/>
      <w:jc w:val="center"/>
      <w:outlineLvl w:val="0"/>
    </w:pPr>
    <w:rPr>
      <w:rFonts w:eastAsia="仿宋_GB2312"/>
      <w:b/>
      <w:bCs/>
      <w:kern w:val="44"/>
      <w:sz w:val="44"/>
      <w:szCs w:val="44"/>
    </w:rPr>
  </w:style>
  <w:style w:type="paragraph" w:styleId="4">
    <w:name w:val="heading 2"/>
    <w:basedOn w:val="1"/>
    <w:next w:val="1"/>
    <w:link w:val="81"/>
    <w:qFormat/>
    <w:uiPriority w:val="9"/>
    <w:pPr>
      <w:keepNext/>
      <w:keepLines/>
      <w:spacing w:before="260" w:after="260" w:line="400" w:lineRule="exact"/>
      <w:outlineLvl w:val="1"/>
    </w:pPr>
    <w:rPr>
      <w:rFonts w:ascii="Arial" w:hAnsi="Arial" w:eastAsia="黑体"/>
      <w:b/>
      <w:bCs/>
      <w:sz w:val="24"/>
      <w:szCs w:val="32"/>
    </w:rPr>
  </w:style>
  <w:style w:type="paragraph" w:styleId="2">
    <w:name w:val="heading 3"/>
    <w:basedOn w:val="1"/>
    <w:next w:val="1"/>
    <w:link w:val="57"/>
    <w:qFormat/>
    <w:uiPriority w:val="0"/>
    <w:pPr>
      <w:keepNext/>
      <w:keepLines/>
      <w:spacing w:before="260" w:after="260" w:line="416" w:lineRule="auto"/>
      <w:outlineLvl w:val="2"/>
    </w:pPr>
    <w:rPr>
      <w:b/>
      <w:bCs/>
      <w:sz w:val="32"/>
      <w:szCs w:val="32"/>
    </w:rPr>
  </w:style>
  <w:style w:type="paragraph" w:styleId="5">
    <w:name w:val="heading 5"/>
    <w:basedOn w:val="1"/>
    <w:next w:val="6"/>
    <w:link w:val="125"/>
    <w:qFormat/>
    <w:uiPriority w:val="0"/>
    <w:pPr>
      <w:keepNext/>
      <w:keepLines/>
      <w:numPr>
        <w:ilvl w:val="4"/>
        <w:numId w:val="1"/>
      </w:numPr>
      <w:spacing w:before="280" w:after="290" w:line="376" w:lineRule="auto"/>
      <w:outlineLvl w:val="4"/>
    </w:pPr>
    <w:rPr>
      <w:b/>
      <w:sz w:val="28"/>
    </w:rPr>
  </w:style>
  <w:style w:type="paragraph" w:styleId="7">
    <w:name w:val="heading 6"/>
    <w:basedOn w:val="1"/>
    <w:next w:val="6"/>
    <w:link w:val="126"/>
    <w:qFormat/>
    <w:uiPriority w:val="0"/>
    <w:pPr>
      <w:keepNext/>
      <w:keepLines/>
      <w:numPr>
        <w:ilvl w:val="5"/>
        <w:numId w:val="1"/>
      </w:numPr>
      <w:spacing w:before="240" w:after="64" w:line="320" w:lineRule="auto"/>
      <w:outlineLvl w:val="5"/>
    </w:pPr>
    <w:rPr>
      <w:rFonts w:ascii="Arial" w:hAnsi="Arial" w:eastAsia="黑体"/>
      <w:b/>
      <w:sz w:val="24"/>
    </w:rPr>
  </w:style>
  <w:style w:type="paragraph" w:styleId="8">
    <w:name w:val="heading 7"/>
    <w:basedOn w:val="1"/>
    <w:next w:val="6"/>
    <w:link w:val="127"/>
    <w:qFormat/>
    <w:uiPriority w:val="0"/>
    <w:pPr>
      <w:keepNext/>
      <w:keepLines/>
      <w:numPr>
        <w:ilvl w:val="6"/>
        <w:numId w:val="1"/>
      </w:numPr>
      <w:spacing w:before="240" w:after="64" w:line="320" w:lineRule="auto"/>
      <w:outlineLvl w:val="6"/>
    </w:pPr>
    <w:rPr>
      <w:b/>
      <w:sz w:val="24"/>
    </w:rPr>
  </w:style>
  <w:style w:type="paragraph" w:styleId="9">
    <w:name w:val="heading 8"/>
    <w:basedOn w:val="1"/>
    <w:next w:val="6"/>
    <w:link w:val="128"/>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6"/>
    <w:link w:val="129"/>
    <w:qFormat/>
    <w:uiPriority w:val="0"/>
    <w:pPr>
      <w:keepNext/>
      <w:keepLines/>
      <w:numPr>
        <w:ilvl w:val="8"/>
        <w:numId w:val="1"/>
      </w:numPr>
      <w:spacing w:before="240" w:after="64" w:line="320" w:lineRule="auto"/>
      <w:outlineLvl w:val="8"/>
    </w:pPr>
    <w:rPr>
      <w:rFonts w:ascii="Arial" w:hAnsi="Arial" w:eastAsia="黑体"/>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5"/>
    <w:qFormat/>
    <w:uiPriority w:val="0"/>
    <w:pPr>
      <w:ind w:firstLine="420"/>
    </w:pPr>
    <w:rPr>
      <w:szCs w:val="20"/>
    </w:rPr>
  </w:style>
  <w:style w:type="paragraph" w:styleId="11">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2">
    <w:name w:val="caption"/>
    <w:basedOn w:val="1"/>
    <w:next w:val="1"/>
    <w:qFormat/>
    <w:uiPriority w:val="0"/>
    <w:pPr>
      <w:spacing w:before="152" w:after="160"/>
    </w:pPr>
    <w:rPr>
      <w:rFonts w:ascii="Arial" w:hAnsi="Arial" w:eastAsia="黑体" w:cs="Arial"/>
      <w:sz w:val="20"/>
      <w:szCs w:val="20"/>
    </w:rPr>
  </w:style>
  <w:style w:type="paragraph" w:styleId="13">
    <w:name w:val="Document Map"/>
    <w:basedOn w:val="1"/>
    <w:link w:val="130"/>
    <w:qFormat/>
    <w:uiPriority w:val="0"/>
    <w:pPr>
      <w:shd w:val="clear" w:color="auto" w:fill="000080"/>
    </w:pPr>
  </w:style>
  <w:style w:type="paragraph" w:styleId="14">
    <w:name w:val="annotation text"/>
    <w:basedOn w:val="1"/>
    <w:link w:val="71"/>
    <w:qFormat/>
    <w:uiPriority w:val="0"/>
    <w:pPr>
      <w:jc w:val="left"/>
    </w:pPr>
  </w:style>
  <w:style w:type="paragraph" w:styleId="15">
    <w:name w:val="Body Text 3"/>
    <w:basedOn w:val="1"/>
    <w:link w:val="131"/>
    <w:qFormat/>
    <w:uiPriority w:val="0"/>
    <w:pPr>
      <w:spacing w:line="500" w:lineRule="exact"/>
    </w:pPr>
    <w:rPr>
      <w:b/>
      <w:bCs/>
      <w:sz w:val="24"/>
    </w:rPr>
  </w:style>
  <w:style w:type="paragraph" w:styleId="16">
    <w:name w:val="Body Text"/>
    <w:basedOn w:val="1"/>
    <w:next w:val="17"/>
    <w:link w:val="132"/>
    <w:qFormat/>
    <w:uiPriority w:val="0"/>
    <w:pPr>
      <w:spacing w:line="380" w:lineRule="exact"/>
    </w:pPr>
    <w:rPr>
      <w:sz w:val="24"/>
    </w:rPr>
  </w:style>
  <w:style w:type="paragraph" w:styleId="17">
    <w:name w:val="toc 2"/>
    <w:basedOn w:val="1"/>
    <w:next w:val="1"/>
    <w:qFormat/>
    <w:uiPriority w:val="39"/>
    <w:pPr>
      <w:tabs>
        <w:tab w:val="right" w:leader="dot" w:pos="9072"/>
      </w:tabs>
      <w:autoSpaceDE w:val="0"/>
      <w:autoSpaceDN w:val="0"/>
      <w:adjustRightInd w:val="0"/>
      <w:spacing w:line="315" w:lineRule="atLeast"/>
      <w:ind w:left="900"/>
      <w:jc w:val="left"/>
    </w:pPr>
    <w:rPr>
      <w:rFonts w:ascii="宋体" w:hAnsi="宋体"/>
      <w:smallCaps/>
      <w:color w:val="000000"/>
      <w:kern w:val="0"/>
      <w:sz w:val="20"/>
      <w:szCs w:val="20"/>
    </w:rPr>
  </w:style>
  <w:style w:type="paragraph" w:styleId="18">
    <w:name w:val="Body Text Indent"/>
    <w:basedOn w:val="1"/>
    <w:link w:val="64"/>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1"/>
      </w:numPr>
    </w:pPr>
  </w:style>
  <w:style w:type="paragraph" w:styleId="20">
    <w:name w:val="List 2"/>
    <w:basedOn w:val="1"/>
    <w:qFormat/>
    <w:uiPriority w:val="0"/>
    <w:pPr>
      <w:ind w:left="100" w:leftChars="200" w:hanging="200" w:hangingChars="200"/>
    </w:pPr>
    <w:rPr>
      <w:sz w:val="28"/>
    </w:rPr>
  </w:style>
  <w:style w:type="paragraph" w:styleId="21">
    <w:name w:val="Plain Text"/>
    <w:basedOn w:val="1"/>
    <w:link w:val="51"/>
    <w:qFormat/>
    <w:uiPriority w:val="0"/>
    <w:rPr>
      <w:rFonts w:ascii="宋体" w:hAnsi="Courier New" w:cs="Courier New"/>
      <w:szCs w:val="21"/>
    </w:rPr>
  </w:style>
  <w:style w:type="paragraph" w:styleId="22">
    <w:name w:val="Date"/>
    <w:basedOn w:val="1"/>
    <w:next w:val="1"/>
    <w:link w:val="133"/>
    <w:qFormat/>
    <w:uiPriority w:val="0"/>
    <w:pPr>
      <w:ind w:left="100" w:leftChars="2500"/>
    </w:pPr>
    <w:rPr>
      <w:rFonts w:ascii="宋体" w:hAnsi="Courier New" w:cs="Courier New"/>
      <w:szCs w:val="21"/>
    </w:rPr>
  </w:style>
  <w:style w:type="paragraph" w:styleId="23">
    <w:name w:val="Body Text Indent 2"/>
    <w:basedOn w:val="1"/>
    <w:link w:val="134"/>
    <w:qFormat/>
    <w:uiPriority w:val="0"/>
    <w:pPr>
      <w:ind w:firstLine="630"/>
    </w:pPr>
    <w:rPr>
      <w:sz w:val="32"/>
      <w:szCs w:val="20"/>
    </w:rPr>
  </w:style>
  <w:style w:type="paragraph" w:styleId="24">
    <w:name w:val="Balloon Text"/>
    <w:basedOn w:val="1"/>
    <w:link w:val="70"/>
    <w:qFormat/>
    <w:uiPriority w:val="0"/>
    <w:rPr>
      <w:sz w:val="18"/>
      <w:szCs w:val="18"/>
      <w:lang w:val="zh-CN"/>
    </w:rPr>
  </w:style>
  <w:style w:type="paragraph" w:styleId="25">
    <w:name w:val="footer"/>
    <w:basedOn w:val="1"/>
    <w:next w:val="1"/>
    <w:link w:val="66"/>
    <w:qFormat/>
    <w:uiPriority w:val="99"/>
    <w:pPr>
      <w:tabs>
        <w:tab w:val="center" w:pos="4153"/>
        <w:tab w:val="right" w:pos="8306"/>
      </w:tabs>
      <w:snapToGrid w:val="0"/>
      <w:jc w:val="left"/>
    </w:pPr>
    <w:rPr>
      <w:sz w:val="18"/>
      <w:szCs w:val="18"/>
      <w:lang w:val="zh-CN"/>
    </w:rPr>
  </w:style>
  <w:style w:type="paragraph" w:styleId="26">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Subtitle"/>
    <w:basedOn w:val="1"/>
    <w:next w:val="1"/>
    <w:link w:val="69"/>
    <w:qFormat/>
    <w:uiPriority w:val="0"/>
    <w:pPr>
      <w:spacing w:line="312" w:lineRule="auto"/>
      <w:ind w:left="200" w:leftChars="200"/>
      <w:jc w:val="left"/>
      <w:outlineLvl w:val="1"/>
    </w:pPr>
    <w:rPr>
      <w:rFonts w:ascii="Cambria" w:hAnsi="Cambria"/>
      <w:b/>
      <w:bCs/>
      <w:kern w:val="28"/>
      <w:sz w:val="28"/>
      <w:szCs w:val="32"/>
    </w:rPr>
  </w:style>
  <w:style w:type="paragraph" w:styleId="29">
    <w:name w:val="List"/>
    <w:basedOn w:val="1"/>
    <w:qFormat/>
    <w:uiPriority w:val="0"/>
    <w:pPr>
      <w:ind w:left="200" w:hanging="200" w:hangingChars="200"/>
    </w:pPr>
    <w:rPr>
      <w:sz w:val="28"/>
    </w:rPr>
  </w:style>
  <w:style w:type="paragraph" w:styleId="30">
    <w:name w:val="Body Text Indent 3"/>
    <w:basedOn w:val="1"/>
    <w:link w:val="135"/>
    <w:qFormat/>
    <w:uiPriority w:val="0"/>
    <w:pPr>
      <w:spacing w:after="120"/>
      <w:ind w:left="420" w:leftChars="200"/>
    </w:pPr>
    <w:rPr>
      <w:sz w:val="16"/>
      <w:szCs w:val="16"/>
    </w:rPr>
  </w:style>
  <w:style w:type="paragraph" w:styleId="31">
    <w:name w:val="Body Text 2"/>
    <w:basedOn w:val="1"/>
    <w:link w:val="136"/>
    <w:qFormat/>
    <w:uiPriority w:val="0"/>
    <w:pPr>
      <w:spacing w:after="120" w:line="480" w:lineRule="auto"/>
    </w:pPr>
  </w:style>
  <w:style w:type="paragraph" w:styleId="32">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annotation subject"/>
    <w:basedOn w:val="14"/>
    <w:next w:val="14"/>
    <w:link w:val="82"/>
    <w:qFormat/>
    <w:uiPriority w:val="0"/>
    <w:rPr>
      <w:b/>
      <w:bCs/>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rFonts w:ascii="Times New Roman" w:hAnsi="Times New Roman" w:eastAsia="宋体" w:cs="Times New Roman"/>
      <w:b/>
      <w:bCs/>
    </w:rPr>
  </w:style>
  <w:style w:type="character" w:styleId="39">
    <w:name w:val="page number"/>
    <w:qFormat/>
    <w:uiPriority w:val="0"/>
    <w:rPr>
      <w:rFonts w:ascii="Times New Roman" w:hAnsi="Times New Roman" w:eastAsia="宋体" w:cs="Times New Roman"/>
    </w:rPr>
  </w:style>
  <w:style w:type="character" w:styleId="40">
    <w:name w:val="FollowedHyperlink"/>
    <w:basedOn w:val="37"/>
    <w:semiHidden/>
    <w:unhideWhenUsed/>
    <w:qFormat/>
    <w:uiPriority w:val="99"/>
    <w:rPr>
      <w:color w:val="954F72" w:themeColor="followedHyperlink"/>
      <w:u w:val="single"/>
      <w14:textFill>
        <w14:solidFill>
          <w14:schemeClr w14:val="folHlink"/>
        </w14:solidFill>
      </w14:textFill>
    </w:rPr>
  </w:style>
  <w:style w:type="character" w:styleId="41">
    <w:name w:val="Emphasis"/>
    <w:qFormat/>
    <w:uiPriority w:val="0"/>
    <w:rPr>
      <w:rFonts w:ascii="Times New Roman" w:hAnsi="Times New Roman" w:eastAsia="宋体" w:cs="Times New Roman"/>
      <w:color w:val="CC0033"/>
    </w:rPr>
  </w:style>
  <w:style w:type="character" w:styleId="42">
    <w:name w:val="Hyperlink"/>
    <w:qFormat/>
    <w:uiPriority w:val="99"/>
    <w:rPr>
      <w:rFonts w:ascii="Times New Roman" w:hAnsi="Times New Roman" w:eastAsia="宋体" w:cs="Times New Roman"/>
      <w:color w:val="0000FF"/>
      <w:u w:val="single"/>
    </w:rPr>
  </w:style>
  <w:style w:type="character" w:styleId="43">
    <w:name w:val="annotation reference"/>
    <w:qFormat/>
    <w:uiPriority w:val="0"/>
    <w:rPr>
      <w:rFonts w:ascii="Times New Roman" w:hAnsi="Times New Roman" w:eastAsia="宋体" w:cs="Times New Roman"/>
      <w:sz w:val="21"/>
      <w:szCs w:val="21"/>
    </w:rPr>
  </w:style>
  <w:style w:type="character" w:customStyle="1" w:styleId="44">
    <w:name w:val="font21"/>
    <w:basedOn w:val="37"/>
    <w:qFormat/>
    <w:uiPriority w:val="0"/>
    <w:rPr>
      <w:rFonts w:hint="eastAsia" w:ascii="宋体" w:hAnsi="宋体" w:eastAsia="宋体" w:cs="宋体"/>
      <w:color w:val="000000"/>
      <w:sz w:val="20"/>
      <w:szCs w:val="20"/>
    </w:rPr>
  </w:style>
  <w:style w:type="character" w:customStyle="1" w:styleId="45">
    <w:name w:val="st1"/>
    <w:qFormat/>
    <w:uiPriority w:val="0"/>
    <w:rPr>
      <w:rFonts w:ascii="Times New Roman" w:hAnsi="Times New Roman" w:eastAsia="宋体" w:cs="Times New Roman"/>
    </w:rPr>
  </w:style>
  <w:style w:type="character" w:customStyle="1" w:styleId="46">
    <w:name w:val="标题 1 Char"/>
    <w:link w:val="3"/>
    <w:qFormat/>
    <w:uiPriority w:val="9"/>
    <w:rPr>
      <w:rFonts w:ascii="Times New Roman" w:hAnsi="Times New Roman" w:eastAsia="仿宋_GB2312" w:cs="Times New Roman"/>
      <w:b/>
      <w:bCs/>
      <w:kern w:val="44"/>
      <w:sz w:val="44"/>
      <w:szCs w:val="44"/>
      <w:lang w:val="en-US" w:eastAsia="zh-CN" w:bidi="ar-SA"/>
    </w:rPr>
  </w:style>
  <w:style w:type="character" w:customStyle="1" w:styleId="47">
    <w:name w:val="ca-2"/>
    <w:qFormat/>
    <w:uiPriority w:val="0"/>
    <w:rPr>
      <w:rFonts w:ascii="Times New Roman" w:hAnsi="Times New Roman" w:eastAsia="宋体" w:cs="Times New Roman"/>
    </w:rPr>
  </w:style>
  <w:style w:type="character" w:customStyle="1" w:styleId="48">
    <w:name w:val="H1 Char"/>
    <w:qFormat/>
    <w:uiPriority w:val="0"/>
    <w:rPr>
      <w:rFonts w:ascii="Times New Roman" w:hAnsi="Times New Roman" w:eastAsia="仿宋_GB2312" w:cs="Times New Roman"/>
      <w:b/>
      <w:bCs/>
      <w:kern w:val="44"/>
      <w:sz w:val="44"/>
      <w:szCs w:val="44"/>
      <w:lang w:val="en-US" w:eastAsia="zh-CN" w:bidi="ar-SA"/>
    </w:rPr>
  </w:style>
  <w:style w:type="character" w:customStyle="1" w:styleId="49">
    <w:name w:val="1ji Char"/>
    <w:link w:val="50"/>
    <w:qFormat/>
    <w:uiPriority w:val="0"/>
    <w:rPr>
      <w:rFonts w:ascii="宋体" w:hAnsi="宋体" w:eastAsia="仿宋_GB2312" w:cs="Times New Roman"/>
      <w:b/>
      <w:bCs/>
      <w:kern w:val="44"/>
      <w:sz w:val="36"/>
      <w:szCs w:val="44"/>
      <w:lang w:val="en-US" w:eastAsia="zh-CN" w:bidi="ar-SA"/>
    </w:rPr>
  </w:style>
  <w:style w:type="paragraph" w:customStyle="1" w:styleId="50">
    <w:name w:val="1ji"/>
    <w:basedOn w:val="3"/>
    <w:link w:val="49"/>
    <w:qFormat/>
    <w:uiPriority w:val="0"/>
    <w:pPr>
      <w:keepLines w:val="0"/>
      <w:widowControl/>
      <w:spacing w:before="0" w:after="0" w:line="240" w:lineRule="auto"/>
    </w:pPr>
    <w:rPr>
      <w:rFonts w:ascii="宋体" w:hAnsi="宋体"/>
      <w:sz w:val="36"/>
    </w:rPr>
  </w:style>
  <w:style w:type="character" w:customStyle="1" w:styleId="51">
    <w:name w:val="纯文本 Char"/>
    <w:link w:val="21"/>
    <w:qFormat/>
    <w:uiPriority w:val="0"/>
    <w:rPr>
      <w:rFonts w:ascii="宋体" w:hAnsi="Courier New" w:eastAsia="宋体" w:cs="Courier New"/>
      <w:kern w:val="2"/>
      <w:sz w:val="21"/>
      <w:szCs w:val="21"/>
      <w:lang w:val="en-US" w:eastAsia="zh-CN" w:bidi="ar-SA"/>
    </w:rPr>
  </w:style>
  <w:style w:type="character" w:customStyle="1" w:styleId="52">
    <w:name w:val="font41"/>
    <w:basedOn w:val="37"/>
    <w:qFormat/>
    <w:uiPriority w:val="0"/>
    <w:rPr>
      <w:rFonts w:hint="default" w:ascii="Times New Roman" w:hAnsi="Times New Roman" w:eastAsia="宋体" w:cs="Times New Roman"/>
      <w:color w:val="000000"/>
      <w:sz w:val="20"/>
      <w:szCs w:val="20"/>
    </w:rPr>
  </w:style>
  <w:style w:type="character" w:customStyle="1" w:styleId="53">
    <w:name w:val="font31"/>
    <w:qFormat/>
    <w:uiPriority w:val="0"/>
    <w:rPr>
      <w:rFonts w:hint="default" w:ascii="Times New Roman" w:hAnsi="Times New Roman" w:eastAsia="宋体" w:cs="Times New Roman"/>
      <w:color w:val="000000"/>
      <w:sz w:val="20"/>
      <w:szCs w:val="20"/>
    </w:rPr>
  </w:style>
  <w:style w:type="character" w:customStyle="1" w:styleId="54">
    <w:name w:val="apple-style-span"/>
    <w:qFormat/>
    <w:uiPriority w:val="0"/>
    <w:rPr>
      <w:rFonts w:ascii="Times New Roman" w:hAnsi="Times New Roman" w:eastAsia="宋体" w:cs="Times New Roman"/>
    </w:rPr>
  </w:style>
  <w:style w:type="character" w:customStyle="1" w:styleId="55">
    <w:name w:val="正文缩进 Char"/>
    <w:link w:val="6"/>
    <w:qFormat/>
    <w:uiPriority w:val="0"/>
    <w:rPr>
      <w:rFonts w:ascii="Times New Roman" w:hAnsi="Times New Roman" w:eastAsia="宋体" w:cs="Times New Roman"/>
      <w:kern w:val="2"/>
      <w:sz w:val="21"/>
      <w:lang w:val="en-US" w:eastAsia="zh-CN" w:bidi="ar-SA"/>
    </w:rPr>
  </w:style>
  <w:style w:type="character" w:customStyle="1" w:styleId="56">
    <w:name w:val="font51"/>
    <w:qFormat/>
    <w:uiPriority w:val="0"/>
    <w:rPr>
      <w:rFonts w:hint="default" w:ascii="Times New Roman" w:hAnsi="Times New Roman" w:eastAsia="宋体" w:cs="Times New Roman"/>
      <w:color w:val="000000"/>
      <w:sz w:val="20"/>
      <w:szCs w:val="20"/>
    </w:rPr>
  </w:style>
  <w:style w:type="character" w:customStyle="1" w:styleId="57">
    <w:name w:val="标题 3 Char"/>
    <w:link w:val="2"/>
    <w:qFormat/>
    <w:uiPriority w:val="0"/>
    <w:rPr>
      <w:rFonts w:ascii="Times New Roman" w:hAnsi="Times New Roman" w:eastAsia="宋体" w:cs="Times New Roman"/>
      <w:b/>
      <w:bCs/>
      <w:kern w:val="2"/>
      <w:sz w:val="32"/>
      <w:szCs w:val="32"/>
      <w:lang w:val="en-US" w:eastAsia="zh-CN" w:bidi="ar-SA"/>
    </w:rPr>
  </w:style>
  <w:style w:type="character" w:customStyle="1" w:styleId="58">
    <w:name w:val="apple-converted-space"/>
    <w:qFormat/>
    <w:uiPriority w:val="0"/>
    <w:rPr>
      <w:rFonts w:ascii="Times New Roman" w:hAnsi="Times New Roman" w:eastAsia="宋体" w:cs="Times New Roman"/>
    </w:rPr>
  </w:style>
  <w:style w:type="character" w:customStyle="1" w:styleId="59">
    <w:name w:val="Header Char"/>
    <w:qFormat/>
    <w:uiPriority w:val="0"/>
    <w:rPr>
      <w:rFonts w:ascii="Calibri" w:hAnsi="Calibri" w:eastAsia="宋体" w:cs="Times New Roman"/>
      <w:kern w:val="2"/>
      <w:sz w:val="18"/>
      <w:szCs w:val="18"/>
      <w:lang w:val="en-US" w:eastAsia="zh-CN" w:bidi="ar-SA"/>
    </w:rPr>
  </w:style>
  <w:style w:type="character" w:customStyle="1" w:styleId="60">
    <w:name w:val="Footer Char"/>
    <w:qFormat/>
    <w:uiPriority w:val="0"/>
    <w:rPr>
      <w:rFonts w:ascii="Calibri" w:hAnsi="Calibri" w:eastAsia="宋体" w:cs="Times New Roman"/>
      <w:kern w:val="2"/>
      <w:sz w:val="18"/>
      <w:szCs w:val="18"/>
      <w:lang w:val="en-US" w:eastAsia="zh-CN" w:bidi="ar-SA"/>
    </w:rPr>
  </w:style>
  <w:style w:type="character" w:customStyle="1" w:styleId="61">
    <w:name w:val="Plain Text Char"/>
    <w:qFormat/>
    <w:uiPriority w:val="0"/>
    <w:rPr>
      <w:rFonts w:ascii="宋体" w:hAnsi="Courier New" w:eastAsia="宋体" w:cs="Times New Roman"/>
      <w:lang w:bidi="ar-SA"/>
    </w:rPr>
  </w:style>
  <w:style w:type="character" w:customStyle="1" w:styleId="62">
    <w:name w:val="普通文字 Char Char3"/>
    <w:qFormat/>
    <w:uiPriority w:val="0"/>
    <w:rPr>
      <w:rFonts w:ascii="宋体" w:hAnsi="Times New Roman" w:eastAsia="宋体" w:cs="Courier New"/>
      <w:kern w:val="2"/>
      <w:sz w:val="21"/>
      <w:szCs w:val="21"/>
      <w:lang w:val="en-US" w:eastAsia="zh-CN" w:bidi="ar-SA"/>
    </w:rPr>
  </w:style>
  <w:style w:type="character" w:customStyle="1" w:styleId="63">
    <w:name w:val="样式 正文 +"/>
    <w:qFormat/>
    <w:uiPriority w:val="0"/>
    <w:rPr>
      <w:rFonts w:ascii="Times New Roman" w:hAnsi="Times New Roman" w:eastAsia="宋体" w:cs="Times New Roman"/>
      <w:kern w:val="0"/>
      <w:sz w:val="28"/>
    </w:rPr>
  </w:style>
  <w:style w:type="character" w:customStyle="1" w:styleId="64">
    <w:name w:val="正文文本缩进 Char"/>
    <w:link w:val="18"/>
    <w:qFormat/>
    <w:uiPriority w:val="0"/>
    <w:rPr>
      <w:rFonts w:ascii="仿宋_GB2312" w:hAnsi="Times New Roman" w:eastAsia="仿宋_GB2312" w:cs="Times New Roman"/>
      <w:kern w:val="2"/>
      <w:sz w:val="32"/>
      <w:lang w:val="en-US" w:eastAsia="zh-CN" w:bidi="ar-SA"/>
    </w:rPr>
  </w:style>
  <w:style w:type="character" w:customStyle="1" w:styleId="65">
    <w:name w:val="普通文字 Char Char2"/>
    <w:qFormat/>
    <w:uiPriority w:val="0"/>
    <w:rPr>
      <w:rFonts w:ascii="宋体" w:hAnsi="Courier New" w:eastAsia="宋体" w:cs="Times New Roman"/>
      <w:kern w:val="2"/>
      <w:sz w:val="21"/>
      <w:lang w:val="en-US" w:eastAsia="zh-CN" w:bidi="ar-SA"/>
    </w:rPr>
  </w:style>
  <w:style w:type="character" w:customStyle="1" w:styleId="66">
    <w:name w:val="页脚 Char"/>
    <w:link w:val="25"/>
    <w:qFormat/>
    <w:uiPriority w:val="99"/>
    <w:rPr>
      <w:rFonts w:ascii="Times New Roman" w:hAnsi="Times New Roman" w:eastAsia="宋体" w:cs="Times New Roman"/>
      <w:kern w:val="2"/>
      <w:sz w:val="18"/>
      <w:szCs w:val="18"/>
    </w:rPr>
  </w:style>
  <w:style w:type="character" w:customStyle="1" w:styleId="67">
    <w:name w:val="样式 宋体 小四"/>
    <w:qFormat/>
    <w:uiPriority w:val="0"/>
    <w:rPr>
      <w:rFonts w:ascii="宋体" w:hAnsi="宋体" w:eastAsia="宋体" w:cs="Times New Roman"/>
      <w:sz w:val="24"/>
    </w:rPr>
  </w:style>
  <w:style w:type="character" w:customStyle="1" w:styleId="68">
    <w:name w:val="页眉 Char"/>
    <w:link w:val="26"/>
    <w:qFormat/>
    <w:uiPriority w:val="99"/>
    <w:rPr>
      <w:rFonts w:ascii="Times New Roman" w:hAnsi="Times New Roman" w:eastAsia="宋体" w:cs="Times New Roman"/>
      <w:kern w:val="2"/>
      <w:sz w:val="18"/>
      <w:szCs w:val="18"/>
      <w:lang w:val="en-US" w:eastAsia="zh-CN" w:bidi="ar-SA"/>
    </w:rPr>
  </w:style>
  <w:style w:type="character" w:customStyle="1" w:styleId="69">
    <w:name w:val="副标题 Char"/>
    <w:link w:val="28"/>
    <w:qFormat/>
    <w:uiPriority w:val="0"/>
    <w:rPr>
      <w:rFonts w:ascii="Cambria" w:hAnsi="Cambria" w:eastAsia="宋体" w:cs="Times New Roman"/>
      <w:b/>
      <w:bCs/>
      <w:kern w:val="28"/>
      <w:sz w:val="28"/>
      <w:szCs w:val="32"/>
      <w:lang w:val="en-US" w:eastAsia="zh-CN" w:bidi="ar-SA"/>
    </w:rPr>
  </w:style>
  <w:style w:type="character" w:customStyle="1" w:styleId="70">
    <w:name w:val="批注框文本 Char"/>
    <w:link w:val="24"/>
    <w:qFormat/>
    <w:uiPriority w:val="0"/>
    <w:rPr>
      <w:rFonts w:ascii="Times New Roman" w:hAnsi="Times New Roman" w:eastAsia="宋体" w:cs="Times New Roman"/>
      <w:kern w:val="2"/>
      <w:sz w:val="18"/>
      <w:szCs w:val="18"/>
    </w:rPr>
  </w:style>
  <w:style w:type="character" w:customStyle="1" w:styleId="71">
    <w:name w:val="批注文字 Char"/>
    <w:link w:val="14"/>
    <w:qFormat/>
    <w:uiPriority w:val="0"/>
    <w:rPr>
      <w:rFonts w:ascii="Times New Roman" w:hAnsi="Times New Roman" w:eastAsia="宋体" w:cs="Times New Roman"/>
      <w:kern w:val="2"/>
      <w:sz w:val="21"/>
      <w:szCs w:val="24"/>
      <w:lang w:val="en-US" w:eastAsia="zh-CN" w:bidi="ar-SA"/>
    </w:rPr>
  </w:style>
  <w:style w:type="character" w:customStyle="1" w:styleId="72">
    <w:name w:val="Char Char7"/>
    <w:qFormat/>
    <w:uiPriority w:val="0"/>
    <w:rPr>
      <w:rFonts w:ascii="Times New Roman" w:hAnsi="Times New Roman" w:eastAsia="仿宋_GB2312" w:cs="Times New Roman"/>
      <w:b/>
      <w:bCs/>
      <w:kern w:val="44"/>
      <w:sz w:val="44"/>
      <w:szCs w:val="44"/>
      <w:lang w:val="en-US" w:eastAsia="zh-CN" w:bidi="ar-SA"/>
    </w:rPr>
  </w:style>
  <w:style w:type="character" w:customStyle="1" w:styleId="73">
    <w:name w:val="ca-1"/>
    <w:qFormat/>
    <w:uiPriority w:val="0"/>
    <w:rPr>
      <w:rFonts w:ascii="Times New Roman" w:hAnsi="Times New Roman" w:eastAsia="宋体" w:cs="Times New Roman"/>
    </w:rPr>
  </w:style>
  <w:style w:type="character" w:customStyle="1" w:styleId="74">
    <w:name w:val="正文360首行缩进 Char"/>
    <w:link w:val="75"/>
    <w:qFormat/>
    <w:uiPriority w:val="0"/>
    <w:rPr>
      <w:rFonts w:ascii="Times New Roman" w:hAnsi="Times New Roman" w:eastAsia="宋体" w:cs="Times New Roman"/>
      <w:sz w:val="24"/>
      <w:szCs w:val="24"/>
    </w:rPr>
  </w:style>
  <w:style w:type="paragraph" w:customStyle="1" w:styleId="75">
    <w:name w:val="正文360首行缩进"/>
    <w:basedOn w:val="1"/>
    <w:link w:val="74"/>
    <w:qFormat/>
    <w:uiPriority w:val="0"/>
    <w:pPr>
      <w:widowControl/>
      <w:spacing w:before="120" w:line="300" w:lineRule="auto"/>
      <w:ind w:firstLine="200"/>
      <w:jc w:val="left"/>
    </w:pPr>
    <w:rPr>
      <w:kern w:val="0"/>
      <w:sz w:val="24"/>
    </w:rPr>
  </w:style>
  <w:style w:type="character" w:customStyle="1" w:styleId="76">
    <w:name w:val="List Paragraph Char"/>
    <w:link w:val="77"/>
    <w:qFormat/>
    <w:locked/>
    <w:uiPriority w:val="0"/>
    <w:rPr>
      <w:rFonts w:ascii="宋体" w:hAnsi="宋体" w:cs="宋体"/>
      <w:sz w:val="24"/>
      <w:szCs w:val="24"/>
    </w:rPr>
  </w:style>
  <w:style w:type="paragraph" w:customStyle="1" w:styleId="77">
    <w:name w:val="列表段落1"/>
    <w:basedOn w:val="1"/>
    <w:link w:val="76"/>
    <w:qFormat/>
    <w:uiPriority w:val="0"/>
    <w:pPr>
      <w:widowControl/>
      <w:ind w:firstLine="420" w:firstLineChars="200"/>
      <w:jc w:val="left"/>
    </w:pPr>
    <w:rPr>
      <w:rFonts w:ascii="宋体" w:hAnsi="宋体"/>
      <w:kern w:val="0"/>
      <w:sz w:val="24"/>
      <w:lang w:val="zh-CN"/>
    </w:rPr>
  </w:style>
  <w:style w:type="character" w:customStyle="1" w:styleId="78">
    <w:name w:val="yyii"/>
    <w:qFormat/>
    <w:uiPriority w:val="0"/>
    <w:rPr>
      <w:rFonts w:ascii="Times New Roman" w:hAnsi="Times New Roman" w:eastAsia="宋体" w:cs="Times New Roman"/>
    </w:rPr>
  </w:style>
  <w:style w:type="character" w:customStyle="1" w:styleId="79">
    <w:name w:val="纯文本 Char1"/>
    <w:qFormat/>
    <w:uiPriority w:val="0"/>
    <w:rPr>
      <w:rFonts w:ascii="宋体" w:hAnsi="Courier New" w:eastAsia="宋体" w:cs="Times New Roman"/>
      <w:kern w:val="2"/>
      <w:sz w:val="21"/>
    </w:rPr>
  </w:style>
  <w:style w:type="character" w:customStyle="1" w:styleId="80">
    <w:name w:val="标题 1 Char1"/>
    <w:qFormat/>
    <w:uiPriority w:val="0"/>
    <w:rPr>
      <w:rFonts w:ascii="Times New Roman" w:hAnsi="Times New Roman" w:eastAsia="宋体" w:cs="Times New Roman"/>
      <w:b/>
      <w:bCs/>
      <w:kern w:val="44"/>
      <w:sz w:val="44"/>
      <w:szCs w:val="44"/>
    </w:rPr>
  </w:style>
  <w:style w:type="character" w:customStyle="1" w:styleId="81">
    <w:name w:val="标题 2 Char"/>
    <w:link w:val="4"/>
    <w:qFormat/>
    <w:uiPriority w:val="9"/>
    <w:rPr>
      <w:rFonts w:ascii="Arial" w:hAnsi="Arial" w:eastAsia="黑体"/>
      <w:b/>
      <w:bCs/>
      <w:kern w:val="2"/>
      <w:sz w:val="24"/>
      <w:szCs w:val="32"/>
    </w:rPr>
  </w:style>
  <w:style w:type="character" w:customStyle="1" w:styleId="82">
    <w:name w:val="批注主题 Char"/>
    <w:link w:val="34"/>
    <w:qFormat/>
    <w:uiPriority w:val="0"/>
    <w:rPr>
      <w:rFonts w:ascii="Times New Roman" w:hAnsi="Times New Roman" w:eastAsia="宋体" w:cs="Times New Roman"/>
      <w:b/>
      <w:bCs/>
      <w:kern w:val="2"/>
      <w:sz w:val="21"/>
      <w:szCs w:val="24"/>
      <w:lang w:val="en-US" w:eastAsia="zh-CN" w:bidi="ar-SA"/>
    </w:rPr>
  </w:style>
  <w:style w:type="paragraph" w:customStyle="1" w:styleId="83">
    <w:name w:val="目录 11"/>
    <w:basedOn w:val="1"/>
    <w:next w:val="1"/>
    <w:qFormat/>
    <w:uiPriority w:val="39"/>
  </w:style>
  <w:style w:type="paragraph" w:customStyle="1" w:styleId="84">
    <w:name w:val="目录 21"/>
    <w:basedOn w:val="1"/>
    <w:next w:val="1"/>
    <w:qFormat/>
    <w:uiPriority w:val="39"/>
    <w:pPr>
      <w:tabs>
        <w:tab w:val="right" w:leader="dot" w:pos="9402"/>
      </w:tabs>
      <w:ind w:left="718" w:leftChars="200" w:hanging="298" w:hangingChars="142"/>
    </w:pPr>
  </w:style>
  <w:style w:type="paragraph" w:customStyle="1" w:styleId="85">
    <w:name w:val="目录 31"/>
    <w:basedOn w:val="1"/>
    <w:next w:val="1"/>
    <w:qFormat/>
    <w:uiPriority w:val="39"/>
    <w:pPr>
      <w:ind w:left="840" w:leftChars="400"/>
    </w:pPr>
  </w:style>
  <w:style w:type="paragraph" w:customStyle="1" w:styleId="86">
    <w:name w:val="正文首行缩进1"/>
    <w:basedOn w:val="16"/>
    <w:qFormat/>
    <w:uiPriority w:val="0"/>
    <w:pPr>
      <w:spacing w:after="120" w:line="240" w:lineRule="auto"/>
      <w:ind w:firstLine="420" w:firstLineChars="100"/>
    </w:pPr>
    <w:rPr>
      <w:sz w:val="21"/>
    </w:rPr>
  </w:style>
  <w:style w:type="paragraph" w:customStyle="1" w:styleId="87">
    <w:name w:val="Char Char1 Char Char Char Char"/>
    <w:basedOn w:val="13"/>
    <w:qFormat/>
    <w:uiPriority w:val="0"/>
    <w:rPr>
      <w:rFonts w:ascii="Tahoma" w:hAnsi="Tahoma"/>
      <w:sz w:val="24"/>
    </w:rPr>
  </w:style>
  <w:style w:type="paragraph" w:customStyle="1" w:styleId="88">
    <w:name w:val="列出段落1"/>
    <w:basedOn w:val="1"/>
    <w:qFormat/>
    <w:uiPriority w:val="99"/>
    <w:pPr>
      <w:ind w:firstLine="420" w:firstLineChars="200"/>
    </w:pPr>
    <w:rPr>
      <w:rFonts w:ascii="Calibri" w:hAnsi="Calibri"/>
    </w:rPr>
  </w:style>
  <w:style w:type="paragraph" w:customStyle="1" w:styleId="89">
    <w:name w:val="Char Char Char1 Char"/>
    <w:basedOn w:val="13"/>
    <w:qFormat/>
    <w:uiPriority w:val="0"/>
  </w:style>
  <w:style w:type="paragraph" w:customStyle="1" w:styleId="90">
    <w:name w:val="pa-5"/>
    <w:basedOn w:val="1"/>
    <w:qFormat/>
    <w:uiPriority w:val="0"/>
    <w:pPr>
      <w:widowControl/>
      <w:spacing w:before="150" w:after="150"/>
      <w:jc w:val="left"/>
    </w:pPr>
    <w:rPr>
      <w:rFonts w:ascii="宋体" w:hAnsi="宋体" w:cs="宋体"/>
      <w:kern w:val="0"/>
      <w:sz w:val="24"/>
    </w:rPr>
  </w:style>
  <w:style w:type="paragraph" w:customStyle="1" w:styleId="91">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92">
    <w:name w:val="Char Char1 Char Char Char Char1"/>
    <w:basedOn w:val="13"/>
    <w:qFormat/>
    <w:uiPriority w:val="0"/>
    <w:rPr>
      <w:rFonts w:ascii="Tahoma" w:hAnsi="Tahoma"/>
      <w:sz w:val="24"/>
    </w:rPr>
  </w:style>
  <w:style w:type="paragraph" w:customStyle="1" w:styleId="93">
    <w:name w:val="_Style 35"/>
    <w:basedOn w:val="13"/>
    <w:qFormat/>
    <w:uiPriority w:val="0"/>
    <w:pPr>
      <w:widowControl/>
      <w:ind w:firstLine="454"/>
      <w:jc w:val="left"/>
    </w:pPr>
  </w:style>
  <w:style w:type="paragraph" w:customStyle="1" w:styleId="94">
    <w:name w:val="5 Char Char Char Char Char Char Char Char Char Char"/>
    <w:basedOn w:val="1"/>
    <w:qFormat/>
    <w:uiPriority w:val="0"/>
  </w:style>
  <w:style w:type="paragraph" w:customStyle="1" w:styleId="9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96">
    <w:name w:val="Char Char2 Char Char Char Char Char Char Char Char Char Char"/>
    <w:basedOn w:val="1"/>
    <w:qFormat/>
    <w:uiPriority w:val="0"/>
    <w:pPr>
      <w:tabs>
        <w:tab w:val="left" w:pos="360"/>
      </w:tabs>
      <w:spacing w:line="360" w:lineRule="auto"/>
      <w:ind w:left="482" w:firstLine="200" w:firstLineChars="200"/>
    </w:pPr>
  </w:style>
  <w:style w:type="paragraph" w:customStyle="1" w:styleId="97">
    <w:name w:val="默认段落字体 Para Char"/>
    <w:basedOn w:val="1"/>
    <w:qFormat/>
    <w:uiPriority w:val="0"/>
    <w:rPr>
      <w:szCs w:val="20"/>
    </w:rPr>
  </w:style>
  <w:style w:type="paragraph" w:customStyle="1" w:styleId="98">
    <w:name w:val="表格文字"/>
    <w:basedOn w:val="1"/>
    <w:qFormat/>
    <w:uiPriority w:val="0"/>
    <w:pPr>
      <w:spacing w:before="25" w:after="25"/>
      <w:jc w:val="left"/>
    </w:pPr>
    <w:rPr>
      <w:bCs/>
      <w:spacing w:val="10"/>
      <w:kern w:val="0"/>
      <w:sz w:val="24"/>
    </w:rPr>
  </w:style>
  <w:style w:type="paragraph" w:customStyle="1" w:styleId="99">
    <w:name w:val="_Style 7"/>
    <w:basedOn w:val="13"/>
    <w:qFormat/>
    <w:uiPriority w:val="0"/>
  </w:style>
  <w:style w:type="paragraph" w:customStyle="1" w:styleId="100">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默认段落字体 Para Char Char Char Char Char Char Char Char Char1 Char Char Char Char"/>
    <w:basedOn w:val="1"/>
    <w:qFormat/>
    <w:uiPriority w:val="0"/>
    <w:rPr>
      <w:rFonts w:ascii="Tahoma" w:hAnsi="Tahoma"/>
      <w:sz w:val="24"/>
      <w:szCs w:val="20"/>
    </w:rPr>
  </w:style>
  <w:style w:type="paragraph" w:customStyle="1" w:styleId="102">
    <w:name w:val="样式 标题 1 + 居中 段前: 0 磅 段后: 0 磅 行距: 固定值 30 磅"/>
    <w:basedOn w:val="3"/>
    <w:qFormat/>
    <w:uiPriority w:val="0"/>
    <w:pPr>
      <w:spacing w:before="0" w:after="0" w:line="600" w:lineRule="exact"/>
    </w:pPr>
    <w:rPr>
      <w:rFonts w:eastAsia="宋体" w:cs="宋体"/>
      <w:szCs w:val="20"/>
    </w:rPr>
  </w:style>
  <w:style w:type="paragraph" w:customStyle="1" w:styleId="103">
    <w:name w:val="样式 小四 行距: 1.5 倍行距"/>
    <w:basedOn w:val="1"/>
    <w:qFormat/>
    <w:uiPriority w:val="0"/>
    <w:pPr>
      <w:spacing w:line="360" w:lineRule="auto"/>
      <w:ind w:firstLine="480" w:firstLineChars="200"/>
    </w:pPr>
    <w:rPr>
      <w:rFonts w:cs="宋体"/>
      <w:sz w:val="24"/>
      <w:szCs w:val="20"/>
    </w:rPr>
  </w:style>
  <w:style w:type="paragraph" w:customStyle="1" w:styleId="104">
    <w:name w:val="p0"/>
    <w:basedOn w:val="1"/>
    <w:qFormat/>
    <w:uiPriority w:val="0"/>
    <w:pPr>
      <w:widowControl/>
    </w:pPr>
    <w:rPr>
      <w:rFonts w:ascii="宋体" w:hAnsi="宋体" w:cs="宋体"/>
      <w:kern w:val="0"/>
      <w:szCs w:val="21"/>
    </w:rPr>
  </w:style>
  <w:style w:type="paragraph" w:customStyle="1" w:styleId="105">
    <w:name w:val="Char Char Char Char Char Char Char Char Char Char Char Char"/>
    <w:basedOn w:val="1"/>
    <w:qFormat/>
    <w:uiPriority w:val="0"/>
    <w:pPr>
      <w:widowControl/>
      <w:spacing w:after="160" w:line="240" w:lineRule="exact"/>
      <w:jc w:val="left"/>
    </w:pPr>
  </w:style>
  <w:style w:type="paragraph" w:customStyle="1" w:styleId="106">
    <w:name w:val="Char Char Char1 Char1"/>
    <w:basedOn w:val="1"/>
    <w:qFormat/>
    <w:uiPriority w:val="0"/>
    <w:rPr>
      <w:rFonts w:ascii="Calibri" w:hAnsi="Calibri"/>
      <w:szCs w:val="22"/>
    </w:rPr>
  </w:style>
  <w:style w:type="paragraph" w:customStyle="1" w:styleId="107">
    <w:name w:val="Char Char Char Char Char Char Char"/>
    <w:basedOn w:val="1"/>
    <w:qFormat/>
    <w:uiPriority w:val="0"/>
  </w:style>
  <w:style w:type="paragraph" w:customStyle="1" w:styleId="108">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09">
    <w:name w:val="样式 正文2 + 仿宋 黑色 首行缩进:  2 字符"/>
    <w:basedOn w:val="1"/>
    <w:qFormat/>
    <w:uiPriority w:val="0"/>
    <w:pPr>
      <w:spacing w:line="360" w:lineRule="auto"/>
      <w:ind w:firstLine="480" w:firstLineChars="200"/>
    </w:pPr>
    <w:rPr>
      <w:rFonts w:ascii="仿宋" w:hAnsi="仿宋" w:eastAsia="仿宋" w:cs="宋体"/>
      <w:color w:val="000000"/>
      <w:sz w:val="24"/>
      <w:szCs w:val="20"/>
    </w:rPr>
  </w:style>
  <w:style w:type="paragraph" w:customStyle="1" w:styleId="110">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2">
    <w:name w:val="Char"/>
    <w:basedOn w:val="13"/>
    <w:qFormat/>
    <w:uiPriority w:val="0"/>
    <w:pPr>
      <w:widowControl/>
      <w:ind w:firstLine="454"/>
      <w:jc w:val="left"/>
    </w:pPr>
    <w:rPr>
      <w:rFonts w:ascii="Tahoma" w:hAnsi="Tahoma" w:cs="宋体"/>
      <w:kern w:val="0"/>
      <w:sz w:val="24"/>
      <w:szCs w:val="20"/>
    </w:rPr>
  </w:style>
  <w:style w:type="paragraph" w:customStyle="1" w:styleId="113">
    <w:name w:val="Char1"/>
    <w:basedOn w:val="13"/>
    <w:qFormat/>
    <w:uiPriority w:val="0"/>
    <w:pPr>
      <w:widowControl/>
      <w:ind w:firstLine="454"/>
      <w:jc w:val="left"/>
    </w:pPr>
    <w:rPr>
      <w:rFonts w:ascii="Tahoma" w:hAnsi="Tahoma" w:cs="宋体"/>
      <w:kern w:val="0"/>
      <w:sz w:val="24"/>
      <w:szCs w:val="20"/>
    </w:rPr>
  </w:style>
  <w:style w:type="paragraph" w:customStyle="1" w:styleId="114">
    <w:name w:val="1"/>
    <w:basedOn w:val="1"/>
    <w:next w:val="21"/>
    <w:qFormat/>
    <w:uiPriority w:val="0"/>
    <w:rPr>
      <w:rFonts w:ascii="宋体" w:hAnsi="Courier New"/>
      <w:szCs w:val="20"/>
    </w:rPr>
  </w:style>
  <w:style w:type="paragraph" w:customStyle="1" w:styleId="115">
    <w:name w:val="_Style 2"/>
    <w:basedOn w:val="1"/>
    <w:qFormat/>
    <w:uiPriority w:val="0"/>
    <w:pPr>
      <w:ind w:firstLine="420" w:firstLineChars="200"/>
    </w:pPr>
  </w:style>
  <w:style w:type="paragraph" w:customStyle="1" w:styleId="116">
    <w:name w:val="正文段"/>
    <w:basedOn w:val="1"/>
    <w:qFormat/>
    <w:uiPriority w:val="0"/>
    <w:pPr>
      <w:widowControl/>
      <w:snapToGrid w:val="0"/>
      <w:spacing w:after="156" w:afterLines="50"/>
      <w:ind w:firstLine="200" w:firstLineChars="200"/>
    </w:pPr>
    <w:rPr>
      <w:kern w:val="0"/>
      <w:sz w:val="24"/>
      <w:szCs w:val="20"/>
    </w:rPr>
  </w:style>
  <w:style w:type="paragraph" w:customStyle="1" w:styleId="117">
    <w:name w:val="列出段落2"/>
    <w:basedOn w:val="1"/>
    <w:qFormat/>
    <w:uiPriority w:val="34"/>
    <w:pPr>
      <w:ind w:firstLine="420" w:firstLineChars="200"/>
    </w:pPr>
    <w:rPr>
      <w:rFonts w:ascii="Calibri" w:hAnsi="Calibri"/>
      <w:szCs w:val="22"/>
    </w:rPr>
  </w:style>
  <w:style w:type="paragraph" w:styleId="118">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9">
    <w:name w:val="未处理的提及1"/>
    <w:basedOn w:val="37"/>
    <w:semiHidden/>
    <w:unhideWhenUsed/>
    <w:qFormat/>
    <w:uiPriority w:val="99"/>
    <w:rPr>
      <w:color w:val="605E5C"/>
      <w:shd w:val="clear" w:color="auto" w:fill="E1DFDD"/>
    </w:rPr>
  </w:style>
  <w:style w:type="character" w:customStyle="1" w:styleId="120">
    <w:name w:val="font81"/>
    <w:basedOn w:val="37"/>
    <w:qFormat/>
    <w:uiPriority w:val="0"/>
    <w:rPr>
      <w:rFonts w:hint="eastAsia" w:ascii="宋体" w:hAnsi="宋体" w:eastAsia="宋体" w:cs="宋体"/>
      <w:color w:val="000000"/>
      <w:sz w:val="18"/>
      <w:szCs w:val="18"/>
      <w:u w:val="none"/>
    </w:rPr>
  </w:style>
  <w:style w:type="paragraph" w:styleId="121">
    <w:name w:val="List Paragraph"/>
    <w:basedOn w:val="1"/>
    <w:qFormat/>
    <w:uiPriority w:val="34"/>
    <w:pPr>
      <w:ind w:firstLine="420" w:firstLineChars="200"/>
    </w:pPr>
  </w:style>
  <w:style w:type="character" w:customStyle="1" w:styleId="122">
    <w:name w:val="Unresolved Mention"/>
    <w:basedOn w:val="37"/>
    <w:semiHidden/>
    <w:unhideWhenUsed/>
    <w:qFormat/>
    <w:uiPriority w:val="99"/>
    <w:rPr>
      <w:color w:val="605E5C"/>
      <w:shd w:val="clear" w:color="auto" w:fill="E1DFDD"/>
    </w:rPr>
  </w:style>
  <w:style w:type="character" w:customStyle="1" w:styleId="123">
    <w:name w:val="纯文本 字符1"/>
    <w:qFormat/>
    <w:uiPriority w:val="0"/>
    <w:rPr>
      <w:rFonts w:ascii="宋体" w:hAnsi="Courier New" w:eastAsia="宋体" w:cs="Courier New"/>
      <w:kern w:val="2"/>
      <w:sz w:val="21"/>
      <w:szCs w:val="21"/>
      <w:lang w:val="en-US" w:eastAsia="zh-CN" w:bidi="ar-SA"/>
    </w:rPr>
  </w:style>
  <w:style w:type="paragraph" w:customStyle="1" w:styleId="124">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25">
    <w:name w:val="标题 5 Char"/>
    <w:basedOn w:val="37"/>
    <w:link w:val="5"/>
    <w:qFormat/>
    <w:uiPriority w:val="0"/>
    <w:rPr>
      <w:b/>
      <w:kern w:val="2"/>
      <w:sz w:val="28"/>
      <w:szCs w:val="24"/>
    </w:rPr>
  </w:style>
  <w:style w:type="character" w:customStyle="1" w:styleId="126">
    <w:name w:val="标题 6 Char"/>
    <w:basedOn w:val="37"/>
    <w:link w:val="7"/>
    <w:qFormat/>
    <w:uiPriority w:val="0"/>
    <w:rPr>
      <w:rFonts w:ascii="Arial" w:hAnsi="Arial" w:eastAsia="黑体"/>
      <w:b/>
      <w:kern w:val="2"/>
      <w:sz w:val="24"/>
      <w:szCs w:val="24"/>
    </w:rPr>
  </w:style>
  <w:style w:type="character" w:customStyle="1" w:styleId="127">
    <w:name w:val="标题 7 Char"/>
    <w:basedOn w:val="37"/>
    <w:link w:val="8"/>
    <w:qFormat/>
    <w:uiPriority w:val="0"/>
    <w:rPr>
      <w:b/>
      <w:kern w:val="2"/>
      <w:sz w:val="24"/>
      <w:szCs w:val="24"/>
    </w:rPr>
  </w:style>
  <w:style w:type="character" w:customStyle="1" w:styleId="128">
    <w:name w:val="标题 8 Char"/>
    <w:basedOn w:val="37"/>
    <w:link w:val="9"/>
    <w:qFormat/>
    <w:uiPriority w:val="0"/>
    <w:rPr>
      <w:rFonts w:ascii="Arial" w:hAnsi="Arial" w:eastAsia="黑体"/>
      <w:kern w:val="2"/>
      <w:sz w:val="24"/>
      <w:szCs w:val="24"/>
    </w:rPr>
  </w:style>
  <w:style w:type="character" w:customStyle="1" w:styleId="129">
    <w:name w:val="标题 9 Char"/>
    <w:basedOn w:val="37"/>
    <w:link w:val="10"/>
    <w:qFormat/>
    <w:uiPriority w:val="0"/>
    <w:rPr>
      <w:rFonts w:ascii="Arial" w:hAnsi="Arial" w:eastAsia="黑体"/>
      <w:kern w:val="2"/>
      <w:sz w:val="21"/>
      <w:szCs w:val="24"/>
    </w:rPr>
  </w:style>
  <w:style w:type="character" w:customStyle="1" w:styleId="130">
    <w:name w:val="文档结构图 Char"/>
    <w:basedOn w:val="37"/>
    <w:link w:val="13"/>
    <w:qFormat/>
    <w:uiPriority w:val="0"/>
    <w:rPr>
      <w:kern w:val="2"/>
      <w:sz w:val="21"/>
      <w:szCs w:val="24"/>
      <w:shd w:val="clear" w:color="auto" w:fill="000080"/>
    </w:rPr>
  </w:style>
  <w:style w:type="character" w:customStyle="1" w:styleId="131">
    <w:name w:val="正文文本 3 Char"/>
    <w:basedOn w:val="37"/>
    <w:link w:val="15"/>
    <w:qFormat/>
    <w:uiPriority w:val="0"/>
    <w:rPr>
      <w:b/>
      <w:bCs/>
      <w:kern w:val="2"/>
      <w:sz w:val="24"/>
      <w:szCs w:val="24"/>
    </w:rPr>
  </w:style>
  <w:style w:type="character" w:customStyle="1" w:styleId="132">
    <w:name w:val="正文文本 Char"/>
    <w:basedOn w:val="37"/>
    <w:link w:val="16"/>
    <w:qFormat/>
    <w:uiPriority w:val="0"/>
    <w:rPr>
      <w:kern w:val="2"/>
      <w:sz w:val="24"/>
      <w:szCs w:val="24"/>
    </w:rPr>
  </w:style>
  <w:style w:type="character" w:customStyle="1" w:styleId="133">
    <w:name w:val="日期 Char"/>
    <w:basedOn w:val="37"/>
    <w:link w:val="22"/>
    <w:qFormat/>
    <w:uiPriority w:val="0"/>
    <w:rPr>
      <w:rFonts w:ascii="宋体" w:hAnsi="Courier New" w:cs="Courier New"/>
      <w:kern w:val="2"/>
      <w:sz w:val="21"/>
      <w:szCs w:val="21"/>
    </w:rPr>
  </w:style>
  <w:style w:type="character" w:customStyle="1" w:styleId="134">
    <w:name w:val="正文文本缩进 2 Char"/>
    <w:basedOn w:val="37"/>
    <w:link w:val="23"/>
    <w:qFormat/>
    <w:uiPriority w:val="0"/>
    <w:rPr>
      <w:kern w:val="2"/>
      <w:sz w:val="32"/>
    </w:rPr>
  </w:style>
  <w:style w:type="character" w:customStyle="1" w:styleId="135">
    <w:name w:val="正文文本缩进 3 Char"/>
    <w:basedOn w:val="37"/>
    <w:link w:val="30"/>
    <w:qFormat/>
    <w:uiPriority w:val="0"/>
    <w:rPr>
      <w:kern w:val="2"/>
      <w:sz w:val="16"/>
      <w:szCs w:val="16"/>
    </w:rPr>
  </w:style>
  <w:style w:type="character" w:customStyle="1" w:styleId="136">
    <w:name w:val="正文文本 2 Char"/>
    <w:basedOn w:val="37"/>
    <w:link w:val="31"/>
    <w:qFormat/>
    <w:uiPriority w:val="0"/>
    <w:rPr>
      <w:kern w:val="2"/>
      <w:sz w:val="21"/>
      <w:szCs w:val="24"/>
    </w:rPr>
  </w:style>
  <w:style w:type="character" w:customStyle="1" w:styleId="137">
    <w:name w:val="HTML 预设格式 Char"/>
    <w:basedOn w:val="37"/>
    <w:link w:val="32"/>
    <w:qFormat/>
    <w:uiPriority w:val="0"/>
    <w:rPr>
      <w:rFonts w:ascii="宋体" w:hAnsi="宋体" w:cs="宋体"/>
      <w:sz w:val="24"/>
      <w:szCs w:val="24"/>
    </w:rPr>
  </w:style>
  <w:style w:type="paragraph" w:customStyle="1" w:styleId="138">
    <w:name w:val="Default"/>
    <w:next w:val="22"/>
    <w:qFormat/>
    <w:uiPriority w:val="0"/>
    <w:pPr>
      <w:widowControl w:val="0"/>
      <w:autoSpaceDE w:val="0"/>
      <w:autoSpaceDN w:val="0"/>
      <w:adjustRightInd w:val="0"/>
      <w:spacing w:line="400" w:lineRule="exact"/>
      <w:ind w:firstLine="200" w:firstLineChars="200"/>
      <w:jc w:val="both"/>
    </w:pPr>
    <w:rPr>
      <w:rFonts w:ascii="宋体" w:hAnsi="Times New Roman" w:eastAsia="宋体" w:cs="宋体"/>
      <w:color w:val="000000"/>
      <w:sz w:val="24"/>
      <w:szCs w:val="24"/>
      <w:lang w:val="en-US" w:eastAsia="zh-CN" w:bidi="ar-SA"/>
    </w:rPr>
  </w:style>
  <w:style w:type="character" w:customStyle="1" w:styleId="139">
    <w:name w:val="font11"/>
    <w:basedOn w:val="3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6405</Words>
  <Characters>36509</Characters>
  <Lines>304</Lines>
  <Paragraphs>85</Paragraphs>
  <TotalTime>0</TotalTime>
  <ScaleCrop>false</ScaleCrop>
  <LinksUpToDate>false</LinksUpToDate>
  <CharactersWithSpaces>42829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2025-03-12T06:25:00Z</dcterms:created>
  <dc:creator>Huang Qian</dc:creator>
  <cp:lastModifiedBy>Lenovo</cp:lastModifiedBy>
  <cp:lastPrinted>2025-12-18T02:45:00Z</cp:lastPrinted>
  <dcterms:modified xsi:type="dcterms:W3CDTF">2026-01-06T06:38:47Z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C3F13AC0341A4325A10D1FDF513F5BA9</vt:lpwstr>
  </property>
  <property fmtid="{D5CDD505-2E9C-101B-9397-08002B2CF9AE}" pid="4" name="KSOTemplateDocerSaveRecord">
    <vt:lpwstr>eyJoZGlkIjoiYTI4OGY0ZDY4YTYzYzlmMTkyNjk2NTZmZjQ1YTExMGIiLCJ1c2VySWQiOiI0NDcxNTM5NjQifQ==</vt:lpwstr>
  </property>
</Properties>
</file>