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4C7B">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2E72EBCB">
      <w:pPr>
        <w:pStyle w:val="12"/>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09CC9946">
      <w:pPr>
        <w:pStyle w:val="12"/>
        <w:tabs>
          <w:tab w:val="left" w:pos="7854"/>
        </w:tabs>
        <w:rPr>
          <w:rFonts w:hint="eastAsia" w:ascii="方正小标宋简体" w:hAnsi="方正小标宋简体" w:eastAsia="方正小标宋简体" w:cs="方正小标宋简体"/>
          <w:color w:val="auto"/>
          <w:sz w:val="20"/>
          <w:highlight w:val="none"/>
        </w:rPr>
      </w:pPr>
    </w:p>
    <w:p w14:paraId="0920D3B2">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4B660F28">
      <w:pPr>
        <w:pStyle w:val="47"/>
        <w:rPr>
          <w:rFonts w:hint="eastAsia" w:ascii="方正小标宋简体" w:hAnsi="方正小标宋简体" w:eastAsia="方正小标宋简体" w:cs="方正小标宋简体"/>
          <w:color w:val="auto"/>
          <w:sz w:val="72"/>
          <w:highlight w:val="none"/>
        </w:rPr>
      </w:pPr>
    </w:p>
    <w:p w14:paraId="256053EA">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7B7FFE70">
      <w:pPr>
        <w:pStyle w:val="12"/>
        <w:rPr>
          <w:rFonts w:hint="eastAsia" w:ascii="方正小标宋简体" w:hAnsi="方正小标宋简体" w:eastAsia="方正小标宋简体" w:cs="方正小标宋简体"/>
          <w:color w:val="auto"/>
          <w:sz w:val="68"/>
          <w:highlight w:val="none"/>
        </w:rPr>
      </w:pPr>
    </w:p>
    <w:p w14:paraId="785104FF">
      <w:pPr>
        <w:pStyle w:val="27"/>
        <w:rPr>
          <w:rFonts w:hint="eastAsia" w:ascii="方正小标宋简体" w:hAnsi="方正小标宋简体" w:eastAsia="方正小标宋简体" w:cs="方正小标宋简体"/>
          <w:color w:val="auto"/>
          <w:sz w:val="68"/>
          <w:highlight w:val="none"/>
        </w:rPr>
      </w:pPr>
    </w:p>
    <w:p w14:paraId="5739A3A5">
      <w:pPr>
        <w:rPr>
          <w:color w:val="auto"/>
          <w:highlight w:val="none"/>
        </w:rPr>
      </w:pPr>
    </w:p>
    <w:p w14:paraId="5947D844">
      <w:pPr>
        <w:pStyle w:val="12"/>
        <w:rPr>
          <w:rFonts w:hint="eastAsia" w:ascii="方正小标宋简体" w:hAnsi="方正小标宋简体" w:eastAsia="方正小标宋简体" w:cs="方正小标宋简体"/>
          <w:color w:val="auto"/>
          <w:sz w:val="20"/>
          <w:highlight w:val="none"/>
        </w:rPr>
      </w:pPr>
    </w:p>
    <w:p w14:paraId="3440950D">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浦北县江城街道办事处木麻根社区冲口安置地配电工程项目</w:t>
      </w:r>
    </w:p>
    <w:p w14:paraId="2CA2E03A">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QZZC2025-C2-220263-GXRS</w:t>
      </w:r>
    </w:p>
    <w:p w14:paraId="7F80D600">
      <w:pPr>
        <w:rPr>
          <w:color w:val="auto"/>
          <w:highlight w:val="none"/>
        </w:rPr>
      </w:pPr>
    </w:p>
    <w:p w14:paraId="0C9EC267">
      <w:pPr>
        <w:pStyle w:val="12"/>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3360;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41949B65">
      <w:pPr>
        <w:pStyle w:val="12"/>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2336"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2336;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浦北县江城街道办事处</w:t>
      </w:r>
    </w:p>
    <w:p w14:paraId="7D1A5172">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75B387DC">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2025年</w:t>
      </w:r>
      <w:r>
        <w:rPr>
          <w:rFonts w:hint="eastAsia" w:ascii="宋体" w:hAnsi="宋体" w:cs="宋体"/>
          <w:color w:val="auto"/>
          <w:sz w:val="32"/>
          <w:szCs w:val="32"/>
          <w:highlight w:val="none"/>
          <w:lang w:val="en-US" w:eastAsia="zh-CN"/>
        </w:rPr>
        <w:t>12</w:t>
      </w:r>
      <w:r>
        <w:rPr>
          <w:rFonts w:hint="eastAsia" w:ascii="宋体" w:hAnsi="宋体" w:cs="宋体"/>
          <w:color w:val="auto"/>
          <w:sz w:val="32"/>
          <w:szCs w:val="32"/>
          <w:highlight w:val="none"/>
        </w:rPr>
        <w:t>月</w:t>
      </w:r>
    </w:p>
    <w:p w14:paraId="036FF01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785A9538">
      <w:pPr>
        <w:pStyle w:val="47"/>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61B70A4">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25BD219D">
          <w:pPr>
            <w:pStyle w:val="21"/>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3BF5C4D">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F44CEC3">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DBCF20B">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9E7CB7">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2367D3">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52E057">
          <w:pPr>
            <w:pStyle w:val="21"/>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2756FE1">
          <w:pPr>
            <w:pStyle w:val="21"/>
            <w:tabs>
              <w:tab w:val="right" w:leader="dot" w:pos="9799"/>
            </w:tabs>
            <w:spacing w:line="360" w:lineRule="auto"/>
            <w:rPr>
              <w:color w:val="auto"/>
              <w:sz w:val="20"/>
              <w:szCs w:val="22"/>
              <w:highlight w:val="none"/>
            </w:rPr>
          </w:pPr>
        </w:p>
        <w:p w14:paraId="3E51D165">
          <w:pPr>
            <w:pStyle w:val="21"/>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3DAF48B">
      <w:pPr>
        <w:pStyle w:val="12"/>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61E46511">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bookmarkStart w:id="574" w:name="_GoBack"/>
      <w:bookmarkEnd w:id="574"/>
    </w:p>
    <w:p w14:paraId="12061E96">
      <w:pPr>
        <w:pStyle w:val="4"/>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0FD01911">
      <w:pPr>
        <w:spacing w:after="156" w:afterLines="50" w:line="460" w:lineRule="exact"/>
        <w:jc w:val="center"/>
        <w:rPr>
          <w:color w:val="auto"/>
          <w:sz w:val="30"/>
          <w:szCs w:val="30"/>
          <w:highlight w:val="none"/>
        </w:rPr>
      </w:pPr>
      <w:r>
        <w:rPr>
          <w:rFonts w:hint="eastAsia" w:ascii="宋体" w:hAnsi="宋体"/>
          <w:b/>
          <w:color w:val="auto"/>
          <w:sz w:val="30"/>
          <w:szCs w:val="30"/>
          <w:highlight w:val="none"/>
        </w:rPr>
        <w:t>广西荣胜项目管理有限公司关于</w:t>
      </w:r>
      <w:bookmarkStart w:id="3" w:name="_Toc2948"/>
      <w:r>
        <w:rPr>
          <w:rFonts w:hint="eastAsia" w:ascii="宋体" w:hAnsi="宋体"/>
          <w:b/>
          <w:color w:val="auto"/>
          <w:sz w:val="30"/>
          <w:szCs w:val="30"/>
          <w:highlight w:val="none"/>
          <w:lang w:eastAsia="zh-CN"/>
        </w:rPr>
        <w:t>浦北县江城街道办事处木麻根社区冲口安置地配电工程项目</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QZZC2025-C2-220263-GXRS</w:t>
      </w:r>
      <w:r>
        <w:rPr>
          <w:rFonts w:hint="eastAsia" w:ascii="宋体" w:hAnsi="宋体"/>
          <w:b/>
          <w:color w:val="auto"/>
          <w:sz w:val="30"/>
          <w:szCs w:val="30"/>
          <w:highlight w:val="none"/>
        </w:rPr>
        <w:t>）竞争性磋商公告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A8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D5E59F9">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67AE7328">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浦北县江城街道办事处木麻根社区冲口安置地配电工程项目</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1"/>
                <w:rFonts w:hint="eastAsia" w:ascii="宋体" w:hAnsi="宋体" w:cs="宋体"/>
                <w:color w:val="auto"/>
                <w:szCs w:val="21"/>
                <w:highlight w:val="none"/>
              </w:rPr>
              <w:t>https://www.gcy.zfcg.gxzf.gov.cn/）获取</w:t>
            </w:r>
            <w:r>
              <w:rPr>
                <w:rStyle w:val="41"/>
                <w:rFonts w:hint="eastAsia" w:ascii="宋体" w:hAnsi="宋体" w:cs="宋体"/>
                <w:color w:val="auto"/>
                <w:highlight w:val="none"/>
              </w:rPr>
              <w:t>采购文件</w:t>
            </w:r>
            <w:r>
              <w:rPr>
                <w:rStyle w:val="41"/>
                <w:rFonts w:hint="eastAsia" w:ascii="宋体" w:hAnsi="宋体" w:cs="宋体"/>
                <w:color w:val="auto"/>
                <w:szCs w:val="21"/>
                <w:highlight w:val="none"/>
              </w:rPr>
              <w:t>，并于2025年</w:t>
            </w:r>
            <w:r>
              <w:rPr>
                <w:rStyle w:val="41"/>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3EF69942">
      <w:pPr>
        <w:pStyle w:val="5"/>
        <w:spacing w:line="360" w:lineRule="auto"/>
        <w:ind w:firstLine="422" w:firstLineChars="200"/>
        <w:rPr>
          <w:rFonts w:hint="eastAsia" w:ascii="宋体" w:hAnsi="宋体" w:eastAsia="宋体" w:cs="宋体"/>
          <w:bCs w:val="0"/>
          <w:color w:val="auto"/>
          <w:sz w:val="21"/>
          <w:szCs w:val="21"/>
          <w:highlight w:val="none"/>
        </w:rPr>
      </w:pPr>
      <w:bookmarkStart w:id="4" w:name="_Toc28359089"/>
      <w:bookmarkStart w:id="5" w:name="_Toc31859"/>
      <w:bookmarkStart w:id="6" w:name="_Toc28359012"/>
      <w:bookmarkStart w:id="7" w:name="_Toc9324"/>
      <w:bookmarkStart w:id="8" w:name="_Toc35393798"/>
      <w:bookmarkStart w:id="9" w:name="_Toc35393629"/>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15625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QZZC2025-C2-220263-GXRS</w:t>
      </w:r>
      <w:r>
        <w:rPr>
          <w:rFonts w:hint="eastAsia" w:ascii="宋体" w:hAnsi="宋体" w:cs="宋体"/>
          <w:color w:val="auto"/>
          <w:szCs w:val="21"/>
          <w:highlight w:val="none"/>
        </w:rPr>
        <w:t xml:space="preserve"> </w:t>
      </w:r>
    </w:p>
    <w:p w14:paraId="78B985F7">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浦北县江城街道办事处木麻根社区冲口安置地配电工程项目</w:t>
      </w:r>
    </w:p>
    <w:p w14:paraId="00554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62A59D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预算总金额（元）：871000.00元</w:t>
      </w:r>
    </w:p>
    <w:p w14:paraId="069DA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68D3965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浦北县江城街道办事处木麻根社区冲口安置地配电工程项目</w:t>
      </w:r>
    </w:p>
    <w:p w14:paraId="183C1E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557BBD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预算金额（元）：871000.00元</w:t>
      </w:r>
    </w:p>
    <w:p w14:paraId="2E25A7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p>
    <w:p w14:paraId="65EBD1A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10kV：</w:t>
      </w:r>
    </w:p>
    <w:p w14:paraId="431B5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1、组立12m电杆10基。其中12米大拔稍电杆4基。大拔稍电杆基础4座。拉线4组。安装隔离开关3组，真空断路器1套，避雷器2组，接地挂环1组，无功频防雷装置2组。</w:t>
      </w:r>
    </w:p>
    <w:p w14:paraId="1BE249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2、安装630kVA美式箱变2台，基础两座，接地网2组.</w:t>
      </w:r>
    </w:p>
    <w:p w14:paraId="385856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3、新建10kV架空导线JKLGYJ-70/3×0.6km；敷设10kV电缆FYZA-YJV22-8.7/15kV-3×70/40m；新建3×70mm ²电缆头4套。电缆井2套。</w:t>
      </w:r>
    </w:p>
    <w:p w14:paraId="0679833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400V：</w:t>
      </w:r>
    </w:p>
    <w:p w14:paraId="26AA8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1、敷设400V电缆ZA-YJV22-0.6/1kV-4×300/80m；新建4×300mm²电缆头8套。一层两列CPVC-φ185×8.5/10m（路径）。</w:t>
      </w:r>
    </w:p>
    <w:p w14:paraId="070F4EDF">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2、组立10m电杆11基。新建0.4kV架空导线JKLYJ-240/4×0.45km；拉线3组。</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土质比例:普通土:100%架空线路地形比例:平地:100%架空线路运距:人力运距:0.1km,汽车运距:2km"</w:t>
      </w:r>
      <w:r>
        <w:rPr>
          <w:rFonts w:hint="eastAsia" w:ascii="宋体" w:hAnsi="宋体" w:cs="宋体"/>
          <w:color w:val="auto"/>
          <w:szCs w:val="21"/>
          <w:highlight w:val="none"/>
        </w:rPr>
        <w:tab/>
      </w:r>
      <w:r>
        <w:rPr>
          <w:rFonts w:hint="eastAsia" w:ascii="宋体" w:hAnsi="宋体" w:cs="宋体"/>
          <w:color w:val="auto"/>
          <w:szCs w:val="21"/>
          <w:highlight w:val="none"/>
          <w:lang w:eastAsia="zh-CN"/>
        </w:rPr>
        <w:t>，具体详见竞争性磋商文件、工程量清单及图纸。</w:t>
      </w:r>
    </w:p>
    <w:p w14:paraId="715183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851881.00</w:t>
      </w:r>
      <w:r>
        <w:rPr>
          <w:rFonts w:hint="eastAsia" w:ascii="宋体" w:hAnsi="宋体" w:cs="宋体"/>
          <w:color w:val="auto"/>
          <w:szCs w:val="21"/>
          <w:highlight w:val="none"/>
        </w:rPr>
        <w:t>元</w:t>
      </w:r>
    </w:p>
    <w:p w14:paraId="5F3356F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eastAsia="zh-CN"/>
        </w:rPr>
        <w:t>20日历天</w:t>
      </w:r>
    </w:p>
    <w:p w14:paraId="4F9BD9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290473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2ABCA44A">
      <w:pPr>
        <w:pStyle w:val="5"/>
        <w:spacing w:line="360" w:lineRule="auto"/>
        <w:ind w:firstLine="422" w:firstLineChars="200"/>
        <w:rPr>
          <w:rFonts w:hint="eastAsia" w:ascii="宋体" w:hAnsi="宋体" w:eastAsia="宋体" w:cs="宋体"/>
          <w:bCs w:val="0"/>
          <w:color w:val="auto"/>
          <w:sz w:val="21"/>
          <w:szCs w:val="21"/>
          <w:highlight w:val="none"/>
        </w:rPr>
      </w:pPr>
      <w:bookmarkStart w:id="10" w:name="_Toc28359013"/>
      <w:bookmarkStart w:id="11" w:name="_Toc35393630"/>
      <w:bookmarkStart w:id="12" w:name="_Toc21513"/>
      <w:bookmarkStart w:id="13" w:name="_Toc28359090"/>
      <w:bookmarkStart w:id="14" w:name="_Toc35393799"/>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21F763D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2ABD97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466FC120">
      <w:pPr>
        <w:pStyle w:val="12"/>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bookmarkStart w:id="17" w:name="_Toc35393631"/>
      <w:bookmarkStart w:id="18" w:name="_Toc13777"/>
      <w:bookmarkStart w:id="19" w:name="_Toc9125"/>
      <w:bookmarkStart w:id="20" w:name="_Toc35393800"/>
    </w:p>
    <w:p w14:paraId="4850D233">
      <w:pPr>
        <w:pStyle w:val="12"/>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ascii="宋体" w:hAnsi="宋体" w:eastAsia="宋体" w:cs="Times New Roman"/>
          <w:color w:val="auto"/>
          <w:kern w:val="2"/>
          <w:sz w:val="21"/>
          <w:szCs w:val="21"/>
          <w:highlight w:val="none"/>
          <w:lang w:val="en-US" w:eastAsia="zh-CN" w:bidi="ar-SA"/>
        </w:rPr>
        <w:t>）本项目供应商企业资质要求具备输变电工程专业承包叁级(含）以上资质或电力工程施工总承包叁级(含）以上资质，且具备省级及以上建设行政主管部门颁发的安全生产许可证。并在人员、设备、资金等方面具有相应的施工能力；</w:t>
      </w:r>
      <w:r>
        <w:rPr>
          <w:rFonts w:hint="eastAsia" w:ascii="宋体" w:hAnsi="宋体" w:eastAsia="宋体" w:cs="Times New Roman"/>
          <w:color w:val="auto"/>
          <w:kern w:val="2"/>
          <w:sz w:val="21"/>
          <w:szCs w:val="21"/>
          <w:highlight w:val="none"/>
          <w:lang w:val="en-US" w:eastAsia="zh-CN" w:bidi="ar-SA"/>
        </w:rPr>
        <w:br w:type="textWrapping"/>
      </w:r>
      <w:r>
        <w:rPr>
          <w:rFonts w:hint="eastAsia" w:ascii="宋体" w:hAnsi="宋体" w:eastAsia="宋体" w:cs="Times New Roman"/>
          <w:color w:val="auto"/>
          <w:kern w:val="2"/>
          <w:sz w:val="21"/>
          <w:szCs w:val="21"/>
          <w:highlight w:val="none"/>
          <w:lang w:val="en-US" w:eastAsia="zh-CN" w:bidi="ar-SA"/>
        </w:rPr>
        <w:t xml:space="preserve">    （2）拟投入本工程的项目经理必须具有机电工程专业贰级（含）以上注册建造师执业资格及安全生产考核合格证（B证），</w:t>
      </w:r>
      <w:r>
        <w:rPr>
          <w:rFonts w:hint="eastAsia" w:hAnsi="宋体" w:cs="宋体"/>
          <w:color w:val="auto"/>
          <w:kern w:val="2"/>
          <w:sz w:val="21"/>
          <w:szCs w:val="21"/>
          <w:highlight w:val="none"/>
        </w:rPr>
        <w:t>为供应商的在岗人员，且未担任其他在建项目或已中标未开工项目或已列为项目第一中标候选人项目的项目经理。</w:t>
      </w:r>
    </w:p>
    <w:p w14:paraId="5F9CC5BE">
      <w:pPr>
        <w:pStyle w:val="5"/>
        <w:spacing w:line="360" w:lineRule="auto"/>
        <w:ind w:firstLine="422"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1C5AF4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日，每天上午00：00至12：00，下午12：00至23：59（北京时间，法定节假日除外）。</w:t>
      </w:r>
    </w:p>
    <w:p w14:paraId="685CCA8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4AD19E57">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66B44386">
      <w:pPr>
        <w:pStyle w:val="5"/>
        <w:spacing w:line="360" w:lineRule="auto"/>
        <w:ind w:firstLine="422" w:firstLineChars="200"/>
        <w:rPr>
          <w:rFonts w:hint="eastAsia" w:ascii="宋体" w:hAnsi="宋体" w:eastAsia="宋体" w:cs="宋体"/>
          <w:bCs w:val="0"/>
          <w:color w:val="auto"/>
          <w:sz w:val="21"/>
          <w:szCs w:val="21"/>
          <w:highlight w:val="none"/>
        </w:rPr>
      </w:pPr>
      <w:bookmarkStart w:id="21" w:name="_Toc28970"/>
      <w:bookmarkStart w:id="22" w:name="_Toc35393632"/>
      <w:bookmarkStart w:id="23" w:name="_Toc28359015"/>
      <w:bookmarkStart w:id="24" w:name="_Toc18110"/>
      <w:bookmarkStart w:id="25" w:name="_Toc28359092"/>
      <w:bookmarkStart w:id="26" w:name="_Toc35393801"/>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2C8F564E">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11EEB406">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D7CFAD0">
      <w:pPr>
        <w:pStyle w:val="5"/>
        <w:spacing w:line="360" w:lineRule="auto"/>
        <w:ind w:firstLine="422" w:firstLineChars="200"/>
        <w:rPr>
          <w:rFonts w:hint="eastAsia" w:ascii="宋体" w:hAnsi="宋体" w:eastAsia="宋体" w:cs="宋体"/>
          <w:bCs w:val="0"/>
          <w:color w:val="auto"/>
          <w:sz w:val="21"/>
          <w:szCs w:val="21"/>
          <w:highlight w:val="none"/>
        </w:rPr>
      </w:pPr>
      <w:bookmarkStart w:id="27" w:name="_Toc28359093"/>
      <w:bookmarkStart w:id="28" w:name="_Toc3197"/>
      <w:bookmarkStart w:id="29" w:name="_Toc24973"/>
      <w:bookmarkStart w:id="30" w:name="_Toc28359016"/>
      <w:bookmarkStart w:id="31" w:name="_Toc35393633"/>
      <w:bookmarkStart w:id="32" w:name="_Toc35393802"/>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0EAEAC9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E2105EF">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33ED882D">
      <w:pPr>
        <w:pStyle w:val="5"/>
        <w:spacing w:line="360" w:lineRule="auto"/>
        <w:ind w:firstLine="422" w:firstLineChars="200"/>
        <w:rPr>
          <w:rFonts w:hint="eastAsia" w:ascii="宋体" w:hAnsi="宋体" w:eastAsia="宋体" w:cs="宋体"/>
          <w:bCs w:val="0"/>
          <w:color w:val="auto"/>
          <w:sz w:val="21"/>
          <w:szCs w:val="21"/>
          <w:highlight w:val="none"/>
        </w:rPr>
      </w:pPr>
      <w:bookmarkStart w:id="33" w:name="_Toc35393634"/>
      <w:bookmarkStart w:id="34" w:name="_Toc28359017"/>
      <w:bookmarkStart w:id="35" w:name="_Toc28359094"/>
      <w:bookmarkStart w:id="36" w:name="_Toc35393803"/>
      <w:bookmarkStart w:id="37" w:name="_Toc17419"/>
      <w:bookmarkStart w:id="38" w:name="_Toc5452"/>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3A8E04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755C3B17">
      <w:pPr>
        <w:pStyle w:val="5"/>
        <w:spacing w:line="360" w:lineRule="auto"/>
        <w:ind w:firstLine="422" w:firstLineChars="200"/>
        <w:rPr>
          <w:rFonts w:hint="eastAsia" w:ascii="宋体" w:hAnsi="宋体" w:eastAsia="宋体" w:cs="宋体"/>
          <w:bCs w:val="0"/>
          <w:color w:val="auto"/>
          <w:sz w:val="21"/>
          <w:szCs w:val="21"/>
          <w:highlight w:val="none"/>
        </w:rPr>
      </w:pPr>
      <w:bookmarkStart w:id="39" w:name="_Toc26297"/>
      <w:bookmarkStart w:id="40" w:name="_Toc35393804"/>
      <w:bookmarkStart w:id="41" w:name="_Toc35393635"/>
      <w:bookmarkStart w:id="42" w:name="_Toc321"/>
      <w:r>
        <w:rPr>
          <w:rFonts w:hint="eastAsia" w:ascii="宋体" w:hAnsi="宋体" w:eastAsia="宋体" w:cs="宋体"/>
          <w:bCs w:val="0"/>
          <w:color w:val="auto"/>
          <w:sz w:val="21"/>
          <w:szCs w:val="21"/>
          <w:highlight w:val="none"/>
        </w:rPr>
        <w:t>七、其他补充事宜</w:t>
      </w:r>
      <w:bookmarkEnd w:id="39"/>
      <w:bookmarkEnd w:id="40"/>
      <w:bookmarkEnd w:id="41"/>
      <w:bookmarkEnd w:id="42"/>
    </w:p>
    <w:p w14:paraId="6E53C7C8">
      <w:pPr>
        <w:spacing w:line="360" w:lineRule="auto"/>
        <w:ind w:firstLine="420" w:firstLineChars="200"/>
        <w:jc w:val="left"/>
        <w:rPr>
          <w:rFonts w:hint="eastAsia" w:ascii="宋体" w:hAnsi="宋体" w:cs="宋体"/>
          <w:color w:val="auto"/>
          <w:szCs w:val="21"/>
          <w:highlight w:val="none"/>
        </w:rPr>
      </w:pPr>
      <w:bookmarkStart w:id="43" w:name="_Toc35393805"/>
      <w:bookmarkStart w:id="44" w:name="_Toc28359095"/>
      <w:bookmarkStart w:id="45" w:name="_Toc28359018"/>
      <w:bookmarkStart w:id="46" w:name="_Toc35393636"/>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1F24293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94CCEB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22A2DF6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5D6150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795E0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27B824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E5774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5C25C9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0BD98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492F3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44A1D1BB">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0EF7BD3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bidi="ar"/>
        </w:rPr>
        <w:t>监督部门：浦北县政府采购监督管理办公室   联系电话：0777-8314622</w:t>
      </w:r>
    </w:p>
    <w:p w14:paraId="5121B480">
      <w:pPr>
        <w:pStyle w:val="5"/>
        <w:spacing w:line="360" w:lineRule="auto"/>
        <w:ind w:firstLine="422" w:firstLineChars="200"/>
        <w:rPr>
          <w:rFonts w:hint="eastAsia" w:ascii="宋体" w:hAnsi="宋体" w:eastAsia="宋体" w:cs="宋体"/>
          <w:bCs w:val="0"/>
          <w:color w:val="auto"/>
          <w:sz w:val="21"/>
          <w:szCs w:val="21"/>
          <w:highlight w:val="none"/>
        </w:rPr>
      </w:pPr>
      <w:bookmarkStart w:id="47" w:name="_Toc23726"/>
      <w:bookmarkStart w:id="48" w:name="_Toc227"/>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15167914">
      <w:pPr>
        <w:pStyle w:val="5"/>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28359019"/>
      <w:bookmarkStart w:id="50" w:name="_Toc28359096"/>
      <w:bookmarkStart w:id="51" w:name="_Toc35393637"/>
      <w:bookmarkStart w:id="52" w:name="_Toc35393806"/>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A2FC14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浦北县江城街道办事处</w:t>
      </w:r>
      <w:r>
        <w:rPr>
          <w:rFonts w:hint="eastAsia" w:asciiTheme="minorEastAsia" w:hAnsiTheme="minorEastAsia" w:eastAsiaTheme="minorEastAsia" w:cstheme="minorEastAsia"/>
          <w:color w:val="auto"/>
          <w:kern w:val="0"/>
          <w:szCs w:val="21"/>
          <w:highlight w:val="none"/>
        </w:rPr>
        <w:t xml:space="preserve">  </w:t>
      </w:r>
    </w:p>
    <w:p w14:paraId="35172999">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Theme="minorEastAsia" w:hAnsiTheme="minorEastAsia" w:eastAsiaTheme="minorEastAsia" w:cstheme="minorEastAsia"/>
          <w:color w:val="auto"/>
          <w:kern w:val="0"/>
          <w:szCs w:val="21"/>
          <w:highlight w:val="none"/>
          <w:lang w:eastAsia="zh-CN"/>
        </w:rPr>
        <w:t>广西壮族自治区钦州市浦北县江城街道东滨路175号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54A393C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eastAsia="zh-CN"/>
        </w:rPr>
        <w:t>罗祚雄</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2268C77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r>
        <w:rPr>
          <w:rFonts w:hint="eastAsia" w:asciiTheme="minorEastAsia" w:hAnsiTheme="minorEastAsia" w:eastAsiaTheme="minorEastAsia" w:cstheme="minorEastAsia"/>
          <w:color w:val="auto"/>
          <w:kern w:val="0"/>
          <w:szCs w:val="21"/>
          <w:highlight w:val="none"/>
          <w:lang w:val="en-US" w:eastAsia="zh-CN"/>
        </w:rPr>
        <w:t xml:space="preserve">0777-8310810 </w:t>
      </w:r>
      <w:r>
        <w:rPr>
          <w:rFonts w:hint="eastAsia" w:asciiTheme="minorEastAsia" w:hAnsiTheme="minorEastAsia" w:eastAsiaTheme="minorEastAsia" w:cstheme="minorEastAsia"/>
          <w:color w:val="auto"/>
          <w:kern w:val="0"/>
          <w:szCs w:val="21"/>
          <w:highlight w:val="none"/>
        </w:rPr>
        <w:t xml:space="preserve">   </w:t>
      </w:r>
    </w:p>
    <w:p w14:paraId="28B893A5">
      <w:pPr>
        <w:pStyle w:val="5"/>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35393638"/>
      <w:bookmarkStart w:id="54" w:name="_Toc28359020"/>
      <w:bookmarkStart w:id="55" w:name="_Toc28359097"/>
      <w:bookmarkStart w:id="56" w:name="_Toc35393807"/>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C04E700">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731EBE78">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28359021"/>
      <w:bookmarkStart w:id="58" w:name="_Toc35393808"/>
      <w:bookmarkStart w:id="59" w:name="_Toc35393639"/>
      <w:bookmarkStart w:id="60" w:name="_Toc28359098"/>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7D7DE8C4">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66E74A9F">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rPr>
        <w:t>0777-5512166</w:t>
      </w:r>
    </w:p>
    <w:p w14:paraId="52269718">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2D7F4BB0">
      <w:pPr>
        <w:pStyle w:val="12"/>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2025年</w:t>
      </w:r>
      <w:r>
        <w:rPr>
          <w:rFonts w:hint="eastAsia" w:hAnsi="宋体" w:cs="宋体"/>
          <w:color w:val="auto"/>
          <w:kern w:val="2"/>
          <w:sz w:val="21"/>
          <w:szCs w:val="24"/>
          <w:highlight w:val="none"/>
          <w:lang w:val="en-US" w:eastAsia="zh-CN"/>
        </w:rPr>
        <w:t>12</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12</w:t>
      </w:r>
      <w:r>
        <w:rPr>
          <w:rFonts w:hint="eastAsia" w:hAnsi="宋体" w:cs="宋体"/>
          <w:color w:val="auto"/>
          <w:kern w:val="2"/>
          <w:sz w:val="21"/>
          <w:szCs w:val="24"/>
          <w:highlight w:val="none"/>
        </w:rPr>
        <w:t>日</w:t>
      </w:r>
    </w:p>
    <w:p w14:paraId="07875BDC">
      <w:pPr>
        <w:pStyle w:val="47"/>
        <w:rPr>
          <w:rFonts w:hint="eastAsia" w:asciiTheme="minorEastAsia" w:hAnsiTheme="minorEastAsia" w:eastAsiaTheme="minorEastAsia" w:cstheme="minorEastAsia"/>
          <w:color w:val="auto"/>
          <w:szCs w:val="21"/>
          <w:highlight w:val="none"/>
        </w:rPr>
      </w:pPr>
    </w:p>
    <w:p w14:paraId="2C81DD4A">
      <w:pPr>
        <w:pStyle w:val="47"/>
        <w:rPr>
          <w:rFonts w:hint="eastAsia" w:asciiTheme="minorEastAsia" w:hAnsiTheme="minorEastAsia" w:eastAsiaTheme="minorEastAsia" w:cstheme="minorEastAsia"/>
          <w:color w:val="auto"/>
          <w:szCs w:val="21"/>
          <w:highlight w:val="none"/>
        </w:rPr>
      </w:pPr>
    </w:p>
    <w:p w14:paraId="6FF65A77">
      <w:pPr>
        <w:pStyle w:val="47"/>
        <w:rPr>
          <w:rFonts w:hint="eastAsia" w:asciiTheme="minorEastAsia" w:hAnsiTheme="minorEastAsia" w:eastAsiaTheme="minorEastAsia" w:cstheme="minorEastAsia"/>
          <w:color w:val="auto"/>
          <w:szCs w:val="21"/>
          <w:highlight w:val="none"/>
        </w:rPr>
      </w:pPr>
    </w:p>
    <w:p w14:paraId="575C5D06">
      <w:pPr>
        <w:pStyle w:val="47"/>
        <w:rPr>
          <w:rFonts w:hint="eastAsia" w:asciiTheme="minorEastAsia" w:hAnsiTheme="minorEastAsia" w:eastAsiaTheme="minorEastAsia" w:cstheme="minorEastAsia"/>
          <w:color w:val="auto"/>
          <w:szCs w:val="21"/>
          <w:highlight w:val="none"/>
        </w:rPr>
      </w:pPr>
    </w:p>
    <w:p w14:paraId="10FC2941">
      <w:pPr>
        <w:pStyle w:val="47"/>
        <w:rPr>
          <w:rFonts w:hint="eastAsia" w:asciiTheme="minorEastAsia" w:hAnsiTheme="minorEastAsia" w:eastAsiaTheme="minorEastAsia" w:cstheme="minorEastAsia"/>
          <w:color w:val="auto"/>
          <w:szCs w:val="21"/>
          <w:highlight w:val="none"/>
        </w:rPr>
      </w:pPr>
    </w:p>
    <w:p w14:paraId="1C92E69B">
      <w:pPr>
        <w:pStyle w:val="47"/>
        <w:rPr>
          <w:rFonts w:hint="eastAsia" w:asciiTheme="minorEastAsia" w:hAnsiTheme="minorEastAsia" w:eastAsiaTheme="minorEastAsia" w:cstheme="minorEastAsia"/>
          <w:color w:val="auto"/>
          <w:szCs w:val="21"/>
          <w:highlight w:val="none"/>
        </w:rPr>
      </w:pPr>
    </w:p>
    <w:p w14:paraId="2A58F208">
      <w:pPr>
        <w:pStyle w:val="47"/>
        <w:rPr>
          <w:rFonts w:hint="eastAsia" w:asciiTheme="minorEastAsia" w:hAnsiTheme="minorEastAsia" w:eastAsiaTheme="minorEastAsia" w:cstheme="minorEastAsia"/>
          <w:color w:val="auto"/>
          <w:szCs w:val="21"/>
          <w:highlight w:val="none"/>
        </w:rPr>
      </w:pPr>
    </w:p>
    <w:p w14:paraId="0E732EA7">
      <w:pPr>
        <w:pStyle w:val="47"/>
        <w:rPr>
          <w:rFonts w:hint="eastAsia" w:asciiTheme="minorEastAsia" w:hAnsiTheme="minorEastAsia" w:eastAsiaTheme="minorEastAsia" w:cstheme="minorEastAsia"/>
          <w:color w:val="auto"/>
          <w:szCs w:val="21"/>
          <w:highlight w:val="none"/>
        </w:rPr>
      </w:pPr>
    </w:p>
    <w:p w14:paraId="5D327D5D">
      <w:pPr>
        <w:pStyle w:val="47"/>
        <w:rPr>
          <w:rFonts w:hint="eastAsia" w:asciiTheme="minorEastAsia" w:hAnsiTheme="minorEastAsia" w:eastAsiaTheme="minorEastAsia" w:cstheme="minorEastAsia"/>
          <w:color w:val="auto"/>
          <w:szCs w:val="21"/>
          <w:highlight w:val="none"/>
        </w:rPr>
      </w:pPr>
    </w:p>
    <w:p w14:paraId="76005837">
      <w:pPr>
        <w:pStyle w:val="47"/>
        <w:rPr>
          <w:rFonts w:hint="eastAsia" w:asciiTheme="minorEastAsia" w:hAnsiTheme="minorEastAsia" w:eastAsiaTheme="minorEastAsia" w:cstheme="minorEastAsia"/>
          <w:color w:val="auto"/>
          <w:szCs w:val="21"/>
          <w:highlight w:val="none"/>
        </w:rPr>
      </w:pPr>
    </w:p>
    <w:p w14:paraId="6F1A6AE4">
      <w:pPr>
        <w:pStyle w:val="47"/>
        <w:rPr>
          <w:rFonts w:hint="eastAsia" w:asciiTheme="minorEastAsia" w:hAnsiTheme="minorEastAsia" w:eastAsiaTheme="minorEastAsia" w:cstheme="minorEastAsia"/>
          <w:color w:val="auto"/>
          <w:szCs w:val="21"/>
          <w:highlight w:val="none"/>
        </w:rPr>
      </w:pPr>
    </w:p>
    <w:p w14:paraId="4B491370">
      <w:pPr>
        <w:pStyle w:val="47"/>
        <w:rPr>
          <w:rFonts w:hint="eastAsia" w:asciiTheme="minorEastAsia" w:hAnsiTheme="minorEastAsia" w:eastAsiaTheme="minorEastAsia" w:cstheme="minorEastAsia"/>
          <w:color w:val="auto"/>
          <w:szCs w:val="21"/>
          <w:highlight w:val="none"/>
        </w:rPr>
      </w:pPr>
    </w:p>
    <w:p w14:paraId="6CD652DB">
      <w:pPr>
        <w:pStyle w:val="47"/>
        <w:rPr>
          <w:rFonts w:hint="eastAsia" w:asciiTheme="minorEastAsia" w:hAnsiTheme="minorEastAsia" w:eastAsiaTheme="minorEastAsia" w:cstheme="minorEastAsia"/>
          <w:color w:val="auto"/>
          <w:szCs w:val="21"/>
          <w:highlight w:val="none"/>
        </w:rPr>
      </w:pPr>
    </w:p>
    <w:p w14:paraId="7E37F3DA">
      <w:pPr>
        <w:pStyle w:val="47"/>
        <w:rPr>
          <w:rFonts w:hint="eastAsia" w:asciiTheme="minorEastAsia" w:hAnsiTheme="minorEastAsia" w:eastAsiaTheme="minorEastAsia" w:cstheme="minorEastAsia"/>
          <w:color w:val="auto"/>
          <w:szCs w:val="21"/>
          <w:highlight w:val="none"/>
        </w:rPr>
      </w:pPr>
    </w:p>
    <w:p w14:paraId="129ADEB2">
      <w:pPr>
        <w:pStyle w:val="47"/>
        <w:rPr>
          <w:rFonts w:hint="eastAsia" w:asciiTheme="minorEastAsia" w:hAnsiTheme="minorEastAsia" w:eastAsiaTheme="minorEastAsia" w:cstheme="minorEastAsia"/>
          <w:color w:val="auto"/>
          <w:szCs w:val="21"/>
          <w:highlight w:val="none"/>
        </w:rPr>
      </w:pPr>
    </w:p>
    <w:p w14:paraId="5D2016C1">
      <w:pPr>
        <w:pStyle w:val="47"/>
        <w:rPr>
          <w:rFonts w:hint="eastAsia" w:asciiTheme="minorEastAsia" w:hAnsiTheme="minorEastAsia" w:eastAsiaTheme="minorEastAsia" w:cstheme="minorEastAsia"/>
          <w:color w:val="auto"/>
          <w:szCs w:val="21"/>
          <w:highlight w:val="none"/>
        </w:rPr>
      </w:pPr>
    </w:p>
    <w:p w14:paraId="5997F567">
      <w:pPr>
        <w:pStyle w:val="47"/>
        <w:rPr>
          <w:rFonts w:hint="eastAsia" w:asciiTheme="minorEastAsia" w:hAnsiTheme="minorEastAsia" w:eastAsiaTheme="minorEastAsia" w:cstheme="minorEastAsia"/>
          <w:color w:val="auto"/>
          <w:szCs w:val="21"/>
          <w:highlight w:val="none"/>
        </w:rPr>
      </w:pPr>
    </w:p>
    <w:p w14:paraId="0202E993">
      <w:pPr>
        <w:pStyle w:val="47"/>
        <w:rPr>
          <w:rFonts w:hint="eastAsia" w:asciiTheme="minorEastAsia" w:hAnsiTheme="minorEastAsia" w:eastAsiaTheme="minorEastAsia" w:cstheme="minorEastAsia"/>
          <w:color w:val="auto"/>
          <w:szCs w:val="21"/>
          <w:highlight w:val="none"/>
        </w:rPr>
      </w:pPr>
    </w:p>
    <w:p w14:paraId="3C45500A">
      <w:pPr>
        <w:pStyle w:val="47"/>
        <w:rPr>
          <w:rFonts w:hint="eastAsia" w:asciiTheme="minorEastAsia" w:hAnsiTheme="minorEastAsia" w:eastAsiaTheme="minorEastAsia" w:cstheme="minorEastAsia"/>
          <w:color w:val="auto"/>
          <w:szCs w:val="21"/>
          <w:highlight w:val="none"/>
        </w:rPr>
      </w:pPr>
    </w:p>
    <w:p w14:paraId="48A46E8C">
      <w:pPr>
        <w:pStyle w:val="47"/>
        <w:rPr>
          <w:rFonts w:hint="eastAsia" w:asciiTheme="minorEastAsia" w:hAnsiTheme="minorEastAsia" w:eastAsiaTheme="minorEastAsia" w:cstheme="minorEastAsia"/>
          <w:color w:val="auto"/>
          <w:szCs w:val="21"/>
          <w:highlight w:val="none"/>
        </w:rPr>
      </w:pPr>
    </w:p>
    <w:p w14:paraId="482CF49C">
      <w:pPr>
        <w:pStyle w:val="47"/>
        <w:rPr>
          <w:rFonts w:hint="eastAsia" w:asciiTheme="minorEastAsia" w:hAnsiTheme="minorEastAsia" w:eastAsiaTheme="minorEastAsia" w:cstheme="minorEastAsia"/>
          <w:color w:val="auto"/>
          <w:szCs w:val="21"/>
          <w:highlight w:val="none"/>
        </w:rPr>
      </w:pPr>
    </w:p>
    <w:p w14:paraId="61974212">
      <w:pPr>
        <w:pStyle w:val="47"/>
        <w:rPr>
          <w:rFonts w:hint="eastAsia" w:asciiTheme="minorEastAsia" w:hAnsiTheme="minorEastAsia" w:eastAsiaTheme="minorEastAsia" w:cstheme="minorEastAsia"/>
          <w:color w:val="auto"/>
          <w:szCs w:val="21"/>
          <w:highlight w:val="none"/>
        </w:rPr>
      </w:pPr>
    </w:p>
    <w:p w14:paraId="74D5D558">
      <w:pPr>
        <w:pStyle w:val="47"/>
        <w:rPr>
          <w:rFonts w:hint="eastAsia" w:asciiTheme="minorEastAsia" w:hAnsiTheme="minorEastAsia" w:eastAsiaTheme="minorEastAsia" w:cstheme="minorEastAsia"/>
          <w:color w:val="auto"/>
          <w:szCs w:val="21"/>
          <w:highlight w:val="none"/>
        </w:rPr>
      </w:pPr>
    </w:p>
    <w:p w14:paraId="51930A4C">
      <w:pPr>
        <w:pStyle w:val="47"/>
        <w:rPr>
          <w:rFonts w:hint="eastAsia" w:asciiTheme="minorEastAsia" w:hAnsiTheme="minorEastAsia" w:eastAsiaTheme="minorEastAsia" w:cstheme="minorEastAsia"/>
          <w:color w:val="auto"/>
          <w:szCs w:val="21"/>
          <w:highlight w:val="none"/>
        </w:rPr>
      </w:pPr>
    </w:p>
    <w:p w14:paraId="3AF1873A">
      <w:pPr>
        <w:pStyle w:val="47"/>
        <w:rPr>
          <w:rFonts w:hint="eastAsia" w:asciiTheme="minorEastAsia" w:hAnsiTheme="minorEastAsia" w:eastAsiaTheme="minorEastAsia" w:cstheme="minorEastAsia"/>
          <w:color w:val="auto"/>
          <w:szCs w:val="21"/>
          <w:highlight w:val="none"/>
        </w:rPr>
      </w:pPr>
    </w:p>
    <w:p w14:paraId="46507C4B">
      <w:pPr>
        <w:pStyle w:val="47"/>
        <w:rPr>
          <w:rFonts w:hint="eastAsia" w:asciiTheme="minorEastAsia" w:hAnsiTheme="minorEastAsia" w:eastAsiaTheme="minorEastAsia" w:cstheme="minorEastAsia"/>
          <w:color w:val="auto"/>
          <w:szCs w:val="21"/>
          <w:highlight w:val="none"/>
        </w:rPr>
      </w:pPr>
    </w:p>
    <w:p w14:paraId="560AAB5D">
      <w:pPr>
        <w:pStyle w:val="47"/>
        <w:rPr>
          <w:rFonts w:hint="eastAsia" w:asciiTheme="minorEastAsia" w:hAnsiTheme="minorEastAsia" w:eastAsiaTheme="minorEastAsia" w:cstheme="minorEastAsia"/>
          <w:color w:val="auto"/>
          <w:szCs w:val="21"/>
          <w:highlight w:val="none"/>
        </w:rPr>
      </w:pPr>
    </w:p>
    <w:p w14:paraId="01A1B277">
      <w:pPr>
        <w:pStyle w:val="47"/>
        <w:rPr>
          <w:rFonts w:hint="eastAsia" w:asciiTheme="minorEastAsia" w:hAnsiTheme="minorEastAsia" w:eastAsiaTheme="minorEastAsia" w:cstheme="minorEastAsia"/>
          <w:color w:val="auto"/>
          <w:szCs w:val="21"/>
          <w:highlight w:val="none"/>
        </w:rPr>
      </w:pPr>
    </w:p>
    <w:p w14:paraId="0CB52ABB">
      <w:pPr>
        <w:pStyle w:val="47"/>
        <w:rPr>
          <w:rFonts w:hint="eastAsia" w:asciiTheme="minorEastAsia" w:hAnsiTheme="minorEastAsia" w:eastAsiaTheme="minorEastAsia" w:cstheme="minorEastAsia"/>
          <w:color w:val="auto"/>
          <w:szCs w:val="21"/>
          <w:highlight w:val="none"/>
        </w:rPr>
      </w:pPr>
    </w:p>
    <w:p w14:paraId="053DA109">
      <w:pPr>
        <w:pStyle w:val="47"/>
        <w:rPr>
          <w:rFonts w:hint="eastAsia" w:asciiTheme="minorEastAsia" w:hAnsiTheme="minorEastAsia" w:eastAsiaTheme="minorEastAsia" w:cstheme="minorEastAsia"/>
          <w:color w:val="auto"/>
          <w:szCs w:val="21"/>
          <w:highlight w:val="none"/>
        </w:rPr>
      </w:pPr>
    </w:p>
    <w:p w14:paraId="16864DF1">
      <w:pPr>
        <w:pStyle w:val="47"/>
        <w:rPr>
          <w:rFonts w:hint="eastAsia" w:asciiTheme="minorEastAsia" w:hAnsiTheme="minorEastAsia" w:eastAsiaTheme="minorEastAsia" w:cstheme="minorEastAsia"/>
          <w:color w:val="auto"/>
          <w:szCs w:val="21"/>
          <w:highlight w:val="none"/>
        </w:rPr>
      </w:pPr>
    </w:p>
    <w:p w14:paraId="76D7B08F">
      <w:pPr>
        <w:pStyle w:val="47"/>
        <w:rPr>
          <w:rFonts w:hint="eastAsia" w:asciiTheme="minorEastAsia" w:hAnsiTheme="minorEastAsia" w:eastAsiaTheme="minorEastAsia" w:cstheme="minorEastAsia"/>
          <w:color w:val="auto"/>
          <w:szCs w:val="21"/>
          <w:highlight w:val="none"/>
        </w:rPr>
      </w:pPr>
    </w:p>
    <w:p w14:paraId="30524B85">
      <w:pPr>
        <w:pStyle w:val="47"/>
        <w:rPr>
          <w:rFonts w:hint="eastAsia" w:asciiTheme="minorEastAsia" w:hAnsiTheme="minorEastAsia" w:eastAsiaTheme="minorEastAsia" w:cstheme="minorEastAsia"/>
          <w:color w:val="auto"/>
          <w:szCs w:val="21"/>
          <w:highlight w:val="none"/>
        </w:rPr>
      </w:pPr>
    </w:p>
    <w:p w14:paraId="40F55BC5">
      <w:pPr>
        <w:pStyle w:val="47"/>
        <w:rPr>
          <w:rFonts w:hint="eastAsia" w:asciiTheme="minorEastAsia" w:hAnsiTheme="minorEastAsia" w:eastAsiaTheme="minorEastAsia" w:cstheme="minorEastAsia"/>
          <w:color w:val="auto"/>
          <w:szCs w:val="21"/>
          <w:highlight w:val="none"/>
        </w:rPr>
      </w:pPr>
    </w:p>
    <w:p w14:paraId="6522A9B9">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EFB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7DD611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870C9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9FAA0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572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75305C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5B60CA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B36B63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浦北县江城街道办事处木麻根社区冲口安置地配电工程项目</w:t>
            </w:r>
          </w:p>
          <w:p w14:paraId="6CFA3E17">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QZZC2025-C2-220263-GXRS</w:t>
            </w:r>
            <w:r>
              <w:rPr>
                <w:rFonts w:hint="eastAsia" w:ascii="宋体" w:hAnsi="宋体" w:cs="宋体"/>
                <w:color w:val="auto"/>
                <w:szCs w:val="21"/>
                <w:highlight w:val="none"/>
              </w:rPr>
              <w:t xml:space="preserve"> </w:t>
            </w:r>
          </w:p>
        </w:tc>
      </w:tr>
      <w:tr w14:paraId="57B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7006BD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4D9533BB">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6FEE5D7B">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26851BA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5B8222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2A60D411">
            <w:pPr>
              <w:pStyle w:val="12"/>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714C399E">
            <w:pPr>
              <w:pStyle w:val="12"/>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本项目供应商企业资质要求具备输变电工程专业承包叁级(含）以上资质或电力工程施工总承包叁级(含）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机电工程专业贰级（含）以上注册建造师执业资格及安全生产考核合格证（B证），为供应商的在岗人员，且未担任其他在建项目或已中标未开工项目或已列为项目第一中标候选人项目的项目经理。</w:t>
            </w:r>
          </w:p>
          <w:p w14:paraId="262EBA5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69AE8D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6A78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E2F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2F3662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546412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E353594">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7A55418F">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33C10023">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51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04C4B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49FBDD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5E6F6F4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40D80D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42A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3B6D5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78187B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5E43589D">
            <w:pPr>
              <w:pStyle w:val="11"/>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58AB6769">
            <w:pPr>
              <w:pStyle w:val="11"/>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F00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76F3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2F69BF50">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06DD332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F47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EDE54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324CA2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4113AE06">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B07F80B">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6BC38BFE">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47DE92D9">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40B4672C">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63E6E2BE">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2B95721C">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59D0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0AA23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6A29F21C">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639FDF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985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85BC4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63939726">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301A8943">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05109DD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40F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099E2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1A932A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AE0E68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A88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791966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174440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30766EE2">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6394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7715D8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1C2A1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637CF6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61D7817">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678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63A111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3521124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50C647AA">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61B82EDB">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71EA693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b/>
                <w:color w:val="auto"/>
                <w:szCs w:val="21"/>
                <w:highlight w:val="none"/>
              </w:rPr>
              <w:t>（注：履约保证金不超过</w:t>
            </w:r>
            <w:r>
              <w:rPr>
                <w:rFonts w:hint="eastAsia"/>
                <w:b/>
                <w:color w:val="auto"/>
                <w:highlight w:val="none"/>
              </w:rPr>
              <w:t>政府采购合同金额的</w:t>
            </w:r>
            <w:r>
              <w:rPr>
                <w:rFonts w:ascii="宋体" w:hAnsi="宋体" w:cs="宋体"/>
                <w:b/>
                <w:color w:val="auto"/>
                <w:szCs w:val="21"/>
                <w:highlight w:val="none"/>
              </w:rPr>
              <w:t>5</w:t>
            </w:r>
            <w:r>
              <w:rPr>
                <w:rFonts w:hint="eastAsia" w:ascii="宋体" w:hAnsi="宋体" w:cs="宋体"/>
                <w:b/>
                <w:color w:val="auto"/>
                <w:szCs w:val="21"/>
                <w:highlight w:val="none"/>
              </w:rPr>
              <w:t>%，对中小企业收取的履约保证金数额不得超过政府采购合同金额的2%。采购人可根据供应商的资信等情况减免履约保证金。）</w:t>
            </w:r>
          </w:p>
          <w:p w14:paraId="48D24A4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履约保证金提交方式：银行转账、支票、汇票、本票或者银行、保险机构出具的保函、保险单等非现金方式。</w:t>
            </w:r>
          </w:p>
        </w:tc>
      </w:tr>
      <w:tr w14:paraId="2A87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11F127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822F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7C56D71B">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eastAsia="zh-CN"/>
              </w:rPr>
              <w:t>871000</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,最高限价：851881.00元</w:t>
            </w:r>
          </w:p>
        </w:tc>
      </w:tr>
      <w:tr w14:paraId="6FAB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E636A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6FFD0B9">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7EF748A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164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AC692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4EEB90B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3E1AF29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2AD9D40A">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01A85229">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3708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7EC6D0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2C3553D9">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14DE8107">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1A4C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381D7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73CCB64">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2537B3E">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w:t>
            </w:r>
            <w:r>
              <w:rPr>
                <w:rFonts w:hint="eastAsia" w:hAnsi="宋体" w:cs="宋体"/>
                <w:color w:val="auto"/>
                <w:highlight w:val="none"/>
                <w:lang w:eastAsia="zh-CN"/>
              </w:rPr>
              <w:t>，</w:t>
            </w:r>
            <w:r>
              <w:rPr>
                <w:rFonts w:hint="eastAsia" w:hAnsi="宋体" w:cs="宋体"/>
                <w:color w:val="auto"/>
                <w:highlight w:val="none"/>
              </w:rPr>
              <w:t>向成交人计取。成交人在领取成交通知书前，一次性向采购代理机构支付。</w:t>
            </w:r>
          </w:p>
          <w:p w14:paraId="17ABD10B">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798655BE">
            <w:pPr>
              <w:pStyle w:val="14"/>
              <w:snapToGrid w:val="0"/>
              <w:spacing w:line="360" w:lineRule="auto"/>
              <w:rPr>
                <w:rFonts w:hint="eastAsia" w:hAnsi="宋体" w:eastAsia="宋体"/>
                <w:color w:val="auto"/>
                <w:highlight w:val="none"/>
                <w:lang w:eastAsia="zh-CN"/>
              </w:rPr>
            </w:pPr>
            <w:r>
              <w:rPr>
                <w:rFonts w:hint="eastAsia" w:hAnsi="宋体"/>
                <w:color w:val="auto"/>
                <w:highlight w:val="none"/>
              </w:rPr>
              <w:t>开户名称：</w:t>
            </w:r>
            <w:r>
              <w:rPr>
                <w:rFonts w:hint="eastAsia" w:hAnsi="宋体"/>
                <w:color w:val="auto"/>
                <w:highlight w:val="none"/>
                <w:lang w:eastAsia="zh-CN"/>
              </w:rPr>
              <w:t>广西荣胜项目管理有限公司灵山分公司</w:t>
            </w:r>
          </w:p>
          <w:p w14:paraId="1EC32658">
            <w:pPr>
              <w:pStyle w:val="14"/>
              <w:snapToGrid w:val="0"/>
              <w:spacing w:line="360" w:lineRule="auto"/>
              <w:rPr>
                <w:rFonts w:hint="eastAsia" w:hAnsi="宋体" w:eastAsia="宋体"/>
                <w:color w:val="auto"/>
                <w:highlight w:val="none"/>
                <w:lang w:eastAsia="zh-CN"/>
              </w:rPr>
            </w:pPr>
            <w:r>
              <w:rPr>
                <w:rFonts w:hint="eastAsia" w:hAnsi="宋体"/>
                <w:color w:val="auto"/>
                <w:highlight w:val="none"/>
              </w:rPr>
              <w:t>账  号：</w:t>
            </w:r>
            <w:r>
              <w:rPr>
                <w:rFonts w:hint="eastAsia" w:hAnsi="宋体"/>
                <w:color w:val="auto"/>
                <w:highlight w:val="none"/>
                <w:lang w:eastAsia="zh-CN"/>
              </w:rPr>
              <w:t>811712010121967396</w:t>
            </w:r>
          </w:p>
          <w:p w14:paraId="5E6A8251">
            <w:pPr>
              <w:pStyle w:val="14"/>
              <w:snapToGrid w:val="0"/>
              <w:spacing w:line="360" w:lineRule="auto"/>
              <w:rPr>
                <w:rFonts w:hint="eastAsia" w:hAnsi="宋体" w:eastAsia="宋体"/>
                <w:color w:val="auto"/>
                <w:highlight w:val="none"/>
                <w:lang w:eastAsia="zh-CN"/>
              </w:rPr>
            </w:pPr>
            <w:r>
              <w:rPr>
                <w:rFonts w:hint="eastAsia" w:hAnsi="宋体"/>
                <w:color w:val="auto"/>
                <w:highlight w:val="none"/>
              </w:rPr>
              <w:t>开户行：</w:t>
            </w:r>
            <w:r>
              <w:rPr>
                <w:rFonts w:hint="eastAsia" w:hAnsi="宋体"/>
                <w:color w:val="auto"/>
                <w:highlight w:val="none"/>
                <w:lang w:eastAsia="zh-CN"/>
              </w:rPr>
              <w:t>灵山县农村信用合作联社平山信用社</w:t>
            </w:r>
          </w:p>
        </w:tc>
      </w:tr>
      <w:tr w14:paraId="7151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87DB3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096A616F">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512896B2">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1D2A0D6C">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50E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51F8C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065062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54D5FFEC">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0C7F64C">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2409B3A">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38FBCD7">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4C437F">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4C6433B">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44A1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7F2A5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2B0A287">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D57F15A">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1D30182">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6ED9CB5">
            <w:pPr>
              <w:pStyle w:val="2"/>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74E3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E370663">
            <w:pPr>
              <w:spacing w:line="360" w:lineRule="auto"/>
              <w:jc w:val="center"/>
              <w:rPr>
                <w:rFonts w:hint="eastAsia" w:ascii="宋体" w:hAnsi="宋体" w:cs="宋体"/>
                <w:color w:val="auto"/>
                <w:szCs w:val="21"/>
                <w:highlight w:val="none"/>
              </w:rPr>
            </w:pPr>
            <w:bookmarkStart w:id="63" w:name="_Toc8441"/>
            <w:bookmarkStart w:id="64" w:name="_Toc16298"/>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6FFCB42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4C97C16A">
            <w:pPr>
              <w:pStyle w:val="2"/>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62780FA0">
      <w:pPr>
        <w:rPr>
          <w:color w:val="auto"/>
          <w:highlight w:val="none"/>
        </w:rPr>
      </w:pPr>
    </w:p>
    <w:p w14:paraId="32FC58A6">
      <w:pPr>
        <w:pStyle w:val="16"/>
        <w:ind w:left="420"/>
        <w:rPr>
          <w:color w:val="auto"/>
          <w:highlight w:val="none"/>
        </w:rPr>
      </w:pPr>
    </w:p>
    <w:p w14:paraId="15E1A4E2">
      <w:pPr>
        <w:pStyle w:val="4"/>
        <w:spacing w:before="156" w:beforeLines="50" w:after="0" w:line="600" w:lineRule="exact"/>
        <w:jc w:val="center"/>
        <w:rPr>
          <w:rFonts w:hint="eastAsia" w:ascii="宋体" w:hAnsi="宋体" w:cs="宋体"/>
          <w:bCs w:val="0"/>
          <w:color w:val="auto"/>
          <w:sz w:val="32"/>
          <w:szCs w:val="32"/>
          <w:highlight w:val="none"/>
        </w:rPr>
      </w:pPr>
    </w:p>
    <w:p w14:paraId="0C7F3E02">
      <w:pPr>
        <w:rPr>
          <w:color w:val="auto"/>
          <w:highlight w:val="none"/>
        </w:rPr>
        <w:sectPr>
          <w:pgSz w:w="11906" w:h="16838"/>
          <w:pgMar w:top="1247" w:right="1417" w:bottom="1247" w:left="1417" w:header="851" w:footer="992" w:gutter="0"/>
          <w:cols w:space="0" w:num="1"/>
          <w:docGrid w:type="lines" w:linePitch="312" w:charSpace="0"/>
        </w:sectPr>
      </w:pPr>
    </w:p>
    <w:p w14:paraId="087A8648">
      <w:pPr>
        <w:pStyle w:val="4"/>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5F7E2A6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062EB9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992C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7BA2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6516A6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30ED23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476E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30C5F0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4B888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265B0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0DC866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5C04F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44DF2D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0D0CA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2505D9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C783F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5C2DE6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800A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7B2229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68A6B2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E0ACB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5F38B7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1DD2A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3537C7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37F940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7032A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6306DB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19277B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1AAA98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1D9C8F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1A4942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7788C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6ADFE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C0BC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A4FB3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5EAE58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18281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6AAE3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4F796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69463F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46FD47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DAA8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33D8B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B2D1C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4C9AC1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680782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32FA2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74C6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BFD06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4DCA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FB725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0256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610C8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3CDCB2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79AB6CCA">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40796D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D67EC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66D984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41C880C4">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4400C64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6CC475C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47E72C2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0A95E4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337975BC">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55A66E6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CE68610">
      <w:pPr>
        <w:pStyle w:val="1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2B1FE6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617AD472">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4034F760">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（4）投标人财务状况报告：[2024年度]财务状况报告复印件；供应商成立不满一年的应按提供截标之日上一个月的财务状况报告复印件。</w:t>
      </w:r>
    </w:p>
    <w:p w14:paraId="4B02EF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4A9E47E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3538FF06">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669C530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（8）</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162B440A">
      <w:pPr>
        <w:pStyle w:val="12"/>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▲（9）本项目的特定资格要求：</w:t>
      </w:r>
    </w:p>
    <w:p w14:paraId="6B1C33A7">
      <w:pPr>
        <w:pStyle w:val="12"/>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本项目供应商企业资质要求具备输变电工程专业承包叁级(含）以上资质或电力工程施工总承包叁级(含）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机电工程专业贰级（含）以上注册建造师执业资格及安全生产考核合格证（B证），为供应商的在岗人员，且未担任其他在建项目或已中标未开工项目或已列为项目第一中标候选人项目的项目经理。</w:t>
      </w:r>
    </w:p>
    <w:p w14:paraId="1F37578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（10）供应商针对资格证明需要说明的其他证明文件和说明。（格式自拟）</w:t>
      </w:r>
    </w:p>
    <w:p w14:paraId="2924F72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0A2BA19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46E1E2D6">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62C7F73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2C630FA2">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6F5B84D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2504989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3C5E497F">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08365DE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28BD8624">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09CFEC65">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08ACA5F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62672B2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AEF42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37E163F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CC50A3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0E25DA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5D2D67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31DDC3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23A6F4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56EF192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2DA5D9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E86505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11C45B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34F6B45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772011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6BA1B1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3527CC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52DB07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37B6150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5F50DD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3C51F1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EA3E6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60D1850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0E9E9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08B208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10602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EA6E2B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735387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6675B2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4C4400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67C5419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1571E44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4D4FF20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0F05D0A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21D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64125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4C57530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4D19EE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76E115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40862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40AE7F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017079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52E9825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633B27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6F6210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20229F9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B5007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7847BE3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3599BF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4FC279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72B270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4295BF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5F098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7A21CE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7DEF83E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68A493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0CC254C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163C07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17E946F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6B5529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D3492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24D1EE2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24AB2E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563440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D9EE2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36EEB2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113FD8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59538D8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756A6E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0F1B56B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26DB765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4C57AD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5AB106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443D0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4894AD8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0AD0D8B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091707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537A23C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FBA92F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A588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006A685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0D3067F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1511D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680DB4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70E165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1204CF1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5D88A9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5EDB63A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218BA4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44454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722EC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CA0D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F665B9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54D591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2047F27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032D9C85">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07DA534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DB90CF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1F33C94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0BD53A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1A3F039D">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7E7A5E9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378CE9A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33EBA6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7265DE83">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按差额定率累进法，参照《招标代理服务收费管理暂行办法》计价格[2002]1980号文和发改价格[2011]534号工程类标准计算，向成交人计取。成交人在领取成交通知书前，一次性向采购代理机构支付</w:t>
      </w:r>
      <w:r>
        <w:rPr>
          <w:rFonts w:hint="eastAsia" w:hAnsi="宋体" w:cs="宋体"/>
          <w:bCs/>
          <w:color w:val="auto"/>
          <w:highlight w:val="none"/>
        </w:rPr>
        <w:t>。</w:t>
      </w:r>
    </w:p>
    <w:p w14:paraId="4916331D">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355B24A7">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广西荣胜项目管理有限公司灵山分公司</w:t>
      </w:r>
    </w:p>
    <w:p w14:paraId="468C61F1">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811712010121967396</w:t>
      </w:r>
    </w:p>
    <w:p w14:paraId="337FC22B">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开户行：</w:t>
      </w:r>
      <w:r>
        <w:rPr>
          <w:rFonts w:hint="eastAsia" w:hAnsi="宋体" w:cs="宋体"/>
          <w:color w:val="auto"/>
          <w:highlight w:val="none"/>
          <w:lang w:eastAsia="zh-CN"/>
        </w:rPr>
        <w:t>灵山县农村信用合作联社平山信用社</w:t>
      </w:r>
    </w:p>
    <w:p w14:paraId="07317689">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31139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0F9D08E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166BB3C1">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3CDBB62D">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3E8A5A0">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F26DDB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07B7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58BD0DB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67C46F5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75F01D1E">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1799F0CD">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07BF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2B9B774B">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063C450D">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5131BE2A">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7C59452B">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7100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5907CA9A">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1AF4616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2C49254D">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0D28CB00">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7CC8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929048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759ED93F">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A0146E9">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4E0A50C1">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E4E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40BED81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7473AA0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144E2AE1">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15CFC1E6">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0DC9C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BB851E1">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692A0DA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0D5A0B7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275D719">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0EA5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11D3CAB2">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0513DC38">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65F403BE">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5D408117">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71B70E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16B413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156773A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CCD075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209F72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1FF816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B74C4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19A25E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051AC5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6F1F09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14BBF9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A67E4A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4EBCC3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3A947D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6DAEE4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69729E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6D30DC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68228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4A5420B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1878535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B220D4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4464C42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68C6A2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274A678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6C72AB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063546F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4F133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7447E1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04AFA271">
      <w:pPr>
        <w:spacing w:line="360" w:lineRule="auto"/>
        <w:ind w:firstLine="420" w:firstLineChars="200"/>
        <w:rPr>
          <w:rFonts w:hint="eastAsia" w:ascii="宋体" w:hAnsi="宋体" w:cs="宋体"/>
          <w:bCs/>
          <w:color w:val="auto"/>
          <w:szCs w:val="21"/>
          <w:highlight w:val="none"/>
        </w:rPr>
      </w:pPr>
    </w:p>
    <w:p w14:paraId="60F7787B">
      <w:pPr>
        <w:pStyle w:val="16"/>
        <w:ind w:left="420"/>
        <w:rPr>
          <w:rFonts w:hint="eastAsia" w:ascii="宋体" w:hAnsi="宋体" w:cs="宋体"/>
          <w:bCs/>
          <w:color w:val="auto"/>
          <w:szCs w:val="21"/>
          <w:highlight w:val="none"/>
        </w:rPr>
      </w:pPr>
    </w:p>
    <w:p w14:paraId="10D5DFB4">
      <w:pPr>
        <w:pStyle w:val="16"/>
        <w:ind w:left="420"/>
        <w:rPr>
          <w:rFonts w:hint="eastAsia" w:ascii="宋体" w:hAnsi="宋体" w:cs="宋体"/>
          <w:bCs/>
          <w:color w:val="auto"/>
          <w:szCs w:val="21"/>
          <w:highlight w:val="none"/>
        </w:rPr>
      </w:pPr>
    </w:p>
    <w:p w14:paraId="77F3A7C5">
      <w:pPr>
        <w:pStyle w:val="16"/>
        <w:ind w:left="420"/>
        <w:rPr>
          <w:rFonts w:hint="eastAsia" w:ascii="宋体" w:hAnsi="宋体" w:cs="宋体"/>
          <w:bCs/>
          <w:color w:val="auto"/>
          <w:szCs w:val="21"/>
          <w:highlight w:val="none"/>
        </w:rPr>
      </w:pPr>
    </w:p>
    <w:p w14:paraId="59783749">
      <w:pPr>
        <w:pStyle w:val="16"/>
        <w:ind w:left="420"/>
        <w:rPr>
          <w:rFonts w:hint="eastAsia" w:ascii="宋体" w:hAnsi="宋体" w:cs="宋体"/>
          <w:bCs/>
          <w:color w:val="auto"/>
          <w:szCs w:val="21"/>
          <w:highlight w:val="none"/>
        </w:rPr>
      </w:pPr>
    </w:p>
    <w:p w14:paraId="73EDDC22">
      <w:pPr>
        <w:pStyle w:val="16"/>
        <w:ind w:left="420"/>
        <w:rPr>
          <w:rFonts w:hint="eastAsia" w:ascii="宋体" w:hAnsi="宋体" w:cs="宋体"/>
          <w:bCs/>
          <w:color w:val="auto"/>
          <w:szCs w:val="21"/>
          <w:highlight w:val="none"/>
        </w:rPr>
      </w:pPr>
    </w:p>
    <w:p w14:paraId="072304C8">
      <w:pPr>
        <w:pStyle w:val="16"/>
        <w:ind w:left="420"/>
        <w:rPr>
          <w:rFonts w:hint="eastAsia" w:ascii="宋体" w:hAnsi="宋体" w:cs="宋体"/>
          <w:bCs/>
          <w:color w:val="auto"/>
          <w:szCs w:val="21"/>
          <w:highlight w:val="none"/>
        </w:rPr>
      </w:pPr>
    </w:p>
    <w:p w14:paraId="657B2D05">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17AF3C8">
      <w:pPr>
        <w:pStyle w:val="2"/>
        <w:ind w:firstLine="845"/>
        <w:rPr>
          <w:color w:val="auto"/>
          <w:spacing w:val="0"/>
          <w:highlight w:val="none"/>
        </w:rPr>
      </w:pPr>
    </w:p>
    <w:p w14:paraId="24E706C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DFB4F2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3D17EBE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59C2A06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1A8FE62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1D7C7CF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4BD30F0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7AF4970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0个日历天；</w:t>
      </w:r>
    </w:p>
    <w:p w14:paraId="14538BD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642880E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工程款原则上按月支付，合同内进度款支付限额为已完成工程量的80%，工程变更部分进度款支付限额为已完成工程量的60%；工程完工验收达到质量要求，累计支付额度以不超合同总额90%为上限(不含暂列金额、专业工程暂估价)；结算经第三方审计单位审定，并提交完整合格的竣工备案资料给发包人后，工程款支付至结算总价的97%，剩余3%的工程结算款项作为工程质量保证金。待质量保修期满后，发包人在收到承包人退还保证金的申请后，发包人在7个工作日内一次性(无息)退还给承包人。</w:t>
      </w:r>
    </w:p>
    <w:p w14:paraId="00E6414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报价超过最高限价投标无效</w:t>
      </w:r>
      <w:r>
        <w:rPr>
          <w:rFonts w:hint="eastAsia" w:ascii="宋体" w:hAnsi="宋体" w:cs="宋体"/>
          <w:color w:val="auto"/>
          <w:szCs w:val="21"/>
          <w:highlight w:val="none"/>
        </w:rPr>
        <w:t>；</w:t>
      </w:r>
    </w:p>
    <w:p w14:paraId="1C62804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09E014F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749004C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54152B37">
      <w:pPr>
        <w:pStyle w:val="14"/>
        <w:spacing w:line="360" w:lineRule="auto"/>
        <w:outlineLvl w:val="0"/>
        <w:rPr>
          <w:rFonts w:hint="eastAsia" w:ascii="黑体" w:hAnsi="宋体" w:eastAsia="黑体" w:cs="Times New Roman"/>
          <w:b/>
          <w:bCs/>
          <w:color w:val="auto"/>
          <w:kern w:val="0"/>
          <w:sz w:val="36"/>
          <w:szCs w:val="36"/>
          <w:highlight w:val="none"/>
        </w:rPr>
      </w:pPr>
    </w:p>
    <w:p w14:paraId="4B27AD1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4C27B8C6">
      <w:pPr>
        <w:pStyle w:val="14"/>
        <w:spacing w:line="360" w:lineRule="auto"/>
        <w:jc w:val="center"/>
        <w:outlineLvl w:val="0"/>
        <w:rPr>
          <w:rFonts w:hint="eastAsia" w:ascii="黑体" w:hAnsi="宋体" w:eastAsia="黑体" w:cs="Times New Roman"/>
          <w:b/>
          <w:bCs/>
          <w:color w:val="auto"/>
          <w:kern w:val="0"/>
          <w:sz w:val="36"/>
          <w:szCs w:val="36"/>
          <w:highlight w:val="none"/>
        </w:rPr>
      </w:pPr>
    </w:p>
    <w:p w14:paraId="2AE85BF9">
      <w:pPr>
        <w:pStyle w:val="14"/>
        <w:spacing w:line="360" w:lineRule="auto"/>
        <w:jc w:val="center"/>
        <w:outlineLvl w:val="0"/>
        <w:rPr>
          <w:rFonts w:hint="eastAsia" w:ascii="黑体" w:hAnsi="宋体" w:eastAsia="黑体" w:cs="Times New Roman"/>
          <w:b/>
          <w:bCs/>
          <w:color w:val="auto"/>
          <w:kern w:val="0"/>
          <w:sz w:val="36"/>
          <w:szCs w:val="36"/>
          <w:highlight w:val="none"/>
        </w:rPr>
      </w:pPr>
    </w:p>
    <w:p w14:paraId="2F1D2358">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BE1B02D">
      <w:pPr>
        <w:pStyle w:val="14"/>
        <w:spacing w:line="360" w:lineRule="auto"/>
        <w:jc w:val="center"/>
        <w:outlineLvl w:val="0"/>
        <w:rPr>
          <w:rFonts w:hint="eastAsia" w:ascii="黑体" w:hAnsi="宋体" w:eastAsia="黑体" w:cs="Times New Roman"/>
          <w:b/>
          <w:bCs/>
          <w:color w:val="auto"/>
          <w:kern w:val="0"/>
          <w:sz w:val="36"/>
          <w:szCs w:val="36"/>
          <w:highlight w:val="none"/>
        </w:rPr>
      </w:pPr>
    </w:p>
    <w:p w14:paraId="6C30739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9CEEEAD">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32A72A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521E1CA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6B6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DDD4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85FBA6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7B7DC1D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2281AA6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6372D083">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41E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311D36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6DE864EB">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7747C4B">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1AD0F289">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CF52877">
            <w:pPr>
              <w:spacing w:line="360" w:lineRule="auto"/>
              <w:contextualSpacing/>
              <w:rPr>
                <w:rFonts w:hint="eastAsia" w:ascii="宋体" w:hAnsi="宋体" w:cs="仿宋_GB2312"/>
                <w:color w:val="auto"/>
                <w:sz w:val="24"/>
                <w:highlight w:val="none"/>
              </w:rPr>
            </w:pPr>
          </w:p>
        </w:tc>
      </w:tr>
      <w:tr w14:paraId="72AF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9A317A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60CEA68C">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2D83CF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6CA8F14E">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83E221E">
            <w:pPr>
              <w:spacing w:line="360" w:lineRule="auto"/>
              <w:contextualSpacing/>
              <w:rPr>
                <w:rFonts w:hint="eastAsia" w:ascii="宋体" w:hAnsi="宋体" w:cs="仿宋_GB2312"/>
                <w:color w:val="auto"/>
                <w:sz w:val="24"/>
                <w:highlight w:val="none"/>
              </w:rPr>
            </w:pPr>
          </w:p>
        </w:tc>
      </w:tr>
      <w:tr w14:paraId="2761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56F3C1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57F798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6657560">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54B52B">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5B735E5">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409B7506">
      <w:pPr>
        <w:spacing w:line="360" w:lineRule="auto"/>
        <w:ind w:right="-817" w:rightChars="-389"/>
        <w:contextualSpacing/>
        <w:rPr>
          <w:rFonts w:hint="eastAsia" w:ascii="宋体" w:hAnsi="宋体" w:cs="仿宋_GB2312"/>
          <w:color w:val="auto"/>
          <w:sz w:val="24"/>
          <w:highlight w:val="none"/>
        </w:rPr>
      </w:pPr>
    </w:p>
    <w:p w14:paraId="26E5311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197EA0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BFA3016">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813AD82">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35F43542">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74AC076E">
      <w:pPr>
        <w:pStyle w:val="7"/>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06A5FABB">
      <w:pPr>
        <w:spacing w:line="360" w:lineRule="auto"/>
        <w:ind w:firstLine="422" w:firstLineChars="200"/>
        <w:rPr>
          <w:b/>
          <w:bCs/>
          <w:color w:val="auto"/>
          <w:highlight w:val="none"/>
        </w:rPr>
      </w:pPr>
      <w:r>
        <w:rPr>
          <w:rFonts w:hint="eastAsia"/>
          <w:b/>
          <w:bCs/>
          <w:color w:val="auto"/>
          <w:highlight w:val="none"/>
        </w:rPr>
        <w:t>1.资格审查</w:t>
      </w:r>
    </w:p>
    <w:p w14:paraId="28907D79">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4A2A64DF">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576C97A7">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7C02B6EF">
      <w:pPr>
        <w:spacing w:line="360" w:lineRule="auto"/>
        <w:ind w:firstLine="420" w:firstLineChars="200"/>
        <w:rPr>
          <w:color w:val="auto"/>
          <w:highlight w:val="none"/>
        </w:rPr>
      </w:pPr>
      <w:r>
        <w:rPr>
          <w:rFonts w:hint="eastAsia"/>
          <w:color w:val="auto"/>
          <w:highlight w:val="none"/>
        </w:rPr>
        <w:t>（2）信用查询截止时点：资格审查结束前。</w:t>
      </w:r>
    </w:p>
    <w:p w14:paraId="0F30E3CA">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619F84B0">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FB238A4">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3333CA37">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64E16344">
      <w:pPr>
        <w:spacing w:line="360" w:lineRule="auto"/>
        <w:ind w:firstLine="420" w:firstLineChars="200"/>
        <w:rPr>
          <w:color w:val="auto"/>
          <w:highlight w:val="none"/>
        </w:rPr>
      </w:pPr>
      <w:r>
        <w:rPr>
          <w:rFonts w:hint="eastAsia"/>
          <w:color w:val="auto"/>
          <w:highlight w:val="none"/>
        </w:rPr>
        <w:t>（1）不具备磋商文件中规定的资格要求的；</w:t>
      </w:r>
    </w:p>
    <w:p w14:paraId="35AA05E4">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56B0BBAA">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551C5FAB">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C8F0713">
      <w:pPr>
        <w:spacing w:line="360" w:lineRule="auto"/>
        <w:ind w:firstLine="420" w:firstLineChars="200"/>
        <w:rPr>
          <w:color w:val="auto"/>
          <w:highlight w:val="none"/>
        </w:rPr>
      </w:pPr>
      <w:r>
        <w:rPr>
          <w:rFonts w:hint="eastAsia"/>
          <w:color w:val="auto"/>
          <w:highlight w:val="none"/>
        </w:rPr>
        <w:t>2.符合性审查</w:t>
      </w:r>
    </w:p>
    <w:p w14:paraId="560F499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23869F44">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98A7C6">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1696059">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02A21545">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1F16B0DD">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448BDBFD">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44835140">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7CD0E401">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74C7FFCF">
      <w:pPr>
        <w:spacing w:line="360" w:lineRule="auto"/>
        <w:ind w:firstLine="420" w:firstLineChars="200"/>
        <w:rPr>
          <w:color w:val="auto"/>
          <w:highlight w:val="none"/>
        </w:rPr>
      </w:pPr>
      <w:r>
        <w:rPr>
          <w:rFonts w:hint="eastAsia"/>
          <w:color w:val="auto"/>
          <w:highlight w:val="none"/>
        </w:rPr>
        <w:t>2.5商务技术报价评审</w:t>
      </w:r>
    </w:p>
    <w:p w14:paraId="37AD955F">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19482A04">
      <w:pPr>
        <w:spacing w:line="360" w:lineRule="auto"/>
        <w:ind w:firstLine="420" w:firstLineChars="200"/>
        <w:rPr>
          <w:color w:val="auto"/>
          <w:highlight w:val="none"/>
        </w:rPr>
      </w:pPr>
      <w:r>
        <w:rPr>
          <w:rFonts w:hint="eastAsia"/>
          <w:color w:val="auto"/>
          <w:highlight w:val="none"/>
        </w:rPr>
        <w:t>（1）商务技术评审</w:t>
      </w:r>
    </w:p>
    <w:p w14:paraId="0080A064">
      <w:pPr>
        <w:spacing w:line="360" w:lineRule="auto"/>
        <w:ind w:firstLine="420" w:firstLineChars="200"/>
        <w:rPr>
          <w:color w:val="auto"/>
          <w:highlight w:val="none"/>
        </w:rPr>
      </w:pPr>
      <w:r>
        <w:rPr>
          <w:rFonts w:hint="eastAsia"/>
          <w:color w:val="auto"/>
          <w:highlight w:val="none"/>
        </w:rPr>
        <w:t>1）响应文件未按磋商文件要求签署、盖章；</w:t>
      </w:r>
    </w:p>
    <w:p w14:paraId="6195D400">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4BF2DC44">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3EF900F5">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71A69230">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1E433DD1">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14A73081">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6CFC7377">
      <w:pPr>
        <w:spacing w:line="360" w:lineRule="auto"/>
        <w:ind w:firstLine="420" w:firstLineChars="200"/>
        <w:rPr>
          <w:color w:val="auto"/>
          <w:highlight w:val="none"/>
        </w:rPr>
      </w:pPr>
      <w:r>
        <w:rPr>
          <w:rFonts w:hint="eastAsia"/>
          <w:color w:val="auto"/>
          <w:highlight w:val="none"/>
        </w:rPr>
        <w:t>8）响应文件含有采购人不能接受的附加条件；</w:t>
      </w:r>
    </w:p>
    <w:p w14:paraId="2BE69BAF">
      <w:pPr>
        <w:spacing w:line="360" w:lineRule="auto"/>
        <w:ind w:firstLine="420" w:firstLineChars="200"/>
        <w:rPr>
          <w:color w:val="auto"/>
          <w:highlight w:val="none"/>
        </w:rPr>
      </w:pPr>
      <w:r>
        <w:rPr>
          <w:rFonts w:hint="eastAsia"/>
          <w:color w:val="auto"/>
          <w:highlight w:val="none"/>
        </w:rPr>
        <w:t>9）属于“供应商须知正文”第7.7条情形；</w:t>
      </w:r>
    </w:p>
    <w:p w14:paraId="48EF615D">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2770FFE">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4CAD49A1">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2EEE94D5">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1D08613">
      <w:pPr>
        <w:spacing w:line="360" w:lineRule="auto"/>
        <w:ind w:firstLine="420" w:firstLineChars="200"/>
        <w:rPr>
          <w:color w:val="auto"/>
          <w:highlight w:val="none"/>
        </w:rPr>
      </w:pPr>
      <w:r>
        <w:rPr>
          <w:rFonts w:hint="eastAsia"/>
          <w:color w:val="auto"/>
          <w:highlight w:val="none"/>
        </w:rPr>
        <w:t>14）未响应磋商文件实质性要求；</w:t>
      </w:r>
    </w:p>
    <w:p w14:paraId="07B44073">
      <w:pPr>
        <w:spacing w:line="360" w:lineRule="auto"/>
        <w:ind w:firstLine="420" w:firstLineChars="200"/>
        <w:rPr>
          <w:color w:val="auto"/>
          <w:highlight w:val="none"/>
        </w:rPr>
      </w:pPr>
      <w:r>
        <w:rPr>
          <w:rFonts w:hint="eastAsia"/>
          <w:color w:val="auto"/>
          <w:highlight w:val="none"/>
        </w:rPr>
        <w:t>15）法律、法规和磋商文件规定的其他无效情形。</w:t>
      </w:r>
    </w:p>
    <w:p w14:paraId="29194270">
      <w:pPr>
        <w:spacing w:line="360" w:lineRule="auto"/>
        <w:ind w:firstLine="420" w:firstLineChars="200"/>
        <w:rPr>
          <w:color w:val="auto"/>
          <w:highlight w:val="none"/>
        </w:rPr>
      </w:pPr>
      <w:r>
        <w:rPr>
          <w:rFonts w:hint="eastAsia"/>
          <w:color w:val="auto"/>
          <w:highlight w:val="none"/>
        </w:rPr>
        <w:t>（2）报价评审</w:t>
      </w:r>
    </w:p>
    <w:p w14:paraId="4916812D">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7F6687EA">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7923C8">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115E683B">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6DD1583A">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13329D23">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17C30921">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42006B">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6F16E302">
      <w:pPr>
        <w:spacing w:line="360" w:lineRule="auto"/>
        <w:ind w:firstLine="420" w:firstLineChars="200"/>
        <w:rPr>
          <w:color w:val="auto"/>
          <w:highlight w:val="none"/>
        </w:rPr>
      </w:pPr>
      <w:r>
        <w:rPr>
          <w:rFonts w:hint="eastAsia"/>
          <w:color w:val="auto"/>
          <w:highlight w:val="none"/>
        </w:rPr>
        <w:t>3.磋商程序</w:t>
      </w:r>
    </w:p>
    <w:p w14:paraId="5C0FB145">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6110937C">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3F6D9B5">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400AD08B">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9EF2B86">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6765BB5F">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44D229EA">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4D9EE041">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630E0D2E">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2D1C894F">
      <w:pPr>
        <w:spacing w:line="360" w:lineRule="auto"/>
        <w:ind w:firstLine="420" w:firstLineChars="200"/>
        <w:rPr>
          <w:color w:val="auto"/>
          <w:highlight w:val="none"/>
        </w:rPr>
      </w:pPr>
      <w:r>
        <w:rPr>
          <w:rFonts w:hint="eastAsia"/>
          <w:color w:val="auto"/>
          <w:highlight w:val="none"/>
        </w:rPr>
        <w:t>4.最后报价</w:t>
      </w:r>
    </w:p>
    <w:p w14:paraId="3ACC6F3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4FD48BA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27FEF969">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7BB30642">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1E041F5E">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F3429B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2F30759F">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711D1413">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03980967">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AAD687D">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698E8CD4">
      <w:pPr>
        <w:spacing w:line="360" w:lineRule="auto"/>
        <w:ind w:firstLine="420" w:firstLineChars="200"/>
        <w:rPr>
          <w:color w:val="auto"/>
          <w:highlight w:val="none"/>
        </w:rPr>
      </w:pPr>
      <w:r>
        <w:rPr>
          <w:rFonts w:hint="eastAsia"/>
          <w:color w:val="auto"/>
          <w:highlight w:val="none"/>
        </w:rPr>
        <w:t>（1）供应商不确认的；</w:t>
      </w:r>
    </w:p>
    <w:p w14:paraId="1CBD7FF4">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2CE26C70">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0566D264">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54A207AA">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670CED95">
      <w:pPr>
        <w:spacing w:line="360" w:lineRule="auto"/>
        <w:ind w:firstLine="420" w:firstLineChars="200"/>
        <w:rPr>
          <w:color w:val="auto"/>
          <w:highlight w:val="none"/>
        </w:rPr>
      </w:pPr>
      <w:r>
        <w:rPr>
          <w:rFonts w:hint="eastAsia"/>
          <w:color w:val="auto"/>
          <w:highlight w:val="none"/>
        </w:rPr>
        <w:t>5.比较与评价</w:t>
      </w:r>
    </w:p>
    <w:p w14:paraId="76034B63">
      <w:pPr>
        <w:spacing w:line="360" w:lineRule="auto"/>
        <w:ind w:firstLine="420" w:firstLineChars="200"/>
        <w:rPr>
          <w:color w:val="auto"/>
          <w:highlight w:val="none"/>
        </w:rPr>
      </w:pPr>
      <w:r>
        <w:rPr>
          <w:rFonts w:hint="eastAsia"/>
          <w:color w:val="auto"/>
          <w:highlight w:val="none"/>
        </w:rPr>
        <w:t>5.1评审方法：综合评分法。</w:t>
      </w:r>
    </w:p>
    <w:p w14:paraId="7770022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1F0EC538">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14B0BA5B">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5AE9F3B3">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5C36EE2C">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425BE726">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ABF7C7D">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F179F86">
      <w:pPr>
        <w:spacing w:line="360" w:lineRule="auto"/>
        <w:rPr>
          <w:b/>
          <w:bCs/>
          <w:color w:val="auto"/>
          <w:highlight w:val="none"/>
        </w:rPr>
      </w:pPr>
      <w:r>
        <w:rPr>
          <w:rFonts w:hint="eastAsia"/>
          <w:b/>
          <w:bCs/>
          <w:color w:val="auto"/>
          <w:highlight w:val="none"/>
        </w:rPr>
        <w:t>二、评定标准（综合评分法）</w:t>
      </w:r>
    </w:p>
    <w:p w14:paraId="484FC8E5">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0629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7DAE4B7">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63850D0E">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0252C45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3C438A9C">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26E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BA0F855">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6963C0C6">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32E75B5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价格分（满分20分）</w:t>
            </w:r>
          </w:p>
        </w:tc>
        <w:tc>
          <w:tcPr>
            <w:tcW w:w="5935" w:type="dxa"/>
            <w:vAlign w:val="center"/>
          </w:tcPr>
          <w:p w14:paraId="70A842F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021EE61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766CBAE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444BB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048D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468BBD5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79EB791C">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599224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满分74分</w:t>
            </w:r>
          </w:p>
        </w:tc>
        <w:tc>
          <w:tcPr>
            <w:tcW w:w="807" w:type="dxa"/>
            <w:vAlign w:val="center"/>
          </w:tcPr>
          <w:p w14:paraId="568D4497">
            <w:pPr>
              <w:spacing w:line="360" w:lineRule="auto"/>
              <w:jc w:val="center"/>
              <w:rPr>
                <w:rFonts w:hint="eastAsia" w:ascii="宋体" w:hAnsi="宋体" w:cs="宋体"/>
                <w:b/>
                <w:bCs/>
                <w:color w:val="auto"/>
                <w:szCs w:val="21"/>
                <w:highlight w:val="none"/>
              </w:rPr>
            </w:pPr>
          </w:p>
        </w:tc>
      </w:tr>
      <w:tr w14:paraId="24C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384AC8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27FD44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3A40B7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（1）主要施工方法（满分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vAlign w:val="center"/>
          </w:tcPr>
          <w:p w14:paraId="5FCD9A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由磋商小组在打分前根据供应商提供的主要施工方法，在相应档次内独立打分。</w:t>
            </w:r>
          </w:p>
          <w:p w14:paraId="6DB0B0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一档（0分）：各主要分部施工方法不符合项目实际，有施工技术方案，工艺落后且不符合项目需求，不能指导具体施工并确保安全。</w:t>
            </w:r>
          </w:p>
          <w:p w14:paraId="2E6785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w:t>
            </w:r>
            <w:r>
              <w:rPr>
                <w:rFonts w:hint="eastAsia" w:ascii="宋体" w:hAnsi="宋体"/>
                <w:color w:val="auto"/>
                <w:highlight w:val="none"/>
              </w:rPr>
              <w:t>各主要分部施工方法符合项目实际，有施工技术方案，工艺仅满足项目需求、方法可行，能指导施工并确保安全</w:t>
            </w:r>
            <w:r>
              <w:rPr>
                <w:rFonts w:hint="eastAsia" w:ascii="宋体" w:hAnsi="宋体" w:cs="宋体"/>
                <w:color w:val="auto"/>
                <w:szCs w:val="21"/>
                <w:highlight w:val="none"/>
              </w:rPr>
              <w:t>。</w:t>
            </w:r>
          </w:p>
          <w:p w14:paraId="548068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w:t>
            </w:r>
            <w:r>
              <w:rPr>
                <w:rFonts w:hint="eastAsia" w:ascii="宋体" w:hAnsi="宋体"/>
                <w:color w:val="auto"/>
                <w:highlight w:val="none"/>
              </w:rPr>
              <w:t>各主要分部施工方法符合项目实际，有详尽的施工技术方案，工艺合理、方法可行，能指导具体施工并确保安全</w:t>
            </w:r>
            <w:r>
              <w:rPr>
                <w:rFonts w:hint="eastAsia" w:ascii="宋体" w:hAnsi="宋体" w:cs="宋体"/>
                <w:color w:val="auto"/>
                <w:szCs w:val="21"/>
                <w:highlight w:val="none"/>
              </w:rPr>
              <w:t>。</w:t>
            </w:r>
          </w:p>
          <w:p w14:paraId="5D2301F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r>
              <w:rPr>
                <w:rFonts w:hint="eastAsia" w:ascii="宋体" w:hAnsi="宋体"/>
                <w:color w:val="auto"/>
                <w:highlight w:val="none"/>
              </w:rPr>
              <w:t>各主要分部施工方法符合项目实际，有详尽的施工技术方案，工艺先进、方法科学合理、可行，能指导具体施工并确保安全</w:t>
            </w:r>
            <w:r>
              <w:rPr>
                <w:rFonts w:hint="eastAsia" w:ascii="宋体" w:hAnsi="宋体" w:cs="宋体"/>
                <w:color w:val="auto"/>
                <w:szCs w:val="21"/>
                <w:highlight w:val="none"/>
              </w:rPr>
              <w:t>。</w:t>
            </w:r>
          </w:p>
        </w:tc>
        <w:tc>
          <w:tcPr>
            <w:tcW w:w="807" w:type="dxa"/>
            <w:vAlign w:val="center"/>
          </w:tcPr>
          <w:p w14:paraId="230F80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7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35F550F3">
            <w:pPr>
              <w:spacing w:line="360" w:lineRule="auto"/>
              <w:jc w:val="center"/>
              <w:rPr>
                <w:rFonts w:hint="eastAsia" w:ascii="宋体" w:hAnsi="宋体" w:cs="宋体"/>
                <w:color w:val="auto"/>
                <w:szCs w:val="21"/>
                <w:highlight w:val="none"/>
              </w:rPr>
            </w:pPr>
          </w:p>
        </w:tc>
        <w:tc>
          <w:tcPr>
            <w:tcW w:w="958" w:type="dxa"/>
            <w:vMerge w:val="continue"/>
            <w:vAlign w:val="center"/>
          </w:tcPr>
          <w:p w14:paraId="1F2F4EA6">
            <w:pPr>
              <w:spacing w:line="360" w:lineRule="auto"/>
              <w:jc w:val="center"/>
              <w:rPr>
                <w:rFonts w:hint="eastAsia" w:ascii="宋体" w:hAnsi="宋体" w:cs="宋体"/>
                <w:color w:val="auto"/>
                <w:szCs w:val="21"/>
                <w:highlight w:val="none"/>
              </w:rPr>
            </w:pPr>
          </w:p>
        </w:tc>
        <w:tc>
          <w:tcPr>
            <w:tcW w:w="1115" w:type="dxa"/>
            <w:vAlign w:val="center"/>
          </w:tcPr>
          <w:p w14:paraId="74E8FE0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（2）拟投入的主要物资计 划（满分9分）</w:t>
            </w:r>
          </w:p>
        </w:tc>
        <w:tc>
          <w:tcPr>
            <w:tcW w:w="5935" w:type="dxa"/>
          </w:tcPr>
          <w:p w14:paraId="29658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磋商小组在打分前根据供应商提供的拟投入的主要物资计划，在相应档次内独立打分。</w:t>
            </w:r>
          </w:p>
          <w:p w14:paraId="37C871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一档（0分）：投入的施工材料无组织计划，数量、选型配置、进场时间安排不合理，不满足施工需要。</w:t>
            </w:r>
          </w:p>
          <w:p w14:paraId="1FB2A3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二档（3分）：投入的施工材料有组织计划但计划内容不全面，数量、选型配置、进场时间安排合理，基本满足施工需要。</w:t>
            </w:r>
          </w:p>
          <w:p w14:paraId="232DC8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三档（6分）：投入的施工材料有详细的组织计划，数量、选型配置、进场时间安排合理，满足施工需要。</w:t>
            </w:r>
          </w:p>
          <w:p w14:paraId="2E75D3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四档（9分）：投入的施工材料有详细的组织计划且计划周密，数量、选型配置、进场时间安排合理，满足施工需要。</w:t>
            </w:r>
          </w:p>
        </w:tc>
        <w:tc>
          <w:tcPr>
            <w:tcW w:w="807" w:type="dxa"/>
            <w:vAlign w:val="center"/>
          </w:tcPr>
          <w:p w14:paraId="794F06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37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2A48E8C5">
            <w:pPr>
              <w:spacing w:line="360" w:lineRule="auto"/>
              <w:jc w:val="center"/>
              <w:rPr>
                <w:rFonts w:hint="eastAsia" w:ascii="宋体" w:hAnsi="宋体" w:cs="宋体"/>
                <w:color w:val="auto"/>
                <w:szCs w:val="21"/>
                <w:highlight w:val="none"/>
              </w:rPr>
            </w:pPr>
          </w:p>
        </w:tc>
        <w:tc>
          <w:tcPr>
            <w:tcW w:w="958" w:type="dxa"/>
            <w:vMerge w:val="continue"/>
            <w:vAlign w:val="center"/>
          </w:tcPr>
          <w:p w14:paraId="4A16A36F">
            <w:pPr>
              <w:spacing w:line="360" w:lineRule="auto"/>
              <w:jc w:val="center"/>
              <w:rPr>
                <w:rFonts w:hint="eastAsia" w:ascii="宋体" w:hAnsi="宋体" w:cs="宋体"/>
                <w:color w:val="auto"/>
                <w:szCs w:val="21"/>
                <w:highlight w:val="none"/>
              </w:rPr>
            </w:pPr>
          </w:p>
        </w:tc>
        <w:tc>
          <w:tcPr>
            <w:tcW w:w="1115" w:type="dxa"/>
            <w:vAlign w:val="center"/>
          </w:tcPr>
          <w:p w14:paraId="6188B94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5539D9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275325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一档（0分）：各主要施工工序无劳动力安排计划，劳动力投入不合理，不满足施工需要。</w:t>
            </w:r>
          </w:p>
          <w:p w14:paraId="3BE13C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二档（3分）：各主要施工工序只有劳动力安排计划，无各工种劳动力安排计划，劳动力投入合理，满足施工需要。</w:t>
            </w:r>
          </w:p>
          <w:p w14:paraId="4AC976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w:t>
            </w:r>
            <w:r>
              <w:rPr>
                <w:rFonts w:hint="eastAsia" w:ascii="宋体" w:hAnsi="宋体"/>
                <w:color w:val="auto"/>
                <w:kern w:val="0"/>
                <w:szCs w:val="21"/>
                <w:highlight w:val="none"/>
              </w:rPr>
              <w:t>各主要施工工序有劳动力安排计划，有各工种劳动力安排计划，劳动力投入合理，满足施工需要</w:t>
            </w:r>
            <w:r>
              <w:rPr>
                <w:rFonts w:hint="eastAsia" w:ascii="宋体" w:hAnsi="宋体" w:cs="宋体"/>
                <w:color w:val="auto"/>
                <w:szCs w:val="21"/>
                <w:highlight w:val="none"/>
              </w:rPr>
              <w:t>。</w:t>
            </w:r>
          </w:p>
          <w:p w14:paraId="2DCA19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r>
              <w:rPr>
                <w:rFonts w:hint="eastAsia" w:ascii="宋体" w:hAnsi="宋体"/>
                <w:color w:val="auto"/>
                <w:kern w:val="0"/>
                <w:szCs w:val="21"/>
                <w:highlight w:val="none"/>
              </w:rPr>
              <w:t>各主要施工工序有详细周密的劳动力安排计划，有各工种劳动力安排计划，劳动力投入合理，满足施工需要</w:t>
            </w:r>
            <w:r>
              <w:rPr>
                <w:rFonts w:hint="eastAsia" w:ascii="宋体" w:hAnsi="宋体" w:cs="宋体"/>
                <w:color w:val="auto"/>
                <w:szCs w:val="21"/>
                <w:highlight w:val="none"/>
              </w:rPr>
              <w:t>。</w:t>
            </w:r>
          </w:p>
        </w:tc>
        <w:tc>
          <w:tcPr>
            <w:tcW w:w="807" w:type="dxa"/>
            <w:vAlign w:val="center"/>
          </w:tcPr>
          <w:p w14:paraId="3D3634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3F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A7D43">
            <w:pPr>
              <w:spacing w:line="360" w:lineRule="auto"/>
              <w:jc w:val="center"/>
              <w:rPr>
                <w:rFonts w:hint="eastAsia" w:ascii="宋体" w:hAnsi="宋体" w:cs="宋体"/>
                <w:color w:val="auto"/>
                <w:szCs w:val="21"/>
                <w:highlight w:val="none"/>
              </w:rPr>
            </w:pPr>
          </w:p>
        </w:tc>
        <w:tc>
          <w:tcPr>
            <w:tcW w:w="958" w:type="dxa"/>
            <w:vMerge w:val="continue"/>
            <w:vAlign w:val="center"/>
          </w:tcPr>
          <w:p w14:paraId="60F43F2A">
            <w:pPr>
              <w:spacing w:line="360" w:lineRule="auto"/>
              <w:jc w:val="center"/>
              <w:rPr>
                <w:rFonts w:hint="eastAsia" w:ascii="宋体" w:hAnsi="宋体" w:cs="宋体"/>
                <w:color w:val="auto"/>
                <w:szCs w:val="21"/>
                <w:highlight w:val="none"/>
              </w:rPr>
            </w:pPr>
          </w:p>
        </w:tc>
        <w:tc>
          <w:tcPr>
            <w:tcW w:w="1115" w:type="dxa"/>
            <w:vAlign w:val="center"/>
          </w:tcPr>
          <w:p w14:paraId="1EBF4CC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（4）确保工程质量的技</w:t>
            </w:r>
          </w:p>
          <w:p w14:paraId="1528279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术组织措（满分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4082C2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磋商小组在打分前根据供应商提供的确保工程质量的技术组织措，在相应档次内独立打分。</w:t>
            </w:r>
          </w:p>
          <w:p w14:paraId="736A17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一档（0分）：有质量技术管理班子和制度。主要工序无质量技术保证措施和手段，无自控体系，不能有效保证技术质量。</w:t>
            </w:r>
          </w:p>
          <w:p w14:paraId="747E40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二档（3分）：有质量技术管理班子和制度。主要工序有质量技术保证措施和手段，自控体系内容简单不全面，基本能保证技术质量，达到承诺的质量标准。</w:t>
            </w:r>
          </w:p>
          <w:p w14:paraId="48C651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w:t>
            </w:r>
            <w:r>
              <w:rPr>
                <w:rFonts w:hint="eastAsia" w:ascii="宋体" w:hAnsi="宋体"/>
                <w:color w:val="auto"/>
                <w:kern w:val="0"/>
                <w:szCs w:val="21"/>
                <w:highlight w:val="none"/>
              </w:rPr>
              <w:t>有质量技术管理班子和制度，且人员配备充足，制度健全。主要工序有质量技术保证措施和手段，自控体系完整，能保证技术质量，达到承诺的质量标准。</w:t>
            </w:r>
          </w:p>
          <w:p w14:paraId="54A1F6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分）：有专门的质量技术管理班子和制度，且人员配备充足合理，制度健全。主要工序有质量技术保证措施和手段，自控体系完整且有针对性，能有效保证技术质量，达到承诺的质量标准。</w:t>
            </w:r>
          </w:p>
        </w:tc>
        <w:tc>
          <w:tcPr>
            <w:tcW w:w="807" w:type="dxa"/>
            <w:vAlign w:val="center"/>
          </w:tcPr>
          <w:p w14:paraId="525863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EF0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5329D71B">
            <w:pPr>
              <w:spacing w:line="360" w:lineRule="auto"/>
              <w:jc w:val="center"/>
              <w:rPr>
                <w:rFonts w:hint="eastAsia" w:ascii="宋体" w:hAnsi="宋体" w:cs="宋体"/>
                <w:color w:val="auto"/>
                <w:szCs w:val="21"/>
                <w:highlight w:val="none"/>
              </w:rPr>
            </w:pPr>
          </w:p>
        </w:tc>
        <w:tc>
          <w:tcPr>
            <w:tcW w:w="958" w:type="dxa"/>
            <w:vMerge w:val="continue"/>
            <w:vAlign w:val="center"/>
          </w:tcPr>
          <w:p w14:paraId="072E0273">
            <w:pPr>
              <w:spacing w:line="360" w:lineRule="auto"/>
              <w:jc w:val="center"/>
              <w:rPr>
                <w:rFonts w:hint="eastAsia" w:ascii="宋体" w:hAnsi="宋体" w:cs="宋体"/>
                <w:color w:val="auto"/>
                <w:szCs w:val="21"/>
                <w:highlight w:val="none"/>
              </w:rPr>
            </w:pPr>
          </w:p>
        </w:tc>
        <w:tc>
          <w:tcPr>
            <w:tcW w:w="1115" w:type="dxa"/>
            <w:vAlign w:val="center"/>
          </w:tcPr>
          <w:p w14:paraId="0B20AEE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 安全生产 的技术组 织措施（满分</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c>
          <w:tcPr>
            <w:tcW w:w="5935" w:type="dxa"/>
          </w:tcPr>
          <w:p w14:paraId="7FE18A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w:t>
            </w:r>
            <w:r>
              <w:rPr>
                <w:rFonts w:hint="eastAsia" w:ascii="宋体" w:hAnsi="宋体" w:cs="宋体"/>
                <w:color w:val="auto"/>
                <w:kern w:val="0"/>
                <w:szCs w:val="21"/>
                <w:highlight w:val="none"/>
              </w:rPr>
              <w:t>确保 安全生产 的技术组 织措施</w:t>
            </w:r>
            <w:r>
              <w:rPr>
                <w:rFonts w:hint="eastAsia" w:ascii="宋体" w:hAnsi="宋体" w:cs="宋体"/>
                <w:color w:val="auto"/>
                <w:szCs w:val="21"/>
                <w:highlight w:val="none"/>
              </w:rPr>
              <w:t>，在相应档次内独立打分。</w:t>
            </w:r>
          </w:p>
          <w:p w14:paraId="0A8E73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一档（0分）：有安全管理人员和制度，各道工序安全技术措施无针对性，满足有关安全技术标准要求。现场防火、应急救援、社会治安安全措施内容简单，不可行。</w:t>
            </w:r>
          </w:p>
          <w:p w14:paraId="64D4CF19">
            <w:pPr>
              <w:spacing w:line="360" w:lineRule="auto"/>
              <w:ind w:left="2"/>
              <w:rPr>
                <w:rFonts w:hint="eastAsia" w:ascii="宋体" w:hAnsi="宋体"/>
                <w:color w:val="auto"/>
                <w:kern w:val="0"/>
                <w:szCs w:val="21"/>
                <w:highlight w:val="none"/>
              </w:rPr>
            </w:pPr>
            <w:r>
              <w:rPr>
                <w:rFonts w:hint="eastAsia" w:ascii="宋体" w:hAnsi="宋体" w:cs="宋体"/>
                <w:color w:val="auto"/>
                <w:szCs w:val="21"/>
                <w:highlight w:val="none"/>
              </w:rPr>
              <w:t>二档（3分）：</w:t>
            </w:r>
            <w:r>
              <w:rPr>
                <w:rFonts w:hint="eastAsia" w:ascii="宋体" w:hAnsi="宋体"/>
                <w:color w:val="auto"/>
                <w:kern w:val="0"/>
                <w:szCs w:val="21"/>
                <w:highlight w:val="none"/>
              </w:rPr>
              <w:t>有安全管理人员和制度，各道工序安全技术措施针对性不强，满足有关安全技术标准要求。现场防火、应急救援、社会治安安全措施不全面。</w:t>
            </w:r>
          </w:p>
          <w:p w14:paraId="2BD6BC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w:t>
            </w:r>
            <w:r>
              <w:rPr>
                <w:rFonts w:hint="eastAsia" w:ascii="宋体" w:hAnsi="宋体"/>
                <w:color w:val="auto"/>
                <w:kern w:val="0"/>
                <w:szCs w:val="21"/>
                <w:highlight w:val="none"/>
              </w:rPr>
              <w:t>有安全管理人员和制度，且人员配备充足，制度健全，各道工序安全技术措施针对性强，符合实际且满足有关安全技术标准要求。现场防火、应急救援、社会治安安全措施内容全面。</w:t>
            </w:r>
          </w:p>
          <w:p w14:paraId="43E01A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分）：有专门的安全管理人员和制度，且人员配备充足合理，制度健全，各道工序安全技术措施针对性强，符合实际且满足有关安全技术标准要求。现场防火、应急救援、社会治安安全措施科学合理。</w:t>
            </w:r>
          </w:p>
        </w:tc>
        <w:tc>
          <w:tcPr>
            <w:tcW w:w="807" w:type="dxa"/>
            <w:vAlign w:val="center"/>
          </w:tcPr>
          <w:p w14:paraId="1561AB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CAE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56346124">
            <w:pPr>
              <w:spacing w:line="360" w:lineRule="auto"/>
              <w:jc w:val="center"/>
              <w:rPr>
                <w:rFonts w:hint="eastAsia" w:ascii="宋体" w:hAnsi="宋体" w:cs="宋体"/>
                <w:color w:val="auto"/>
                <w:szCs w:val="21"/>
                <w:highlight w:val="none"/>
              </w:rPr>
            </w:pPr>
          </w:p>
        </w:tc>
        <w:tc>
          <w:tcPr>
            <w:tcW w:w="958" w:type="dxa"/>
            <w:vMerge w:val="continue"/>
            <w:vAlign w:val="center"/>
          </w:tcPr>
          <w:p w14:paraId="327F7912">
            <w:pPr>
              <w:spacing w:line="360" w:lineRule="auto"/>
              <w:jc w:val="center"/>
              <w:rPr>
                <w:rFonts w:hint="eastAsia" w:ascii="宋体" w:hAnsi="宋体" w:cs="宋体"/>
                <w:color w:val="auto"/>
                <w:szCs w:val="21"/>
                <w:highlight w:val="none"/>
              </w:rPr>
            </w:pPr>
          </w:p>
        </w:tc>
        <w:tc>
          <w:tcPr>
            <w:tcW w:w="1115" w:type="dxa"/>
            <w:vAlign w:val="center"/>
          </w:tcPr>
          <w:p w14:paraId="5F547CF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（6）确保工期的技术组织措施（满分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474A9F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磋商小组在打分前根据供应商提供的确保工期的技术组织措施，在相应档次内独立打分。</w:t>
            </w:r>
          </w:p>
          <w:p w14:paraId="0A266B40">
            <w:pPr>
              <w:spacing w:line="360" w:lineRule="auto"/>
              <w:rPr>
                <w:rFonts w:hint="eastAsia" w:ascii="宋体" w:hAnsi="宋体"/>
                <w:color w:val="auto"/>
                <w:kern w:val="0"/>
                <w:szCs w:val="21"/>
                <w:highlight w:val="none"/>
              </w:rPr>
            </w:pPr>
            <w:r>
              <w:rPr>
                <w:rFonts w:hint="eastAsia" w:ascii="宋体" w:hAnsi="宋体" w:cs="宋体"/>
                <w:color w:val="auto"/>
                <w:szCs w:val="21"/>
                <w:highlight w:val="none"/>
              </w:rPr>
              <w:t>一档（0分）：</w:t>
            </w:r>
            <w:r>
              <w:rPr>
                <w:rFonts w:hint="eastAsia" w:ascii="宋体" w:hAnsi="宋体"/>
                <w:color w:val="auto"/>
                <w:kern w:val="0"/>
                <w:szCs w:val="21"/>
                <w:highlight w:val="none"/>
              </w:rPr>
              <w:t>施工工艺、施工方法、材料选用、劳动力安排、技术等方面有措施。有控制工期的施工进度计划。有施工总进度表或施工网络图，各项计划图表编制差，不符合本项目施工实际要求。</w:t>
            </w:r>
          </w:p>
          <w:p w14:paraId="7ED3F977">
            <w:pPr>
              <w:spacing w:line="360" w:lineRule="auto"/>
              <w:ind w:left="2"/>
              <w:rPr>
                <w:rFonts w:hint="eastAsia" w:ascii="宋体" w:hAnsi="宋体"/>
                <w:color w:val="auto"/>
                <w:kern w:val="0"/>
                <w:szCs w:val="21"/>
                <w:highlight w:val="none"/>
              </w:rPr>
            </w:pPr>
            <w:r>
              <w:rPr>
                <w:rFonts w:hint="eastAsia" w:ascii="宋体" w:hAnsi="宋体" w:cs="宋体"/>
                <w:color w:val="auto"/>
                <w:szCs w:val="21"/>
                <w:highlight w:val="none"/>
              </w:rPr>
              <w:t>二档（3分）：</w:t>
            </w:r>
            <w:r>
              <w:rPr>
                <w:rFonts w:hint="eastAsia" w:ascii="宋体" w:hAnsi="宋体"/>
                <w:color w:val="auto"/>
                <w:kern w:val="0"/>
                <w:szCs w:val="21"/>
                <w:highlight w:val="none"/>
              </w:rPr>
              <w:t>施工工艺、施工方法、材料选用、劳动力安排、技术等方面有措施。有控制工期的施工进度计划。有施工总进度表或施工网络图，各项计划图表编制有1-2 项内容不合理，基本符合本项目施工实际要求。</w:t>
            </w:r>
          </w:p>
          <w:p w14:paraId="4DBE65D6">
            <w:pPr>
              <w:spacing w:line="360" w:lineRule="auto"/>
              <w:ind w:left="2"/>
              <w:rPr>
                <w:rFonts w:hint="eastAsia" w:ascii="宋体" w:hAnsi="宋体" w:cs="宋体"/>
                <w:color w:val="auto"/>
                <w:szCs w:val="21"/>
                <w:highlight w:val="none"/>
              </w:rPr>
            </w:pPr>
            <w:r>
              <w:rPr>
                <w:rFonts w:hint="eastAsia" w:ascii="宋体" w:hAnsi="宋体" w:cs="宋体"/>
                <w:color w:val="auto"/>
                <w:szCs w:val="21"/>
                <w:highlight w:val="none"/>
              </w:rPr>
              <w:t>三档（6分）：</w:t>
            </w:r>
            <w:r>
              <w:rPr>
                <w:rFonts w:hint="eastAsia" w:ascii="宋体" w:hAnsi="宋体"/>
                <w:color w:val="auto"/>
                <w:kern w:val="0"/>
                <w:szCs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1AC8CE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807" w:type="dxa"/>
            <w:vAlign w:val="center"/>
          </w:tcPr>
          <w:p w14:paraId="49CF31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D2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BAA045B">
            <w:pPr>
              <w:spacing w:line="360" w:lineRule="auto"/>
              <w:jc w:val="center"/>
              <w:rPr>
                <w:rFonts w:hint="eastAsia" w:ascii="宋体" w:hAnsi="宋体" w:cs="宋体"/>
                <w:color w:val="auto"/>
                <w:szCs w:val="21"/>
                <w:highlight w:val="none"/>
              </w:rPr>
            </w:pPr>
          </w:p>
        </w:tc>
        <w:tc>
          <w:tcPr>
            <w:tcW w:w="958" w:type="dxa"/>
            <w:vMerge w:val="continue"/>
            <w:vAlign w:val="center"/>
          </w:tcPr>
          <w:p w14:paraId="5475F8FD">
            <w:pPr>
              <w:spacing w:line="360" w:lineRule="auto"/>
              <w:jc w:val="center"/>
              <w:rPr>
                <w:rFonts w:hint="eastAsia" w:ascii="宋体" w:hAnsi="宋体" w:cs="宋体"/>
                <w:color w:val="auto"/>
                <w:szCs w:val="21"/>
                <w:highlight w:val="none"/>
              </w:rPr>
            </w:pPr>
          </w:p>
        </w:tc>
        <w:tc>
          <w:tcPr>
            <w:tcW w:w="1115" w:type="dxa"/>
            <w:vAlign w:val="center"/>
          </w:tcPr>
          <w:p w14:paraId="4CDDEB4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8972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5A7275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42560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58ED1B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1B517F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分）：针对该项目的难点、重点详细分析，重点考虑各部分施工如何相互交叉和衔接，以保证施工质量效果和设计效果的完美统一。</w:t>
            </w:r>
          </w:p>
        </w:tc>
        <w:tc>
          <w:tcPr>
            <w:tcW w:w="807" w:type="dxa"/>
            <w:vAlign w:val="center"/>
          </w:tcPr>
          <w:p w14:paraId="20969D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0B7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66B2842E">
            <w:pPr>
              <w:spacing w:line="360" w:lineRule="auto"/>
              <w:jc w:val="center"/>
              <w:rPr>
                <w:rFonts w:hint="eastAsia" w:ascii="宋体" w:hAnsi="宋体" w:cs="宋体"/>
                <w:color w:val="auto"/>
                <w:szCs w:val="21"/>
                <w:highlight w:val="none"/>
              </w:rPr>
            </w:pPr>
          </w:p>
        </w:tc>
        <w:tc>
          <w:tcPr>
            <w:tcW w:w="958" w:type="dxa"/>
            <w:vMerge w:val="continue"/>
            <w:vAlign w:val="center"/>
          </w:tcPr>
          <w:p w14:paraId="17BE040D">
            <w:pPr>
              <w:spacing w:line="360" w:lineRule="auto"/>
              <w:jc w:val="center"/>
              <w:rPr>
                <w:rFonts w:hint="eastAsia" w:ascii="宋体" w:hAnsi="宋体" w:cs="宋体"/>
                <w:color w:val="auto"/>
                <w:szCs w:val="21"/>
                <w:highlight w:val="none"/>
              </w:rPr>
            </w:pPr>
          </w:p>
        </w:tc>
        <w:tc>
          <w:tcPr>
            <w:tcW w:w="1115" w:type="dxa"/>
            <w:vAlign w:val="center"/>
          </w:tcPr>
          <w:p w14:paraId="6D17B5DB">
            <w:pPr>
              <w:widowControl/>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确保文明施工的技术组织措施</w:t>
            </w: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7分</w:t>
            </w:r>
            <w:r>
              <w:rPr>
                <w:rFonts w:hint="eastAsia" w:ascii="宋体" w:hAnsi="宋体" w:cs="宋体"/>
                <w:color w:val="auto"/>
                <w:szCs w:val="21"/>
                <w:highlight w:val="none"/>
                <w:lang w:eastAsia="zh-CN"/>
              </w:rPr>
              <w:t>）</w:t>
            </w:r>
          </w:p>
        </w:tc>
        <w:tc>
          <w:tcPr>
            <w:tcW w:w="5935" w:type="dxa"/>
          </w:tcPr>
          <w:p w14:paraId="060286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48A47D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一档（0分）：现场文明施工、环境保护措施和内容与相关施工安全生产标准或文明施工要求的的要求偏差大，无现场文明施工目标的承诺。</w:t>
            </w:r>
          </w:p>
          <w:p w14:paraId="72BFC4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分）：现场文明施工、环境保护措施和内容基本达到相关施工安全生产标准或文明施工要求的；有具体现场文明施工目标的承诺。</w:t>
            </w:r>
          </w:p>
          <w:p w14:paraId="1A942B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分）：现场文明施工、环境保护措施和内容达到相关施工安全生产标准或文明施工要求的；承诺创建市级文明工地和标准化工地，而且各项措施周全、具体、有效的。</w:t>
            </w:r>
          </w:p>
          <w:p w14:paraId="13E8C4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2FDFF3D8">
            <w:pPr>
              <w:spacing w:line="360" w:lineRule="auto"/>
              <w:jc w:val="center"/>
              <w:rPr>
                <w:rFonts w:hint="eastAsia" w:ascii="宋体" w:hAnsi="宋体" w:cs="宋体"/>
                <w:color w:val="auto"/>
                <w:szCs w:val="21"/>
                <w:highlight w:val="none"/>
              </w:rPr>
            </w:pPr>
          </w:p>
        </w:tc>
      </w:tr>
      <w:tr w14:paraId="205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0D737C25">
            <w:pPr>
              <w:spacing w:line="360" w:lineRule="auto"/>
              <w:jc w:val="center"/>
              <w:rPr>
                <w:rFonts w:hint="eastAsia" w:ascii="宋体" w:hAnsi="宋体" w:cs="宋体"/>
                <w:color w:val="auto"/>
                <w:szCs w:val="21"/>
                <w:highlight w:val="none"/>
              </w:rPr>
            </w:pPr>
          </w:p>
        </w:tc>
        <w:tc>
          <w:tcPr>
            <w:tcW w:w="958" w:type="dxa"/>
            <w:vMerge w:val="continue"/>
            <w:vAlign w:val="center"/>
          </w:tcPr>
          <w:p w14:paraId="7E28A692">
            <w:pPr>
              <w:spacing w:line="360" w:lineRule="auto"/>
              <w:jc w:val="center"/>
              <w:rPr>
                <w:rFonts w:hint="eastAsia" w:ascii="宋体" w:hAnsi="宋体" w:cs="宋体"/>
                <w:color w:val="auto"/>
                <w:szCs w:val="21"/>
                <w:highlight w:val="none"/>
              </w:rPr>
            </w:pPr>
          </w:p>
        </w:tc>
        <w:tc>
          <w:tcPr>
            <w:tcW w:w="1115" w:type="dxa"/>
            <w:vAlign w:val="center"/>
          </w:tcPr>
          <w:p w14:paraId="788B2AA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）施工总平面布置图（满分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935" w:type="dxa"/>
          </w:tcPr>
          <w:p w14:paraId="0DF0D7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6B7DEF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59482F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41438B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分）：总体布置合理，能满足施工需要，基本符合安全、文明生产要求。</w:t>
            </w:r>
          </w:p>
          <w:p w14:paraId="574206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分）：总体布置有针对性、合理，较好满足施工需要，符合安全、文明生产要求。</w:t>
            </w:r>
          </w:p>
        </w:tc>
        <w:tc>
          <w:tcPr>
            <w:tcW w:w="807" w:type="dxa"/>
            <w:vAlign w:val="center"/>
          </w:tcPr>
          <w:p w14:paraId="1B0B6C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7CE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19" w:type="dxa"/>
            <w:vMerge w:val="restart"/>
            <w:vAlign w:val="center"/>
          </w:tcPr>
          <w:p w14:paraId="6C50D1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Merge w:val="restart"/>
            <w:vAlign w:val="center"/>
          </w:tcPr>
          <w:p w14:paraId="73817B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商务分（满分6分）</w:t>
            </w:r>
          </w:p>
        </w:tc>
        <w:tc>
          <w:tcPr>
            <w:tcW w:w="1115" w:type="dxa"/>
            <w:vAlign w:val="center"/>
          </w:tcPr>
          <w:p w14:paraId="49634F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实力信誉（满分3分）</w:t>
            </w:r>
          </w:p>
        </w:tc>
        <w:tc>
          <w:tcPr>
            <w:tcW w:w="5935" w:type="dxa"/>
            <w:vAlign w:val="center"/>
          </w:tcPr>
          <w:p w14:paraId="01DE59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供应商通过ISO9001质量管理体系认证、ISO14001环境管理体系认证、ISO45001职业健康安全管理体系认证，每提供1项得1分，此项满分为3分。注：以上认证证书复印件并加盖公章，否则不计分。</w:t>
            </w:r>
          </w:p>
        </w:tc>
        <w:tc>
          <w:tcPr>
            <w:tcW w:w="807" w:type="dxa"/>
            <w:vAlign w:val="center"/>
          </w:tcPr>
          <w:p w14:paraId="4A0D57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4061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9" w:type="dxa"/>
            <w:vMerge w:val="continue"/>
            <w:vAlign w:val="center"/>
          </w:tcPr>
          <w:p w14:paraId="72D051E6">
            <w:pPr>
              <w:spacing w:line="360" w:lineRule="auto"/>
              <w:jc w:val="center"/>
              <w:rPr>
                <w:rFonts w:hint="eastAsia" w:ascii="宋体" w:hAnsi="宋体" w:cs="宋体"/>
                <w:color w:val="auto"/>
                <w:szCs w:val="21"/>
                <w:highlight w:val="none"/>
              </w:rPr>
            </w:pPr>
          </w:p>
        </w:tc>
        <w:tc>
          <w:tcPr>
            <w:tcW w:w="958" w:type="dxa"/>
            <w:vMerge w:val="continue"/>
            <w:vAlign w:val="center"/>
          </w:tcPr>
          <w:p w14:paraId="3CE2C7AF">
            <w:pPr>
              <w:spacing w:line="360" w:lineRule="auto"/>
              <w:jc w:val="center"/>
              <w:rPr>
                <w:rFonts w:hint="eastAsia" w:ascii="宋体" w:hAnsi="宋体" w:cs="宋体"/>
                <w:color w:val="auto"/>
                <w:szCs w:val="21"/>
                <w:highlight w:val="none"/>
              </w:rPr>
            </w:pPr>
          </w:p>
        </w:tc>
        <w:tc>
          <w:tcPr>
            <w:tcW w:w="1115" w:type="dxa"/>
            <w:vAlign w:val="center"/>
          </w:tcPr>
          <w:p w14:paraId="63136A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业绩分(满分3分)</w:t>
            </w:r>
          </w:p>
        </w:tc>
        <w:tc>
          <w:tcPr>
            <w:tcW w:w="5935" w:type="dxa"/>
            <w:vAlign w:val="center"/>
          </w:tcPr>
          <w:p w14:paraId="7AE5C5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2022年以来完成过类似项目业绩的，每个业绩得1分，满分3分。【附成交(或中标)通知书或合同协议书复印件并加盖供应商电子公章】</w:t>
            </w:r>
          </w:p>
        </w:tc>
        <w:tc>
          <w:tcPr>
            <w:tcW w:w="807" w:type="dxa"/>
            <w:vAlign w:val="center"/>
          </w:tcPr>
          <w:p w14:paraId="5BD61E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141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4EA84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3DC701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0AC3C984">
            <w:pPr>
              <w:spacing w:line="360" w:lineRule="auto"/>
              <w:jc w:val="left"/>
              <w:rPr>
                <w:rFonts w:hint="eastAsia" w:ascii="宋体" w:hAnsi="宋体" w:cs="宋体"/>
                <w:color w:val="auto"/>
                <w:szCs w:val="21"/>
                <w:highlight w:val="none"/>
              </w:rPr>
            </w:pPr>
          </w:p>
        </w:tc>
      </w:tr>
    </w:tbl>
    <w:p w14:paraId="403277A6">
      <w:pPr>
        <w:spacing w:line="360" w:lineRule="auto"/>
        <w:rPr>
          <w:b/>
          <w:bCs/>
          <w:color w:val="auto"/>
          <w:highlight w:val="none"/>
        </w:rPr>
      </w:pPr>
      <w:r>
        <w:rPr>
          <w:rFonts w:hint="eastAsia"/>
          <w:b/>
          <w:bCs/>
          <w:color w:val="auto"/>
          <w:highlight w:val="none"/>
        </w:rPr>
        <w:t>三、成交候选供应商推荐原则</w:t>
      </w:r>
    </w:p>
    <w:p w14:paraId="6B24EAA7">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024AF039">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0FEE6F63">
      <w:pPr>
        <w:pStyle w:val="47"/>
        <w:rPr>
          <w:rFonts w:hint="eastAsia" w:ascii="黑体" w:hAnsi="宋体" w:eastAsia="黑体" w:cs="Times New Roman"/>
          <w:b/>
          <w:bCs/>
          <w:color w:val="auto"/>
          <w:sz w:val="36"/>
          <w:szCs w:val="36"/>
          <w:highlight w:val="none"/>
        </w:rPr>
      </w:pPr>
    </w:p>
    <w:p w14:paraId="4933D0AE">
      <w:pPr>
        <w:pStyle w:val="47"/>
        <w:rPr>
          <w:rFonts w:hint="eastAsia" w:ascii="黑体" w:hAnsi="宋体" w:eastAsia="黑体" w:cs="Times New Roman"/>
          <w:b/>
          <w:bCs/>
          <w:color w:val="auto"/>
          <w:sz w:val="36"/>
          <w:szCs w:val="36"/>
          <w:highlight w:val="none"/>
        </w:rPr>
      </w:pPr>
    </w:p>
    <w:p w14:paraId="63D97807">
      <w:pPr>
        <w:pStyle w:val="47"/>
        <w:rPr>
          <w:rFonts w:hint="eastAsia" w:ascii="黑体" w:hAnsi="宋体" w:eastAsia="黑体" w:cs="Times New Roman"/>
          <w:b/>
          <w:bCs/>
          <w:color w:val="auto"/>
          <w:sz w:val="36"/>
          <w:szCs w:val="36"/>
          <w:highlight w:val="none"/>
        </w:rPr>
      </w:pPr>
    </w:p>
    <w:p w14:paraId="28DE9610">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7E2F9E67">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03DCD746">
      <w:pPr>
        <w:autoSpaceDE w:val="0"/>
        <w:autoSpaceDN w:val="0"/>
        <w:adjustRightInd w:val="0"/>
        <w:spacing w:line="360" w:lineRule="auto"/>
        <w:rPr>
          <w:rFonts w:ascii="宋体" w:cs="宋体"/>
          <w:color w:val="auto"/>
          <w:szCs w:val="21"/>
          <w:highlight w:val="none"/>
          <w:lang w:val="zh-CN"/>
        </w:rPr>
      </w:pPr>
    </w:p>
    <w:p w14:paraId="4A3B43AA">
      <w:pPr>
        <w:rPr>
          <w:b/>
          <w:color w:val="auto"/>
          <w:sz w:val="32"/>
          <w:szCs w:val="32"/>
          <w:highlight w:val="none"/>
        </w:rPr>
      </w:pPr>
      <w:bookmarkStart w:id="68" w:name="_Toc31728084"/>
      <w:bookmarkStart w:id="69" w:name="_Toc44229899"/>
      <w:bookmarkStart w:id="70" w:name="_Toc31723070"/>
      <w:bookmarkStart w:id="71" w:name="_Toc35611438"/>
      <w:bookmarkStart w:id="72" w:name="_Toc35611516"/>
      <w:bookmarkStart w:id="73" w:name="_Toc71366186"/>
      <w:r>
        <w:rPr>
          <w:rFonts w:hint="eastAsia"/>
          <w:b/>
          <w:color w:val="auto"/>
          <w:sz w:val="32"/>
          <w:szCs w:val="32"/>
          <w:highlight w:val="none"/>
        </w:rPr>
        <w:t>一、资格证明文件格式</w:t>
      </w:r>
      <w:bookmarkEnd w:id="68"/>
      <w:bookmarkEnd w:id="69"/>
      <w:bookmarkEnd w:id="70"/>
      <w:bookmarkEnd w:id="71"/>
      <w:bookmarkEnd w:id="72"/>
      <w:bookmarkEnd w:id="73"/>
    </w:p>
    <w:p w14:paraId="5E9FA32D">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D43EE0F">
      <w:pPr>
        <w:snapToGrid w:val="0"/>
        <w:spacing w:before="156" w:beforeLines="50" w:after="50"/>
        <w:jc w:val="center"/>
        <w:rPr>
          <w:rFonts w:hint="eastAsia" w:ascii="宋体" w:hAnsi="宋体"/>
          <w:color w:val="auto"/>
          <w:sz w:val="44"/>
          <w:szCs w:val="44"/>
          <w:highlight w:val="none"/>
        </w:rPr>
      </w:pPr>
    </w:p>
    <w:p w14:paraId="221080D4">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6E2B1483">
      <w:pPr>
        <w:snapToGrid w:val="0"/>
        <w:spacing w:before="156" w:beforeLines="50" w:after="50"/>
        <w:rPr>
          <w:rFonts w:hint="eastAsia" w:ascii="宋体" w:hAnsi="宋体"/>
          <w:color w:val="auto"/>
          <w:sz w:val="24"/>
          <w:szCs w:val="20"/>
          <w:highlight w:val="none"/>
        </w:rPr>
      </w:pPr>
    </w:p>
    <w:p w14:paraId="05BEDB15">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5E760EA">
      <w:pPr>
        <w:snapToGrid w:val="0"/>
        <w:spacing w:before="156" w:beforeLines="50" w:after="50"/>
        <w:rPr>
          <w:rFonts w:hint="eastAsia" w:ascii="宋体" w:hAnsi="宋体"/>
          <w:bCs/>
          <w:color w:val="auto"/>
          <w:sz w:val="24"/>
          <w:szCs w:val="20"/>
          <w:highlight w:val="none"/>
        </w:rPr>
      </w:pPr>
    </w:p>
    <w:p w14:paraId="187DB1E6">
      <w:pPr>
        <w:snapToGrid w:val="0"/>
        <w:spacing w:before="156" w:beforeLines="50" w:after="50"/>
        <w:rPr>
          <w:rFonts w:hint="eastAsia" w:ascii="宋体" w:hAnsi="宋体"/>
          <w:bCs/>
          <w:color w:val="auto"/>
          <w:sz w:val="24"/>
          <w:szCs w:val="20"/>
          <w:highlight w:val="none"/>
        </w:rPr>
      </w:pPr>
    </w:p>
    <w:p w14:paraId="291E8392">
      <w:pPr>
        <w:snapToGrid w:val="0"/>
        <w:spacing w:before="156" w:beforeLines="50" w:after="50"/>
        <w:rPr>
          <w:rFonts w:hint="eastAsia" w:ascii="宋体" w:hAnsi="宋体"/>
          <w:bCs/>
          <w:color w:val="auto"/>
          <w:sz w:val="24"/>
          <w:szCs w:val="20"/>
          <w:highlight w:val="none"/>
        </w:rPr>
      </w:pPr>
    </w:p>
    <w:p w14:paraId="12AA48AA">
      <w:pPr>
        <w:snapToGrid w:val="0"/>
        <w:spacing w:before="156" w:beforeLines="50" w:after="50"/>
        <w:rPr>
          <w:rFonts w:hint="eastAsia" w:ascii="宋体" w:hAnsi="宋体"/>
          <w:bCs/>
          <w:color w:val="auto"/>
          <w:sz w:val="24"/>
          <w:szCs w:val="20"/>
          <w:highlight w:val="none"/>
        </w:rPr>
      </w:pPr>
    </w:p>
    <w:p w14:paraId="29B26652">
      <w:pPr>
        <w:snapToGrid w:val="0"/>
        <w:spacing w:before="156" w:beforeLines="50" w:after="50"/>
        <w:rPr>
          <w:rFonts w:hint="eastAsia" w:ascii="宋体" w:hAnsi="宋体"/>
          <w:bCs/>
          <w:color w:val="auto"/>
          <w:sz w:val="24"/>
          <w:szCs w:val="20"/>
          <w:highlight w:val="none"/>
        </w:rPr>
      </w:pPr>
    </w:p>
    <w:p w14:paraId="3C0C12F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641140E">
      <w:pPr>
        <w:snapToGrid w:val="0"/>
        <w:spacing w:before="156" w:beforeLines="50" w:after="50"/>
        <w:ind w:firstLine="720" w:firstLineChars="225"/>
        <w:rPr>
          <w:rFonts w:hint="eastAsia" w:ascii="宋体" w:hAnsi="宋体" w:cs="仿宋_GB2312"/>
          <w:bCs/>
          <w:color w:val="auto"/>
          <w:sz w:val="32"/>
          <w:szCs w:val="32"/>
          <w:highlight w:val="none"/>
        </w:rPr>
      </w:pPr>
    </w:p>
    <w:p w14:paraId="79AB340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7F6D8D0">
      <w:pPr>
        <w:snapToGrid w:val="0"/>
        <w:spacing w:before="156" w:beforeLines="50" w:after="50"/>
        <w:ind w:firstLine="720" w:firstLineChars="225"/>
        <w:rPr>
          <w:rFonts w:hint="eastAsia" w:ascii="宋体" w:hAnsi="宋体" w:cs="仿宋_GB2312"/>
          <w:bCs/>
          <w:color w:val="auto"/>
          <w:sz w:val="32"/>
          <w:szCs w:val="32"/>
          <w:highlight w:val="none"/>
        </w:rPr>
      </w:pPr>
    </w:p>
    <w:p w14:paraId="13E8844C">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A281E31">
      <w:pPr>
        <w:pStyle w:val="10"/>
        <w:snapToGrid w:val="0"/>
        <w:spacing w:before="50" w:after="50"/>
        <w:ind w:firstLine="640"/>
        <w:rPr>
          <w:rFonts w:hint="eastAsia" w:ascii="宋体" w:hAnsi="宋体" w:cs="仿宋_GB2312"/>
          <w:bCs/>
          <w:color w:val="auto"/>
          <w:sz w:val="32"/>
          <w:szCs w:val="32"/>
          <w:highlight w:val="none"/>
        </w:rPr>
      </w:pPr>
    </w:p>
    <w:p w14:paraId="501B1BAF">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3B01F944">
      <w:pPr>
        <w:snapToGrid w:val="0"/>
        <w:spacing w:before="156" w:beforeLines="50" w:after="50"/>
        <w:ind w:firstLine="640" w:firstLineChars="200"/>
        <w:rPr>
          <w:rFonts w:hint="eastAsia" w:ascii="宋体" w:hAnsi="宋体" w:cs="仿宋_GB2312"/>
          <w:bCs/>
          <w:color w:val="auto"/>
          <w:sz w:val="32"/>
          <w:szCs w:val="32"/>
          <w:highlight w:val="none"/>
        </w:rPr>
      </w:pPr>
    </w:p>
    <w:p w14:paraId="55C486BC">
      <w:pPr>
        <w:pStyle w:val="10"/>
        <w:snapToGrid w:val="0"/>
        <w:spacing w:before="50" w:after="50"/>
        <w:ind w:firstLine="720" w:firstLineChars="225"/>
        <w:rPr>
          <w:rFonts w:hint="eastAsia" w:ascii="宋体" w:hAnsi="宋体" w:cs="仿宋_GB2312"/>
          <w:bCs/>
          <w:color w:val="auto"/>
          <w:sz w:val="32"/>
          <w:szCs w:val="32"/>
          <w:highlight w:val="none"/>
        </w:rPr>
      </w:pPr>
    </w:p>
    <w:p w14:paraId="6F71BCC0">
      <w:pPr>
        <w:pStyle w:val="10"/>
        <w:snapToGrid w:val="0"/>
        <w:spacing w:before="50" w:after="50"/>
        <w:ind w:firstLine="1280" w:firstLineChars="400"/>
        <w:rPr>
          <w:rFonts w:hint="eastAsia" w:ascii="宋体" w:hAnsi="宋体" w:cs="仿宋_GB2312"/>
          <w:bCs/>
          <w:color w:val="auto"/>
          <w:sz w:val="32"/>
          <w:szCs w:val="32"/>
          <w:highlight w:val="none"/>
        </w:rPr>
      </w:pPr>
    </w:p>
    <w:p w14:paraId="79630583">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6D764DA">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7044FF8B">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20C7D78">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543635BD">
      <w:pPr>
        <w:spacing w:line="300" w:lineRule="auto"/>
        <w:rPr>
          <w:rFonts w:hint="eastAsia" w:ascii="宋体" w:hAnsi="宋体"/>
          <w:color w:val="auto"/>
          <w:szCs w:val="21"/>
          <w:highlight w:val="none"/>
        </w:rPr>
      </w:pPr>
    </w:p>
    <w:p w14:paraId="3EB88900">
      <w:pPr>
        <w:spacing w:line="300" w:lineRule="auto"/>
        <w:rPr>
          <w:rFonts w:hint="eastAsia" w:ascii="宋体" w:hAnsi="宋体"/>
          <w:color w:val="auto"/>
          <w:szCs w:val="21"/>
          <w:highlight w:val="none"/>
        </w:rPr>
      </w:pPr>
    </w:p>
    <w:p w14:paraId="486C89B6">
      <w:pPr>
        <w:spacing w:line="300" w:lineRule="auto"/>
        <w:rPr>
          <w:rFonts w:hint="eastAsia" w:ascii="宋体" w:hAnsi="宋体"/>
          <w:color w:val="auto"/>
          <w:szCs w:val="21"/>
          <w:highlight w:val="none"/>
        </w:rPr>
      </w:pPr>
    </w:p>
    <w:p w14:paraId="06EBD440">
      <w:pPr>
        <w:spacing w:line="300" w:lineRule="auto"/>
        <w:rPr>
          <w:rFonts w:hint="eastAsia" w:ascii="宋体" w:hAnsi="宋体"/>
          <w:color w:val="auto"/>
          <w:szCs w:val="21"/>
          <w:highlight w:val="none"/>
        </w:rPr>
      </w:pPr>
    </w:p>
    <w:p w14:paraId="203A5985">
      <w:pPr>
        <w:spacing w:line="300" w:lineRule="auto"/>
        <w:rPr>
          <w:rFonts w:hint="eastAsia" w:ascii="宋体" w:hAnsi="宋体"/>
          <w:color w:val="auto"/>
          <w:szCs w:val="21"/>
          <w:highlight w:val="none"/>
        </w:rPr>
      </w:pPr>
    </w:p>
    <w:p w14:paraId="7988F49E">
      <w:pPr>
        <w:spacing w:line="300" w:lineRule="auto"/>
        <w:rPr>
          <w:rFonts w:hint="eastAsia" w:ascii="宋体" w:hAnsi="宋体"/>
          <w:color w:val="auto"/>
          <w:szCs w:val="21"/>
          <w:highlight w:val="none"/>
        </w:rPr>
      </w:pPr>
    </w:p>
    <w:p w14:paraId="161D3F2C">
      <w:pPr>
        <w:spacing w:line="300" w:lineRule="auto"/>
        <w:rPr>
          <w:rFonts w:hint="eastAsia" w:ascii="宋体" w:hAnsi="宋体"/>
          <w:color w:val="auto"/>
          <w:szCs w:val="21"/>
          <w:highlight w:val="none"/>
        </w:rPr>
      </w:pPr>
    </w:p>
    <w:p w14:paraId="7B0D3281">
      <w:pPr>
        <w:spacing w:line="300" w:lineRule="auto"/>
        <w:rPr>
          <w:rFonts w:hint="eastAsia" w:ascii="宋体" w:hAnsi="宋体"/>
          <w:color w:val="auto"/>
          <w:szCs w:val="21"/>
          <w:highlight w:val="none"/>
        </w:rPr>
      </w:pPr>
    </w:p>
    <w:p w14:paraId="44576F8E">
      <w:pPr>
        <w:spacing w:line="300" w:lineRule="auto"/>
        <w:rPr>
          <w:rFonts w:hint="eastAsia" w:ascii="宋体" w:hAnsi="宋体"/>
          <w:color w:val="auto"/>
          <w:szCs w:val="21"/>
          <w:highlight w:val="none"/>
        </w:rPr>
      </w:pPr>
    </w:p>
    <w:p w14:paraId="695F7B9E">
      <w:pPr>
        <w:spacing w:line="300" w:lineRule="auto"/>
        <w:rPr>
          <w:rFonts w:hint="eastAsia" w:ascii="宋体" w:hAnsi="宋体"/>
          <w:color w:val="auto"/>
          <w:szCs w:val="21"/>
          <w:highlight w:val="none"/>
        </w:rPr>
      </w:pPr>
    </w:p>
    <w:p w14:paraId="0F163EDC">
      <w:pPr>
        <w:spacing w:line="300" w:lineRule="auto"/>
        <w:rPr>
          <w:rFonts w:hint="eastAsia" w:ascii="宋体" w:hAnsi="宋体"/>
          <w:color w:val="auto"/>
          <w:szCs w:val="21"/>
          <w:highlight w:val="none"/>
        </w:rPr>
      </w:pPr>
    </w:p>
    <w:p w14:paraId="637624F5">
      <w:pPr>
        <w:spacing w:line="300" w:lineRule="auto"/>
        <w:rPr>
          <w:rFonts w:hint="eastAsia" w:ascii="宋体" w:hAnsi="宋体"/>
          <w:color w:val="auto"/>
          <w:szCs w:val="21"/>
          <w:highlight w:val="none"/>
        </w:rPr>
      </w:pPr>
    </w:p>
    <w:p w14:paraId="4674BD32">
      <w:pPr>
        <w:spacing w:line="300" w:lineRule="auto"/>
        <w:rPr>
          <w:rFonts w:hint="eastAsia" w:ascii="宋体" w:hAnsi="宋体"/>
          <w:color w:val="auto"/>
          <w:szCs w:val="21"/>
          <w:highlight w:val="none"/>
        </w:rPr>
      </w:pPr>
    </w:p>
    <w:p w14:paraId="078AFA1D">
      <w:pPr>
        <w:spacing w:line="300" w:lineRule="auto"/>
        <w:rPr>
          <w:rFonts w:hint="eastAsia" w:ascii="宋体" w:hAnsi="宋体"/>
          <w:color w:val="auto"/>
          <w:szCs w:val="21"/>
          <w:highlight w:val="none"/>
        </w:rPr>
      </w:pPr>
    </w:p>
    <w:p w14:paraId="79A9E0EE">
      <w:pPr>
        <w:spacing w:line="300" w:lineRule="auto"/>
        <w:rPr>
          <w:rFonts w:hint="eastAsia" w:ascii="宋体" w:hAnsi="宋体"/>
          <w:color w:val="auto"/>
          <w:szCs w:val="21"/>
          <w:highlight w:val="none"/>
        </w:rPr>
      </w:pPr>
    </w:p>
    <w:p w14:paraId="052705B9">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4513360A">
      <w:pPr>
        <w:spacing w:line="320" w:lineRule="exact"/>
        <w:jc w:val="center"/>
        <w:rPr>
          <w:rFonts w:hint="eastAsia" w:ascii="宋体" w:hAnsi="宋体"/>
          <w:color w:val="auto"/>
          <w:sz w:val="24"/>
          <w:szCs w:val="20"/>
          <w:highlight w:val="none"/>
        </w:rPr>
      </w:pPr>
    </w:p>
    <w:p w14:paraId="0D0D017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6FCFD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9333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42543E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4ABEB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27B8E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914C17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C4FF85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2F5D10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B5FF93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BE7A0F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0163D1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03207F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A67CD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3F66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A4DDC4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809B1B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6F4A73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2BF664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C3C3A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36B6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60F2F4A">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F95DD6F">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35CC3F8">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68D6AFF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2ABE9A">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5DEE22C">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297B616">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11312676">
      <w:pPr>
        <w:spacing w:line="360" w:lineRule="auto"/>
        <w:contextualSpacing/>
        <w:jc w:val="left"/>
        <w:rPr>
          <w:rFonts w:hint="eastAsia" w:ascii="宋体" w:hAnsi="宋体" w:cs="宋体"/>
          <w:color w:val="auto"/>
          <w:szCs w:val="21"/>
          <w:highlight w:val="none"/>
        </w:rPr>
      </w:pPr>
    </w:p>
    <w:p w14:paraId="259D46C0">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DB001FA">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04489F94">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711E9661">
      <w:pPr>
        <w:spacing w:line="320" w:lineRule="exact"/>
        <w:jc w:val="left"/>
        <w:rPr>
          <w:rFonts w:hint="eastAsia" w:ascii="宋体" w:hAnsi="宋体"/>
          <w:color w:val="auto"/>
          <w:szCs w:val="21"/>
          <w:highlight w:val="none"/>
        </w:rPr>
      </w:pPr>
    </w:p>
    <w:p w14:paraId="3D7BE81F">
      <w:pPr>
        <w:spacing w:line="320" w:lineRule="exact"/>
        <w:jc w:val="center"/>
        <w:rPr>
          <w:rFonts w:hint="eastAsia" w:ascii="宋体" w:hAnsi="宋体"/>
          <w:b/>
          <w:color w:val="auto"/>
          <w:sz w:val="32"/>
          <w:szCs w:val="32"/>
          <w:highlight w:val="none"/>
        </w:rPr>
      </w:pPr>
    </w:p>
    <w:p w14:paraId="5584C1DB">
      <w:pPr>
        <w:spacing w:line="320" w:lineRule="exact"/>
        <w:jc w:val="center"/>
        <w:rPr>
          <w:rFonts w:hint="eastAsia" w:ascii="宋体" w:hAnsi="宋体"/>
          <w:b/>
          <w:color w:val="auto"/>
          <w:sz w:val="32"/>
          <w:szCs w:val="32"/>
          <w:highlight w:val="none"/>
        </w:rPr>
      </w:pPr>
    </w:p>
    <w:p w14:paraId="610DCB2B">
      <w:pPr>
        <w:spacing w:line="320" w:lineRule="exact"/>
        <w:jc w:val="center"/>
        <w:rPr>
          <w:rFonts w:hint="eastAsia" w:ascii="宋体" w:hAnsi="宋体"/>
          <w:b/>
          <w:color w:val="auto"/>
          <w:sz w:val="32"/>
          <w:szCs w:val="32"/>
          <w:highlight w:val="none"/>
        </w:rPr>
      </w:pPr>
    </w:p>
    <w:p w14:paraId="69381DF0">
      <w:pPr>
        <w:spacing w:line="320" w:lineRule="exact"/>
        <w:jc w:val="center"/>
        <w:rPr>
          <w:rFonts w:hint="eastAsia" w:ascii="宋体" w:hAnsi="宋体"/>
          <w:b/>
          <w:color w:val="auto"/>
          <w:sz w:val="32"/>
          <w:szCs w:val="32"/>
          <w:highlight w:val="none"/>
        </w:rPr>
      </w:pPr>
    </w:p>
    <w:p w14:paraId="28E180EB">
      <w:pPr>
        <w:spacing w:line="320" w:lineRule="exact"/>
        <w:jc w:val="center"/>
        <w:rPr>
          <w:rFonts w:hint="eastAsia" w:ascii="宋体" w:hAnsi="宋体"/>
          <w:b/>
          <w:color w:val="auto"/>
          <w:sz w:val="32"/>
          <w:szCs w:val="32"/>
          <w:highlight w:val="none"/>
        </w:rPr>
      </w:pPr>
    </w:p>
    <w:p w14:paraId="6E1B6D18">
      <w:pPr>
        <w:spacing w:line="320" w:lineRule="exact"/>
        <w:jc w:val="center"/>
        <w:rPr>
          <w:rFonts w:hint="eastAsia" w:ascii="宋体" w:hAnsi="宋体"/>
          <w:b/>
          <w:color w:val="auto"/>
          <w:sz w:val="32"/>
          <w:szCs w:val="32"/>
          <w:highlight w:val="none"/>
        </w:rPr>
      </w:pPr>
    </w:p>
    <w:p w14:paraId="2D3514A0">
      <w:pPr>
        <w:spacing w:line="320" w:lineRule="exact"/>
        <w:jc w:val="center"/>
        <w:rPr>
          <w:rFonts w:hint="eastAsia" w:ascii="宋体" w:hAnsi="宋体"/>
          <w:b/>
          <w:color w:val="auto"/>
          <w:sz w:val="32"/>
          <w:szCs w:val="32"/>
          <w:highlight w:val="none"/>
        </w:rPr>
      </w:pPr>
    </w:p>
    <w:p w14:paraId="68650EF8">
      <w:pPr>
        <w:spacing w:line="320" w:lineRule="exact"/>
        <w:jc w:val="center"/>
        <w:rPr>
          <w:rFonts w:hint="eastAsia" w:ascii="宋体" w:hAnsi="宋体"/>
          <w:b/>
          <w:color w:val="auto"/>
          <w:sz w:val="32"/>
          <w:szCs w:val="32"/>
          <w:highlight w:val="none"/>
        </w:rPr>
      </w:pPr>
    </w:p>
    <w:p w14:paraId="07FC3FED">
      <w:pPr>
        <w:spacing w:line="320" w:lineRule="exact"/>
        <w:jc w:val="center"/>
        <w:rPr>
          <w:rFonts w:hint="eastAsia" w:ascii="宋体" w:hAnsi="宋体"/>
          <w:b/>
          <w:color w:val="auto"/>
          <w:sz w:val="32"/>
          <w:szCs w:val="32"/>
          <w:highlight w:val="none"/>
        </w:rPr>
      </w:pPr>
    </w:p>
    <w:p w14:paraId="732D15ED">
      <w:pPr>
        <w:spacing w:line="320" w:lineRule="exact"/>
        <w:jc w:val="center"/>
        <w:rPr>
          <w:rFonts w:hint="eastAsia" w:ascii="宋体" w:hAnsi="宋体"/>
          <w:b/>
          <w:color w:val="auto"/>
          <w:sz w:val="32"/>
          <w:szCs w:val="32"/>
          <w:highlight w:val="none"/>
        </w:rPr>
      </w:pPr>
    </w:p>
    <w:p w14:paraId="23AF1318">
      <w:pPr>
        <w:spacing w:line="320" w:lineRule="exact"/>
        <w:jc w:val="center"/>
        <w:rPr>
          <w:rFonts w:hint="eastAsia" w:ascii="宋体" w:hAnsi="宋体"/>
          <w:b/>
          <w:color w:val="auto"/>
          <w:sz w:val="32"/>
          <w:szCs w:val="32"/>
          <w:highlight w:val="none"/>
        </w:rPr>
      </w:pPr>
    </w:p>
    <w:p w14:paraId="0E7C4C13">
      <w:pPr>
        <w:spacing w:line="320" w:lineRule="exact"/>
        <w:jc w:val="center"/>
        <w:rPr>
          <w:rFonts w:hint="eastAsia" w:ascii="宋体" w:hAnsi="宋体"/>
          <w:b/>
          <w:color w:val="auto"/>
          <w:sz w:val="32"/>
          <w:szCs w:val="32"/>
          <w:highlight w:val="none"/>
        </w:rPr>
      </w:pPr>
    </w:p>
    <w:p w14:paraId="517F2BE6">
      <w:pPr>
        <w:spacing w:line="320" w:lineRule="exact"/>
        <w:jc w:val="center"/>
        <w:rPr>
          <w:rFonts w:hint="eastAsia" w:ascii="宋体" w:hAnsi="宋体"/>
          <w:b/>
          <w:color w:val="auto"/>
          <w:sz w:val="32"/>
          <w:szCs w:val="32"/>
          <w:highlight w:val="none"/>
        </w:rPr>
      </w:pPr>
    </w:p>
    <w:p w14:paraId="16C3FCD6">
      <w:pPr>
        <w:spacing w:line="320" w:lineRule="exact"/>
        <w:jc w:val="center"/>
        <w:rPr>
          <w:rFonts w:hint="eastAsia" w:ascii="宋体" w:hAnsi="宋体"/>
          <w:b/>
          <w:color w:val="auto"/>
          <w:sz w:val="32"/>
          <w:szCs w:val="32"/>
          <w:highlight w:val="none"/>
        </w:rPr>
      </w:pPr>
    </w:p>
    <w:p w14:paraId="77C74EE4">
      <w:pPr>
        <w:spacing w:line="320" w:lineRule="exact"/>
        <w:jc w:val="center"/>
        <w:rPr>
          <w:rFonts w:hint="eastAsia" w:ascii="宋体" w:hAnsi="宋体"/>
          <w:b/>
          <w:color w:val="auto"/>
          <w:sz w:val="32"/>
          <w:szCs w:val="32"/>
          <w:highlight w:val="none"/>
        </w:rPr>
      </w:pPr>
    </w:p>
    <w:p w14:paraId="342A8707">
      <w:pPr>
        <w:spacing w:line="320" w:lineRule="exact"/>
        <w:jc w:val="center"/>
        <w:rPr>
          <w:rFonts w:hint="eastAsia" w:ascii="宋体" w:hAnsi="宋体"/>
          <w:b/>
          <w:color w:val="auto"/>
          <w:sz w:val="32"/>
          <w:szCs w:val="32"/>
          <w:highlight w:val="none"/>
        </w:rPr>
      </w:pPr>
    </w:p>
    <w:p w14:paraId="5E8AD74E">
      <w:pPr>
        <w:spacing w:line="320" w:lineRule="exact"/>
        <w:jc w:val="center"/>
        <w:rPr>
          <w:rFonts w:hint="eastAsia" w:ascii="宋体" w:hAnsi="宋体"/>
          <w:b/>
          <w:color w:val="auto"/>
          <w:sz w:val="32"/>
          <w:szCs w:val="32"/>
          <w:highlight w:val="none"/>
        </w:rPr>
      </w:pPr>
    </w:p>
    <w:p w14:paraId="0F72BB48">
      <w:pPr>
        <w:spacing w:line="320" w:lineRule="exact"/>
        <w:jc w:val="center"/>
        <w:rPr>
          <w:rFonts w:hint="eastAsia" w:ascii="宋体" w:hAnsi="宋体"/>
          <w:b/>
          <w:color w:val="auto"/>
          <w:sz w:val="32"/>
          <w:szCs w:val="32"/>
          <w:highlight w:val="none"/>
        </w:rPr>
      </w:pPr>
    </w:p>
    <w:p w14:paraId="3F877ADE">
      <w:pPr>
        <w:spacing w:line="320" w:lineRule="exact"/>
        <w:jc w:val="center"/>
        <w:rPr>
          <w:rFonts w:hint="eastAsia" w:ascii="宋体" w:hAnsi="宋体"/>
          <w:b/>
          <w:color w:val="auto"/>
          <w:sz w:val="32"/>
          <w:szCs w:val="32"/>
          <w:highlight w:val="none"/>
        </w:rPr>
      </w:pPr>
    </w:p>
    <w:p w14:paraId="4B817BF3">
      <w:pPr>
        <w:spacing w:line="320" w:lineRule="exact"/>
        <w:jc w:val="center"/>
        <w:rPr>
          <w:rFonts w:hint="eastAsia" w:ascii="宋体" w:hAnsi="宋体"/>
          <w:b/>
          <w:color w:val="auto"/>
          <w:sz w:val="32"/>
          <w:szCs w:val="32"/>
          <w:highlight w:val="none"/>
        </w:rPr>
      </w:pPr>
    </w:p>
    <w:p w14:paraId="417D094C">
      <w:pPr>
        <w:spacing w:line="320" w:lineRule="exact"/>
        <w:jc w:val="center"/>
        <w:rPr>
          <w:rFonts w:hint="eastAsia" w:ascii="宋体" w:hAnsi="宋体"/>
          <w:b/>
          <w:color w:val="auto"/>
          <w:sz w:val="32"/>
          <w:szCs w:val="32"/>
          <w:highlight w:val="none"/>
        </w:rPr>
      </w:pPr>
    </w:p>
    <w:p w14:paraId="74DA7149">
      <w:pPr>
        <w:spacing w:line="320" w:lineRule="exact"/>
        <w:jc w:val="center"/>
        <w:rPr>
          <w:rFonts w:hint="eastAsia" w:ascii="宋体" w:hAnsi="宋体"/>
          <w:b/>
          <w:color w:val="auto"/>
          <w:sz w:val="32"/>
          <w:szCs w:val="32"/>
          <w:highlight w:val="none"/>
        </w:rPr>
      </w:pPr>
    </w:p>
    <w:p w14:paraId="7B390510">
      <w:pPr>
        <w:spacing w:line="320" w:lineRule="exact"/>
        <w:jc w:val="center"/>
        <w:rPr>
          <w:rFonts w:hint="eastAsia" w:ascii="宋体" w:hAnsi="宋体"/>
          <w:b/>
          <w:color w:val="auto"/>
          <w:sz w:val="32"/>
          <w:szCs w:val="32"/>
          <w:highlight w:val="none"/>
        </w:rPr>
      </w:pPr>
    </w:p>
    <w:p w14:paraId="55842747">
      <w:pPr>
        <w:spacing w:line="320" w:lineRule="exact"/>
        <w:jc w:val="center"/>
        <w:rPr>
          <w:rFonts w:hint="eastAsia" w:ascii="宋体" w:hAnsi="宋体"/>
          <w:b/>
          <w:color w:val="auto"/>
          <w:sz w:val="32"/>
          <w:szCs w:val="32"/>
          <w:highlight w:val="none"/>
        </w:rPr>
      </w:pPr>
    </w:p>
    <w:p w14:paraId="49E3C15C">
      <w:pPr>
        <w:spacing w:line="320" w:lineRule="exact"/>
        <w:jc w:val="center"/>
        <w:rPr>
          <w:rFonts w:hint="eastAsia" w:ascii="宋体" w:hAnsi="宋体"/>
          <w:b/>
          <w:color w:val="auto"/>
          <w:sz w:val="32"/>
          <w:szCs w:val="32"/>
          <w:highlight w:val="none"/>
        </w:rPr>
      </w:pPr>
    </w:p>
    <w:p w14:paraId="417DB5D9">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0EB60DFE">
      <w:pPr>
        <w:spacing w:line="360" w:lineRule="auto"/>
        <w:contextualSpacing/>
        <w:jc w:val="center"/>
        <w:rPr>
          <w:rFonts w:hint="eastAsia" w:ascii="宋体" w:hAnsi="宋体"/>
          <w:b/>
          <w:color w:val="auto"/>
          <w:sz w:val="32"/>
          <w:szCs w:val="32"/>
          <w:highlight w:val="none"/>
        </w:rPr>
      </w:pPr>
    </w:p>
    <w:p w14:paraId="794379AD">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2C9FC8BA">
      <w:pPr>
        <w:spacing w:line="360" w:lineRule="auto"/>
        <w:contextualSpacing/>
        <w:jc w:val="center"/>
        <w:rPr>
          <w:rFonts w:hint="eastAsia" w:ascii="宋体" w:hAnsi="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2DC3A3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E44A2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EB2E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2533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F0BC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4480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6D9586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B22B9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402BD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F712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0419D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611E6E">
            <w:pPr>
              <w:widowControl/>
              <w:spacing w:line="360" w:lineRule="auto"/>
              <w:contextualSpacing/>
              <w:jc w:val="center"/>
              <w:rPr>
                <w:rFonts w:hint="eastAsia" w:ascii="宋体" w:hAnsi="宋体" w:cs="宋体"/>
                <w:color w:val="auto"/>
                <w:kern w:val="0"/>
                <w:sz w:val="24"/>
                <w:highlight w:val="none"/>
              </w:rPr>
            </w:pPr>
          </w:p>
        </w:tc>
      </w:tr>
      <w:tr w14:paraId="36842C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2207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92BBE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0A5F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B4B3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F18B91">
            <w:pPr>
              <w:widowControl/>
              <w:spacing w:line="360" w:lineRule="auto"/>
              <w:contextualSpacing/>
              <w:jc w:val="center"/>
              <w:rPr>
                <w:rFonts w:hint="eastAsia" w:ascii="宋体" w:hAnsi="宋体" w:cs="宋体"/>
                <w:color w:val="auto"/>
                <w:kern w:val="0"/>
                <w:sz w:val="24"/>
                <w:highlight w:val="none"/>
              </w:rPr>
            </w:pPr>
          </w:p>
        </w:tc>
      </w:tr>
      <w:tr w14:paraId="2F6F2A5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BBF4F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04C31">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67C5B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182BF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5B3E3C">
            <w:pPr>
              <w:widowControl/>
              <w:spacing w:line="360" w:lineRule="auto"/>
              <w:contextualSpacing/>
              <w:jc w:val="center"/>
              <w:rPr>
                <w:rFonts w:hint="eastAsia" w:ascii="宋体" w:hAnsi="宋体" w:cs="宋体"/>
                <w:color w:val="auto"/>
                <w:kern w:val="0"/>
                <w:sz w:val="24"/>
                <w:highlight w:val="none"/>
              </w:rPr>
            </w:pPr>
          </w:p>
        </w:tc>
      </w:tr>
      <w:tr w14:paraId="7CF073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B7007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9A11C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A7CCE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6C0E0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251FE">
            <w:pPr>
              <w:widowControl/>
              <w:spacing w:line="360" w:lineRule="auto"/>
              <w:contextualSpacing/>
              <w:jc w:val="center"/>
              <w:rPr>
                <w:rFonts w:hint="eastAsia" w:ascii="宋体" w:hAnsi="宋体" w:cs="宋体"/>
                <w:color w:val="auto"/>
                <w:kern w:val="0"/>
                <w:sz w:val="24"/>
                <w:highlight w:val="none"/>
              </w:rPr>
            </w:pPr>
          </w:p>
        </w:tc>
      </w:tr>
    </w:tbl>
    <w:p w14:paraId="2F867474">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42E4C7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39937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EDBAC6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C70BEC9">
      <w:pPr>
        <w:spacing w:line="360" w:lineRule="auto"/>
        <w:ind w:firstLine="420" w:firstLineChars="200"/>
        <w:contextualSpacing/>
        <w:jc w:val="left"/>
        <w:rPr>
          <w:rFonts w:hint="eastAsia" w:ascii="宋体" w:hAnsi="宋体" w:cs="宋体"/>
          <w:color w:val="auto"/>
          <w:szCs w:val="21"/>
          <w:highlight w:val="none"/>
        </w:rPr>
      </w:pPr>
    </w:p>
    <w:p w14:paraId="4C53EBAD">
      <w:pPr>
        <w:spacing w:line="360" w:lineRule="auto"/>
        <w:ind w:firstLine="560" w:firstLineChars="200"/>
        <w:contextualSpacing/>
        <w:jc w:val="left"/>
        <w:rPr>
          <w:rFonts w:hint="eastAsia" w:ascii="宋体" w:hAnsi="宋体" w:cs="宋体"/>
          <w:color w:val="auto"/>
          <w:sz w:val="28"/>
          <w:szCs w:val="28"/>
          <w:highlight w:val="none"/>
        </w:rPr>
      </w:pPr>
    </w:p>
    <w:p w14:paraId="4A8530B3">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2AA2F98">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5F0E1FE">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51A85D9">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658D8EA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02A58431">
      <w:pPr>
        <w:snapToGrid w:val="0"/>
        <w:spacing w:line="360" w:lineRule="auto"/>
        <w:jc w:val="center"/>
        <w:rPr>
          <w:rFonts w:hint="eastAsia" w:ascii="宋体" w:hAnsi="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172E85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D0D2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7DE08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C036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B1DC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BFFAF9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48F5A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05C90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E3A5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1197F7">
            <w:pPr>
              <w:widowControl/>
              <w:spacing w:line="360" w:lineRule="auto"/>
              <w:contextualSpacing/>
              <w:jc w:val="center"/>
              <w:rPr>
                <w:rFonts w:hint="eastAsia" w:ascii="宋体" w:hAnsi="宋体" w:cs="宋体"/>
                <w:color w:val="auto"/>
                <w:kern w:val="0"/>
                <w:sz w:val="24"/>
                <w:highlight w:val="none"/>
              </w:rPr>
            </w:pPr>
          </w:p>
        </w:tc>
      </w:tr>
      <w:tr w14:paraId="108A4F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FF9A3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CC9EC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F40DD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49B66">
            <w:pPr>
              <w:widowControl/>
              <w:spacing w:line="360" w:lineRule="auto"/>
              <w:contextualSpacing/>
              <w:jc w:val="center"/>
              <w:rPr>
                <w:rFonts w:hint="eastAsia" w:ascii="宋体" w:hAnsi="宋体" w:cs="宋体"/>
                <w:color w:val="auto"/>
                <w:kern w:val="0"/>
                <w:sz w:val="24"/>
                <w:highlight w:val="none"/>
              </w:rPr>
            </w:pPr>
          </w:p>
        </w:tc>
      </w:tr>
      <w:tr w14:paraId="0276EA7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272A9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99405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45210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07C22">
            <w:pPr>
              <w:widowControl/>
              <w:spacing w:line="360" w:lineRule="auto"/>
              <w:contextualSpacing/>
              <w:jc w:val="center"/>
              <w:rPr>
                <w:rFonts w:hint="eastAsia" w:ascii="宋体" w:hAnsi="宋体" w:cs="宋体"/>
                <w:color w:val="auto"/>
                <w:kern w:val="0"/>
                <w:sz w:val="24"/>
                <w:highlight w:val="none"/>
              </w:rPr>
            </w:pPr>
          </w:p>
        </w:tc>
      </w:tr>
      <w:tr w14:paraId="1BE1846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0E717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24851A">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132C3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4C1F4">
            <w:pPr>
              <w:widowControl/>
              <w:spacing w:line="360" w:lineRule="auto"/>
              <w:contextualSpacing/>
              <w:jc w:val="center"/>
              <w:rPr>
                <w:rFonts w:hint="eastAsia" w:ascii="宋体" w:hAnsi="宋体" w:cs="宋体"/>
                <w:color w:val="auto"/>
                <w:kern w:val="0"/>
                <w:sz w:val="24"/>
                <w:highlight w:val="none"/>
              </w:rPr>
            </w:pPr>
          </w:p>
        </w:tc>
      </w:tr>
    </w:tbl>
    <w:p w14:paraId="35A170A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0D6BC5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A9520B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4613E8F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4DDFEDE">
      <w:pPr>
        <w:spacing w:line="360" w:lineRule="auto"/>
        <w:contextualSpacing/>
        <w:jc w:val="left"/>
        <w:rPr>
          <w:rFonts w:hint="eastAsia" w:ascii="宋体" w:hAnsi="宋体"/>
          <w:color w:val="auto"/>
          <w:sz w:val="28"/>
          <w:szCs w:val="28"/>
          <w:highlight w:val="none"/>
        </w:rPr>
      </w:pPr>
    </w:p>
    <w:p w14:paraId="53872CAA">
      <w:pPr>
        <w:spacing w:line="360" w:lineRule="auto"/>
        <w:contextualSpacing/>
        <w:jc w:val="left"/>
        <w:rPr>
          <w:rFonts w:hint="eastAsia" w:ascii="宋体" w:hAnsi="宋体"/>
          <w:color w:val="auto"/>
          <w:sz w:val="28"/>
          <w:szCs w:val="28"/>
          <w:highlight w:val="none"/>
        </w:rPr>
      </w:pPr>
    </w:p>
    <w:p w14:paraId="03C9616F">
      <w:pPr>
        <w:spacing w:line="360" w:lineRule="auto"/>
        <w:contextualSpacing/>
        <w:jc w:val="left"/>
        <w:rPr>
          <w:color w:val="auto"/>
          <w:sz w:val="28"/>
          <w:szCs w:val="28"/>
          <w:highlight w:val="none"/>
        </w:rPr>
      </w:pPr>
    </w:p>
    <w:p w14:paraId="5FAB9379">
      <w:pPr>
        <w:spacing w:line="360" w:lineRule="auto"/>
        <w:contextualSpacing/>
        <w:jc w:val="left"/>
        <w:rPr>
          <w:rFonts w:hint="eastAsia" w:ascii="宋体" w:hAnsi="宋体"/>
          <w:color w:val="auto"/>
          <w:sz w:val="28"/>
          <w:szCs w:val="28"/>
          <w:highlight w:val="none"/>
        </w:rPr>
      </w:pPr>
    </w:p>
    <w:p w14:paraId="544572F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758E1D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7DD136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73F3561">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EEFC2F2">
      <w:pPr>
        <w:pStyle w:val="13"/>
        <w:tabs>
          <w:tab w:val="left" w:pos="939"/>
        </w:tabs>
        <w:spacing w:line="360" w:lineRule="auto"/>
        <w:ind w:left="980" w:hanging="560"/>
        <w:rPr>
          <w:rFonts w:hint="eastAsia" w:ascii="宋体" w:hAnsi="宋体"/>
          <w:color w:val="auto"/>
          <w:sz w:val="28"/>
          <w:szCs w:val="28"/>
          <w:highlight w:val="none"/>
        </w:rPr>
      </w:pPr>
    </w:p>
    <w:p w14:paraId="5F16AFBB">
      <w:pPr>
        <w:pStyle w:val="13"/>
        <w:tabs>
          <w:tab w:val="left" w:pos="939"/>
        </w:tabs>
        <w:spacing w:line="360" w:lineRule="auto"/>
        <w:ind w:left="980" w:hanging="560"/>
        <w:rPr>
          <w:rFonts w:hint="eastAsia" w:ascii="宋体" w:hAnsi="宋体"/>
          <w:color w:val="auto"/>
          <w:sz w:val="28"/>
          <w:szCs w:val="28"/>
          <w:highlight w:val="none"/>
        </w:rPr>
      </w:pPr>
    </w:p>
    <w:p w14:paraId="04606F68">
      <w:pPr>
        <w:pStyle w:val="13"/>
        <w:tabs>
          <w:tab w:val="left" w:pos="939"/>
        </w:tabs>
        <w:spacing w:line="360" w:lineRule="auto"/>
        <w:ind w:left="980" w:hanging="560"/>
        <w:rPr>
          <w:rFonts w:hint="eastAsia" w:ascii="宋体" w:hAnsi="宋体"/>
          <w:color w:val="auto"/>
          <w:sz w:val="28"/>
          <w:szCs w:val="28"/>
          <w:highlight w:val="none"/>
        </w:rPr>
      </w:pPr>
    </w:p>
    <w:p w14:paraId="029E8D6D">
      <w:pPr>
        <w:pStyle w:val="13"/>
        <w:tabs>
          <w:tab w:val="left" w:pos="939"/>
        </w:tabs>
        <w:spacing w:line="360" w:lineRule="auto"/>
        <w:ind w:left="980" w:hanging="560"/>
        <w:rPr>
          <w:rFonts w:hint="eastAsia" w:ascii="宋体" w:hAnsi="宋体"/>
          <w:color w:val="auto"/>
          <w:sz w:val="28"/>
          <w:szCs w:val="28"/>
          <w:highlight w:val="none"/>
        </w:rPr>
      </w:pPr>
    </w:p>
    <w:p w14:paraId="17A43B42">
      <w:pPr>
        <w:pStyle w:val="13"/>
        <w:tabs>
          <w:tab w:val="left" w:pos="939"/>
        </w:tabs>
        <w:spacing w:line="360" w:lineRule="auto"/>
        <w:ind w:left="980" w:hanging="560"/>
        <w:rPr>
          <w:rFonts w:hint="eastAsia" w:ascii="宋体" w:hAnsi="宋体"/>
          <w:color w:val="auto"/>
          <w:sz w:val="28"/>
          <w:szCs w:val="28"/>
          <w:highlight w:val="none"/>
        </w:rPr>
      </w:pPr>
    </w:p>
    <w:p w14:paraId="12821059">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22B9E7BF">
      <w:pPr>
        <w:pStyle w:val="12"/>
        <w:spacing w:line="500" w:lineRule="exact"/>
        <w:ind w:right="142" w:firstLine="705" w:firstLineChars="294"/>
        <w:rPr>
          <w:rFonts w:hint="eastAsia" w:hAnsi="宋体"/>
          <w:color w:val="auto"/>
          <w:sz w:val="24"/>
          <w:highlight w:val="none"/>
        </w:rPr>
      </w:pPr>
    </w:p>
    <w:p w14:paraId="50FC53D1">
      <w:pPr>
        <w:pStyle w:val="12"/>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7B285310">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5077A5B">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AEDE47B">
      <w:pPr>
        <w:pStyle w:val="12"/>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3362F9FB">
      <w:pPr>
        <w:pStyle w:val="12"/>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771CEDF8">
      <w:pPr>
        <w:pStyle w:val="12"/>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2BE2307E">
      <w:pPr>
        <w:pStyle w:val="12"/>
        <w:spacing w:before="56" w:line="500" w:lineRule="exact"/>
        <w:ind w:right="1808" w:firstLine="705" w:firstLineChars="294"/>
        <w:rPr>
          <w:rFonts w:hint="eastAsia" w:hAnsi="宋体"/>
          <w:color w:val="auto"/>
          <w:sz w:val="24"/>
          <w:highlight w:val="none"/>
        </w:rPr>
      </w:pPr>
    </w:p>
    <w:p w14:paraId="1F6B0CBF">
      <w:pPr>
        <w:pStyle w:val="12"/>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68D4ACFD">
      <w:pPr>
        <w:pStyle w:val="12"/>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41FD4931">
      <w:pPr>
        <w:pStyle w:val="12"/>
        <w:spacing w:before="56" w:line="500" w:lineRule="exact"/>
        <w:ind w:right="1808" w:firstLine="5625" w:firstLineChars="2344"/>
        <w:rPr>
          <w:rFonts w:hint="eastAsia" w:hAnsi="宋体"/>
          <w:color w:val="auto"/>
          <w:sz w:val="24"/>
          <w:highlight w:val="none"/>
        </w:rPr>
      </w:pPr>
    </w:p>
    <w:p w14:paraId="2CEDAA21">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4A478D9">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24BCF3E7">
      <w:pPr>
        <w:spacing w:line="360" w:lineRule="auto"/>
        <w:contextualSpacing/>
        <w:rPr>
          <w:rFonts w:hint="eastAsia" w:ascii="仿宋_GB2312" w:hAnsi="仿宋_GB2312" w:eastAsia="仿宋_GB2312" w:cs="仿宋_GB2312"/>
          <w:color w:val="auto"/>
          <w:sz w:val="32"/>
          <w:szCs w:val="32"/>
          <w:highlight w:val="none"/>
        </w:rPr>
      </w:pPr>
    </w:p>
    <w:p w14:paraId="7FE59A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675E7F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450D576">
      <w:pPr>
        <w:spacing w:line="360" w:lineRule="auto"/>
        <w:contextualSpacing/>
        <w:rPr>
          <w:rFonts w:hint="eastAsia" w:ascii="宋体" w:hAnsi="宋体" w:cs="仿宋_GB2312"/>
          <w:color w:val="auto"/>
          <w:sz w:val="24"/>
          <w:highlight w:val="none"/>
        </w:rPr>
      </w:pPr>
    </w:p>
    <w:p w14:paraId="7C19C477">
      <w:pPr>
        <w:spacing w:line="360" w:lineRule="auto"/>
        <w:contextualSpacing/>
        <w:rPr>
          <w:rFonts w:hint="eastAsia" w:ascii="宋体" w:hAnsi="宋体" w:cs="仿宋_GB2312"/>
          <w:color w:val="auto"/>
          <w:sz w:val="24"/>
          <w:highlight w:val="none"/>
        </w:rPr>
      </w:pPr>
    </w:p>
    <w:p w14:paraId="0392F6B4">
      <w:pPr>
        <w:spacing w:line="360" w:lineRule="auto"/>
        <w:contextualSpacing/>
        <w:rPr>
          <w:rFonts w:hint="eastAsia" w:ascii="宋体" w:hAnsi="宋体" w:cs="仿宋_GB2312"/>
          <w:color w:val="auto"/>
          <w:sz w:val="24"/>
          <w:highlight w:val="none"/>
        </w:rPr>
      </w:pPr>
    </w:p>
    <w:p w14:paraId="380F1967">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364E5F3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7A839F7">
      <w:pPr>
        <w:spacing w:line="360" w:lineRule="auto"/>
        <w:contextualSpacing/>
        <w:rPr>
          <w:rFonts w:hint="eastAsia" w:ascii="宋体" w:hAnsi="宋体" w:cs="仿宋_GB2312"/>
          <w:color w:val="auto"/>
          <w:sz w:val="24"/>
          <w:highlight w:val="none"/>
        </w:rPr>
      </w:pPr>
    </w:p>
    <w:p w14:paraId="0BC4A947">
      <w:pPr>
        <w:spacing w:line="360" w:lineRule="auto"/>
        <w:contextualSpacing/>
        <w:rPr>
          <w:rFonts w:hint="eastAsia" w:ascii="宋体" w:hAnsi="宋体" w:cs="仿宋_GB2312"/>
          <w:color w:val="auto"/>
          <w:sz w:val="24"/>
          <w:highlight w:val="none"/>
        </w:rPr>
      </w:pPr>
    </w:p>
    <w:p w14:paraId="129EB5AE">
      <w:pPr>
        <w:spacing w:line="360" w:lineRule="auto"/>
        <w:contextualSpacing/>
        <w:rPr>
          <w:rFonts w:hint="eastAsia" w:ascii="宋体" w:hAnsi="宋体" w:cs="仿宋_GB2312"/>
          <w:color w:val="auto"/>
          <w:sz w:val="24"/>
          <w:highlight w:val="none"/>
        </w:rPr>
      </w:pPr>
    </w:p>
    <w:p w14:paraId="6DAC801E">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0DBBE9AD">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D003F2D">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0D849D6F">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3985702">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64EBD97">
      <w:pPr>
        <w:snapToGrid w:val="0"/>
        <w:spacing w:before="156" w:beforeLines="50" w:after="50"/>
        <w:rPr>
          <w:rFonts w:hint="eastAsia" w:ascii="宋体" w:hAnsi="宋体"/>
          <w:color w:val="auto"/>
          <w:sz w:val="24"/>
          <w:szCs w:val="20"/>
          <w:highlight w:val="none"/>
        </w:rPr>
      </w:pPr>
    </w:p>
    <w:p w14:paraId="45CC5034">
      <w:pPr>
        <w:snapToGrid w:val="0"/>
        <w:spacing w:before="156" w:beforeLines="50" w:after="50"/>
        <w:rPr>
          <w:rFonts w:hint="eastAsia" w:ascii="宋体" w:hAnsi="宋体"/>
          <w:color w:val="auto"/>
          <w:sz w:val="24"/>
          <w:szCs w:val="20"/>
          <w:highlight w:val="none"/>
        </w:rPr>
      </w:pPr>
    </w:p>
    <w:p w14:paraId="4A2DA897">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4A9908E">
      <w:pPr>
        <w:snapToGrid w:val="0"/>
        <w:spacing w:before="156" w:beforeLines="50" w:after="50"/>
        <w:rPr>
          <w:rFonts w:hint="eastAsia" w:ascii="宋体" w:hAnsi="宋体"/>
          <w:bCs/>
          <w:color w:val="auto"/>
          <w:sz w:val="24"/>
          <w:szCs w:val="20"/>
          <w:highlight w:val="none"/>
        </w:rPr>
      </w:pPr>
    </w:p>
    <w:p w14:paraId="081B806A">
      <w:pPr>
        <w:snapToGrid w:val="0"/>
        <w:spacing w:before="156" w:beforeLines="50" w:after="50"/>
        <w:rPr>
          <w:rFonts w:hint="eastAsia" w:ascii="宋体" w:hAnsi="宋体"/>
          <w:bCs/>
          <w:color w:val="auto"/>
          <w:sz w:val="24"/>
          <w:szCs w:val="20"/>
          <w:highlight w:val="none"/>
        </w:rPr>
      </w:pPr>
    </w:p>
    <w:p w14:paraId="221A1A68">
      <w:pPr>
        <w:snapToGrid w:val="0"/>
        <w:spacing w:before="156" w:beforeLines="50" w:after="50"/>
        <w:rPr>
          <w:rFonts w:hint="eastAsia" w:ascii="宋体" w:hAnsi="宋体"/>
          <w:bCs/>
          <w:color w:val="auto"/>
          <w:sz w:val="24"/>
          <w:szCs w:val="20"/>
          <w:highlight w:val="none"/>
        </w:rPr>
      </w:pPr>
    </w:p>
    <w:p w14:paraId="5E73CE96">
      <w:pPr>
        <w:snapToGrid w:val="0"/>
        <w:spacing w:before="156" w:beforeLines="50" w:after="50"/>
        <w:rPr>
          <w:rFonts w:hint="eastAsia" w:ascii="宋体" w:hAnsi="宋体"/>
          <w:bCs/>
          <w:color w:val="auto"/>
          <w:sz w:val="24"/>
          <w:szCs w:val="20"/>
          <w:highlight w:val="none"/>
        </w:rPr>
      </w:pPr>
    </w:p>
    <w:p w14:paraId="1BC94349">
      <w:pPr>
        <w:snapToGrid w:val="0"/>
        <w:spacing w:before="156" w:beforeLines="50" w:after="50"/>
        <w:rPr>
          <w:rFonts w:hint="eastAsia" w:ascii="宋体" w:hAnsi="宋体"/>
          <w:bCs/>
          <w:color w:val="auto"/>
          <w:sz w:val="24"/>
          <w:szCs w:val="20"/>
          <w:highlight w:val="none"/>
        </w:rPr>
      </w:pPr>
    </w:p>
    <w:p w14:paraId="1327057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B0A4834">
      <w:pPr>
        <w:snapToGrid w:val="0"/>
        <w:spacing w:before="156" w:beforeLines="50" w:after="50"/>
        <w:ind w:firstLine="720" w:firstLineChars="225"/>
        <w:rPr>
          <w:rFonts w:hint="eastAsia" w:ascii="宋体" w:hAnsi="宋体" w:cs="仿宋_GB2312"/>
          <w:bCs/>
          <w:color w:val="auto"/>
          <w:sz w:val="32"/>
          <w:szCs w:val="32"/>
          <w:highlight w:val="none"/>
        </w:rPr>
      </w:pPr>
    </w:p>
    <w:p w14:paraId="3480CAC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BF036F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79998A">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042DFB">
      <w:pPr>
        <w:pStyle w:val="10"/>
        <w:snapToGrid w:val="0"/>
        <w:spacing w:before="50" w:after="50"/>
        <w:ind w:firstLine="640"/>
        <w:rPr>
          <w:rFonts w:hint="eastAsia" w:ascii="宋体" w:hAnsi="宋体" w:cs="仿宋_GB2312"/>
          <w:bCs/>
          <w:color w:val="auto"/>
          <w:sz w:val="32"/>
          <w:szCs w:val="32"/>
          <w:highlight w:val="none"/>
        </w:rPr>
      </w:pPr>
    </w:p>
    <w:p w14:paraId="2064D0C6">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56AA068F">
      <w:pPr>
        <w:pStyle w:val="10"/>
        <w:snapToGrid w:val="0"/>
        <w:spacing w:before="50" w:after="50"/>
        <w:ind w:firstLine="640"/>
        <w:rPr>
          <w:rFonts w:hint="eastAsia" w:ascii="宋体" w:hAnsi="宋体" w:cs="仿宋_GB2312"/>
          <w:bCs/>
          <w:color w:val="auto"/>
          <w:sz w:val="32"/>
          <w:szCs w:val="32"/>
          <w:highlight w:val="none"/>
        </w:rPr>
      </w:pPr>
    </w:p>
    <w:p w14:paraId="53CA727E">
      <w:pPr>
        <w:pStyle w:val="10"/>
        <w:snapToGrid w:val="0"/>
        <w:spacing w:before="50" w:after="50"/>
        <w:ind w:firstLine="720" w:firstLineChars="225"/>
        <w:rPr>
          <w:rFonts w:hint="eastAsia" w:ascii="宋体" w:hAnsi="宋体" w:cs="仿宋_GB2312"/>
          <w:bCs/>
          <w:color w:val="auto"/>
          <w:sz w:val="32"/>
          <w:szCs w:val="32"/>
          <w:highlight w:val="none"/>
        </w:rPr>
      </w:pPr>
    </w:p>
    <w:p w14:paraId="18971DBF">
      <w:pPr>
        <w:pStyle w:val="10"/>
        <w:snapToGrid w:val="0"/>
        <w:spacing w:before="50" w:after="50"/>
        <w:ind w:firstLine="640"/>
        <w:rPr>
          <w:rFonts w:hint="eastAsia" w:ascii="宋体" w:hAnsi="宋体" w:cs="仿宋_GB2312"/>
          <w:bCs/>
          <w:color w:val="auto"/>
          <w:sz w:val="32"/>
          <w:szCs w:val="32"/>
          <w:highlight w:val="none"/>
        </w:rPr>
      </w:pPr>
    </w:p>
    <w:p w14:paraId="785CF748">
      <w:pPr>
        <w:pStyle w:val="10"/>
        <w:snapToGrid w:val="0"/>
        <w:spacing w:before="50" w:after="50"/>
        <w:ind w:firstLine="1280" w:firstLineChars="400"/>
        <w:rPr>
          <w:rFonts w:hint="eastAsia" w:ascii="宋体" w:hAnsi="宋体" w:cs="仿宋_GB2312"/>
          <w:bCs/>
          <w:color w:val="auto"/>
          <w:sz w:val="32"/>
          <w:szCs w:val="32"/>
          <w:highlight w:val="none"/>
        </w:rPr>
      </w:pPr>
    </w:p>
    <w:p w14:paraId="21878FA0">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89DBA60">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603D922">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CADA22D">
      <w:pPr>
        <w:pStyle w:val="47"/>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C33745D">
      <w:pPr>
        <w:pStyle w:val="47"/>
        <w:jc w:val="both"/>
        <w:rPr>
          <w:rFonts w:hint="eastAsia" w:asciiTheme="majorEastAsia" w:hAnsiTheme="majorEastAsia" w:eastAsiaTheme="majorEastAsia" w:cstheme="majorEastAsia"/>
          <w:color w:val="auto"/>
          <w:highlight w:val="none"/>
        </w:rPr>
      </w:pPr>
    </w:p>
    <w:p w14:paraId="2D03C95C">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0550A365">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等级。</w:t>
      </w:r>
    </w:p>
    <w:p w14:paraId="01990C6C">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677E3D96">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710D7FBA">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2DE9FEE1">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04E3BE68">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300C45E4">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61E218D0">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39DECD5D">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33792E8B">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4AFB6875">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29E321CE">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09949263">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23C09C6F">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2F3E1834">
      <w:pPr>
        <w:pStyle w:val="47"/>
        <w:spacing w:line="400" w:lineRule="exact"/>
        <w:ind w:firstLine="420" w:firstLineChars="200"/>
        <w:jc w:val="both"/>
        <w:rPr>
          <w:rFonts w:hint="eastAsia" w:asciiTheme="majorEastAsia" w:hAnsiTheme="majorEastAsia" w:eastAsiaTheme="majorEastAsia" w:cstheme="majorEastAsia"/>
          <w:color w:val="auto"/>
          <w:highlight w:val="none"/>
        </w:rPr>
      </w:pPr>
    </w:p>
    <w:p w14:paraId="7C336079">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5A08FD23">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25E4193C">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3AA8CD64">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78DC50D0">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37153373">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43638E3B">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5D5443E6">
      <w:pPr>
        <w:pStyle w:val="47"/>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04BDBFED">
      <w:pPr>
        <w:pStyle w:val="47"/>
        <w:spacing w:line="400" w:lineRule="exact"/>
        <w:ind w:firstLine="420" w:firstLineChars="200"/>
        <w:jc w:val="both"/>
        <w:rPr>
          <w:rFonts w:hint="eastAsia" w:asciiTheme="majorEastAsia" w:hAnsiTheme="majorEastAsia" w:eastAsiaTheme="majorEastAsia" w:cstheme="majorEastAsia"/>
          <w:color w:val="auto"/>
          <w:highlight w:val="none"/>
        </w:rPr>
      </w:pPr>
    </w:p>
    <w:p w14:paraId="7E7893C0">
      <w:pPr>
        <w:pStyle w:val="47"/>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72C936D7">
      <w:pPr>
        <w:pStyle w:val="47"/>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F1D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2C49CD51">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65675F8">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5DF860E4">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1CA9F4B4">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664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667CDABC">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5EE05655">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5F5CD444">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0748294C">
            <w:pPr>
              <w:rPr>
                <w:rFonts w:hint="eastAsia" w:ascii="宋体" w:hAnsi="宋体" w:cs="宋体"/>
                <w:color w:val="auto"/>
                <w:szCs w:val="21"/>
                <w:highlight w:val="none"/>
              </w:rPr>
            </w:pPr>
          </w:p>
        </w:tc>
      </w:tr>
      <w:tr w14:paraId="6A6C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190B41FB">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FEEF4DA">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6D3431A6">
            <w:pPr>
              <w:rPr>
                <w:rFonts w:hint="eastAsia" w:ascii="宋体" w:hAnsi="宋体" w:cs="宋体"/>
                <w:color w:val="auto"/>
                <w:szCs w:val="21"/>
                <w:highlight w:val="none"/>
              </w:rPr>
            </w:pPr>
          </w:p>
        </w:tc>
        <w:tc>
          <w:tcPr>
            <w:tcW w:w="1696" w:type="dxa"/>
          </w:tcPr>
          <w:p w14:paraId="0661A113">
            <w:pPr>
              <w:rPr>
                <w:rFonts w:hint="eastAsia" w:ascii="宋体" w:hAnsi="宋体" w:cs="宋体"/>
                <w:color w:val="auto"/>
                <w:szCs w:val="21"/>
                <w:highlight w:val="none"/>
              </w:rPr>
            </w:pPr>
          </w:p>
        </w:tc>
      </w:tr>
      <w:tr w14:paraId="4C18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1F6F7F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A93975F">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7B22ECDA">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05E56321">
            <w:pPr>
              <w:rPr>
                <w:rFonts w:hint="eastAsia" w:ascii="宋体" w:hAnsi="宋体" w:cs="宋体"/>
                <w:color w:val="auto"/>
                <w:szCs w:val="21"/>
                <w:highlight w:val="none"/>
              </w:rPr>
            </w:pPr>
          </w:p>
        </w:tc>
      </w:tr>
      <w:tr w14:paraId="4C68B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69BB35EE">
            <w:pPr>
              <w:spacing w:before="215" w:line="192" w:lineRule="auto"/>
              <w:ind w:left="451"/>
              <w:rPr>
                <w:rFonts w:hint="eastAsia" w:ascii="宋体" w:hAnsi="宋体" w:cs="宋体"/>
                <w:color w:val="auto"/>
                <w:szCs w:val="21"/>
                <w:highlight w:val="none"/>
              </w:rPr>
            </w:pPr>
            <w:r>
              <w:rPr>
                <w:rFonts w:hint="eastAsia" w:ascii="宋体" w:hAnsi="宋体" w:cs="宋体"/>
                <w:color w:val="auto"/>
                <w:szCs w:val="21"/>
                <w:highlight w:val="none"/>
              </w:rPr>
              <w:t>4</w:t>
            </w:r>
          </w:p>
        </w:tc>
        <w:tc>
          <w:tcPr>
            <w:tcW w:w="3424" w:type="dxa"/>
          </w:tcPr>
          <w:p w14:paraId="4E10E8D1">
            <w:pPr>
              <w:spacing w:before="182" w:line="229" w:lineRule="auto"/>
              <w:ind w:left="1191"/>
              <w:rPr>
                <w:rFonts w:hint="eastAsia" w:ascii="宋体" w:hAnsi="宋体" w:cs="宋体"/>
                <w:color w:val="auto"/>
                <w:szCs w:val="21"/>
                <w:highlight w:val="none"/>
              </w:rPr>
            </w:pPr>
            <w:r>
              <w:rPr>
                <w:rFonts w:hint="eastAsia" w:ascii="宋体" w:hAnsi="宋体" w:cs="宋体"/>
                <w:color w:val="auto"/>
                <w:szCs w:val="21"/>
                <w:highlight w:val="none"/>
              </w:rPr>
              <w:t>质量保证金</w:t>
            </w:r>
          </w:p>
        </w:tc>
        <w:tc>
          <w:tcPr>
            <w:tcW w:w="2818" w:type="dxa"/>
          </w:tcPr>
          <w:p w14:paraId="79C06F57">
            <w:pPr>
              <w:spacing w:before="182" w:line="227" w:lineRule="auto"/>
              <w:ind w:left="690"/>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1696" w:type="dxa"/>
          </w:tcPr>
          <w:p w14:paraId="667C5F81">
            <w:pPr>
              <w:rPr>
                <w:rFonts w:hint="eastAsia" w:ascii="宋体" w:hAnsi="宋体" w:cs="宋体"/>
                <w:color w:val="auto"/>
                <w:szCs w:val="21"/>
                <w:highlight w:val="none"/>
              </w:rPr>
            </w:pPr>
          </w:p>
        </w:tc>
      </w:tr>
      <w:tr w14:paraId="7C3C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69590255">
            <w:pPr>
              <w:spacing w:before="215" w:line="189" w:lineRule="auto"/>
              <w:ind w:left="456"/>
              <w:rPr>
                <w:rFonts w:hint="eastAsia" w:ascii="宋体" w:hAnsi="宋体" w:cs="宋体"/>
                <w:color w:val="auto"/>
                <w:szCs w:val="21"/>
                <w:highlight w:val="none"/>
              </w:rPr>
            </w:pPr>
            <w:r>
              <w:rPr>
                <w:rFonts w:hint="eastAsia" w:ascii="宋体" w:hAnsi="宋体" w:cs="宋体"/>
                <w:color w:val="auto"/>
                <w:szCs w:val="21"/>
                <w:highlight w:val="none"/>
              </w:rPr>
              <w:t>5</w:t>
            </w:r>
          </w:p>
        </w:tc>
        <w:tc>
          <w:tcPr>
            <w:tcW w:w="3424" w:type="dxa"/>
          </w:tcPr>
          <w:p w14:paraId="16BB74D6">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307DF62F">
            <w:pPr>
              <w:rPr>
                <w:rFonts w:hint="eastAsia" w:ascii="宋体" w:hAnsi="宋体" w:cs="宋体"/>
                <w:color w:val="auto"/>
                <w:szCs w:val="21"/>
                <w:highlight w:val="none"/>
              </w:rPr>
            </w:pPr>
          </w:p>
        </w:tc>
        <w:tc>
          <w:tcPr>
            <w:tcW w:w="1696" w:type="dxa"/>
          </w:tcPr>
          <w:p w14:paraId="6B5A24A4">
            <w:pPr>
              <w:rPr>
                <w:rFonts w:hint="eastAsia" w:ascii="宋体" w:hAnsi="宋体" w:cs="宋体"/>
                <w:color w:val="auto"/>
                <w:szCs w:val="21"/>
                <w:highlight w:val="none"/>
              </w:rPr>
            </w:pPr>
          </w:p>
        </w:tc>
      </w:tr>
      <w:tr w14:paraId="0D62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3A90BCEC">
            <w:pPr>
              <w:spacing w:before="215" w:line="189" w:lineRule="auto"/>
              <w:ind w:left="456"/>
              <w:rPr>
                <w:rFonts w:hint="eastAsia" w:ascii="宋体" w:hAnsi="宋体" w:cs="宋体"/>
                <w:color w:val="auto"/>
                <w:szCs w:val="21"/>
                <w:highlight w:val="none"/>
              </w:rPr>
            </w:pPr>
            <w:r>
              <w:rPr>
                <w:rFonts w:hint="eastAsia" w:ascii="宋体" w:hAnsi="宋体" w:cs="宋体"/>
                <w:color w:val="auto"/>
                <w:szCs w:val="21"/>
                <w:highlight w:val="none"/>
              </w:rPr>
              <w:t>6</w:t>
            </w:r>
          </w:p>
        </w:tc>
        <w:tc>
          <w:tcPr>
            <w:tcW w:w="3424" w:type="dxa"/>
          </w:tcPr>
          <w:p w14:paraId="5DAC8811">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3EECE851">
            <w:pPr>
              <w:rPr>
                <w:rFonts w:hint="eastAsia" w:ascii="宋体" w:hAnsi="宋体" w:cs="宋体"/>
                <w:color w:val="auto"/>
                <w:szCs w:val="21"/>
                <w:highlight w:val="none"/>
              </w:rPr>
            </w:pPr>
          </w:p>
        </w:tc>
        <w:tc>
          <w:tcPr>
            <w:tcW w:w="1696" w:type="dxa"/>
          </w:tcPr>
          <w:p w14:paraId="219933BC">
            <w:pPr>
              <w:rPr>
                <w:rFonts w:hint="eastAsia" w:ascii="宋体" w:hAnsi="宋体" w:cs="宋体"/>
                <w:color w:val="auto"/>
                <w:szCs w:val="21"/>
                <w:highlight w:val="none"/>
              </w:rPr>
            </w:pPr>
          </w:p>
        </w:tc>
      </w:tr>
      <w:tr w14:paraId="2771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4AE58DA">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7F93667A">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54CF5ADE">
            <w:pPr>
              <w:rPr>
                <w:rFonts w:hint="eastAsia" w:ascii="宋体" w:hAnsi="宋体" w:cs="宋体"/>
                <w:color w:val="auto"/>
                <w:szCs w:val="21"/>
                <w:highlight w:val="none"/>
              </w:rPr>
            </w:pPr>
          </w:p>
        </w:tc>
        <w:tc>
          <w:tcPr>
            <w:tcW w:w="1696" w:type="dxa"/>
          </w:tcPr>
          <w:p w14:paraId="31DDDCED">
            <w:pPr>
              <w:rPr>
                <w:rFonts w:hint="eastAsia" w:ascii="宋体" w:hAnsi="宋体" w:cs="宋体"/>
                <w:color w:val="auto"/>
                <w:szCs w:val="21"/>
                <w:highlight w:val="none"/>
              </w:rPr>
            </w:pPr>
          </w:p>
        </w:tc>
      </w:tr>
      <w:tr w14:paraId="70E6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FD531DE">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67B97700">
      <w:pPr>
        <w:pStyle w:val="47"/>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1172745">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04A6DF8">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426965C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072ADAE">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2A7DD663">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38965634">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7A75D23E">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150F8E0F">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10C9A0E8">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222E9463">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6FFF64F7">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33D1511E">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0021A945">
      <w:pPr>
        <w:pStyle w:val="47"/>
        <w:spacing w:line="360" w:lineRule="auto"/>
        <w:jc w:val="both"/>
        <w:rPr>
          <w:rFonts w:hint="eastAsia" w:ascii="宋体" w:hAnsi="宋体" w:eastAsia="宋体" w:cs="方正小标宋简体"/>
          <w:b/>
          <w:bCs/>
          <w:color w:val="auto"/>
          <w:kern w:val="2"/>
          <w:sz w:val="32"/>
          <w:szCs w:val="32"/>
          <w:highlight w:val="none"/>
        </w:rPr>
      </w:pPr>
    </w:p>
    <w:p w14:paraId="2667667A">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67D328D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2AD1C1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32F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BFDFFF3">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A50EB8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D68D3F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799790F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46A1AB2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2ED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7F43F2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1026AD2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6CE8F89">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2D653BBC">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FB16148">
            <w:pPr>
              <w:spacing w:line="360" w:lineRule="auto"/>
              <w:contextualSpacing/>
              <w:rPr>
                <w:rFonts w:hint="eastAsia" w:ascii="宋体" w:hAnsi="宋体" w:cs="仿宋_GB2312"/>
                <w:color w:val="auto"/>
                <w:sz w:val="24"/>
                <w:highlight w:val="none"/>
              </w:rPr>
            </w:pPr>
          </w:p>
        </w:tc>
      </w:tr>
      <w:tr w14:paraId="2FEA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8DDBF5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5E01D78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7B7147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1599D83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A07FFBB">
            <w:pPr>
              <w:spacing w:line="360" w:lineRule="auto"/>
              <w:contextualSpacing/>
              <w:rPr>
                <w:rFonts w:hint="eastAsia" w:ascii="宋体" w:hAnsi="宋体" w:cs="仿宋_GB2312"/>
                <w:color w:val="auto"/>
                <w:sz w:val="24"/>
                <w:highlight w:val="none"/>
              </w:rPr>
            </w:pPr>
          </w:p>
        </w:tc>
      </w:tr>
      <w:tr w14:paraId="148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57C170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4C3D6C90">
      <w:pPr>
        <w:spacing w:line="360" w:lineRule="auto"/>
        <w:contextualSpacing/>
        <w:jc w:val="left"/>
        <w:rPr>
          <w:rFonts w:hint="eastAsia" w:ascii="宋体" w:hAnsi="宋体" w:cs="仿宋_GB2312"/>
          <w:color w:val="auto"/>
          <w:sz w:val="24"/>
          <w:highlight w:val="none"/>
        </w:rPr>
      </w:pPr>
    </w:p>
    <w:p w14:paraId="6B7ABD55">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EBE4ABB">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545D4A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2FBFA0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37B31BC8">
      <w:pPr>
        <w:spacing w:line="360" w:lineRule="auto"/>
        <w:ind w:right="-817" w:rightChars="-389"/>
        <w:contextualSpacing/>
        <w:rPr>
          <w:rFonts w:hint="eastAsia" w:ascii="宋体" w:hAnsi="宋体" w:cs="仿宋_GB2312"/>
          <w:color w:val="auto"/>
          <w:sz w:val="24"/>
          <w:highlight w:val="none"/>
        </w:rPr>
      </w:pPr>
    </w:p>
    <w:p w14:paraId="6D3DA790">
      <w:pPr>
        <w:spacing w:line="360" w:lineRule="auto"/>
        <w:ind w:right="-817" w:rightChars="-389"/>
        <w:contextualSpacing/>
        <w:rPr>
          <w:rFonts w:hint="eastAsia" w:ascii="宋体" w:hAnsi="宋体" w:cs="仿宋_GB2312"/>
          <w:color w:val="auto"/>
          <w:sz w:val="24"/>
          <w:highlight w:val="none"/>
        </w:rPr>
      </w:pPr>
    </w:p>
    <w:p w14:paraId="71522C5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87B9DC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961DB7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A2CAF1A">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1F4680F8">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6ECE5BC5">
      <w:pPr>
        <w:pStyle w:val="47"/>
        <w:spacing w:line="360" w:lineRule="auto"/>
        <w:jc w:val="both"/>
        <w:rPr>
          <w:rFonts w:hint="eastAsia" w:asciiTheme="majorEastAsia" w:hAnsiTheme="majorEastAsia" w:eastAsiaTheme="majorEastAsia" w:cstheme="majorEastAsia"/>
          <w:b/>
          <w:bCs/>
          <w:color w:val="auto"/>
          <w:sz w:val="32"/>
          <w:szCs w:val="40"/>
          <w:highlight w:val="none"/>
        </w:rPr>
      </w:pPr>
    </w:p>
    <w:p w14:paraId="7DA37ED0">
      <w:pPr>
        <w:pStyle w:val="47"/>
        <w:spacing w:line="360" w:lineRule="auto"/>
        <w:jc w:val="center"/>
        <w:rPr>
          <w:rFonts w:hint="eastAsia" w:ascii="宋体" w:hAnsi="宋体" w:eastAsia="宋体" w:cs="宋体"/>
          <w:b/>
          <w:bCs/>
          <w:color w:val="auto"/>
          <w:sz w:val="32"/>
          <w:szCs w:val="40"/>
          <w:highlight w:val="none"/>
        </w:rPr>
      </w:pPr>
    </w:p>
    <w:p w14:paraId="0444E149">
      <w:pPr>
        <w:pStyle w:val="47"/>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61835A66">
      <w:pPr>
        <w:pStyle w:val="47"/>
        <w:spacing w:line="360" w:lineRule="auto"/>
        <w:ind w:firstLine="420" w:firstLineChars="200"/>
        <w:jc w:val="both"/>
        <w:rPr>
          <w:rFonts w:hint="eastAsia" w:ascii="宋体" w:hAnsi="宋体" w:eastAsia="宋体" w:cs="宋体"/>
          <w:color w:val="auto"/>
          <w:highlight w:val="none"/>
        </w:rPr>
      </w:pPr>
    </w:p>
    <w:p w14:paraId="072FF3B1">
      <w:pPr>
        <w:pStyle w:val="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55A491B6">
      <w:pPr>
        <w:pStyle w:val="47"/>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2576C6BD">
      <w:pPr>
        <w:autoSpaceDE w:val="0"/>
        <w:autoSpaceDN w:val="0"/>
        <w:adjustRightInd w:val="0"/>
        <w:spacing w:line="360" w:lineRule="auto"/>
        <w:rPr>
          <w:rFonts w:hint="eastAsia" w:ascii="宋体" w:hAnsi="宋体"/>
          <w:b/>
          <w:bCs/>
          <w:color w:val="auto"/>
          <w:sz w:val="32"/>
          <w:szCs w:val="32"/>
          <w:highlight w:val="none"/>
          <w:lang w:val="zh-CN"/>
        </w:rPr>
      </w:pPr>
    </w:p>
    <w:p w14:paraId="58B30F69">
      <w:pPr>
        <w:autoSpaceDE w:val="0"/>
        <w:autoSpaceDN w:val="0"/>
        <w:adjustRightInd w:val="0"/>
        <w:spacing w:line="360" w:lineRule="auto"/>
        <w:rPr>
          <w:rFonts w:hint="eastAsia" w:ascii="宋体" w:hAnsi="宋体"/>
          <w:b/>
          <w:bCs/>
          <w:color w:val="auto"/>
          <w:sz w:val="32"/>
          <w:szCs w:val="32"/>
          <w:highlight w:val="none"/>
          <w:lang w:val="zh-CN"/>
        </w:rPr>
      </w:pPr>
    </w:p>
    <w:p w14:paraId="6863054F">
      <w:pPr>
        <w:autoSpaceDE w:val="0"/>
        <w:autoSpaceDN w:val="0"/>
        <w:adjustRightInd w:val="0"/>
        <w:spacing w:line="360" w:lineRule="auto"/>
        <w:rPr>
          <w:rFonts w:hint="eastAsia" w:ascii="宋体" w:hAnsi="宋体"/>
          <w:b/>
          <w:bCs/>
          <w:color w:val="auto"/>
          <w:sz w:val="32"/>
          <w:szCs w:val="32"/>
          <w:highlight w:val="none"/>
          <w:lang w:val="zh-CN"/>
        </w:rPr>
      </w:pPr>
    </w:p>
    <w:p w14:paraId="39CFA38E">
      <w:pPr>
        <w:autoSpaceDE w:val="0"/>
        <w:autoSpaceDN w:val="0"/>
        <w:adjustRightInd w:val="0"/>
        <w:spacing w:line="360" w:lineRule="auto"/>
        <w:rPr>
          <w:rFonts w:hint="eastAsia" w:ascii="宋体" w:hAnsi="宋体"/>
          <w:b/>
          <w:bCs/>
          <w:color w:val="auto"/>
          <w:sz w:val="32"/>
          <w:szCs w:val="32"/>
          <w:highlight w:val="none"/>
          <w:lang w:val="zh-CN"/>
        </w:rPr>
      </w:pPr>
    </w:p>
    <w:p w14:paraId="6DC26217">
      <w:pPr>
        <w:autoSpaceDE w:val="0"/>
        <w:autoSpaceDN w:val="0"/>
        <w:adjustRightInd w:val="0"/>
        <w:spacing w:line="360" w:lineRule="auto"/>
        <w:rPr>
          <w:rFonts w:hint="eastAsia" w:ascii="宋体" w:hAnsi="宋体"/>
          <w:b/>
          <w:bCs/>
          <w:color w:val="auto"/>
          <w:sz w:val="32"/>
          <w:szCs w:val="32"/>
          <w:highlight w:val="none"/>
          <w:lang w:val="zh-CN"/>
        </w:rPr>
      </w:pPr>
    </w:p>
    <w:p w14:paraId="5539EE96">
      <w:pPr>
        <w:autoSpaceDE w:val="0"/>
        <w:autoSpaceDN w:val="0"/>
        <w:adjustRightInd w:val="0"/>
        <w:spacing w:line="360" w:lineRule="auto"/>
        <w:rPr>
          <w:rFonts w:hint="eastAsia" w:ascii="宋体" w:hAnsi="宋体"/>
          <w:b/>
          <w:bCs/>
          <w:color w:val="auto"/>
          <w:sz w:val="32"/>
          <w:szCs w:val="32"/>
          <w:highlight w:val="none"/>
          <w:lang w:val="zh-CN"/>
        </w:rPr>
      </w:pPr>
    </w:p>
    <w:p w14:paraId="2A82CF6E">
      <w:pPr>
        <w:autoSpaceDE w:val="0"/>
        <w:autoSpaceDN w:val="0"/>
        <w:adjustRightInd w:val="0"/>
        <w:spacing w:line="360" w:lineRule="auto"/>
        <w:rPr>
          <w:rFonts w:hint="eastAsia" w:ascii="宋体" w:hAnsi="宋体"/>
          <w:b/>
          <w:bCs/>
          <w:color w:val="auto"/>
          <w:sz w:val="32"/>
          <w:szCs w:val="32"/>
          <w:highlight w:val="none"/>
          <w:lang w:val="zh-CN"/>
        </w:rPr>
      </w:pPr>
    </w:p>
    <w:p w14:paraId="775C67C1">
      <w:pPr>
        <w:autoSpaceDE w:val="0"/>
        <w:autoSpaceDN w:val="0"/>
        <w:adjustRightInd w:val="0"/>
        <w:spacing w:line="360" w:lineRule="auto"/>
        <w:rPr>
          <w:rFonts w:hint="eastAsia" w:ascii="宋体" w:hAnsi="宋体"/>
          <w:b/>
          <w:bCs/>
          <w:color w:val="auto"/>
          <w:sz w:val="32"/>
          <w:szCs w:val="32"/>
          <w:highlight w:val="none"/>
          <w:lang w:val="zh-CN"/>
        </w:rPr>
      </w:pPr>
    </w:p>
    <w:p w14:paraId="2F054B2E">
      <w:pPr>
        <w:autoSpaceDE w:val="0"/>
        <w:autoSpaceDN w:val="0"/>
        <w:adjustRightInd w:val="0"/>
        <w:spacing w:line="360" w:lineRule="auto"/>
        <w:rPr>
          <w:rFonts w:hint="eastAsia" w:ascii="宋体" w:hAnsi="宋体"/>
          <w:b/>
          <w:bCs/>
          <w:color w:val="auto"/>
          <w:sz w:val="32"/>
          <w:szCs w:val="32"/>
          <w:highlight w:val="none"/>
          <w:lang w:val="zh-CN"/>
        </w:rPr>
      </w:pPr>
    </w:p>
    <w:p w14:paraId="7921E51F">
      <w:pPr>
        <w:autoSpaceDE w:val="0"/>
        <w:autoSpaceDN w:val="0"/>
        <w:adjustRightInd w:val="0"/>
        <w:spacing w:line="360" w:lineRule="auto"/>
        <w:rPr>
          <w:rFonts w:hint="eastAsia" w:ascii="宋体" w:hAnsi="宋体"/>
          <w:b/>
          <w:bCs/>
          <w:color w:val="auto"/>
          <w:sz w:val="32"/>
          <w:szCs w:val="32"/>
          <w:highlight w:val="none"/>
          <w:lang w:val="zh-CN"/>
        </w:rPr>
      </w:pPr>
    </w:p>
    <w:p w14:paraId="245FC60F">
      <w:pPr>
        <w:autoSpaceDE w:val="0"/>
        <w:autoSpaceDN w:val="0"/>
        <w:adjustRightInd w:val="0"/>
        <w:spacing w:line="360" w:lineRule="auto"/>
        <w:rPr>
          <w:rFonts w:hint="eastAsia" w:ascii="宋体" w:hAnsi="宋体"/>
          <w:b/>
          <w:bCs/>
          <w:color w:val="auto"/>
          <w:sz w:val="32"/>
          <w:szCs w:val="32"/>
          <w:highlight w:val="none"/>
          <w:lang w:val="zh-CN"/>
        </w:rPr>
      </w:pPr>
    </w:p>
    <w:p w14:paraId="093DE13A">
      <w:pPr>
        <w:autoSpaceDE w:val="0"/>
        <w:autoSpaceDN w:val="0"/>
        <w:adjustRightInd w:val="0"/>
        <w:spacing w:line="360" w:lineRule="auto"/>
        <w:rPr>
          <w:rFonts w:hint="eastAsia" w:ascii="宋体" w:hAnsi="宋体"/>
          <w:b/>
          <w:bCs/>
          <w:color w:val="auto"/>
          <w:sz w:val="32"/>
          <w:szCs w:val="32"/>
          <w:highlight w:val="none"/>
          <w:lang w:val="zh-CN"/>
        </w:rPr>
      </w:pPr>
    </w:p>
    <w:p w14:paraId="25F63541">
      <w:pPr>
        <w:autoSpaceDE w:val="0"/>
        <w:autoSpaceDN w:val="0"/>
        <w:adjustRightInd w:val="0"/>
        <w:spacing w:line="360" w:lineRule="auto"/>
        <w:rPr>
          <w:rFonts w:hint="eastAsia" w:ascii="宋体" w:hAnsi="宋体"/>
          <w:b/>
          <w:bCs/>
          <w:color w:val="auto"/>
          <w:sz w:val="32"/>
          <w:szCs w:val="32"/>
          <w:highlight w:val="none"/>
          <w:lang w:val="zh-CN"/>
        </w:rPr>
      </w:pPr>
    </w:p>
    <w:p w14:paraId="7165C784">
      <w:pPr>
        <w:autoSpaceDE w:val="0"/>
        <w:autoSpaceDN w:val="0"/>
        <w:adjustRightInd w:val="0"/>
        <w:spacing w:line="360" w:lineRule="auto"/>
        <w:rPr>
          <w:rFonts w:hint="eastAsia" w:ascii="宋体" w:hAnsi="宋体"/>
          <w:b/>
          <w:bCs/>
          <w:color w:val="auto"/>
          <w:sz w:val="32"/>
          <w:szCs w:val="32"/>
          <w:highlight w:val="none"/>
          <w:lang w:val="zh-CN"/>
        </w:rPr>
      </w:pPr>
    </w:p>
    <w:p w14:paraId="68A4090A">
      <w:pPr>
        <w:autoSpaceDE w:val="0"/>
        <w:autoSpaceDN w:val="0"/>
        <w:adjustRightInd w:val="0"/>
        <w:spacing w:line="360" w:lineRule="auto"/>
        <w:rPr>
          <w:rFonts w:hint="eastAsia" w:ascii="宋体" w:hAnsi="宋体"/>
          <w:b/>
          <w:bCs/>
          <w:color w:val="auto"/>
          <w:sz w:val="32"/>
          <w:szCs w:val="32"/>
          <w:highlight w:val="none"/>
          <w:lang w:val="zh-CN"/>
        </w:rPr>
      </w:pPr>
    </w:p>
    <w:p w14:paraId="77FBA8A9">
      <w:pPr>
        <w:autoSpaceDE w:val="0"/>
        <w:autoSpaceDN w:val="0"/>
        <w:adjustRightInd w:val="0"/>
        <w:spacing w:line="360" w:lineRule="auto"/>
        <w:rPr>
          <w:rFonts w:hint="eastAsia" w:ascii="宋体" w:hAnsi="宋体"/>
          <w:b/>
          <w:bCs/>
          <w:color w:val="auto"/>
          <w:sz w:val="32"/>
          <w:szCs w:val="32"/>
          <w:highlight w:val="none"/>
          <w:lang w:val="zh-CN"/>
        </w:rPr>
      </w:pPr>
    </w:p>
    <w:p w14:paraId="0C82480B">
      <w:pPr>
        <w:autoSpaceDE w:val="0"/>
        <w:autoSpaceDN w:val="0"/>
        <w:adjustRightInd w:val="0"/>
        <w:spacing w:line="360" w:lineRule="auto"/>
        <w:rPr>
          <w:rFonts w:hint="eastAsia" w:ascii="宋体" w:hAnsi="宋体"/>
          <w:b/>
          <w:bCs/>
          <w:color w:val="auto"/>
          <w:sz w:val="32"/>
          <w:szCs w:val="32"/>
          <w:highlight w:val="none"/>
          <w:lang w:val="zh-CN"/>
        </w:rPr>
      </w:pPr>
    </w:p>
    <w:p w14:paraId="7D129028">
      <w:pPr>
        <w:autoSpaceDE w:val="0"/>
        <w:autoSpaceDN w:val="0"/>
        <w:adjustRightInd w:val="0"/>
        <w:spacing w:line="360" w:lineRule="auto"/>
        <w:rPr>
          <w:rFonts w:hint="eastAsia" w:ascii="宋体" w:hAnsi="宋体"/>
          <w:b/>
          <w:bCs/>
          <w:color w:val="auto"/>
          <w:sz w:val="32"/>
          <w:szCs w:val="32"/>
          <w:highlight w:val="none"/>
          <w:lang w:val="zh-CN"/>
        </w:rPr>
      </w:pPr>
    </w:p>
    <w:p w14:paraId="4C313748">
      <w:pPr>
        <w:autoSpaceDE w:val="0"/>
        <w:autoSpaceDN w:val="0"/>
        <w:adjustRightInd w:val="0"/>
        <w:spacing w:line="360" w:lineRule="auto"/>
        <w:rPr>
          <w:rFonts w:hint="eastAsia" w:ascii="宋体" w:hAnsi="宋体"/>
          <w:b/>
          <w:bCs/>
          <w:color w:val="auto"/>
          <w:sz w:val="32"/>
          <w:szCs w:val="32"/>
          <w:highlight w:val="none"/>
          <w:lang w:val="zh-CN"/>
        </w:rPr>
      </w:pPr>
    </w:p>
    <w:p w14:paraId="17229C9A">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25DE7273">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61D96996">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CB48817">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4D5CA12">
      <w:pPr>
        <w:snapToGrid w:val="0"/>
        <w:spacing w:before="156" w:beforeLines="50" w:after="50"/>
        <w:rPr>
          <w:rFonts w:hint="eastAsia" w:ascii="宋体" w:hAnsi="宋体"/>
          <w:color w:val="auto"/>
          <w:sz w:val="24"/>
          <w:szCs w:val="20"/>
          <w:highlight w:val="none"/>
        </w:rPr>
      </w:pPr>
    </w:p>
    <w:p w14:paraId="78B60E25">
      <w:pPr>
        <w:snapToGrid w:val="0"/>
        <w:spacing w:before="156" w:beforeLines="50" w:after="50"/>
        <w:rPr>
          <w:rFonts w:hint="eastAsia" w:ascii="宋体" w:hAnsi="宋体"/>
          <w:color w:val="auto"/>
          <w:sz w:val="24"/>
          <w:szCs w:val="20"/>
          <w:highlight w:val="none"/>
        </w:rPr>
      </w:pPr>
    </w:p>
    <w:p w14:paraId="7B499A13">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1A8B5D3">
      <w:pPr>
        <w:snapToGrid w:val="0"/>
        <w:spacing w:before="156" w:beforeLines="50" w:after="50"/>
        <w:rPr>
          <w:rFonts w:hint="eastAsia" w:ascii="宋体" w:hAnsi="宋体"/>
          <w:bCs/>
          <w:color w:val="auto"/>
          <w:sz w:val="24"/>
          <w:szCs w:val="20"/>
          <w:highlight w:val="none"/>
        </w:rPr>
      </w:pPr>
    </w:p>
    <w:p w14:paraId="50544149">
      <w:pPr>
        <w:snapToGrid w:val="0"/>
        <w:spacing w:before="156" w:beforeLines="50" w:after="50"/>
        <w:rPr>
          <w:rFonts w:hint="eastAsia" w:ascii="宋体" w:hAnsi="宋体"/>
          <w:bCs/>
          <w:color w:val="auto"/>
          <w:sz w:val="24"/>
          <w:szCs w:val="20"/>
          <w:highlight w:val="none"/>
        </w:rPr>
      </w:pPr>
    </w:p>
    <w:p w14:paraId="4B595AFF">
      <w:pPr>
        <w:snapToGrid w:val="0"/>
        <w:spacing w:before="156" w:beforeLines="50" w:after="50"/>
        <w:rPr>
          <w:rFonts w:hint="eastAsia" w:ascii="宋体" w:hAnsi="宋体"/>
          <w:bCs/>
          <w:color w:val="auto"/>
          <w:sz w:val="24"/>
          <w:szCs w:val="20"/>
          <w:highlight w:val="none"/>
        </w:rPr>
      </w:pPr>
    </w:p>
    <w:p w14:paraId="3E04BB6F">
      <w:pPr>
        <w:snapToGrid w:val="0"/>
        <w:spacing w:before="156" w:beforeLines="50" w:after="50"/>
        <w:rPr>
          <w:rFonts w:hint="eastAsia" w:ascii="宋体" w:hAnsi="宋体"/>
          <w:bCs/>
          <w:color w:val="auto"/>
          <w:sz w:val="24"/>
          <w:szCs w:val="20"/>
          <w:highlight w:val="none"/>
        </w:rPr>
      </w:pPr>
    </w:p>
    <w:p w14:paraId="5697602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8506EF2">
      <w:pPr>
        <w:snapToGrid w:val="0"/>
        <w:spacing w:before="156" w:beforeLines="50" w:after="50"/>
        <w:ind w:firstLine="720" w:firstLineChars="225"/>
        <w:rPr>
          <w:rFonts w:hint="eastAsia" w:ascii="宋体" w:hAnsi="宋体" w:cs="仿宋_GB2312"/>
          <w:bCs/>
          <w:color w:val="auto"/>
          <w:sz w:val="32"/>
          <w:szCs w:val="32"/>
          <w:highlight w:val="none"/>
        </w:rPr>
      </w:pPr>
    </w:p>
    <w:p w14:paraId="10BCE4E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9A7159D">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F506BE">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81097A4">
      <w:pPr>
        <w:pStyle w:val="10"/>
        <w:snapToGrid w:val="0"/>
        <w:spacing w:before="50" w:after="50"/>
        <w:ind w:firstLine="640"/>
        <w:rPr>
          <w:rFonts w:hint="eastAsia" w:ascii="宋体" w:hAnsi="宋体" w:cs="仿宋_GB2312"/>
          <w:bCs/>
          <w:color w:val="auto"/>
          <w:sz w:val="32"/>
          <w:szCs w:val="32"/>
          <w:highlight w:val="none"/>
        </w:rPr>
      </w:pPr>
    </w:p>
    <w:p w14:paraId="1F9648A5">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636DA227">
      <w:pPr>
        <w:pStyle w:val="10"/>
        <w:snapToGrid w:val="0"/>
        <w:spacing w:before="50" w:after="50"/>
        <w:ind w:firstLine="640"/>
        <w:rPr>
          <w:rFonts w:hint="eastAsia" w:ascii="宋体" w:hAnsi="宋体" w:cs="仿宋_GB2312"/>
          <w:bCs/>
          <w:color w:val="auto"/>
          <w:sz w:val="32"/>
          <w:szCs w:val="32"/>
          <w:highlight w:val="none"/>
        </w:rPr>
      </w:pPr>
    </w:p>
    <w:p w14:paraId="7FF2A58E">
      <w:pPr>
        <w:pStyle w:val="10"/>
        <w:snapToGrid w:val="0"/>
        <w:spacing w:before="50" w:after="50"/>
        <w:ind w:firstLine="720" w:firstLineChars="225"/>
        <w:rPr>
          <w:rFonts w:hint="eastAsia" w:ascii="宋体" w:hAnsi="宋体" w:cs="仿宋_GB2312"/>
          <w:bCs/>
          <w:color w:val="auto"/>
          <w:sz w:val="32"/>
          <w:szCs w:val="32"/>
          <w:highlight w:val="none"/>
        </w:rPr>
      </w:pPr>
    </w:p>
    <w:p w14:paraId="1AC62E4D">
      <w:pPr>
        <w:pStyle w:val="10"/>
        <w:snapToGrid w:val="0"/>
        <w:spacing w:before="50" w:after="50"/>
        <w:ind w:firstLine="1280" w:firstLineChars="400"/>
        <w:rPr>
          <w:rFonts w:hint="eastAsia" w:ascii="宋体" w:hAnsi="宋体" w:cs="仿宋_GB2312"/>
          <w:bCs/>
          <w:color w:val="auto"/>
          <w:sz w:val="32"/>
          <w:szCs w:val="32"/>
          <w:highlight w:val="none"/>
        </w:rPr>
      </w:pPr>
    </w:p>
    <w:p w14:paraId="3FEB013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59B3CA7">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F72B50D">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E987A29">
      <w:pPr>
        <w:spacing w:line="400" w:lineRule="exact"/>
        <w:rPr>
          <w:rFonts w:hint="eastAsia" w:ascii="仿宋_GB2312" w:hAnsi="仿宋_GB2312" w:eastAsia="仿宋_GB2312" w:cs="仿宋_GB2312"/>
          <w:color w:val="auto"/>
          <w:sz w:val="32"/>
          <w:szCs w:val="32"/>
          <w:highlight w:val="none"/>
        </w:rPr>
      </w:pPr>
    </w:p>
    <w:p w14:paraId="0A93207C">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951E14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53B5AE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11AECB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0F712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18F734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747474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54868E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905E8A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2BA9EB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C67A2B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EDAA80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56C884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0FB407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89248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F016F2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511AEC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326A6441">
      <w:pPr>
        <w:spacing w:line="360" w:lineRule="auto"/>
        <w:ind w:firstLine="480" w:firstLineChars="200"/>
        <w:contextualSpacing/>
        <w:rPr>
          <w:rFonts w:hint="eastAsia" w:ascii="宋体" w:hAnsi="宋体" w:cs="仿宋_GB2312"/>
          <w:color w:val="auto"/>
          <w:sz w:val="24"/>
          <w:highlight w:val="none"/>
        </w:rPr>
      </w:pPr>
    </w:p>
    <w:p w14:paraId="3694DD4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7FA4B42">
      <w:pPr>
        <w:spacing w:line="360" w:lineRule="auto"/>
        <w:contextualSpacing/>
        <w:rPr>
          <w:rFonts w:hint="eastAsia" w:ascii="宋体" w:hAnsi="宋体" w:cs="仿宋_GB2312"/>
          <w:color w:val="auto"/>
          <w:sz w:val="24"/>
          <w:highlight w:val="none"/>
        </w:rPr>
      </w:pPr>
    </w:p>
    <w:p w14:paraId="2825E19E">
      <w:pPr>
        <w:spacing w:line="360" w:lineRule="auto"/>
        <w:contextualSpacing/>
        <w:rPr>
          <w:rFonts w:hint="eastAsia" w:ascii="宋体" w:hAnsi="宋体" w:cs="仿宋_GB2312"/>
          <w:color w:val="auto"/>
          <w:sz w:val="24"/>
          <w:highlight w:val="none"/>
        </w:rPr>
      </w:pPr>
    </w:p>
    <w:p w14:paraId="504D3E8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3E6533A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7BBA14">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49E6961">
      <w:pPr>
        <w:spacing w:line="360" w:lineRule="auto"/>
        <w:ind w:left="540"/>
        <w:contextualSpacing/>
        <w:rPr>
          <w:rFonts w:hint="eastAsia" w:ascii="仿宋_GB2312" w:hAnsi="仿宋_GB2312" w:eastAsia="仿宋_GB2312" w:cs="仿宋_GB2312"/>
          <w:color w:val="auto"/>
          <w:sz w:val="32"/>
          <w:szCs w:val="32"/>
          <w:highlight w:val="none"/>
        </w:rPr>
      </w:pPr>
    </w:p>
    <w:p w14:paraId="2C3D9F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31B109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058367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32E434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0D6EE2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507B2A5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013C26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31154E85">
      <w:pPr>
        <w:spacing w:line="360" w:lineRule="auto"/>
        <w:ind w:left="540"/>
        <w:contextualSpacing/>
        <w:rPr>
          <w:rFonts w:hint="eastAsia" w:ascii="宋体" w:hAnsi="宋体" w:cs="仿宋_GB2312"/>
          <w:color w:val="auto"/>
          <w:sz w:val="24"/>
          <w:highlight w:val="none"/>
        </w:rPr>
      </w:pPr>
    </w:p>
    <w:p w14:paraId="19721624">
      <w:pPr>
        <w:spacing w:line="360" w:lineRule="auto"/>
        <w:ind w:left="540"/>
        <w:contextualSpacing/>
        <w:rPr>
          <w:rFonts w:hint="eastAsia" w:ascii="宋体" w:hAnsi="宋体" w:cs="仿宋_GB2312"/>
          <w:color w:val="auto"/>
          <w:sz w:val="24"/>
          <w:highlight w:val="none"/>
        </w:rPr>
      </w:pPr>
    </w:p>
    <w:p w14:paraId="48C8240A">
      <w:pPr>
        <w:spacing w:line="360" w:lineRule="auto"/>
        <w:ind w:left="540"/>
        <w:contextualSpacing/>
        <w:rPr>
          <w:rFonts w:hint="eastAsia" w:ascii="宋体" w:hAnsi="宋体" w:cs="仿宋_GB2312"/>
          <w:color w:val="auto"/>
          <w:sz w:val="24"/>
          <w:highlight w:val="none"/>
        </w:rPr>
      </w:pPr>
    </w:p>
    <w:p w14:paraId="411B7FF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7098CAF">
      <w:pPr>
        <w:spacing w:line="360" w:lineRule="auto"/>
        <w:ind w:left="540"/>
        <w:contextualSpacing/>
        <w:rPr>
          <w:rFonts w:hint="eastAsia" w:ascii="宋体" w:hAnsi="宋体" w:cs="仿宋_GB2312"/>
          <w:color w:val="auto"/>
          <w:sz w:val="24"/>
          <w:highlight w:val="none"/>
        </w:rPr>
      </w:pPr>
    </w:p>
    <w:p w14:paraId="246700E0">
      <w:pPr>
        <w:spacing w:line="360" w:lineRule="auto"/>
        <w:ind w:left="540"/>
        <w:contextualSpacing/>
        <w:rPr>
          <w:rFonts w:hint="eastAsia" w:ascii="宋体" w:hAnsi="宋体" w:cs="仿宋_GB2312"/>
          <w:color w:val="auto"/>
          <w:sz w:val="24"/>
          <w:highlight w:val="none"/>
        </w:rPr>
      </w:pPr>
    </w:p>
    <w:p w14:paraId="1E99490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994299F">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40DB7EA">
      <w:pPr>
        <w:spacing w:line="360" w:lineRule="auto"/>
        <w:contextualSpacing/>
        <w:jc w:val="center"/>
        <w:rPr>
          <w:rFonts w:hint="eastAsia" w:ascii="宋体" w:hAnsi="宋体" w:cs="仿宋_GB2312"/>
          <w:b/>
          <w:color w:val="auto"/>
          <w:sz w:val="24"/>
          <w:highlight w:val="none"/>
        </w:rPr>
      </w:pPr>
    </w:p>
    <w:p w14:paraId="5D556F49">
      <w:pPr>
        <w:adjustRightInd w:val="0"/>
        <w:snapToGrid w:val="0"/>
        <w:spacing w:line="300" w:lineRule="auto"/>
        <w:jc w:val="left"/>
        <w:rPr>
          <w:rFonts w:hint="eastAsia" w:ascii="宋体" w:hAnsi="宋体"/>
          <w:b/>
          <w:color w:val="auto"/>
          <w:szCs w:val="21"/>
          <w:highlight w:val="none"/>
        </w:rPr>
      </w:pPr>
    </w:p>
    <w:p w14:paraId="319B373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2AA1D77A">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1DD43A64">
      <w:pPr>
        <w:spacing w:line="520" w:lineRule="exact"/>
        <w:rPr>
          <w:rFonts w:hint="eastAsia" w:ascii="仿宋_GB2312" w:hAnsi="仿宋_GB2312" w:eastAsia="仿宋_GB2312" w:cs="仿宋_GB2312"/>
          <w:color w:val="auto"/>
          <w:sz w:val="32"/>
          <w:szCs w:val="32"/>
          <w:highlight w:val="none"/>
        </w:rPr>
      </w:pPr>
    </w:p>
    <w:p w14:paraId="71D0C45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109891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5DDDDE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7B969B9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BDBE44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DD1F59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AC6EA90">
      <w:pPr>
        <w:spacing w:line="360" w:lineRule="auto"/>
        <w:rPr>
          <w:rFonts w:hint="eastAsia" w:ascii="宋体" w:hAnsi="宋体" w:cs="仿宋_GB2312"/>
          <w:color w:val="auto"/>
          <w:sz w:val="24"/>
          <w:highlight w:val="none"/>
        </w:rPr>
      </w:pPr>
    </w:p>
    <w:p w14:paraId="5C2147D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3CDDF6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C00DD5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83757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1BF30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146D172">
      <w:pPr>
        <w:spacing w:line="360" w:lineRule="auto"/>
        <w:rPr>
          <w:rFonts w:hint="eastAsia" w:ascii="宋体" w:hAnsi="宋体" w:cs="仿宋_GB2312"/>
          <w:color w:val="auto"/>
          <w:sz w:val="24"/>
          <w:highlight w:val="none"/>
        </w:rPr>
      </w:pPr>
    </w:p>
    <w:p w14:paraId="04DDD8F6">
      <w:pPr>
        <w:spacing w:line="360" w:lineRule="auto"/>
        <w:rPr>
          <w:rFonts w:hint="eastAsia" w:ascii="宋体" w:hAnsi="宋体" w:cs="仿宋_GB2312"/>
          <w:color w:val="auto"/>
          <w:sz w:val="24"/>
          <w:highlight w:val="none"/>
        </w:rPr>
      </w:pPr>
    </w:p>
    <w:p w14:paraId="4DD900FA">
      <w:pPr>
        <w:spacing w:line="360" w:lineRule="auto"/>
        <w:rPr>
          <w:rFonts w:hint="eastAsia" w:ascii="宋体" w:hAnsi="宋体" w:cs="仿宋_GB2312"/>
          <w:color w:val="auto"/>
          <w:sz w:val="24"/>
          <w:highlight w:val="none"/>
        </w:rPr>
      </w:pPr>
    </w:p>
    <w:p w14:paraId="190745B9">
      <w:pPr>
        <w:spacing w:line="360" w:lineRule="auto"/>
        <w:rPr>
          <w:rFonts w:hint="eastAsia" w:ascii="宋体" w:hAnsi="宋体" w:cs="仿宋_GB2312"/>
          <w:color w:val="auto"/>
          <w:sz w:val="24"/>
          <w:highlight w:val="none"/>
        </w:rPr>
      </w:pPr>
    </w:p>
    <w:p w14:paraId="470A87F3">
      <w:pPr>
        <w:spacing w:line="360" w:lineRule="auto"/>
        <w:rPr>
          <w:rFonts w:hint="eastAsia" w:ascii="宋体" w:hAnsi="宋体" w:cs="仿宋_GB2312"/>
          <w:color w:val="auto"/>
          <w:sz w:val="24"/>
          <w:highlight w:val="none"/>
        </w:rPr>
      </w:pPr>
    </w:p>
    <w:p w14:paraId="7A0E428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101B194D">
      <w:pPr>
        <w:spacing w:line="360" w:lineRule="auto"/>
        <w:ind w:firstLine="420" w:firstLineChars="200"/>
        <w:jc w:val="left"/>
        <w:rPr>
          <w:rFonts w:hint="eastAsia" w:ascii="仿宋_GB2312" w:hAnsi="仿宋_GB2312" w:eastAsia="仿宋_GB2312" w:cs="仿宋_GB2312"/>
          <w:color w:val="auto"/>
          <w:szCs w:val="21"/>
          <w:highlight w:val="none"/>
        </w:rPr>
      </w:pPr>
    </w:p>
    <w:p w14:paraId="7AA653F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59EF54DD">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4D97762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469BB3A5">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66B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5E478ABF">
            <w:pPr>
              <w:ind w:left="223" w:hanging="222" w:hangingChars="106"/>
              <w:jc w:val="center"/>
              <w:rPr>
                <w:color w:val="auto"/>
                <w:highlight w:val="none"/>
              </w:rPr>
            </w:pPr>
            <w:r>
              <w:rPr>
                <w:color w:val="auto"/>
                <w:highlight w:val="none"/>
              </w:rPr>
              <w:t>岗位</w:t>
            </w:r>
          </w:p>
        </w:tc>
        <w:tc>
          <w:tcPr>
            <w:tcW w:w="670" w:type="dxa"/>
            <w:vMerge w:val="restart"/>
            <w:vAlign w:val="center"/>
          </w:tcPr>
          <w:p w14:paraId="79A29800">
            <w:pPr>
              <w:ind w:left="223" w:hanging="222" w:hangingChars="106"/>
              <w:jc w:val="center"/>
              <w:rPr>
                <w:color w:val="auto"/>
                <w:highlight w:val="none"/>
              </w:rPr>
            </w:pPr>
            <w:r>
              <w:rPr>
                <w:color w:val="auto"/>
                <w:highlight w:val="none"/>
              </w:rPr>
              <w:t>姓名</w:t>
            </w:r>
          </w:p>
        </w:tc>
        <w:tc>
          <w:tcPr>
            <w:tcW w:w="829" w:type="dxa"/>
            <w:vMerge w:val="restart"/>
            <w:vAlign w:val="center"/>
          </w:tcPr>
          <w:p w14:paraId="6DAE374D">
            <w:pPr>
              <w:jc w:val="center"/>
              <w:rPr>
                <w:color w:val="auto"/>
                <w:highlight w:val="none"/>
              </w:rPr>
            </w:pPr>
            <w:r>
              <w:rPr>
                <w:color w:val="auto"/>
                <w:highlight w:val="none"/>
              </w:rPr>
              <w:t>身份证号</w:t>
            </w:r>
          </w:p>
        </w:tc>
        <w:tc>
          <w:tcPr>
            <w:tcW w:w="816" w:type="dxa"/>
            <w:vMerge w:val="restart"/>
            <w:vAlign w:val="center"/>
          </w:tcPr>
          <w:p w14:paraId="4F8C7630">
            <w:pPr>
              <w:ind w:left="223" w:hanging="222" w:hangingChars="106"/>
              <w:jc w:val="center"/>
              <w:rPr>
                <w:color w:val="auto"/>
                <w:highlight w:val="none"/>
              </w:rPr>
            </w:pPr>
            <w:r>
              <w:rPr>
                <w:color w:val="auto"/>
                <w:highlight w:val="none"/>
              </w:rPr>
              <w:t>职称</w:t>
            </w:r>
          </w:p>
        </w:tc>
        <w:tc>
          <w:tcPr>
            <w:tcW w:w="4188" w:type="dxa"/>
            <w:gridSpan w:val="4"/>
            <w:vAlign w:val="center"/>
          </w:tcPr>
          <w:p w14:paraId="5A9EFAF5">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200E7BF2">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68FA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56631D6">
            <w:pPr>
              <w:ind w:left="223" w:hanging="222" w:hangingChars="106"/>
              <w:jc w:val="center"/>
              <w:rPr>
                <w:color w:val="auto"/>
                <w:highlight w:val="none"/>
              </w:rPr>
            </w:pPr>
          </w:p>
        </w:tc>
        <w:tc>
          <w:tcPr>
            <w:tcW w:w="670" w:type="dxa"/>
            <w:vMerge w:val="continue"/>
            <w:vAlign w:val="center"/>
          </w:tcPr>
          <w:p w14:paraId="1C92DDC0">
            <w:pPr>
              <w:ind w:left="223" w:hanging="222" w:hangingChars="106"/>
              <w:jc w:val="center"/>
              <w:rPr>
                <w:color w:val="auto"/>
                <w:highlight w:val="none"/>
              </w:rPr>
            </w:pPr>
          </w:p>
        </w:tc>
        <w:tc>
          <w:tcPr>
            <w:tcW w:w="829" w:type="dxa"/>
            <w:vMerge w:val="continue"/>
            <w:vAlign w:val="center"/>
          </w:tcPr>
          <w:p w14:paraId="4951BDA8">
            <w:pPr>
              <w:ind w:left="223" w:hanging="222" w:hangingChars="106"/>
              <w:jc w:val="center"/>
              <w:rPr>
                <w:color w:val="auto"/>
                <w:highlight w:val="none"/>
              </w:rPr>
            </w:pPr>
          </w:p>
        </w:tc>
        <w:tc>
          <w:tcPr>
            <w:tcW w:w="816" w:type="dxa"/>
            <w:vMerge w:val="continue"/>
            <w:vAlign w:val="center"/>
          </w:tcPr>
          <w:p w14:paraId="5FE5A4A1">
            <w:pPr>
              <w:ind w:left="223" w:hanging="222" w:hangingChars="106"/>
              <w:jc w:val="center"/>
              <w:rPr>
                <w:color w:val="auto"/>
                <w:highlight w:val="none"/>
              </w:rPr>
            </w:pPr>
          </w:p>
        </w:tc>
        <w:tc>
          <w:tcPr>
            <w:tcW w:w="1148" w:type="dxa"/>
            <w:vAlign w:val="center"/>
          </w:tcPr>
          <w:p w14:paraId="07E9A316">
            <w:pPr>
              <w:ind w:left="223" w:hanging="222" w:hangingChars="106"/>
              <w:jc w:val="center"/>
              <w:rPr>
                <w:color w:val="auto"/>
                <w:highlight w:val="none"/>
              </w:rPr>
            </w:pPr>
            <w:r>
              <w:rPr>
                <w:color w:val="auto"/>
                <w:highlight w:val="none"/>
              </w:rPr>
              <w:t>证书名称</w:t>
            </w:r>
          </w:p>
        </w:tc>
        <w:tc>
          <w:tcPr>
            <w:tcW w:w="1148" w:type="dxa"/>
            <w:vAlign w:val="center"/>
          </w:tcPr>
          <w:p w14:paraId="29223A5E">
            <w:pPr>
              <w:ind w:left="223" w:hanging="222" w:hangingChars="106"/>
              <w:jc w:val="center"/>
              <w:rPr>
                <w:color w:val="auto"/>
                <w:highlight w:val="none"/>
              </w:rPr>
            </w:pPr>
            <w:r>
              <w:rPr>
                <w:color w:val="auto"/>
                <w:highlight w:val="none"/>
              </w:rPr>
              <w:t>级别</w:t>
            </w:r>
          </w:p>
        </w:tc>
        <w:tc>
          <w:tcPr>
            <w:tcW w:w="1148" w:type="dxa"/>
            <w:vAlign w:val="center"/>
          </w:tcPr>
          <w:p w14:paraId="2125E48B">
            <w:pPr>
              <w:ind w:left="223" w:hanging="222" w:hangingChars="106"/>
              <w:jc w:val="center"/>
              <w:rPr>
                <w:color w:val="auto"/>
                <w:highlight w:val="none"/>
              </w:rPr>
            </w:pPr>
            <w:r>
              <w:rPr>
                <w:color w:val="auto"/>
                <w:highlight w:val="none"/>
              </w:rPr>
              <w:t>证号</w:t>
            </w:r>
          </w:p>
        </w:tc>
        <w:tc>
          <w:tcPr>
            <w:tcW w:w="744" w:type="dxa"/>
            <w:vAlign w:val="center"/>
          </w:tcPr>
          <w:p w14:paraId="45BD6B68">
            <w:pPr>
              <w:ind w:left="223" w:hanging="222" w:hangingChars="106"/>
              <w:jc w:val="center"/>
              <w:rPr>
                <w:color w:val="auto"/>
                <w:highlight w:val="none"/>
              </w:rPr>
            </w:pPr>
            <w:r>
              <w:rPr>
                <w:color w:val="auto"/>
                <w:highlight w:val="none"/>
              </w:rPr>
              <w:t>专业</w:t>
            </w:r>
          </w:p>
        </w:tc>
        <w:tc>
          <w:tcPr>
            <w:tcW w:w="1167" w:type="dxa"/>
            <w:vAlign w:val="center"/>
          </w:tcPr>
          <w:p w14:paraId="0ECE567E">
            <w:pPr>
              <w:jc w:val="center"/>
              <w:rPr>
                <w:color w:val="auto"/>
                <w:highlight w:val="none"/>
              </w:rPr>
            </w:pPr>
            <w:r>
              <w:rPr>
                <w:rFonts w:hint="eastAsia"/>
                <w:color w:val="auto"/>
                <w:highlight w:val="none"/>
              </w:rPr>
              <w:t>完工/在建</w:t>
            </w:r>
          </w:p>
        </w:tc>
        <w:tc>
          <w:tcPr>
            <w:tcW w:w="1276" w:type="dxa"/>
            <w:vAlign w:val="center"/>
          </w:tcPr>
          <w:p w14:paraId="1CD8CDDB">
            <w:pPr>
              <w:jc w:val="center"/>
              <w:rPr>
                <w:color w:val="auto"/>
                <w:highlight w:val="none"/>
              </w:rPr>
            </w:pPr>
            <w:r>
              <w:rPr>
                <w:color w:val="auto"/>
                <w:highlight w:val="none"/>
              </w:rPr>
              <w:t>主要项目</w:t>
            </w:r>
          </w:p>
          <w:p w14:paraId="445E193C">
            <w:pPr>
              <w:jc w:val="center"/>
              <w:rPr>
                <w:color w:val="auto"/>
                <w:highlight w:val="none"/>
              </w:rPr>
            </w:pPr>
            <w:r>
              <w:rPr>
                <w:color w:val="auto"/>
                <w:highlight w:val="none"/>
              </w:rPr>
              <w:t>名称</w:t>
            </w:r>
          </w:p>
        </w:tc>
      </w:tr>
      <w:tr w14:paraId="2D54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BBCCD3F">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151AF362">
            <w:pPr>
              <w:ind w:left="223" w:hanging="222" w:hangingChars="106"/>
              <w:jc w:val="center"/>
              <w:rPr>
                <w:color w:val="auto"/>
                <w:szCs w:val="21"/>
                <w:highlight w:val="none"/>
              </w:rPr>
            </w:pPr>
          </w:p>
        </w:tc>
        <w:tc>
          <w:tcPr>
            <w:tcW w:w="829" w:type="dxa"/>
            <w:vAlign w:val="center"/>
          </w:tcPr>
          <w:p w14:paraId="45F7B611">
            <w:pPr>
              <w:ind w:left="223" w:hanging="222" w:hangingChars="106"/>
              <w:jc w:val="center"/>
              <w:rPr>
                <w:color w:val="auto"/>
                <w:szCs w:val="21"/>
                <w:highlight w:val="none"/>
              </w:rPr>
            </w:pPr>
          </w:p>
        </w:tc>
        <w:tc>
          <w:tcPr>
            <w:tcW w:w="816" w:type="dxa"/>
            <w:vAlign w:val="center"/>
          </w:tcPr>
          <w:p w14:paraId="4B107E3F">
            <w:pPr>
              <w:ind w:left="223" w:hanging="222" w:hangingChars="106"/>
              <w:jc w:val="center"/>
              <w:rPr>
                <w:color w:val="auto"/>
                <w:szCs w:val="21"/>
                <w:highlight w:val="none"/>
              </w:rPr>
            </w:pPr>
          </w:p>
        </w:tc>
        <w:tc>
          <w:tcPr>
            <w:tcW w:w="1148" w:type="dxa"/>
            <w:vAlign w:val="center"/>
          </w:tcPr>
          <w:p w14:paraId="52C80915">
            <w:pPr>
              <w:ind w:left="223" w:hanging="222" w:hangingChars="106"/>
              <w:jc w:val="center"/>
              <w:rPr>
                <w:color w:val="auto"/>
                <w:szCs w:val="21"/>
                <w:highlight w:val="none"/>
              </w:rPr>
            </w:pPr>
          </w:p>
        </w:tc>
        <w:tc>
          <w:tcPr>
            <w:tcW w:w="1148" w:type="dxa"/>
            <w:vAlign w:val="center"/>
          </w:tcPr>
          <w:p w14:paraId="5F114E6F">
            <w:pPr>
              <w:ind w:left="223" w:hanging="222" w:hangingChars="106"/>
              <w:jc w:val="center"/>
              <w:rPr>
                <w:color w:val="auto"/>
                <w:szCs w:val="21"/>
                <w:highlight w:val="none"/>
              </w:rPr>
            </w:pPr>
          </w:p>
        </w:tc>
        <w:tc>
          <w:tcPr>
            <w:tcW w:w="1148" w:type="dxa"/>
            <w:vAlign w:val="center"/>
          </w:tcPr>
          <w:p w14:paraId="35FAD011">
            <w:pPr>
              <w:ind w:left="223" w:hanging="222" w:hangingChars="106"/>
              <w:jc w:val="center"/>
              <w:rPr>
                <w:color w:val="auto"/>
                <w:szCs w:val="21"/>
                <w:highlight w:val="none"/>
              </w:rPr>
            </w:pPr>
          </w:p>
        </w:tc>
        <w:tc>
          <w:tcPr>
            <w:tcW w:w="744" w:type="dxa"/>
            <w:vAlign w:val="center"/>
          </w:tcPr>
          <w:p w14:paraId="720CEA8C">
            <w:pPr>
              <w:ind w:left="223" w:hanging="222" w:hangingChars="106"/>
              <w:jc w:val="center"/>
              <w:rPr>
                <w:color w:val="auto"/>
                <w:szCs w:val="21"/>
                <w:highlight w:val="none"/>
              </w:rPr>
            </w:pPr>
          </w:p>
        </w:tc>
        <w:tc>
          <w:tcPr>
            <w:tcW w:w="1167" w:type="dxa"/>
            <w:vAlign w:val="center"/>
          </w:tcPr>
          <w:p w14:paraId="748EFCE9">
            <w:pPr>
              <w:ind w:left="223" w:hanging="222" w:hangingChars="106"/>
              <w:jc w:val="center"/>
              <w:rPr>
                <w:color w:val="auto"/>
                <w:szCs w:val="21"/>
                <w:highlight w:val="none"/>
              </w:rPr>
            </w:pPr>
          </w:p>
        </w:tc>
        <w:tc>
          <w:tcPr>
            <w:tcW w:w="1276" w:type="dxa"/>
            <w:vAlign w:val="center"/>
          </w:tcPr>
          <w:p w14:paraId="2C8960D2">
            <w:pPr>
              <w:ind w:left="223" w:hanging="222" w:hangingChars="106"/>
              <w:jc w:val="center"/>
              <w:rPr>
                <w:color w:val="auto"/>
                <w:szCs w:val="21"/>
                <w:highlight w:val="none"/>
              </w:rPr>
            </w:pPr>
          </w:p>
        </w:tc>
      </w:tr>
      <w:tr w14:paraId="226A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E8D5646">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5F33641D">
            <w:pPr>
              <w:ind w:left="223" w:hanging="222" w:hangingChars="106"/>
              <w:jc w:val="center"/>
              <w:rPr>
                <w:color w:val="auto"/>
                <w:szCs w:val="21"/>
                <w:highlight w:val="none"/>
              </w:rPr>
            </w:pPr>
          </w:p>
        </w:tc>
        <w:tc>
          <w:tcPr>
            <w:tcW w:w="829" w:type="dxa"/>
            <w:vAlign w:val="center"/>
          </w:tcPr>
          <w:p w14:paraId="51949E93">
            <w:pPr>
              <w:ind w:left="223" w:hanging="222" w:hangingChars="106"/>
              <w:jc w:val="center"/>
              <w:rPr>
                <w:color w:val="auto"/>
                <w:szCs w:val="21"/>
                <w:highlight w:val="none"/>
              </w:rPr>
            </w:pPr>
          </w:p>
        </w:tc>
        <w:tc>
          <w:tcPr>
            <w:tcW w:w="816" w:type="dxa"/>
            <w:vAlign w:val="center"/>
          </w:tcPr>
          <w:p w14:paraId="4D9458C6">
            <w:pPr>
              <w:ind w:left="223" w:hanging="222" w:hangingChars="106"/>
              <w:jc w:val="center"/>
              <w:rPr>
                <w:color w:val="auto"/>
                <w:szCs w:val="21"/>
                <w:highlight w:val="none"/>
              </w:rPr>
            </w:pPr>
          </w:p>
        </w:tc>
        <w:tc>
          <w:tcPr>
            <w:tcW w:w="1148" w:type="dxa"/>
            <w:vAlign w:val="center"/>
          </w:tcPr>
          <w:p w14:paraId="4F1E88EF">
            <w:pPr>
              <w:ind w:left="223" w:hanging="222" w:hangingChars="106"/>
              <w:jc w:val="center"/>
              <w:rPr>
                <w:color w:val="auto"/>
                <w:szCs w:val="21"/>
                <w:highlight w:val="none"/>
              </w:rPr>
            </w:pPr>
          </w:p>
        </w:tc>
        <w:tc>
          <w:tcPr>
            <w:tcW w:w="1148" w:type="dxa"/>
            <w:vAlign w:val="center"/>
          </w:tcPr>
          <w:p w14:paraId="61780CF8">
            <w:pPr>
              <w:ind w:left="223" w:hanging="222" w:hangingChars="106"/>
              <w:jc w:val="center"/>
              <w:rPr>
                <w:color w:val="auto"/>
                <w:szCs w:val="21"/>
                <w:highlight w:val="none"/>
              </w:rPr>
            </w:pPr>
          </w:p>
        </w:tc>
        <w:tc>
          <w:tcPr>
            <w:tcW w:w="1148" w:type="dxa"/>
            <w:vAlign w:val="center"/>
          </w:tcPr>
          <w:p w14:paraId="55965F42">
            <w:pPr>
              <w:ind w:left="223" w:hanging="222" w:hangingChars="106"/>
              <w:jc w:val="center"/>
              <w:rPr>
                <w:color w:val="auto"/>
                <w:szCs w:val="21"/>
                <w:highlight w:val="none"/>
              </w:rPr>
            </w:pPr>
          </w:p>
        </w:tc>
        <w:tc>
          <w:tcPr>
            <w:tcW w:w="744" w:type="dxa"/>
            <w:vAlign w:val="center"/>
          </w:tcPr>
          <w:p w14:paraId="04D146AA">
            <w:pPr>
              <w:ind w:left="223" w:hanging="222" w:hangingChars="106"/>
              <w:jc w:val="center"/>
              <w:rPr>
                <w:color w:val="auto"/>
                <w:szCs w:val="21"/>
                <w:highlight w:val="none"/>
              </w:rPr>
            </w:pPr>
          </w:p>
        </w:tc>
        <w:tc>
          <w:tcPr>
            <w:tcW w:w="1167" w:type="dxa"/>
            <w:vAlign w:val="center"/>
          </w:tcPr>
          <w:p w14:paraId="6B909982">
            <w:pPr>
              <w:ind w:left="223" w:hanging="222" w:hangingChars="106"/>
              <w:jc w:val="center"/>
              <w:rPr>
                <w:color w:val="auto"/>
                <w:szCs w:val="21"/>
                <w:highlight w:val="none"/>
              </w:rPr>
            </w:pPr>
          </w:p>
        </w:tc>
        <w:tc>
          <w:tcPr>
            <w:tcW w:w="1276" w:type="dxa"/>
            <w:vAlign w:val="center"/>
          </w:tcPr>
          <w:p w14:paraId="255E0172">
            <w:pPr>
              <w:ind w:left="223" w:hanging="222" w:hangingChars="106"/>
              <w:jc w:val="center"/>
              <w:rPr>
                <w:color w:val="auto"/>
                <w:szCs w:val="21"/>
                <w:highlight w:val="none"/>
              </w:rPr>
            </w:pPr>
          </w:p>
        </w:tc>
      </w:tr>
      <w:tr w14:paraId="040D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E2CEFA">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1B2B3F17">
            <w:pPr>
              <w:ind w:left="223" w:hanging="222" w:hangingChars="106"/>
              <w:jc w:val="center"/>
              <w:rPr>
                <w:color w:val="auto"/>
                <w:szCs w:val="21"/>
                <w:highlight w:val="none"/>
              </w:rPr>
            </w:pPr>
          </w:p>
        </w:tc>
        <w:tc>
          <w:tcPr>
            <w:tcW w:w="829" w:type="dxa"/>
            <w:vAlign w:val="center"/>
          </w:tcPr>
          <w:p w14:paraId="652008E7">
            <w:pPr>
              <w:ind w:left="223" w:hanging="222" w:hangingChars="106"/>
              <w:jc w:val="center"/>
              <w:rPr>
                <w:color w:val="auto"/>
                <w:szCs w:val="21"/>
                <w:highlight w:val="none"/>
              </w:rPr>
            </w:pPr>
          </w:p>
        </w:tc>
        <w:tc>
          <w:tcPr>
            <w:tcW w:w="816" w:type="dxa"/>
            <w:vAlign w:val="center"/>
          </w:tcPr>
          <w:p w14:paraId="190284ED">
            <w:pPr>
              <w:ind w:left="223" w:hanging="222" w:hangingChars="106"/>
              <w:jc w:val="center"/>
              <w:rPr>
                <w:color w:val="auto"/>
                <w:szCs w:val="21"/>
                <w:highlight w:val="none"/>
              </w:rPr>
            </w:pPr>
          </w:p>
        </w:tc>
        <w:tc>
          <w:tcPr>
            <w:tcW w:w="1148" w:type="dxa"/>
            <w:vAlign w:val="center"/>
          </w:tcPr>
          <w:p w14:paraId="10B22702">
            <w:pPr>
              <w:ind w:left="223" w:hanging="222" w:hangingChars="106"/>
              <w:jc w:val="center"/>
              <w:rPr>
                <w:color w:val="auto"/>
                <w:szCs w:val="21"/>
                <w:highlight w:val="none"/>
              </w:rPr>
            </w:pPr>
          </w:p>
        </w:tc>
        <w:tc>
          <w:tcPr>
            <w:tcW w:w="1148" w:type="dxa"/>
            <w:vAlign w:val="center"/>
          </w:tcPr>
          <w:p w14:paraId="1D8F1FF7">
            <w:pPr>
              <w:ind w:left="223" w:hanging="222" w:hangingChars="106"/>
              <w:jc w:val="center"/>
              <w:rPr>
                <w:color w:val="auto"/>
                <w:szCs w:val="21"/>
                <w:highlight w:val="none"/>
              </w:rPr>
            </w:pPr>
          </w:p>
        </w:tc>
        <w:tc>
          <w:tcPr>
            <w:tcW w:w="1148" w:type="dxa"/>
            <w:vAlign w:val="center"/>
          </w:tcPr>
          <w:p w14:paraId="16CA0EF7">
            <w:pPr>
              <w:ind w:left="223" w:hanging="222" w:hangingChars="106"/>
              <w:jc w:val="center"/>
              <w:rPr>
                <w:color w:val="auto"/>
                <w:szCs w:val="21"/>
                <w:highlight w:val="none"/>
              </w:rPr>
            </w:pPr>
          </w:p>
        </w:tc>
        <w:tc>
          <w:tcPr>
            <w:tcW w:w="744" w:type="dxa"/>
            <w:vAlign w:val="center"/>
          </w:tcPr>
          <w:p w14:paraId="60ACD11A">
            <w:pPr>
              <w:ind w:left="223" w:hanging="222" w:hangingChars="106"/>
              <w:jc w:val="center"/>
              <w:rPr>
                <w:color w:val="auto"/>
                <w:szCs w:val="21"/>
                <w:highlight w:val="none"/>
              </w:rPr>
            </w:pPr>
          </w:p>
        </w:tc>
        <w:tc>
          <w:tcPr>
            <w:tcW w:w="1167" w:type="dxa"/>
            <w:vAlign w:val="center"/>
          </w:tcPr>
          <w:p w14:paraId="60DEB533">
            <w:pPr>
              <w:ind w:left="223" w:hanging="222" w:hangingChars="106"/>
              <w:jc w:val="center"/>
              <w:rPr>
                <w:color w:val="auto"/>
                <w:szCs w:val="21"/>
                <w:highlight w:val="none"/>
              </w:rPr>
            </w:pPr>
          </w:p>
        </w:tc>
        <w:tc>
          <w:tcPr>
            <w:tcW w:w="1276" w:type="dxa"/>
            <w:vAlign w:val="center"/>
          </w:tcPr>
          <w:p w14:paraId="5ADA4ECD">
            <w:pPr>
              <w:ind w:left="223" w:hanging="222" w:hangingChars="106"/>
              <w:jc w:val="center"/>
              <w:rPr>
                <w:color w:val="auto"/>
                <w:szCs w:val="21"/>
                <w:highlight w:val="none"/>
              </w:rPr>
            </w:pPr>
          </w:p>
        </w:tc>
      </w:tr>
      <w:tr w14:paraId="061D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5C3E928">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67D47234">
            <w:pPr>
              <w:ind w:left="223" w:hanging="222" w:hangingChars="106"/>
              <w:jc w:val="center"/>
              <w:rPr>
                <w:color w:val="auto"/>
                <w:szCs w:val="21"/>
                <w:highlight w:val="none"/>
              </w:rPr>
            </w:pPr>
          </w:p>
        </w:tc>
        <w:tc>
          <w:tcPr>
            <w:tcW w:w="829" w:type="dxa"/>
            <w:vAlign w:val="center"/>
          </w:tcPr>
          <w:p w14:paraId="5C2E2A74">
            <w:pPr>
              <w:ind w:left="223" w:hanging="222" w:hangingChars="106"/>
              <w:jc w:val="center"/>
              <w:rPr>
                <w:color w:val="auto"/>
                <w:szCs w:val="21"/>
                <w:highlight w:val="none"/>
              </w:rPr>
            </w:pPr>
          </w:p>
        </w:tc>
        <w:tc>
          <w:tcPr>
            <w:tcW w:w="816" w:type="dxa"/>
            <w:vAlign w:val="center"/>
          </w:tcPr>
          <w:p w14:paraId="721F7DC1">
            <w:pPr>
              <w:ind w:left="223" w:hanging="222" w:hangingChars="106"/>
              <w:jc w:val="center"/>
              <w:rPr>
                <w:color w:val="auto"/>
                <w:szCs w:val="21"/>
                <w:highlight w:val="none"/>
              </w:rPr>
            </w:pPr>
          </w:p>
        </w:tc>
        <w:tc>
          <w:tcPr>
            <w:tcW w:w="1148" w:type="dxa"/>
            <w:vAlign w:val="center"/>
          </w:tcPr>
          <w:p w14:paraId="3D28383E">
            <w:pPr>
              <w:ind w:left="223" w:hanging="222" w:hangingChars="106"/>
              <w:jc w:val="center"/>
              <w:rPr>
                <w:color w:val="auto"/>
                <w:szCs w:val="21"/>
                <w:highlight w:val="none"/>
              </w:rPr>
            </w:pPr>
          </w:p>
        </w:tc>
        <w:tc>
          <w:tcPr>
            <w:tcW w:w="1148" w:type="dxa"/>
            <w:vAlign w:val="center"/>
          </w:tcPr>
          <w:p w14:paraId="4B02885A">
            <w:pPr>
              <w:ind w:left="223" w:hanging="222" w:hangingChars="106"/>
              <w:jc w:val="center"/>
              <w:rPr>
                <w:color w:val="auto"/>
                <w:szCs w:val="21"/>
                <w:highlight w:val="none"/>
              </w:rPr>
            </w:pPr>
          </w:p>
        </w:tc>
        <w:tc>
          <w:tcPr>
            <w:tcW w:w="1148" w:type="dxa"/>
            <w:vAlign w:val="center"/>
          </w:tcPr>
          <w:p w14:paraId="3B35B8C4">
            <w:pPr>
              <w:ind w:left="223" w:hanging="222" w:hangingChars="106"/>
              <w:jc w:val="center"/>
              <w:rPr>
                <w:color w:val="auto"/>
                <w:szCs w:val="21"/>
                <w:highlight w:val="none"/>
              </w:rPr>
            </w:pPr>
          </w:p>
        </w:tc>
        <w:tc>
          <w:tcPr>
            <w:tcW w:w="744" w:type="dxa"/>
            <w:vAlign w:val="center"/>
          </w:tcPr>
          <w:p w14:paraId="16FE0967">
            <w:pPr>
              <w:ind w:left="223" w:hanging="222" w:hangingChars="106"/>
              <w:jc w:val="center"/>
              <w:rPr>
                <w:color w:val="auto"/>
                <w:szCs w:val="21"/>
                <w:highlight w:val="none"/>
              </w:rPr>
            </w:pPr>
          </w:p>
        </w:tc>
        <w:tc>
          <w:tcPr>
            <w:tcW w:w="1167" w:type="dxa"/>
            <w:vAlign w:val="center"/>
          </w:tcPr>
          <w:p w14:paraId="2ABB71DC">
            <w:pPr>
              <w:ind w:left="223" w:hanging="222" w:hangingChars="106"/>
              <w:jc w:val="center"/>
              <w:rPr>
                <w:color w:val="auto"/>
                <w:szCs w:val="21"/>
                <w:highlight w:val="none"/>
              </w:rPr>
            </w:pPr>
          </w:p>
        </w:tc>
        <w:tc>
          <w:tcPr>
            <w:tcW w:w="1276" w:type="dxa"/>
            <w:vAlign w:val="center"/>
          </w:tcPr>
          <w:p w14:paraId="740BDCA9">
            <w:pPr>
              <w:ind w:left="223" w:hanging="222" w:hangingChars="106"/>
              <w:jc w:val="center"/>
              <w:rPr>
                <w:color w:val="auto"/>
                <w:szCs w:val="21"/>
                <w:highlight w:val="none"/>
              </w:rPr>
            </w:pPr>
          </w:p>
        </w:tc>
      </w:tr>
      <w:tr w14:paraId="6AA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965D631">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42D6E779">
            <w:pPr>
              <w:ind w:left="223" w:hanging="222" w:hangingChars="106"/>
              <w:jc w:val="center"/>
              <w:rPr>
                <w:color w:val="auto"/>
                <w:szCs w:val="21"/>
                <w:highlight w:val="none"/>
              </w:rPr>
            </w:pPr>
          </w:p>
        </w:tc>
        <w:tc>
          <w:tcPr>
            <w:tcW w:w="829" w:type="dxa"/>
            <w:vAlign w:val="center"/>
          </w:tcPr>
          <w:p w14:paraId="497AE659">
            <w:pPr>
              <w:ind w:left="223" w:hanging="222" w:hangingChars="106"/>
              <w:jc w:val="center"/>
              <w:rPr>
                <w:color w:val="auto"/>
                <w:szCs w:val="21"/>
                <w:highlight w:val="none"/>
              </w:rPr>
            </w:pPr>
          </w:p>
        </w:tc>
        <w:tc>
          <w:tcPr>
            <w:tcW w:w="816" w:type="dxa"/>
            <w:vAlign w:val="center"/>
          </w:tcPr>
          <w:p w14:paraId="0AE3B290">
            <w:pPr>
              <w:ind w:left="223" w:hanging="222" w:hangingChars="106"/>
              <w:jc w:val="center"/>
              <w:rPr>
                <w:color w:val="auto"/>
                <w:szCs w:val="21"/>
                <w:highlight w:val="none"/>
              </w:rPr>
            </w:pPr>
          </w:p>
        </w:tc>
        <w:tc>
          <w:tcPr>
            <w:tcW w:w="1148" w:type="dxa"/>
            <w:vAlign w:val="center"/>
          </w:tcPr>
          <w:p w14:paraId="5C45E3B3">
            <w:pPr>
              <w:ind w:left="223" w:hanging="222" w:hangingChars="106"/>
              <w:jc w:val="center"/>
              <w:rPr>
                <w:color w:val="auto"/>
                <w:szCs w:val="21"/>
                <w:highlight w:val="none"/>
              </w:rPr>
            </w:pPr>
          </w:p>
        </w:tc>
        <w:tc>
          <w:tcPr>
            <w:tcW w:w="1148" w:type="dxa"/>
            <w:vAlign w:val="center"/>
          </w:tcPr>
          <w:p w14:paraId="003D3C5F">
            <w:pPr>
              <w:ind w:left="223" w:hanging="222" w:hangingChars="106"/>
              <w:jc w:val="center"/>
              <w:rPr>
                <w:color w:val="auto"/>
                <w:szCs w:val="21"/>
                <w:highlight w:val="none"/>
              </w:rPr>
            </w:pPr>
          </w:p>
        </w:tc>
        <w:tc>
          <w:tcPr>
            <w:tcW w:w="1148" w:type="dxa"/>
            <w:vAlign w:val="center"/>
          </w:tcPr>
          <w:p w14:paraId="4841C308">
            <w:pPr>
              <w:ind w:left="223" w:hanging="222" w:hangingChars="106"/>
              <w:jc w:val="center"/>
              <w:rPr>
                <w:color w:val="auto"/>
                <w:szCs w:val="21"/>
                <w:highlight w:val="none"/>
              </w:rPr>
            </w:pPr>
          </w:p>
        </w:tc>
        <w:tc>
          <w:tcPr>
            <w:tcW w:w="744" w:type="dxa"/>
            <w:vAlign w:val="center"/>
          </w:tcPr>
          <w:p w14:paraId="1DE3DE6E">
            <w:pPr>
              <w:ind w:left="223" w:hanging="222" w:hangingChars="106"/>
              <w:jc w:val="center"/>
              <w:rPr>
                <w:color w:val="auto"/>
                <w:szCs w:val="21"/>
                <w:highlight w:val="none"/>
              </w:rPr>
            </w:pPr>
          </w:p>
        </w:tc>
        <w:tc>
          <w:tcPr>
            <w:tcW w:w="1167" w:type="dxa"/>
            <w:vAlign w:val="center"/>
          </w:tcPr>
          <w:p w14:paraId="49D8DFA0">
            <w:pPr>
              <w:ind w:left="223" w:hanging="222" w:hangingChars="106"/>
              <w:jc w:val="center"/>
              <w:rPr>
                <w:color w:val="auto"/>
                <w:szCs w:val="21"/>
                <w:highlight w:val="none"/>
              </w:rPr>
            </w:pPr>
          </w:p>
        </w:tc>
        <w:tc>
          <w:tcPr>
            <w:tcW w:w="1276" w:type="dxa"/>
            <w:vAlign w:val="center"/>
          </w:tcPr>
          <w:p w14:paraId="2007E9C6">
            <w:pPr>
              <w:ind w:left="223" w:hanging="222" w:hangingChars="106"/>
              <w:jc w:val="center"/>
              <w:rPr>
                <w:color w:val="auto"/>
                <w:szCs w:val="21"/>
                <w:highlight w:val="none"/>
              </w:rPr>
            </w:pPr>
          </w:p>
        </w:tc>
      </w:tr>
      <w:tr w14:paraId="23F5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A03825E">
            <w:pPr>
              <w:jc w:val="left"/>
              <w:rPr>
                <w:color w:val="auto"/>
                <w:szCs w:val="21"/>
                <w:highlight w:val="none"/>
              </w:rPr>
            </w:pPr>
            <w:r>
              <w:rPr>
                <w:rFonts w:hint="eastAsia"/>
                <w:color w:val="auto"/>
                <w:szCs w:val="21"/>
                <w:highlight w:val="none"/>
              </w:rPr>
              <w:t>6.材料员</w:t>
            </w:r>
          </w:p>
        </w:tc>
        <w:tc>
          <w:tcPr>
            <w:tcW w:w="670" w:type="dxa"/>
            <w:vAlign w:val="center"/>
          </w:tcPr>
          <w:p w14:paraId="13AD0952">
            <w:pPr>
              <w:ind w:left="223" w:hanging="222" w:hangingChars="106"/>
              <w:jc w:val="center"/>
              <w:rPr>
                <w:color w:val="auto"/>
                <w:szCs w:val="21"/>
                <w:highlight w:val="none"/>
              </w:rPr>
            </w:pPr>
          </w:p>
        </w:tc>
        <w:tc>
          <w:tcPr>
            <w:tcW w:w="829" w:type="dxa"/>
            <w:vAlign w:val="center"/>
          </w:tcPr>
          <w:p w14:paraId="704B58F7">
            <w:pPr>
              <w:ind w:left="223" w:hanging="222" w:hangingChars="106"/>
              <w:jc w:val="center"/>
              <w:rPr>
                <w:color w:val="auto"/>
                <w:szCs w:val="21"/>
                <w:highlight w:val="none"/>
              </w:rPr>
            </w:pPr>
          </w:p>
        </w:tc>
        <w:tc>
          <w:tcPr>
            <w:tcW w:w="816" w:type="dxa"/>
            <w:vAlign w:val="center"/>
          </w:tcPr>
          <w:p w14:paraId="15A0F531">
            <w:pPr>
              <w:ind w:left="223" w:hanging="222" w:hangingChars="106"/>
              <w:jc w:val="center"/>
              <w:rPr>
                <w:color w:val="auto"/>
                <w:szCs w:val="21"/>
                <w:highlight w:val="none"/>
              </w:rPr>
            </w:pPr>
          </w:p>
        </w:tc>
        <w:tc>
          <w:tcPr>
            <w:tcW w:w="1148" w:type="dxa"/>
            <w:vAlign w:val="center"/>
          </w:tcPr>
          <w:p w14:paraId="5AEB1D36">
            <w:pPr>
              <w:ind w:left="223" w:hanging="222" w:hangingChars="106"/>
              <w:jc w:val="center"/>
              <w:rPr>
                <w:color w:val="auto"/>
                <w:szCs w:val="21"/>
                <w:highlight w:val="none"/>
              </w:rPr>
            </w:pPr>
          </w:p>
        </w:tc>
        <w:tc>
          <w:tcPr>
            <w:tcW w:w="1148" w:type="dxa"/>
            <w:vAlign w:val="center"/>
          </w:tcPr>
          <w:p w14:paraId="08CC743E">
            <w:pPr>
              <w:ind w:left="223" w:hanging="222" w:hangingChars="106"/>
              <w:jc w:val="center"/>
              <w:rPr>
                <w:color w:val="auto"/>
                <w:szCs w:val="21"/>
                <w:highlight w:val="none"/>
              </w:rPr>
            </w:pPr>
          </w:p>
        </w:tc>
        <w:tc>
          <w:tcPr>
            <w:tcW w:w="1148" w:type="dxa"/>
            <w:vAlign w:val="center"/>
          </w:tcPr>
          <w:p w14:paraId="269416E9">
            <w:pPr>
              <w:ind w:left="223" w:hanging="222" w:hangingChars="106"/>
              <w:jc w:val="center"/>
              <w:rPr>
                <w:color w:val="auto"/>
                <w:szCs w:val="21"/>
                <w:highlight w:val="none"/>
              </w:rPr>
            </w:pPr>
          </w:p>
        </w:tc>
        <w:tc>
          <w:tcPr>
            <w:tcW w:w="744" w:type="dxa"/>
            <w:vAlign w:val="center"/>
          </w:tcPr>
          <w:p w14:paraId="1A3FBED1">
            <w:pPr>
              <w:ind w:left="223" w:hanging="222" w:hangingChars="106"/>
              <w:jc w:val="center"/>
              <w:rPr>
                <w:color w:val="auto"/>
                <w:szCs w:val="21"/>
                <w:highlight w:val="none"/>
              </w:rPr>
            </w:pPr>
          </w:p>
        </w:tc>
        <w:tc>
          <w:tcPr>
            <w:tcW w:w="1167" w:type="dxa"/>
            <w:vAlign w:val="center"/>
          </w:tcPr>
          <w:p w14:paraId="1A88070F">
            <w:pPr>
              <w:ind w:left="223" w:hanging="222" w:hangingChars="106"/>
              <w:jc w:val="center"/>
              <w:rPr>
                <w:color w:val="auto"/>
                <w:szCs w:val="21"/>
                <w:highlight w:val="none"/>
              </w:rPr>
            </w:pPr>
          </w:p>
        </w:tc>
        <w:tc>
          <w:tcPr>
            <w:tcW w:w="1276" w:type="dxa"/>
            <w:vAlign w:val="center"/>
          </w:tcPr>
          <w:p w14:paraId="6F838797">
            <w:pPr>
              <w:ind w:left="223" w:hanging="222" w:hangingChars="106"/>
              <w:jc w:val="center"/>
              <w:rPr>
                <w:color w:val="auto"/>
                <w:szCs w:val="21"/>
                <w:highlight w:val="none"/>
              </w:rPr>
            </w:pPr>
          </w:p>
        </w:tc>
      </w:tr>
      <w:tr w14:paraId="04D5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E58C0EE">
            <w:pPr>
              <w:ind w:left="223" w:hanging="222" w:hangingChars="106"/>
              <w:jc w:val="center"/>
              <w:rPr>
                <w:color w:val="auto"/>
                <w:szCs w:val="21"/>
                <w:highlight w:val="none"/>
              </w:rPr>
            </w:pPr>
          </w:p>
        </w:tc>
        <w:tc>
          <w:tcPr>
            <w:tcW w:w="670" w:type="dxa"/>
            <w:vAlign w:val="center"/>
          </w:tcPr>
          <w:p w14:paraId="4DEE2342">
            <w:pPr>
              <w:ind w:left="223" w:hanging="222" w:hangingChars="106"/>
              <w:jc w:val="center"/>
              <w:rPr>
                <w:color w:val="auto"/>
                <w:szCs w:val="21"/>
                <w:highlight w:val="none"/>
              </w:rPr>
            </w:pPr>
          </w:p>
        </w:tc>
        <w:tc>
          <w:tcPr>
            <w:tcW w:w="829" w:type="dxa"/>
            <w:vAlign w:val="center"/>
          </w:tcPr>
          <w:p w14:paraId="43CB68AD">
            <w:pPr>
              <w:ind w:left="223" w:hanging="222" w:hangingChars="106"/>
              <w:jc w:val="center"/>
              <w:rPr>
                <w:color w:val="auto"/>
                <w:szCs w:val="21"/>
                <w:highlight w:val="none"/>
              </w:rPr>
            </w:pPr>
          </w:p>
        </w:tc>
        <w:tc>
          <w:tcPr>
            <w:tcW w:w="816" w:type="dxa"/>
            <w:vAlign w:val="center"/>
          </w:tcPr>
          <w:p w14:paraId="6D7B9C8C">
            <w:pPr>
              <w:ind w:left="223" w:hanging="222" w:hangingChars="106"/>
              <w:jc w:val="center"/>
              <w:rPr>
                <w:color w:val="auto"/>
                <w:szCs w:val="21"/>
                <w:highlight w:val="none"/>
              </w:rPr>
            </w:pPr>
          </w:p>
        </w:tc>
        <w:tc>
          <w:tcPr>
            <w:tcW w:w="1148" w:type="dxa"/>
            <w:vAlign w:val="center"/>
          </w:tcPr>
          <w:p w14:paraId="3A318FAF">
            <w:pPr>
              <w:ind w:left="223" w:hanging="222" w:hangingChars="106"/>
              <w:jc w:val="center"/>
              <w:rPr>
                <w:color w:val="auto"/>
                <w:szCs w:val="21"/>
                <w:highlight w:val="none"/>
              </w:rPr>
            </w:pPr>
          </w:p>
        </w:tc>
        <w:tc>
          <w:tcPr>
            <w:tcW w:w="1148" w:type="dxa"/>
            <w:vAlign w:val="center"/>
          </w:tcPr>
          <w:p w14:paraId="1A620AE9">
            <w:pPr>
              <w:ind w:left="223" w:hanging="222" w:hangingChars="106"/>
              <w:jc w:val="center"/>
              <w:rPr>
                <w:color w:val="auto"/>
                <w:szCs w:val="21"/>
                <w:highlight w:val="none"/>
              </w:rPr>
            </w:pPr>
          </w:p>
        </w:tc>
        <w:tc>
          <w:tcPr>
            <w:tcW w:w="1148" w:type="dxa"/>
            <w:vAlign w:val="center"/>
          </w:tcPr>
          <w:p w14:paraId="3E495A6C">
            <w:pPr>
              <w:ind w:left="223" w:hanging="222" w:hangingChars="106"/>
              <w:jc w:val="center"/>
              <w:rPr>
                <w:color w:val="auto"/>
                <w:szCs w:val="21"/>
                <w:highlight w:val="none"/>
              </w:rPr>
            </w:pPr>
          </w:p>
        </w:tc>
        <w:tc>
          <w:tcPr>
            <w:tcW w:w="744" w:type="dxa"/>
            <w:vAlign w:val="center"/>
          </w:tcPr>
          <w:p w14:paraId="1F1EA98B">
            <w:pPr>
              <w:ind w:left="223" w:hanging="222" w:hangingChars="106"/>
              <w:jc w:val="center"/>
              <w:rPr>
                <w:color w:val="auto"/>
                <w:szCs w:val="21"/>
                <w:highlight w:val="none"/>
              </w:rPr>
            </w:pPr>
          </w:p>
        </w:tc>
        <w:tc>
          <w:tcPr>
            <w:tcW w:w="1167" w:type="dxa"/>
            <w:vAlign w:val="center"/>
          </w:tcPr>
          <w:p w14:paraId="765AF7D5">
            <w:pPr>
              <w:ind w:left="223" w:hanging="222" w:hangingChars="106"/>
              <w:jc w:val="center"/>
              <w:rPr>
                <w:color w:val="auto"/>
                <w:szCs w:val="21"/>
                <w:highlight w:val="none"/>
              </w:rPr>
            </w:pPr>
          </w:p>
        </w:tc>
        <w:tc>
          <w:tcPr>
            <w:tcW w:w="1276" w:type="dxa"/>
            <w:vAlign w:val="center"/>
          </w:tcPr>
          <w:p w14:paraId="1AE2AB61">
            <w:pPr>
              <w:ind w:left="223" w:hanging="222" w:hangingChars="106"/>
              <w:jc w:val="center"/>
              <w:rPr>
                <w:color w:val="auto"/>
                <w:szCs w:val="21"/>
                <w:highlight w:val="none"/>
              </w:rPr>
            </w:pPr>
          </w:p>
        </w:tc>
      </w:tr>
      <w:tr w14:paraId="78E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0A8DB1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0506692A">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61FD2A5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484DA996">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666FCDDC">
      <w:pPr>
        <w:spacing w:line="360" w:lineRule="auto"/>
        <w:ind w:firstLine="480" w:firstLineChars="200"/>
        <w:contextualSpacing/>
        <w:jc w:val="left"/>
        <w:rPr>
          <w:rFonts w:hint="eastAsia" w:ascii="宋体" w:hAnsi="宋体"/>
          <w:color w:val="auto"/>
          <w:sz w:val="24"/>
          <w:szCs w:val="20"/>
          <w:highlight w:val="none"/>
        </w:rPr>
      </w:pPr>
    </w:p>
    <w:p w14:paraId="6A39601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62927A8">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3E319D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1A625333">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91E9110">
      <w:pPr>
        <w:pStyle w:val="47"/>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34AFDBDE">
      <w:pPr>
        <w:pStyle w:val="47"/>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E21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5992B14F">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6BA8FF7C">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D5E2571">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2FCF4162">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3D0C2491">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15E3B1F5">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5B2ED154">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4D8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53A21FB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DA7FEF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0ECD56C">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C4509A">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E54D88C">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8044577">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36E9DD38">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4428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3E968C7A">
            <w:pPr>
              <w:spacing w:line="200" w:lineRule="exact"/>
              <w:rPr>
                <w:rFonts w:ascii="Arial"/>
                <w:color w:val="auto"/>
                <w:highlight w:val="none"/>
              </w:rPr>
            </w:pPr>
          </w:p>
          <w:p w14:paraId="3097EAD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4F189DEF">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E6FA845">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C976617">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7734401E">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A8CAED8">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721C5654">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1996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6B841F09">
            <w:pPr>
              <w:spacing w:line="200" w:lineRule="exact"/>
              <w:rPr>
                <w:rFonts w:ascii="Arial"/>
                <w:color w:val="auto"/>
                <w:highlight w:val="none"/>
              </w:rPr>
            </w:pPr>
          </w:p>
        </w:tc>
        <w:tc>
          <w:tcPr>
            <w:tcW w:w="1187" w:type="dxa"/>
          </w:tcPr>
          <w:p w14:paraId="46A79A00">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6CBC40C">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22CD639">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3D234F0E">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E9C99CA">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28C49BB9">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AA4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8E9E061">
            <w:pPr>
              <w:spacing w:line="200" w:lineRule="exact"/>
              <w:rPr>
                <w:rFonts w:ascii="Arial"/>
                <w:color w:val="auto"/>
                <w:highlight w:val="none"/>
              </w:rPr>
            </w:pPr>
          </w:p>
          <w:p w14:paraId="4F51D66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19B469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CEF335F">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F927F4E">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22AAB3A">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79F7AC61">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2D9CFD0D">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0A6F2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18A5CBB7">
            <w:pPr>
              <w:spacing w:line="200" w:lineRule="exact"/>
              <w:rPr>
                <w:rFonts w:ascii="Arial"/>
                <w:color w:val="auto"/>
                <w:highlight w:val="none"/>
              </w:rPr>
            </w:pPr>
          </w:p>
        </w:tc>
        <w:tc>
          <w:tcPr>
            <w:tcW w:w="1187" w:type="dxa"/>
          </w:tcPr>
          <w:p w14:paraId="2B84F224">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264A0D92">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F76040">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0A34324C">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0F7A4630">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0E348DD">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967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64798A09">
            <w:pPr>
              <w:spacing w:line="200" w:lineRule="exact"/>
              <w:rPr>
                <w:rFonts w:ascii="Arial"/>
                <w:color w:val="auto"/>
                <w:highlight w:val="none"/>
              </w:rPr>
            </w:pPr>
          </w:p>
          <w:p w14:paraId="25B16226">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0F0E58">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9A604D5">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114486D">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122B70C4">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2791C9A6">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1EF1B2DC">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0D5C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4C411BDB">
            <w:pPr>
              <w:spacing w:line="200" w:lineRule="exact"/>
              <w:rPr>
                <w:rFonts w:ascii="Arial"/>
                <w:color w:val="auto"/>
                <w:highlight w:val="none"/>
              </w:rPr>
            </w:pPr>
          </w:p>
        </w:tc>
        <w:tc>
          <w:tcPr>
            <w:tcW w:w="1187" w:type="dxa"/>
          </w:tcPr>
          <w:p w14:paraId="78D67E11">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7AF4663">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A2C39AD">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0DAD8967">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557CE917">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34070BCC">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B1F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94CAE52">
            <w:pPr>
              <w:spacing w:line="200" w:lineRule="exact"/>
              <w:rPr>
                <w:rFonts w:ascii="Arial"/>
                <w:color w:val="auto"/>
                <w:highlight w:val="none"/>
              </w:rPr>
            </w:pPr>
          </w:p>
          <w:p w14:paraId="7DC8398E">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0554FE84">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8B4C03B">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3F6CB4">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513A03FD">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9B7EF8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606C0599">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A3F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777D4983">
            <w:pPr>
              <w:spacing w:line="200" w:lineRule="exact"/>
              <w:rPr>
                <w:rFonts w:ascii="Arial"/>
                <w:color w:val="auto"/>
                <w:highlight w:val="none"/>
              </w:rPr>
            </w:pPr>
          </w:p>
        </w:tc>
        <w:tc>
          <w:tcPr>
            <w:tcW w:w="1187" w:type="dxa"/>
          </w:tcPr>
          <w:p w14:paraId="1C7A2EAA">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65CDDD7">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3B74FC9">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2A7C7AD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0481FD2D">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09DA641E">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13C9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13DBEDFD">
            <w:pPr>
              <w:spacing w:line="200" w:lineRule="exact"/>
              <w:rPr>
                <w:rFonts w:ascii="Arial"/>
                <w:color w:val="auto"/>
                <w:highlight w:val="none"/>
              </w:rPr>
            </w:pPr>
          </w:p>
          <w:p w14:paraId="7745B2DC">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47EBABB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72766D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DA049DF">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093EEA13">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4DA68A55">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915B7E6">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ADD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2D83E08C">
            <w:pPr>
              <w:spacing w:line="200" w:lineRule="exact"/>
              <w:rPr>
                <w:rFonts w:ascii="Arial"/>
                <w:color w:val="auto"/>
                <w:highlight w:val="none"/>
              </w:rPr>
            </w:pPr>
          </w:p>
        </w:tc>
        <w:tc>
          <w:tcPr>
            <w:tcW w:w="1187" w:type="dxa"/>
          </w:tcPr>
          <w:p w14:paraId="374A24F7">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278E3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62CA3760">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02BB5085">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670CAE58">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6C89505E">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581B7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3E605BAF">
            <w:pPr>
              <w:spacing w:line="200" w:lineRule="exact"/>
              <w:rPr>
                <w:rFonts w:ascii="Arial"/>
                <w:color w:val="auto"/>
                <w:highlight w:val="none"/>
              </w:rPr>
            </w:pPr>
          </w:p>
          <w:p w14:paraId="11AA2BB5">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485B7E25">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9031E8A">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7B790D1">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283B5EFE">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08B8118A">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188597C1">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C75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30ED2805">
            <w:pPr>
              <w:spacing w:line="200" w:lineRule="exact"/>
              <w:rPr>
                <w:rFonts w:ascii="Arial"/>
                <w:color w:val="auto"/>
                <w:highlight w:val="none"/>
              </w:rPr>
            </w:pPr>
          </w:p>
        </w:tc>
        <w:tc>
          <w:tcPr>
            <w:tcW w:w="1187" w:type="dxa"/>
          </w:tcPr>
          <w:p w14:paraId="15251D63">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BE52313">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07F6E03">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23AC4853">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235F6CD3">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1EDE97D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980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0E14793">
            <w:pPr>
              <w:spacing w:line="200" w:lineRule="exact"/>
              <w:rPr>
                <w:rFonts w:ascii="Arial"/>
                <w:color w:val="auto"/>
                <w:highlight w:val="none"/>
              </w:rPr>
            </w:pPr>
          </w:p>
          <w:p w14:paraId="2D83849B">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982FC9C">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121BF65">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26B84D8D">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0783D51F">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6793B0E5">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27F6289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318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32C58C5E">
            <w:pPr>
              <w:spacing w:line="200" w:lineRule="exact"/>
              <w:rPr>
                <w:rFonts w:ascii="Arial"/>
                <w:color w:val="auto"/>
                <w:highlight w:val="none"/>
              </w:rPr>
            </w:pPr>
          </w:p>
        </w:tc>
        <w:tc>
          <w:tcPr>
            <w:tcW w:w="1187" w:type="dxa"/>
          </w:tcPr>
          <w:p w14:paraId="5FA6B775">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9D8DE05">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FCA297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79A607FB">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718D2024">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E16FDF0">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B0B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69430FE">
            <w:pPr>
              <w:spacing w:line="200" w:lineRule="exact"/>
              <w:rPr>
                <w:rFonts w:ascii="Arial"/>
                <w:color w:val="auto"/>
                <w:highlight w:val="none"/>
              </w:rPr>
            </w:pPr>
          </w:p>
          <w:p w14:paraId="3E284C07">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AF9748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EF7F33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939C00C">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47896201">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C818B70">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10CF480B">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520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0453068C">
            <w:pPr>
              <w:spacing w:line="200" w:lineRule="exact"/>
              <w:rPr>
                <w:rFonts w:ascii="Arial"/>
                <w:color w:val="auto"/>
                <w:highlight w:val="none"/>
              </w:rPr>
            </w:pPr>
          </w:p>
        </w:tc>
        <w:tc>
          <w:tcPr>
            <w:tcW w:w="1187" w:type="dxa"/>
          </w:tcPr>
          <w:p w14:paraId="002ECD5B">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E88BAC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E725043">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027E1F1E">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3B7C7048">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2FEC3E58">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DD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1C9BB0FD">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1BE1896B">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3661877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697BA66">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5D6BBCA">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69EEFAF7">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101EB39E">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7EC2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4053869A">
            <w:pPr>
              <w:spacing w:line="200" w:lineRule="exact"/>
              <w:rPr>
                <w:rFonts w:ascii="Arial"/>
                <w:color w:val="auto"/>
                <w:highlight w:val="none"/>
              </w:rPr>
            </w:pPr>
          </w:p>
        </w:tc>
        <w:tc>
          <w:tcPr>
            <w:tcW w:w="1187" w:type="dxa"/>
          </w:tcPr>
          <w:p w14:paraId="5F5FA466">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332D0D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81D41D">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32B355D8">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24F11C4F">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0D7B833">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898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7EB1FA40">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0CDA67F5">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1D2DB7A">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13A9703">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FC010B4">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464D8F3A">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287C6E1A">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843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225626E3">
            <w:pPr>
              <w:spacing w:line="200" w:lineRule="exact"/>
              <w:rPr>
                <w:rFonts w:ascii="Arial"/>
                <w:color w:val="auto"/>
                <w:highlight w:val="none"/>
              </w:rPr>
            </w:pPr>
          </w:p>
        </w:tc>
        <w:tc>
          <w:tcPr>
            <w:tcW w:w="1187" w:type="dxa"/>
          </w:tcPr>
          <w:p w14:paraId="5E1E9E5E">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7AE5610">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6287C74">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A3B4368">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7E95E1BE">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5702249E">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799E8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53CBE1C">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2655FB16">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B8E365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29C755B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5F2F0F9C">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2B76C93C">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712DC6A">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02B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5251E22E">
            <w:pPr>
              <w:spacing w:line="200" w:lineRule="exact"/>
              <w:rPr>
                <w:rFonts w:ascii="Arial"/>
                <w:color w:val="auto"/>
                <w:highlight w:val="none"/>
              </w:rPr>
            </w:pPr>
          </w:p>
        </w:tc>
        <w:tc>
          <w:tcPr>
            <w:tcW w:w="1187" w:type="dxa"/>
          </w:tcPr>
          <w:p w14:paraId="2A5EF254">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7833E69">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0FDF6F9">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49F8641B">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59253BBF">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0471E35C">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41A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511BD185">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341B78E">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B2B8D10">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CF8DC8">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457F0BF2">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35FA1809">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678D1EE">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488E2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D1D699">
            <w:pPr>
              <w:spacing w:line="200" w:lineRule="exact"/>
              <w:rPr>
                <w:rFonts w:ascii="Arial"/>
                <w:color w:val="auto"/>
                <w:highlight w:val="none"/>
              </w:rPr>
            </w:pPr>
          </w:p>
        </w:tc>
        <w:tc>
          <w:tcPr>
            <w:tcW w:w="1187" w:type="dxa"/>
          </w:tcPr>
          <w:p w14:paraId="42226F18">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E0CB872">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90CC742">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A44DA49">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E76FBE9">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5AAE7D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2C68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0FB2282F">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40BC4D98">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2F994BE">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BCBEC4F">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935376A">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99BB77E">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5DB62BE">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6C9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2E68F8BF">
            <w:pPr>
              <w:spacing w:line="200" w:lineRule="exact"/>
              <w:rPr>
                <w:rFonts w:ascii="Arial"/>
                <w:color w:val="auto"/>
                <w:highlight w:val="none"/>
              </w:rPr>
            </w:pPr>
          </w:p>
        </w:tc>
        <w:tc>
          <w:tcPr>
            <w:tcW w:w="1187" w:type="dxa"/>
          </w:tcPr>
          <w:p w14:paraId="0C1B7C19">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15749437">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466C03F">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64EA088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156F6FF">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004E4C16">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10EC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11BF8C5A">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7C780EF1">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4E220E0">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213E574">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564FD6">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A417D2A">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2D6B857B">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5F350213">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0F9D82C6">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28AEA0AD">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56CFE8">
      <w:pPr>
        <w:pStyle w:val="47"/>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72E6EC">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1A11DE4D">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A89FF79">
      <w:pPr>
        <w:pStyle w:val="25"/>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5B1A9414">
      <w:pPr>
        <w:pStyle w:val="25"/>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5AFBC47">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61D6B0AE">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0444E898">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629BB97A">
      <w:pPr>
        <w:pStyle w:val="25"/>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0B27683F">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01D6F416">
      <w:pPr>
        <w:pStyle w:val="25"/>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2E5E902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7CCC65A1">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4863DD4E">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3A2DD114">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ABABAA5">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3896FF45">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13CBBDCE">
      <w:pPr>
        <w:pStyle w:val="25"/>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0A3D431C">
      <w:pPr>
        <w:pStyle w:val="25"/>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6B443048">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1FD3351">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59A6795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62894941">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47CC363A">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00493354">
      <w:pPr>
        <w:pStyle w:val="25"/>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342D258">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8C2F9F">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6E0BAAB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0A09369">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B44154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3DF07751">
      <w:pPr>
        <w:pStyle w:val="25"/>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4D1E3F4F">
      <w:pPr>
        <w:pStyle w:val="25"/>
        <w:widowControl w:val="0"/>
        <w:snapToGrid w:val="0"/>
        <w:spacing w:before="0" w:beforeAutospacing="0" w:after="0" w:afterAutospacing="0" w:line="360" w:lineRule="auto"/>
        <w:jc w:val="both"/>
        <w:rPr>
          <w:rFonts w:hint="eastAsia"/>
          <w:b/>
          <w:color w:val="auto"/>
          <w:highlight w:val="none"/>
          <w:lang w:bidi="ar"/>
        </w:rPr>
      </w:pPr>
    </w:p>
    <w:p w14:paraId="1C6F8E39">
      <w:pPr>
        <w:pStyle w:val="25"/>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7EAFCFFC">
      <w:pPr>
        <w:pStyle w:val="25"/>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39CAE7FD">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32AF0D">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0B724CE8">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FD2930">
      <w:pPr>
        <w:pStyle w:val="25"/>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1D21E62A">
      <w:pPr>
        <w:pStyle w:val="4"/>
        <w:spacing w:line="600" w:lineRule="auto"/>
        <w:ind w:firstLine="843" w:firstLineChars="300"/>
        <w:rPr>
          <w:rFonts w:hint="eastAsia" w:ascii="宋体" w:hAnsi="宋体" w:cs="宋体"/>
          <w:color w:val="auto"/>
          <w:highlight w:val="none"/>
        </w:rPr>
      </w:pPr>
    </w:p>
    <w:p w14:paraId="388796ED">
      <w:pPr>
        <w:rPr>
          <w:rFonts w:hint="eastAsia" w:ascii="宋体" w:hAnsi="宋体" w:cs="宋体"/>
          <w:color w:val="auto"/>
          <w:highlight w:val="none"/>
        </w:rPr>
      </w:pPr>
    </w:p>
    <w:p w14:paraId="44B5C861">
      <w:pPr>
        <w:pStyle w:val="12"/>
        <w:rPr>
          <w:rFonts w:hint="eastAsia" w:hAnsi="宋体" w:cs="宋体"/>
          <w:color w:val="auto"/>
          <w:highlight w:val="none"/>
        </w:rPr>
      </w:pPr>
    </w:p>
    <w:p w14:paraId="0CD5199E">
      <w:pPr>
        <w:pStyle w:val="12"/>
        <w:rPr>
          <w:rFonts w:hint="eastAsia" w:hAnsi="宋体" w:cs="宋体"/>
          <w:color w:val="auto"/>
          <w:highlight w:val="none"/>
        </w:rPr>
      </w:pPr>
    </w:p>
    <w:p w14:paraId="664476D9">
      <w:pPr>
        <w:pStyle w:val="12"/>
        <w:rPr>
          <w:rFonts w:hint="eastAsia" w:hAnsi="宋体" w:cs="宋体"/>
          <w:color w:val="auto"/>
          <w:highlight w:val="none"/>
        </w:rPr>
      </w:pPr>
    </w:p>
    <w:p w14:paraId="6B90425D">
      <w:pPr>
        <w:pStyle w:val="12"/>
        <w:rPr>
          <w:rFonts w:hint="eastAsia" w:hAnsi="宋体" w:cs="宋体"/>
          <w:color w:val="auto"/>
          <w:highlight w:val="none"/>
        </w:rPr>
      </w:pPr>
    </w:p>
    <w:p w14:paraId="184EDA55">
      <w:pPr>
        <w:pStyle w:val="12"/>
        <w:rPr>
          <w:rFonts w:hint="eastAsia" w:hAnsi="宋体" w:cs="宋体"/>
          <w:color w:val="auto"/>
          <w:highlight w:val="none"/>
        </w:rPr>
      </w:pPr>
    </w:p>
    <w:p w14:paraId="241A9BC3">
      <w:pPr>
        <w:pStyle w:val="12"/>
        <w:rPr>
          <w:rFonts w:hint="eastAsia" w:hAnsi="宋体" w:cs="宋体"/>
          <w:color w:val="auto"/>
          <w:highlight w:val="none"/>
        </w:rPr>
      </w:pPr>
    </w:p>
    <w:p w14:paraId="2BD65A1D">
      <w:pPr>
        <w:pStyle w:val="12"/>
        <w:rPr>
          <w:rFonts w:hint="eastAsia" w:hAnsi="宋体" w:cs="宋体"/>
          <w:color w:val="auto"/>
          <w:highlight w:val="none"/>
        </w:rPr>
      </w:pPr>
    </w:p>
    <w:p w14:paraId="594BCEF2">
      <w:pPr>
        <w:pStyle w:val="12"/>
        <w:rPr>
          <w:rFonts w:hint="eastAsia" w:hAnsi="宋体" w:cs="宋体"/>
          <w:color w:val="auto"/>
          <w:highlight w:val="none"/>
        </w:rPr>
      </w:pPr>
    </w:p>
    <w:p w14:paraId="4C4EED89">
      <w:pPr>
        <w:pStyle w:val="12"/>
        <w:rPr>
          <w:rFonts w:hint="eastAsia" w:hAnsi="宋体" w:cs="宋体"/>
          <w:color w:val="auto"/>
          <w:highlight w:val="none"/>
        </w:rPr>
      </w:pPr>
    </w:p>
    <w:p w14:paraId="0AFB6F86">
      <w:pPr>
        <w:pStyle w:val="12"/>
        <w:rPr>
          <w:rFonts w:hint="eastAsia" w:hAnsi="宋体" w:cs="宋体"/>
          <w:color w:val="auto"/>
          <w:highlight w:val="none"/>
        </w:rPr>
      </w:pPr>
    </w:p>
    <w:p w14:paraId="6AF2177B">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647BC58A">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7B562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27E895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B66C32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7059FAD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6F83EF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C93E970">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16F3C8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3714AB9">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5C4C92F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00AE0B9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FFF196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687EB98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60A009A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769E53A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32FB482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6D0B624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8C5DF0F">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A0B352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6B03699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CF7B8AC">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46749C70">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02A25B91">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299F8C37">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68D2D8D8">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7BD5D68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5593966A">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19FE422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A3C2C8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1861663">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10157C6E">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23533EBD">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4B9A8F2C">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3735727">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7AE32BF6">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781A706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95813B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32FA032A">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3C58435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211D3036">
      <w:pPr>
        <w:spacing w:line="360" w:lineRule="auto"/>
        <w:ind w:left="25" w:leftChars="12" w:firstLine="352" w:firstLineChars="147"/>
        <w:rPr>
          <w:rFonts w:hint="eastAsia" w:ascii="宋体" w:hAnsi="宋体" w:cs="宋体"/>
          <w:color w:val="auto"/>
          <w:kern w:val="0"/>
          <w:sz w:val="24"/>
          <w:highlight w:val="none"/>
        </w:rPr>
      </w:pPr>
    </w:p>
    <w:p w14:paraId="77CF50E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675F53C1">
      <w:pPr>
        <w:spacing w:line="360" w:lineRule="auto"/>
        <w:rPr>
          <w:rFonts w:hint="eastAsia" w:ascii="宋体" w:hAnsi="宋体" w:cs="宋体"/>
          <w:color w:val="auto"/>
          <w:kern w:val="0"/>
          <w:sz w:val="24"/>
          <w:highlight w:val="none"/>
        </w:rPr>
      </w:pPr>
    </w:p>
    <w:p w14:paraId="4F1D08F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7EE2DF2">
      <w:pPr>
        <w:snapToGrid w:val="0"/>
        <w:spacing w:line="360" w:lineRule="auto"/>
        <w:rPr>
          <w:rFonts w:hint="eastAsia" w:ascii="宋体" w:hAnsi="宋体" w:cs="宋体"/>
          <w:b/>
          <w:color w:val="auto"/>
          <w:kern w:val="0"/>
          <w:sz w:val="24"/>
          <w:highlight w:val="none"/>
        </w:rPr>
      </w:pPr>
    </w:p>
    <w:p w14:paraId="77656F8F">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0975A834">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01C2920F">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06A01A6">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DCDF9A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01EE4213">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2C69894D">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67C523DE">
      <w:pPr>
        <w:pStyle w:val="47"/>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10FDE4C7">
      <w:pPr>
        <w:pStyle w:val="47"/>
        <w:spacing w:line="360" w:lineRule="auto"/>
        <w:jc w:val="both"/>
        <w:rPr>
          <w:rFonts w:hint="eastAsia" w:ascii="宋体" w:hAnsi="宋体" w:eastAsia="宋体" w:cs="宋体"/>
          <w:b/>
          <w:bCs/>
          <w:color w:val="auto"/>
          <w:highlight w:val="none"/>
        </w:rPr>
      </w:pPr>
    </w:p>
    <w:p w14:paraId="773E53B2">
      <w:pPr>
        <w:pStyle w:val="4"/>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2D1DD6B7">
      <w:pPr>
        <w:pStyle w:val="4"/>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6CC2F87A">
      <w:pPr>
        <w:jc w:val="center"/>
        <w:rPr>
          <w:rFonts w:hint="eastAsia" w:ascii="宋体" w:hAnsi="宋体" w:cs="宋体"/>
          <w:b/>
          <w:bCs/>
          <w:color w:val="auto"/>
          <w:sz w:val="72"/>
          <w:szCs w:val="144"/>
          <w:highlight w:val="none"/>
        </w:rPr>
      </w:pPr>
    </w:p>
    <w:p w14:paraId="0EC363E6">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8DC2087">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2FD8E12A">
      <w:pPr>
        <w:rPr>
          <w:rFonts w:hint="eastAsia" w:ascii="宋体" w:hAnsi="宋体" w:cs="宋体"/>
          <w:b/>
          <w:bCs/>
          <w:color w:val="auto"/>
          <w:spacing w:val="20"/>
          <w:sz w:val="48"/>
          <w:szCs w:val="56"/>
          <w:highlight w:val="none"/>
        </w:rPr>
      </w:pPr>
    </w:p>
    <w:p w14:paraId="2E42E77E">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57B7A171">
      <w:pPr>
        <w:jc w:val="center"/>
        <w:rPr>
          <w:rFonts w:hint="eastAsia" w:ascii="宋体" w:hAnsi="宋体" w:cs="宋体"/>
          <w:color w:val="auto"/>
          <w:spacing w:val="20"/>
          <w:sz w:val="32"/>
          <w:szCs w:val="40"/>
          <w:highlight w:val="none"/>
        </w:rPr>
      </w:pPr>
    </w:p>
    <w:p w14:paraId="3AB94FA2">
      <w:pPr>
        <w:jc w:val="center"/>
        <w:rPr>
          <w:rFonts w:hint="eastAsia" w:ascii="宋体" w:hAnsi="宋体" w:cs="宋体"/>
          <w:color w:val="auto"/>
          <w:spacing w:val="20"/>
          <w:sz w:val="32"/>
          <w:szCs w:val="40"/>
          <w:highlight w:val="none"/>
        </w:rPr>
      </w:pPr>
    </w:p>
    <w:p w14:paraId="7230BCAF">
      <w:pPr>
        <w:jc w:val="center"/>
        <w:rPr>
          <w:rFonts w:hint="eastAsia" w:ascii="宋体" w:hAnsi="宋体" w:cs="宋体"/>
          <w:color w:val="auto"/>
          <w:spacing w:val="20"/>
          <w:sz w:val="32"/>
          <w:szCs w:val="40"/>
          <w:highlight w:val="none"/>
        </w:rPr>
      </w:pPr>
    </w:p>
    <w:p w14:paraId="52C386AD">
      <w:pPr>
        <w:jc w:val="center"/>
        <w:rPr>
          <w:rFonts w:hint="eastAsia" w:ascii="宋体" w:hAnsi="宋体" w:cs="宋体"/>
          <w:color w:val="auto"/>
          <w:spacing w:val="20"/>
          <w:sz w:val="32"/>
          <w:szCs w:val="40"/>
          <w:highlight w:val="none"/>
        </w:rPr>
      </w:pPr>
    </w:p>
    <w:p w14:paraId="3212737D">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08E557AF">
      <w:pPr>
        <w:rPr>
          <w:rFonts w:hint="eastAsia" w:ascii="宋体" w:hAnsi="宋体" w:cs="宋体"/>
          <w:color w:val="auto"/>
          <w:spacing w:val="20"/>
          <w:sz w:val="28"/>
          <w:szCs w:val="36"/>
          <w:highlight w:val="none"/>
        </w:rPr>
      </w:pPr>
    </w:p>
    <w:p w14:paraId="61617CCF">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浦北县江城街道办事处</w:t>
      </w:r>
      <w:r>
        <w:rPr>
          <w:rFonts w:hint="eastAsia" w:ascii="宋体" w:hAnsi="宋体" w:cs="宋体"/>
          <w:color w:val="auto"/>
          <w:spacing w:val="20"/>
          <w:sz w:val="28"/>
          <w:szCs w:val="36"/>
          <w:highlight w:val="none"/>
          <w:u w:val="single"/>
        </w:rPr>
        <w:t xml:space="preserve"> </w:t>
      </w:r>
    </w:p>
    <w:p w14:paraId="73FDFFCA">
      <w:pPr>
        <w:rPr>
          <w:rFonts w:hint="eastAsia" w:ascii="宋体" w:hAnsi="宋体" w:cs="宋体"/>
          <w:color w:val="auto"/>
          <w:spacing w:val="20"/>
          <w:sz w:val="28"/>
          <w:szCs w:val="36"/>
          <w:highlight w:val="none"/>
        </w:rPr>
      </w:pPr>
    </w:p>
    <w:p w14:paraId="724AEC7B">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F5F0D84">
      <w:pPr>
        <w:rPr>
          <w:rFonts w:hint="eastAsia" w:ascii="宋体" w:hAnsi="宋体" w:cs="宋体"/>
          <w:color w:val="auto"/>
          <w:spacing w:val="20"/>
          <w:sz w:val="28"/>
          <w:szCs w:val="36"/>
          <w:highlight w:val="none"/>
        </w:rPr>
      </w:pPr>
    </w:p>
    <w:p w14:paraId="3C964AE8">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6CC48AD5">
      <w:pPr>
        <w:pStyle w:val="4"/>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373227552"/>
      <w:bookmarkStart w:id="79" w:name="_Toc26265"/>
      <w:bookmarkStart w:id="80" w:name="_Toc12680"/>
      <w:bookmarkStart w:id="81" w:name="_Toc373478199"/>
      <w:bookmarkStart w:id="82" w:name="_Toc351203480"/>
      <w:bookmarkStart w:id="83" w:name="_Toc389065255"/>
      <w:bookmarkStart w:id="84" w:name="_Toc296890982"/>
      <w:bookmarkStart w:id="85" w:name="_Toc296503025"/>
    </w:p>
    <w:p w14:paraId="4B0F0471">
      <w:pPr>
        <w:pStyle w:val="4"/>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1A2A2EA8">
      <w:pPr>
        <w:rPr>
          <w:color w:val="auto"/>
          <w:highlight w:val="none"/>
        </w:rPr>
      </w:pPr>
    </w:p>
    <w:p w14:paraId="27CC395E">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rPr>
        <w:t>发包人（全称）：</w:t>
      </w:r>
      <w:r>
        <w:rPr>
          <w:rFonts w:hint="eastAsia" w:ascii="宋体" w:hAnsi="宋体" w:cs="宋体"/>
          <w:color w:val="auto"/>
          <w:spacing w:val="20"/>
          <w:sz w:val="24"/>
          <w:u w:val="single"/>
        </w:rPr>
        <w:t xml:space="preserve"> 浦北县江城街道办事处   </w:t>
      </w:r>
    </w:p>
    <w:p w14:paraId="19CC68D5">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rPr>
        <w:t>承包人（全称）：</w:t>
      </w:r>
      <w:r>
        <w:rPr>
          <w:rFonts w:hint="eastAsia" w:ascii="宋体" w:hAnsi="宋体" w:cs="宋体"/>
          <w:color w:val="auto"/>
          <w:spacing w:val="20"/>
          <w:sz w:val="24"/>
          <w:u w:val="single"/>
        </w:rPr>
        <w:t xml:space="preserve">                                       </w:t>
      </w:r>
    </w:p>
    <w:p w14:paraId="457ECF22">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u w:val="single"/>
        </w:rPr>
        <w:t>浦北县江城街道办事处</w:t>
      </w:r>
      <w:r>
        <w:rPr>
          <w:rFonts w:hint="eastAsia" w:ascii="宋体" w:hAnsi="宋体" w:cs="宋体"/>
          <w:color w:val="auto"/>
          <w:spacing w:val="20"/>
          <w:sz w:val="24"/>
        </w:rPr>
        <w:t>（以下称发包人）为实施</w:t>
      </w:r>
      <w:r>
        <w:rPr>
          <w:rFonts w:hint="eastAsia" w:ascii="宋体" w:hAnsi="宋体" w:cs="宋体"/>
          <w:color w:val="auto"/>
          <w:spacing w:val="20"/>
          <w:sz w:val="24"/>
          <w:u w:val="single"/>
        </w:rPr>
        <w:t xml:space="preserve">            </w:t>
      </w:r>
      <w:r>
        <w:rPr>
          <w:rFonts w:hint="eastAsia" w:ascii="宋体" w:hAnsi="宋体" w:cs="宋体"/>
          <w:color w:val="auto"/>
          <w:spacing w:val="20"/>
          <w:sz w:val="24"/>
        </w:rPr>
        <w:t>，根据《中华人民共和国合同法》、《中华人民共和国建筑法》及有关法律规定，遵循平等、自愿、公平和诚实信用的原则，双方就</w:t>
      </w:r>
      <w:r>
        <w:rPr>
          <w:rFonts w:hint="eastAsia" w:ascii="宋体" w:hAnsi="宋体" w:cs="宋体"/>
          <w:color w:val="auto"/>
          <w:spacing w:val="20"/>
          <w:sz w:val="24"/>
          <w:u w:val="single"/>
        </w:rPr>
        <w:t xml:space="preserve">             </w:t>
      </w:r>
      <w:r>
        <w:rPr>
          <w:rFonts w:hint="eastAsia" w:ascii="宋体" w:hAnsi="宋体" w:cs="宋体"/>
          <w:color w:val="auto"/>
          <w:spacing w:val="20"/>
          <w:sz w:val="24"/>
        </w:rPr>
        <w:t>工程施工及有关事项协商一致，共同达成如下协议：</w:t>
      </w:r>
      <w:bookmarkStart w:id="86" w:name="_Toc351203481"/>
    </w:p>
    <w:p w14:paraId="2878D0C6">
      <w:pPr>
        <w:adjustRightInd w:val="0"/>
        <w:snapToGrid w:val="0"/>
        <w:spacing w:line="360" w:lineRule="auto"/>
        <w:ind w:firstLine="562" w:firstLineChars="200"/>
        <w:outlineLvl w:val="0"/>
        <w:rPr>
          <w:rFonts w:hint="eastAsia" w:ascii="宋体" w:hAnsi="宋体" w:cs="宋体"/>
          <w:b/>
          <w:bCs/>
          <w:color w:val="auto"/>
          <w:spacing w:val="20"/>
          <w:sz w:val="24"/>
        </w:rPr>
      </w:pPr>
      <w:r>
        <w:rPr>
          <w:rFonts w:hint="eastAsia" w:ascii="宋体" w:hAnsi="宋体" w:cs="宋体"/>
          <w:b/>
          <w:bCs/>
          <w:color w:val="auto"/>
          <w:spacing w:val="20"/>
          <w:sz w:val="24"/>
        </w:rPr>
        <w:t>一、工程概况</w:t>
      </w:r>
      <w:bookmarkEnd w:id="86"/>
    </w:p>
    <w:p w14:paraId="609B7A2A">
      <w:pPr>
        <w:adjustRightInd w:val="0"/>
        <w:snapToGrid w:val="0"/>
        <w:spacing w:line="360" w:lineRule="auto"/>
        <w:ind w:firstLine="548" w:firstLineChars="196"/>
        <w:rPr>
          <w:rFonts w:hint="eastAsia" w:ascii="宋体" w:hAnsi="宋体" w:cs="宋体"/>
          <w:color w:val="auto"/>
          <w:spacing w:val="20"/>
          <w:sz w:val="24"/>
          <w:u w:val="single"/>
        </w:rPr>
      </w:pPr>
      <w:r>
        <w:rPr>
          <w:rFonts w:hint="eastAsia" w:ascii="宋体" w:hAnsi="宋体" w:cs="宋体"/>
          <w:bCs/>
          <w:color w:val="auto"/>
          <w:spacing w:val="20"/>
          <w:sz w:val="24"/>
        </w:rPr>
        <w:t>1. 工程名称</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r>
        <w:rPr>
          <w:rFonts w:hint="eastAsia" w:ascii="宋体" w:hAnsi="宋体" w:cs="宋体"/>
          <w:b/>
          <w:bCs/>
          <w:color w:val="auto"/>
          <w:spacing w:val="20"/>
          <w:sz w:val="24"/>
          <w:u w:val="single"/>
        </w:rPr>
        <w:t xml:space="preserve">                         </w:t>
      </w:r>
      <w:r>
        <w:rPr>
          <w:rFonts w:hint="eastAsia" w:ascii="宋体" w:hAnsi="宋体" w:cs="宋体"/>
          <w:color w:val="auto"/>
          <w:spacing w:val="20"/>
          <w:sz w:val="24"/>
        </w:rPr>
        <w:t>。</w:t>
      </w:r>
    </w:p>
    <w:p w14:paraId="71012E53">
      <w:pPr>
        <w:adjustRightInd w:val="0"/>
        <w:snapToGrid w:val="0"/>
        <w:spacing w:line="360" w:lineRule="auto"/>
        <w:ind w:firstLine="548" w:firstLineChars="196"/>
        <w:rPr>
          <w:rFonts w:hint="eastAsia" w:ascii="宋体" w:hAnsi="宋体" w:cs="宋体"/>
          <w:bCs/>
          <w:color w:val="auto"/>
          <w:spacing w:val="20"/>
          <w:sz w:val="24"/>
        </w:rPr>
      </w:pPr>
      <w:r>
        <w:rPr>
          <w:rFonts w:hint="eastAsia" w:ascii="宋体" w:hAnsi="宋体" w:cs="宋体"/>
          <w:bCs/>
          <w:color w:val="auto"/>
          <w:spacing w:val="20"/>
          <w:sz w:val="24"/>
        </w:rPr>
        <w:t>2. 工程地点：</w:t>
      </w:r>
      <w:r>
        <w:rPr>
          <w:rFonts w:hint="eastAsia" w:ascii="宋体" w:hAnsi="宋体" w:cs="宋体"/>
          <w:color w:val="auto"/>
          <w:spacing w:val="20"/>
          <w:sz w:val="24"/>
          <w:u w:val="single"/>
        </w:rPr>
        <w:t xml:space="preserve">                          </w:t>
      </w:r>
      <w:r>
        <w:rPr>
          <w:rFonts w:hint="eastAsia" w:ascii="宋体" w:hAnsi="宋体" w:cs="宋体"/>
          <w:color w:val="auto"/>
          <w:spacing w:val="20"/>
          <w:sz w:val="24"/>
        </w:rPr>
        <w:t>。</w:t>
      </w:r>
    </w:p>
    <w:p w14:paraId="2F95B5CF">
      <w:pPr>
        <w:adjustRightInd w:val="0"/>
        <w:snapToGrid w:val="0"/>
        <w:spacing w:line="360" w:lineRule="auto"/>
        <w:ind w:firstLine="548" w:firstLineChars="196"/>
        <w:rPr>
          <w:rFonts w:hint="eastAsia" w:ascii="宋体" w:hAnsi="宋体" w:cs="宋体"/>
          <w:bCs/>
          <w:color w:val="auto"/>
          <w:spacing w:val="20"/>
          <w:sz w:val="24"/>
        </w:rPr>
      </w:pPr>
      <w:r>
        <w:rPr>
          <w:rFonts w:hint="eastAsia" w:ascii="宋体" w:hAnsi="宋体" w:cs="宋体"/>
          <w:bCs/>
          <w:color w:val="auto"/>
          <w:spacing w:val="20"/>
          <w:sz w:val="24"/>
        </w:rPr>
        <w:t>3. 工程立项批准文号：</w:t>
      </w:r>
      <w:r>
        <w:rPr>
          <w:rFonts w:hint="eastAsia" w:ascii="宋体" w:hAnsi="宋体" w:cs="宋体"/>
          <w:color w:val="auto"/>
          <w:spacing w:val="20"/>
          <w:sz w:val="24"/>
          <w:u w:val="single"/>
        </w:rPr>
        <w:t xml:space="preserve">      </w:t>
      </w:r>
      <w:r>
        <w:rPr>
          <w:rFonts w:hint="eastAsia" w:ascii="宋体" w:hAnsi="宋体" w:cs="宋体"/>
          <w:bCs/>
          <w:color w:val="auto"/>
          <w:spacing w:val="20"/>
          <w:sz w:val="24"/>
        </w:rPr>
        <w:t>。</w:t>
      </w:r>
    </w:p>
    <w:p w14:paraId="594B0AF8">
      <w:pPr>
        <w:adjustRightInd w:val="0"/>
        <w:snapToGrid w:val="0"/>
        <w:spacing w:line="360" w:lineRule="auto"/>
        <w:ind w:firstLine="548" w:firstLineChars="196"/>
        <w:rPr>
          <w:rFonts w:hint="eastAsia" w:ascii="宋体" w:hAnsi="宋体" w:cs="宋体"/>
          <w:bCs/>
          <w:color w:val="auto"/>
          <w:spacing w:val="20"/>
          <w:sz w:val="24"/>
        </w:rPr>
      </w:pPr>
      <w:r>
        <w:rPr>
          <w:rFonts w:hint="eastAsia" w:ascii="宋体" w:hAnsi="宋体" w:cs="宋体"/>
          <w:bCs/>
          <w:color w:val="auto"/>
          <w:spacing w:val="20"/>
          <w:sz w:val="24"/>
        </w:rPr>
        <w:t>4. 资金来源：</w:t>
      </w:r>
      <w:r>
        <w:rPr>
          <w:rFonts w:hint="eastAsia" w:ascii="宋体" w:hAnsi="宋体" w:cs="宋体"/>
          <w:color w:val="auto"/>
          <w:spacing w:val="20"/>
          <w:sz w:val="24"/>
          <w:u w:val="single"/>
        </w:rPr>
        <w:t xml:space="preserve">             </w:t>
      </w:r>
      <w:r>
        <w:rPr>
          <w:rFonts w:hint="eastAsia" w:ascii="宋体" w:hAnsi="宋体" w:cs="宋体"/>
          <w:bCs/>
          <w:color w:val="auto"/>
          <w:spacing w:val="20"/>
          <w:sz w:val="24"/>
        </w:rPr>
        <w:t>。</w:t>
      </w:r>
    </w:p>
    <w:p w14:paraId="4B89BA3C">
      <w:pPr>
        <w:adjustRightInd w:val="0"/>
        <w:snapToGrid w:val="0"/>
        <w:spacing w:line="360" w:lineRule="auto"/>
        <w:ind w:firstLine="548" w:firstLineChars="196"/>
        <w:rPr>
          <w:rFonts w:hint="eastAsia" w:ascii="宋体" w:hAnsi="宋体" w:cs="宋体"/>
          <w:color w:val="auto"/>
          <w:spacing w:val="20"/>
          <w:sz w:val="24"/>
          <w:u w:val="single"/>
        </w:rPr>
      </w:pPr>
      <w:r>
        <w:rPr>
          <w:rFonts w:hint="eastAsia" w:ascii="宋体" w:hAnsi="宋体" w:cs="宋体"/>
          <w:bCs/>
          <w:color w:val="auto"/>
          <w:spacing w:val="20"/>
          <w:sz w:val="24"/>
        </w:rPr>
        <w:t>5. 工程内容：</w:t>
      </w:r>
      <w:r>
        <w:rPr>
          <w:rFonts w:hint="eastAsia" w:ascii="宋体" w:hAnsi="宋体" w:cs="宋体"/>
          <w:bCs/>
          <w:color w:val="auto"/>
          <w:spacing w:val="20"/>
          <w:sz w:val="24"/>
          <w:u w:val="single"/>
        </w:rPr>
        <w:t xml:space="preserve">                                      </w:t>
      </w:r>
      <w:r>
        <w:rPr>
          <w:rFonts w:hint="eastAsia" w:ascii="宋体" w:hAnsi="宋体" w:cs="宋体"/>
          <w:color w:val="auto"/>
          <w:spacing w:val="20"/>
          <w:sz w:val="24"/>
          <w:u w:val="single"/>
          <w:lang w:val="zh-CN"/>
        </w:rPr>
        <w:t>等</w:t>
      </w:r>
      <w:r>
        <w:rPr>
          <w:rFonts w:hint="eastAsia" w:ascii="宋体" w:hAnsi="宋体" w:cs="宋体"/>
          <w:color w:val="auto"/>
          <w:spacing w:val="20"/>
          <w:sz w:val="24"/>
          <w:u w:val="single"/>
        </w:rPr>
        <w:t>。</w:t>
      </w:r>
    </w:p>
    <w:p w14:paraId="7FE9864A">
      <w:pPr>
        <w:adjustRightInd w:val="0"/>
        <w:snapToGrid w:val="0"/>
        <w:spacing w:line="360" w:lineRule="auto"/>
        <w:ind w:firstLine="548" w:firstLineChars="196"/>
        <w:outlineLvl w:val="0"/>
        <w:rPr>
          <w:rFonts w:hint="eastAsia" w:ascii="宋体" w:hAnsi="宋体" w:cs="宋体"/>
          <w:bCs/>
          <w:color w:val="auto"/>
          <w:spacing w:val="20"/>
          <w:sz w:val="24"/>
        </w:rPr>
      </w:pPr>
      <w:r>
        <w:rPr>
          <w:rFonts w:hint="eastAsia" w:ascii="宋体" w:hAnsi="宋体" w:cs="宋体"/>
          <w:bCs/>
          <w:color w:val="auto"/>
          <w:spacing w:val="20"/>
          <w:sz w:val="24"/>
        </w:rPr>
        <w:t>6. 工程承包范围：</w:t>
      </w:r>
      <w:r>
        <w:rPr>
          <w:rFonts w:hint="eastAsia" w:ascii="宋体" w:hAnsi="宋体" w:cs="宋体"/>
          <w:color w:val="auto"/>
          <w:spacing w:val="20"/>
          <w:sz w:val="24"/>
          <w:u w:val="single"/>
        </w:rPr>
        <w:t xml:space="preserve"> 详见工程量清单所包含内容 </w:t>
      </w:r>
      <w:r>
        <w:rPr>
          <w:rFonts w:hint="eastAsia" w:ascii="宋体" w:hAnsi="宋体" w:cs="宋体"/>
          <w:color w:val="auto"/>
          <w:spacing w:val="20"/>
          <w:sz w:val="24"/>
        </w:rPr>
        <w:t>。</w:t>
      </w:r>
    </w:p>
    <w:p w14:paraId="5C9FC950">
      <w:pPr>
        <w:adjustRightInd w:val="0"/>
        <w:snapToGrid w:val="0"/>
        <w:spacing w:line="360" w:lineRule="auto"/>
        <w:ind w:firstLine="542" w:firstLineChars="193"/>
        <w:outlineLvl w:val="0"/>
        <w:rPr>
          <w:rFonts w:hint="eastAsia" w:ascii="宋体" w:hAnsi="宋体" w:cs="宋体"/>
          <w:b/>
          <w:bCs/>
          <w:color w:val="auto"/>
          <w:spacing w:val="20"/>
          <w:sz w:val="24"/>
        </w:rPr>
      </w:pPr>
      <w:bookmarkStart w:id="87" w:name="_Toc351203482"/>
      <w:r>
        <w:rPr>
          <w:rFonts w:hint="eastAsia" w:ascii="宋体" w:hAnsi="宋体" w:cs="宋体"/>
          <w:b/>
          <w:bCs/>
          <w:color w:val="auto"/>
          <w:spacing w:val="20"/>
          <w:sz w:val="24"/>
        </w:rPr>
        <w:t>二、合同工期</w:t>
      </w:r>
      <w:bookmarkEnd w:id="87"/>
    </w:p>
    <w:p w14:paraId="5EAA249D">
      <w:pPr>
        <w:adjustRightInd w:val="0"/>
        <w:snapToGrid w:val="0"/>
        <w:spacing w:line="360" w:lineRule="auto"/>
        <w:ind w:firstLine="459"/>
        <w:rPr>
          <w:rFonts w:hint="eastAsia" w:ascii="宋体" w:hAnsi="宋体" w:cs="宋体"/>
          <w:color w:val="auto"/>
          <w:spacing w:val="20"/>
          <w:sz w:val="24"/>
        </w:rPr>
      </w:pPr>
      <w:r>
        <w:rPr>
          <w:rFonts w:hint="eastAsia" w:ascii="宋体" w:hAnsi="宋体" w:cs="宋体"/>
          <w:color w:val="auto"/>
          <w:spacing w:val="20"/>
          <w:sz w:val="24"/>
        </w:rPr>
        <w:t>计划开工日期：</w:t>
      </w:r>
      <w:r>
        <w:rPr>
          <w:rFonts w:hint="eastAsia" w:ascii="宋体" w:hAnsi="宋体" w:cs="宋体"/>
          <w:color w:val="auto"/>
          <w:spacing w:val="20"/>
          <w:sz w:val="24"/>
          <w:u w:val="single"/>
        </w:rPr>
        <w:t xml:space="preserve">     </w:t>
      </w:r>
      <w:r>
        <w:rPr>
          <w:rFonts w:hint="eastAsia" w:ascii="宋体" w:hAnsi="宋体" w:cs="宋体"/>
          <w:color w:val="auto"/>
          <w:spacing w:val="20"/>
          <w:sz w:val="24"/>
        </w:rPr>
        <w:t>年</w:t>
      </w:r>
      <w:r>
        <w:rPr>
          <w:rFonts w:hint="eastAsia" w:ascii="宋体" w:hAnsi="宋体" w:cs="宋体"/>
          <w:color w:val="auto"/>
          <w:spacing w:val="20"/>
          <w:sz w:val="24"/>
          <w:u w:val="single"/>
        </w:rPr>
        <w:t xml:space="preserve">   </w:t>
      </w:r>
      <w:r>
        <w:rPr>
          <w:rFonts w:hint="eastAsia" w:ascii="宋体" w:hAnsi="宋体" w:cs="宋体"/>
          <w:color w:val="auto"/>
          <w:spacing w:val="20"/>
          <w:sz w:val="24"/>
        </w:rPr>
        <w:t>月</w:t>
      </w:r>
      <w:r>
        <w:rPr>
          <w:rFonts w:hint="eastAsia" w:ascii="宋体" w:hAnsi="宋体" w:cs="宋体"/>
          <w:color w:val="auto"/>
          <w:spacing w:val="20"/>
          <w:sz w:val="24"/>
          <w:u w:val="single"/>
        </w:rPr>
        <w:t xml:space="preserve">    </w:t>
      </w:r>
      <w:r>
        <w:rPr>
          <w:rFonts w:hint="eastAsia" w:ascii="宋体" w:hAnsi="宋体" w:cs="宋体"/>
          <w:color w:val="auto"/>
          <w:spacing w:val="20"/>
          <w:sz w:val="24"/>
        </w:rPr>
        <w:t>日。（具体以开工令为准）</w:t>
      </w:r>
    </w:p>
    <w:p w14:paraId="69BCD9BB">
      <w:pPr>
        <w:adjustRightInd w:val="0"/>
        <w:snapToGrid w:val="0"/>
        <w:spacing w:line="360" w:lineRule="auto"/>
        <w:ind w:firstLine="459"/>
        <w:rPr>
          <w:rFonts w:hint="eastAsia" w:ascii="宋体" w:hAnsi="宋体" w:cs="宋体"/>
          <w:color w:val="auto"/>
          <w:spacing w:val="20"/>
          <w:sz w:val="24"/>
        </w:rPr>
      </w:pPr>
      <w:r>
        <w:rPr>
          <w:rFonts w:hint="eastAsia" w:ascii="宋体" w:hAnsi="宋体" w:cs="宋体"/>
          <w:color w:val="auto"/>
          <w:spacing w:val="20"/>
          <w:sz w:val="24"/>
        </w:rPr>
        <w:t>计划竣工日期：</w:t>
      </w:r>
      <w:r>
        <w:rPr>
          <w:rFonts w:hint="eastAsia" w:ascii="宋体" w:hAnsi="宋体" w:cs="宋体"/>
          <w:color w:val="auto"/>
          <w:spacing w:val="20"/>
          <w:sz w:val="24"/>
          <w:u w:val="single"/>
        </w:rPr>
        <w:t xml:space="preserve">     </w:t>
      </w:r>
      <w:r>
        <w:rPr>
          <w:rFonts w:hint="eastAsia" w:ascii="宋体" w:hAnsi="宋体" w:cs="宋体"/>
          <w:color w:val="auto"/>
          <w:spacing w:val="20"/>
          <w:sz w:val="24"/>
        </w:rPr>
        <w:t>年</w:t>
      </w:r>
      <w:r>
        <w:rPr>
          <w:rFonts w:hint="eastAsia" w:ascii="宋体" w:hAnsi="宋体" w:cs="宋体"/>
          <w:color w:val="auto"/>
          <w:spacing w:val="20"/>
          <w:sz w:val="24"/>
          <w:u w:val="single"/>
        </w:rPr>
        <w:t xml:space="preserve">   </w:t>
      </w:r>
      <w:r>
        <w:rPr>
          <w:rFonts w:hint="eastAsia" w:ascii="宋体" w:hAnsi="宋体" w:cs="宋体"/>
          <w:color w:val="auto"/>
          <w:spacing w:val="20"/>
          <w:sz w:val="24"/>
        </w:rPr>
        <w:t>月</w:t>
      </w:r>
      <w:r>
        <w:rPr>
          <w:rFonts w:hint="eastAsia" w:ascii="宋体" w:hAnsi="宋体" w:cs="宋体"/>
          <w:color w:val="auto"/>
          <w:spacing w:val="20"/>
          <w:sz w:val="24"/>
          <w:u w:val="single"/>
        </w:rPr>
        <w:t xml:space="preserve">    </w:t>
      </w:r>
      <w:r>
        <w:rPr>
          <w:rFonts w:hint="eastAsia" w:ascii="宋体" w:hAnsi="宋体" w:cs="宋体"/>
          <w:color w:val="auto"/>
          <w:spacing w:val="20"/>
          <w:sz w:val="24"/>
        </w:rPr>
        <w:t>日。</w:t>
      </w:r>
    </w:p>
    <w:p w14:paraId="03639750">
      <w:pPr>
        <w:adjustRightInd w:val="0"/>
        <w:snapToGrid w:val="0"/>
        <w:spacing w:line="360" w:lineRule="auto"/>
        <w:ind w:firstLine="459"/>
        <w:rPr>
          <w:rFonts w:hint="eastAsia" w:ascii="宋体" w:hAnsi="宋体" w:cs="宋体"/>
          <w:color w:val="auto"/>
          <w:spacing w:val="20"/>
          <w:sz w:val="24"/>
        </w:rPr>
      </w:pPr>
      <w:r>
        <w:rPr>
          <w:rFonts w:hint="eastAsia" w:ascii="宋体" w:hAnsi="宋体" w:cs="宋体"/>
          <w:color w:val="auto"/>
          <w:spacing w:val="20"/>
          <w:sz w:val="24"/>
        </w:rPr>
        <w:t>工期总日历天数：</w:t>
      </w:r>
      <w:r>
        <w:rPr>
          <w:rFonts w:hint="eastAsia" w:ascii="宋体" w:hAnsi="宋体" w:cs="宋体"/>
          <w:b/>
          <w:bCs/>
          <w:color w:val="auto"/>
          <w:spacing w:val="20"/>
          <w:sz w:val="24"/>
          <w:u w:val="single"/>
        </w:rPr>
        <w:t xml:space="preserve">     </w:t>
      </w:r>
      <w:r>
        <w:rPr>
          <w:rFonts w:hint="eastAsia" w:ascii="宋体" w:hAnsi="宋体" w:cs="宋体"/>
          <w:color w:val="auto"/>
          <w:spacing w:val="20"/>
          <w:sz w:val="24"/>
        </w:rPr>
        <w:t>天。工期总日历天数与根据前述计划开竣工日期计算的工期天数不一致的，以工期总日历天数为准。</w:t>
      </w:r>
    </w:p>
    <w:p w14:paraId="2319F181">
      <w:pPr>
        <w:adjustRightInd w:val="0"/>
        <w:snapToGrid w:val="0"/>
        <w:spacing w:line="360" w:lineRule="auto"/>
        <w:ind w:firstLine="459"/>
        <w:outlineLvl w:val="0"/>
        <w:rPr>
          <w:rFonts w:hint="eastAsia" w:ascii="宋体" w:hAnsi="宋体" w:cs="宋体"/>
          <w:b/>
          <w:bCs/>
          <w:color w:val="auto"/>
          <w:spacing w:val="20"/>
          <w:sz w:val="24"/>
        </w:rPr>
      </w:pPr>
      <w:bookmarkStart w:id="88" w:name="_Toc351203483"/>
      <w:r>
        <w:rPr>
          <w:rFonts w:hint="eastAsia" w:ascii="宋体" w:hAnsi="宋体" w:cs="宋体"/>
          <w:b/>
          <w:bCs/>
          <w:color w:val="auto"/>
          <w:spacing w:val="20"/>
          <w:sz w:val="24"/>
        </w:rPr>
        <w:t>三、质量标准</w:t>
      </w:r>
      <w:bookmarkEnd w:id="88"/>
    </w:p>
    <w:p w14:paraId="5A80B4E9">
      <w:pPr>
        <w:adjustRightInd w:val="0"/>
        <w:snapToGrid w:val="0"/>
        <w:spacing w:line="360" w:lineRule="auto"/>
        <w:ind w:firstLine="459"/>
        <w:rPr>
          <w:rFonts w:hint="eastAsia" w:ascii="宋体" w:hAnsi="宋体" w:cs="宋体"/>
          <w:color w:val="auto"/>
          <w:spacing w:val="20"/>
          <w:sz w:val="24"/>
        </w:rPr>
      </w:pPr>
      <w:r>
        <w:rPr>
          <w:rFonts w:hint="eastAsia" w:ascii="宋体" w:hAnsi="宋体" w:cs="宋体"/>
          <w:color w:val="auto"/>
          <w:spacing w:val="20"/>
          <w:sz w:val="24"/>
        </w:rPr>
        <w:t>工程质量符合</w:t>
      </w:r>
      <w:r>
        <w:rPr>
          <w:rFonts w:hint="eastAsia" w:ascii="宋体" w:hAnsi="宋体" w:cs="宋体"/>
          <w:color w:val="auto"/>
          <w:spacing w:val="20"/>
          <w:sz w:val="24"/>
          <w:u w:val="single"/>
        </w:rPr>
        <w:t>《工程施工质量验收规范》合格</w:t>
      </w:r>
      <w:r>
        <w:rPr>
          <w:rFonts w:hint="eastAsia" w:ascii="宋体" w:hAnsi="宋体" w:cs="宋体"/>
          <w:color w:val="auto"/>
          <w:spacing w:val="20"/>
          <w:sz w:val="24"/>
        </w:rPr>
        <w:t>标准。</w:t>
      </w:r>
    </w:p>
    <w:p w14:paraId="71A26229">
      <w:pPr>
        <w:adjustRightInd w:val="0"/>
        <w:snapToGrid w:val="0"/>
        <w:spacing w:line="360" w:lineRule="auto"/>
        <w:ind w:firstLine="459"/>
        <w:outlineLvl w:val="0"/>
        <w:rPr>
          <w:rFonts w:hint="eastAsia" w:ascii="宋体" w:hAnsi="宋体" w:cs="宋体"/>
          <w:b/>
          <w:bCs/>
          <w:color w:val="auto"/>
          <w:spacing w:val="20"/>
          <w:sz w:val="24"/>
        </w:rPr>
      </w:pPr>
      <w:bookmarkStart w:id="89" w:name="_Toc351203484"/>
      <w:r>
        <w:rPr>
          <w:rFonts w:hint="eastAsia" w:ascii="宋体" w:hAnsi="宋体" w:cs="宋体"/>
          <w:b/>
          <w:bCs/>
          <w:color w:val="auto"/>
          <w:spacing w:val="20"/>
          <w:sz w:val="24"/>
        </w:rPr>
        <w:t>四、签约合同价与合同价格形式</w:t>
      </w:r>
      <w:bookmarkEnd w:id="89"/>
    </w:p>
    <w:p w14:paraId="77B5D8D6">
      <w:pPr>
        <w:adjustRightInd w:val="0"/>
        <w:snapToGrid w:val="0"/>
        <w:spacing w:line="360" w:lineRule="auto"/>
        <w:ind w:firstLine="459"/>
        <w:rPr>
          <w:rFonts w:hint="eastAsia" w:ascii="宋体" w:hAnsi="宋体" w:cs="宋体"/>
          <w:color w:val="auto"/>
          <w:spacing w:val="20"/>
          <w:sz w:val="24"/>
        </w:rPr>
      </w:pPr>
      <w:r>
        <w:rPr>
          <w:rFonts w:hint="eastAsia" w:ascii="宋体" w:hAnsi="宋体" w:cs="宋体"/>
          <w:color w:val="auto"/>
          <w:spacing w:val="20"/>
          <w:sz w:val="24"/>
        </w:rPr>
        <w:t>1. 签约合同价为：</w:t>
      </w:r>
    </w:p>
    <w:p w14:paraId="1F5682AD">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人民币（大写：</w:t>
      </w:r>
      <w:r>
        <w:rPr>
          <w:rFonts w:hint="eastAsia" w:ascii="宋体" w:hAnsi="宋体" w:cs="宋体"/>
          <w:color w:val="auto"/>
          <w:spacing w:val="20"/>
          <w:sz w:val="24"/>
          <w:u w:val="single"/>
        </w:rPr>
        <w:t xml:space="preserve">                                      </w:t>
      </w:r>
      <w:r>
        <w:rPr>
          <w:rFonts w:hint="eastAsia" w:ascii="宋体" w:hAnsi="宋体" w:cs="宋体"/>
          <w:color w:val="auto"/>
          <w:spacing w:val="20"/>
          <w:sz w:val="24"/>
        </w:rPr>
        <w:t>）；</w:t>
      </w:r>
    </w:p>
    <w:p w14:paraId="28278170">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最终执行：如果结算审计价高于合同的按合同价执行，如果低于合同价的按审计价执行。</w:t>
      </w:r>
    </w:p>
    <w:p w14:paraId="6AECBB2C">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2. 合同价格形式：</w:t>
      </w:r>
      <w:r>
        <w:rPr>
          <w:rFonts w:hint="eastAsia" w:ascii="宋体" w:hAnsi="宋体" w:cs="宋体"/>
          <w:color w:val="auto"/>
          <w:spacing w:val="20"/>
          <w:sz w:val="24"/>
          <w:u w:val="single"/>
        </w:rPr>
        <w:t xml:space="preserve">            </w:t>
      </w:r>
      <w:r>
        <w:rPr>
          <w:rFonts w:hint="eastAsia" w:ascii="宋体" w:hAnsi="宋体" w:cs="宋体"/>
          <w:color w:val="auto"/>
          <w:spacing w:val="20"/>
          <w:sz w:val="24"/>
        </w:rPr>
        <w:t>。</w:t>
      </w:r>
    </w:p>
    <w:p w14:paraId="353F54FD">
      <w:pPr>
        <w:adjustRightInd w:val="0"/>
        <w:snapToGrid w:val="0"/>
        <w:spacing w:line="360" w:lineRule="auto"/>
        <w:ind w:firstLine="562" w:firstLineChars="200"/>
        <w:outlineLvl w:val="0"/>
        <w:rPr>
          <w:rFonts w:hint="eastAsia" w:ascii="宋体" w:hAnsi="宋体" w:cs="宋体"/>
          <w:b/>
          <w:bCs/>
          <w:color w:val="auto"/>
          <w:spacing w:val="20"/>
          <w:sz w:val="24"/>
        </w:rPr>
      </w:pPr>
      <w:bookmarkStart w:id="90" w:name="_Toc351203485"/>
      <w:r>
        <w:rPr>
          <w:rFonts w:hint="eastAsia" w:ascii="宋体" w:hAnsi="宋体" w:cs="宋体"/>
          <w:b/>
          <w:bCs/>
          <w:color w:val="auto"/>
          <w:spacing w:val="20"/>
          <w:sz w:val="24"/>
        </w:rPr>
        <w:t>五、</w:t>
      </w:r>
      <w:bookmarkEnd w:id="90"/>
      <w:r>
        <w:rPr>
          <w:rFonts w:hint="eastAsia" w:ascii="宋体" w:hAnsi="宋体" w:cs="宋体"/>
          <w:b/>
          <w:bCs/>
          <w:color w:val="auto"/>
          <w:spacing w:val="20"/>
          <w:sz w:val="24"/>
        </w:rPr>
        <w:t>项目经理</w:t>
      </w:r>
    </w:p>
    <w:p w14:paraId="59A9DED4">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承包人项目经理：</w:t>
      </w:r>
      <w:r>
        <w:rPr>
          <w:rFonts w:hint="eastAsia" w:ascii="宋体" w:hAnsi="宋体" w:cs="宋体"/>
          <w:color w:val="auto"/>
          <w:spacing w:val="20"/>
          <w:sz w:val="24"/>
          <w:u w:val="single"/>
        </w:rPr>
        <w:t xml:space="preserve">         </w:t>
      </w:r>
      <w:r>
        <w:rPr>
          <w:rFonts w:hint="eastAsia" w:ascii="宋体" w:hAnsi="宋体" w:cs="宋体"/>
          <w:color w:val="auto"/>
          <w:spacing w:val="20"/>
          <w:sz w:val="24"/>
        </w:rPr>
        <w:t>。</w:t>
      </w:r>
    </w:p>
    <w:p w14:paraId="055D8494">
      <w:pPr>
        <w:adjustRightInd w:val="0"/>
        <w:snapToGrid w:val="0"/>
        <w:spacing w:line="360" w:lineRule="auto"/>
        <w:ind w:firstLine="562" w:firstLineChars="200"/>
        <w:outlineLvl w:val="0"/>
        <w:rPr>
          <w:rFonts w:hint="eastAsia" w:ascii="宋体" w:hAnsi="宋体" w:cs="宋体"/>
          <w:b/>
          <w:bCs/>
          <w:color w:val="auto"/>
          <w:spacing w:val="20"/>
          <w:sz w:val="24"/>
        </w:rPr>
      </w:pPr>
      <w:bookmarkStart w:id="91" w:name="_Toc351203486"/>
      <w:r>
        <w:rPr>
          <w:rFonts w:hint="eastAsia" w:ascii="宋体" w:hAnsi="宋体" w:cs="宋体"/>
          <w:b/>
          <w:bCs/>
          <w:color w:val="auto"/>
          <w:spacing w:val="20"/>
          <w:sz w:val="24"/>
        </w:rPr>
        <w:t>六、合同文件构成</w:t>
      </w:r>
      <w:bookmarkEnd w:id="91"/>
    </w:p>
    <w:p w14:paraId="172347B4">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1.本协议书与下列文件一起构成合同文件：</w:t>
      </w:r>
    </w:p>
    <w:p w14:paraId="30306088">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（1）中标通知书（如有）；</w:t>
      </w:r>
    </w:p>
    <w:p w14:paraId="45F80F1A">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 xml:space="preserve">（2）投标函及其附录（如有）； </w:t>
      </w:r>
    </w:p>
    <w:p w14:paraId="0010CD41">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（3）专用合同条款及其附件；</w:t>
      </w:r>
    </w:p>
    <w:p w14:paraId="727BFB88">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（4）通用合同条款；</w:t>
      </w:r>
    </w:p>
    <w:p w14:paraId="6BE962BD">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（5）技术标准和要求；</w:t>
      </w:r>
    </w:p>
    <w:p w14:paraId="4909E033">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 xml:space="preserve">（6）已标价工程量清单或预算书； </w:t>
      </w:r>
    </w:p>
    <w:p w14:paraId="3E1A31CA">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（7）图纸；</w:t>
      </w:r>
    </w:p>
    <w:p w14:paraId="6AB34EA8">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（8）其他合同文件。</w:t>
      </w:r>
    </w:p>
    <w:p w14:paraId="28B6D8A3">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2.双方有关工程的洽商、变更等书面协议或文件视为本合同的组成部分。</w:t>
      </w:r>
    </w:p>
    <w:p w14:paraId="586029AD">
      <w:pPr>
        <w:autoSpaceDE w:val="0"/>
        <w:autoSpaceDN w:val="0"/>
        <w:adjustRightInd w:val="0"/>
        <w:snapToGrid w:val="0"/>
        <w:spacing w:line="360" w:lineRule="auto"/>
        <w:ind w:firstLine="560" w:firstLineChars="200"/>
        <w:jc w:val="left"/>
        <w:rPr>
          <w:rFonts w:hint="eastAsia" w:ascii="宋体" w:hAnsi="宋体" w:cs="宋体"/>
          <w:color w:val="auto"/>
          <w:spacing w:val="20"/>
          <w:sz w:val="24"/>
        </w:rPr>
      </w:pPr>
      <w:r>
        <w:rPr>
          <w:rFonts w:hint="eastAsia" w:ascii="宋体" w:hAnsi="宋体" w:cs="宋体"/>
          <w:color w:val="auto"/>
          <w:spacing w:val="20"/>
          <w:sz w:val="24"/>
        </w:rPr>
        <w:t>上述各项合同文件包括合同当事人就该项合同文件所作出的补充和修改，属于同一类内容的文件，应以最新签署的为准。专用合同条款及其附件须经合同当事人签字或盖章。</w:t>
      </w:r>
    </w:p>
    <w:p w14:paraId="5D5A0E6B">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rPr>
      </w:pPr>
      <w:bookmarkStart w:id="92" w:name="_Toc351203487"/>
      <w:r>
        <w:rPr>
          <w:rFonts w:hint="eastAsia" w:ascii="宋体" w:hAnsi="宋体" w:cs="宋体"/>
          <w:b/>
          <w:bCs/>
          <w:color w:val="auto"/>
          <w:spacing w:val="20"/>
          <w:sz w:val="24"/>
        </w:rPr>
        <w:t>七、承诺</w:t>
      </w:r>
      <w:bookmarkEnd w:id="92"/>
    </w:p>
    <w:p w14:paraId="33D7BB23">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1. 发包人承诺按照法律规定履行项目审批手续、筹集工程建设资金并按照合同约定的期限和方式支付合同价款。</w:t>
      </w:r>
    </w:p>
    <w:p w14:paraId="30EA42F4">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2. 承包人承诺按照法律规定及合同约定组织完成工程施工，确保工程质量和安全，不进行转包及违法分包，并在缺陷责任期及保修期内承担相应的工程维修责任。</w:t>
      </w:r>
    </w:p>
    <w:p w14:paraId="70700D8E">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rPr>
        <w:t xml:space="preserve">其他未说明的有关管理办法严格按浦政规〔2020〕1号及相关规范执行。比如 </w:t>
      </w:r>
    </w:p>
    <w:p w14:paraId="2AE5B2F3">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3FC26C38">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332A94EA">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（3）监理单位弄虚作假、超越权限，导致虚增工程量、多计价款的，不支付监理费，并由县行业行政监管部门给予处罚；给项目业主造成损失的，依法承担经济和法律责任。</w:t>
      </w:r>
    </w:p>
    <w:p w14:paraId="75EC4823">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监理单位一次弄虚作假、超越权限的，由县行业行政监管部门通报全县各镇（街道）、县直单位五年内不得参加本县政府投资项目的监理；造成经济损失的，依法承担赔偿责任；涉嫌犯罪的，依法追究刑事责任。</w:t>
      </w:r>
    </w:p>
    <w:p w14:paraId="2AEF2026">
      <w:pPr>
        <w:adjustRightInd w:val="0"/>
        <w:snapToGrid w:val="0"/>
        <w:spacing w:line="360" w:lineRule="auto"/>
        <w:ind w:firstLine="562" w:firstLineChars="200"/>
        <w:outlineLvl w:val="0"/>
        <w:rPr>
          <w:rFonts w:hint="eastAsia" w:ascii="宋体" w:hAnsi="宋体" w:cs="宋体"/>
          <w:b/>
          <w:bCs/>
          <w:color w:val="auto"/>
          <w:spacing w:val="20"/>
          <w:sz w:val="24"/>
        </w:rPr>
      </w:pPr>
      <w:r>
        <w:rPr>
          <w:rFonts w:hint="eastAsia" w:ascii="宋体" w:hAnsi="宋体" w:cs="宋体"/>
          <w:b/>
          <w:bCs/>
          <w:color w:val="auto"/>
          <w:spacing w:val="20"/>
          <w:sz w:val="24"/>
        </w:rPr>
        <w:t>八、词语含义</w:t>
      </w:r>
      <w:bookmarkEnd w:id="93"/>
    </w:p>
    <w:p w14:paraId="3FCEFFFA">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本协议书中词语含义与第二部分通用合同条款中赋予的含义相同。</w:t>
      </w:r>
    </w:p>
    <w:p w14:paraId="66B0D577">
      <w:pPr>
        <w:adjustRightInd w:val="0"/>
        <w:snapToGrid w:val="0"/>
        <w:spacing w:line="360" w:lineRule="auto"/>
        <w:ind w:firstLine="562" w:firstLineChars="200"/>
        <w:outlineLvl w:val="0"/>
        <w:rPr>
          <w:rFonts w:hint="eastAsia" w:ascii="宋体" w:hAnsi="宋体" w:cs="宋体"/>
          <w:b/>
          <w:bCs/>
          <w:color w:val="auto"/>
          <w:spacing w:val="20"/>
          <w:sz w:val="24"/>
        </w:rPr>
      </w:pPr>
      <w:bookmarkStart w:id="94" w:name="_Toc351203489"/>
      <w:r>
        <w:rPr>
          <w:rFonts w:hint="eastAsia" w:ascii="宋体" w:hAnsi="宋体" w:cs="宋体"/>
          <w:b/>
          <w:bCs/>
          <w:color w:val="auto"/>
          <w:spacing w:val="20"/>
          <w:sz w:val="24"/>
        </w:rPr>
        <w:t>九、签订时间</w:t>
      </w:r>
      <w:bookmarkEnd w:id="94"/>
    </w:p>
    <w:p w14:paraId="2BB31F91">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本合同于</w:t>
      </w:r>
      <w:r>
        <w:rPr>
          <w:rFonts w:hint="eastAsia" w:ascii="宋体" w:hAnsi="宋体" w:cs="宋体"/>
          <w:bCs/>
          <w:color w:val="auto"/>
          <w:spacing w:val="20"/>
          <w:sz w:val="24"/>
          <w:u w:val="single"/>
        </w:rPr>
        <w:t xml:space="preserve">      </w:t>
      </w:r>
      <w:r>
        <w:rPr>
          <w:rFonts w:hint="eastAsia" w:ascii="宋体" w:hAnsi="宋体" w:cs="宋体"/>
          <w:bCs/>
          <w:color w:val="auto"/>
          <w:spacing w:val="20"/>
          <w:sz w:val="24"/>
        </w:rPr>
        <w:t>年</w:t>
      </w:r>
      <w:r>
        <w:rPr>
          <w:rFonts w:hint="eastAsia" w:ascii="宋体" w:hAnsi="宋体" w:cs="宋体"/>
          <w:bCs/>
          <w:color w:val="auto"/>
          <w:spacing w:val="20"/>
          <w:sz w:val="24"/>
          <w:u w:val="single"/>
        </w:rPr>
        <w:t xml:space="preserve">    </w:t>
      </w:r>
      <w:r>
        <w:rPr>
          <w:rFonts w:hint="eastAsia" w:ascii="宋体" w:hAnsi="宋体" w:cs="宋体"/>
          <w:bCs/>
          <w:color w:val="auto"/>
          <w:spacing w:val="20"/>
          <w:sz w:val="24"/>
        </w:rPr>
        <w:t>月</w:t>
      </w:r>
      <w:r>
        <w:rPr>
          <w:rFonts w:hint="eastAsia" w:ascii="宋体" w:hAnsi="宋体" w:cs="宋体"/>
          <w:bCs/>
          <w:color w:val="auto"/>
          <w:spacing w:val="20"/>
          <w:sz w:val="24"/>
          <w:u w:val="single"/>
        </w:rPr>
        <w:t xml:space="preserve">    </w:t>
      </w:r>
      <w:r>
        <w:rPr>
          <w:rFonts w:hint="eastAsia" w:ascii="宋体" w:hAnsi="宋体" w:cs="宋体"/>
          <w:bCs/>
          <w:color w:val="auto"/>
          <w:spacing w:val="20"/>
          <w:sz w:val="24"/>
        </w:rPr>
        <w:t>日签订。</w:t>
      </w:r>
    </w:p>
    <w:p w14:paraId="70E8B498">
      <w:pPr>
        <w:adjustRightInd w:val="0"/>
        <w:snapToGrid w:val="0"/>
        <w:spacing w:line="360" w:lineRule="auto"/>
        <w:ind w:firstLine="562" w:firstLineChars="200"/>
        <w:outlineLvl w:val="0"/>
        <w:rPr>
          <w:rFonts w:hint="eastAsia" w:ascii="宋体" w:hAnsi="宋体" w:cs="宋体"/>
          <w:b/>
          <w:bCs/>
          <w:color w:val="auto"/>
          <w:spacing w:val="20"/>
          <w:sz w:val="24"/>
        </w:rPr>
      </w:pPr>
      <w:bookmarkStart w:id="95" w:name="_Toc351203490"/>
      <w:r>
        <w:rPr>
          <w:rFonts w:hint="eastAsia" w:ascii="宋体" w:hAnsi="宋体" w:cs="宋体"/>
          <w:b/>
          <w:bCs/>
          <w:color w:val="auto"/>
          <w:spacing w:val="20"/>
          <w:sz w:val="24"/>
        </w:rPr>
        <w:t>十、签订地点</w:t>
      </w:r>
      <w:bookmarkEnd w:id="95"/>
    </w:p>
    <w:p w14:paraId="4F0CB617">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本合同在</w:t>
      </w:r>
      <w:r>
        <w:rPr>
          <w:rFonts w:hint="eastAsia" w:ascii="宋体" w:hAnsi="宋体" w:cs="宋体"/>
          <w:bCs/>
          <w:color w:val="auto"/>
          <w:spacing w:val="20"/>
          <w:sz w:val="24"/>
          <w:u w:val="single"/>
        </w:rPr>
        <w:t xml:space="preserve">                    </w:t>
      </w:r>
      <w:r>
        <w:rPr>
          <w:rFonts w:hint="eastAsia" w:ascii="宋体" w:hAnsi="宋体" w:cs="宋体"/>
          <w:bCs/>
          <w:color w:val="auto"/>
          <w:spacing w:val="20"/>
          <w:sz w:val="24"/>
        </w:rPr>
        <w:t>签订。</w:t>
      </w:r>
    </w:p>
    <w:p w14:paraId="09927251">
      <w:pPr>
        <w:adjustRightInd w:val="0"/>
        <w:snapToGrid w:val="0"/>
        <w:spacing w:line="360" w:lineRule="auto"/>
        <w:ind w:firstLine="562" w:firstLineChars="200"/>
        <w:outlineLvl w:val="0"/>
        <w:rPr>
          <w:rFonts w:hint="eastAsia" w:ascii="宋体" w:hAnsi="宋体" w:cs="宋体"/>
          <w:b/>
          <w:bCs/>
          <w:color w:val="auto"/>
          <w:spacing w:val="20"/>
          <w:sz w:val="24"/>
        </w:rPr>
      </w:pPr>
      <w:bookmarkStart w:id="96" w:name="_Toc351203491"/>
      <w:r>
        <w:rPr>
          <w:rFonts w:hint="eastAsia" w:ascii="宋体" w:hAnsi="宋体" w:cs="宋体"/>
          <w:b/>
          <w:bCs/>
          <w:color w:val="auto"/>
          <w:spacing w:val="20"/>
          <w:sz w:val="24"/>
        </w:rPr>
        <w:t>十一、补充协议</w:t>
      </w:r>
      <w:bookmarkEnd w:id="96"/>
    </w:p>
    <w:p w14:paraId="025CF157">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合同未尽事宜，合同当事人另行签订补充协议，补充协议是合同的组成部分。</w:t>
      </w:r>
    </w:p>
    <w:p w14:paraId="48996CAD">
      <w:pPr>
        <w:adjustRightInd w:val="0"/>
        <w:snapToGrid w:val="0"/>
        <w:spacing w:line="360" w:lineRule="auto"/>
        <w:ind w:firstLine="562" w:firstLineChars="200"/>
        <w:outlineLvl w:val="0"/>
        <w:rPr>
          <w:rFonts w:hint="eastAsia" w:ascii="宋体" w:hAnsi="宋体" w:cs="宋体"/>
          <w:b/>
          <w:bCs/>
          <w:color w:val="auto"/>
          <w:spacing w:val="20"/>
          <w:sz w:val="24"/>
        </w:rPr>
      </w:pPr>
      <w:bookmarkStart w:id="97" w:name="_Toc351203492"/>
      <w:r>
        <w:rPr>
          <w:rFonts w:hint="eastAsia" w:ascii="宋体" w:hAnsi="宋体" w:cs="宋体"/>
          <w:b/>
          <w:bCs/>
          <w:color w:val="auto"/>
          <w:spacing w:val="20"/>
          <w:sz w:val="24"/>
        </w:rPr>
        <w:t>十二、合同生效</w:t>
      </w:r>
      <w:bookmarkEnd w:id="97"/>
    </w:p>
    <w:p w14:paraId="7726089B">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本合同自</w:t>
      </w:r>
      <w:r>
        <w:rPr>
          <w:rFonts w:hint="eastAsia" w:ascii="宋体" w:hAnsi="宋体" w:cs="宋体"/>
          <w:bCs/>
          <w:color w:val="auto"/>
          <w:spacing w:val="20"/>
          <w:sz w:val="24"/>
          <w:u w:val="single"/>
        </w:rPr>
        <w:t xml:space="preserve"> 双方法定代表人或其授权代理人签字并加盖单位公章之日起 </w:t>
      </w:r>
      <w:r>
        <w:rPr>
          <w:rFonts w:hint="eastAsia" w:ascii="宋体" w:hAnsi="宋体" w:cs="宋体"/>
          <w:bCs/>
          <w:color w:val="auto"/>
          <w:spacing w:val="20"/>
          <w:sz w:val="24"/>
        </w:rPr>
        <w:t>生效。</w:t>
      </w:r>
    </w:p>
    <w:p w14:paraId="13DB52FB">
      <w:pPr>
        <w:adjustRightInd w:val="0"/>
        <w:snapToGrid w:val="0"/>
        <w:spacing w:line="360" w:lineRule="auto"/>
        <w:ind w:firstLine="562" w:firstLineChars="200"/>
        <w:outlineLvl w:val="0"/>
        <w:rPr>
          <w:rFonts w:hint="eastAsia" w:ascii="宋体" w:hAnsi="宋体" w:cs="宋体"/>
          <w:b/>
          <w:bCs/>
          <w:color w:val="auto"/>
          <w:spacing w:val="20"/>
          <w:sz w:val="24"/>
        </w:rPr>
      </w:pPr>
      <w:bookmarkStart w:id="98" w:name="_Toc351203493"/>
      <w:r>
        <w:rPr>
          <w:rFonts w:hint="eastAsia" w:ascii="宋体" w:hAnsi="宋体" w:cs="宋体"/>
          <w:b/>
          <w:bCs/>
          <w:color w:val="auto"/>
          <w:spacing w:val="20"/>
          <w:sz w:val="24"/>
        </w:rPr>
        <w:t>十三、合同份数</w:t>
      </w:r>
      <w:bookmarkEnd w:id="98"/>
    </w:p>
    <w:p w14:paraId="07A5135C">
      <w:pPr>
        <w:adjustRightInd w:val="0"/>
        <w:snapToGrid w:val="0"/>
        <w:spacing w:line="360" w:lineRule="auto"/>
        <w:ind w:firstLine="560" w:firstLineChars="200"/>
        <w:rPr>
          <w:rFonts w:hint="eastAsia" w:ascii="宋体" w:hAnsi="宋体" w:cs="宋体"/>
          <w:bCs/>
          <w:color w:val="auto"/>
          <w:spacing w:val="20"/>
          <w:sz w:val="24"/>
        </w:rPr>
      </w:pPr>
      <w:r>
        <w:rPr>
          <w:rFonts w:hint="eastAsia" w:ascii="宋体" w:hAnsi="宋体" w:cs="宋体"/>
          <w:bCs/>
          <w:color w:val="auto"/>
          <w:spacing w:val="20"/>
          <w:sz w:val="24"/>
        </w:rPr>
        <w:t>本合同一式</w:t>
      </w:r>
      <w:r>
        <w:rPr>
          <w:rFonts w:hint="eastAsia" w:ascii="宋体" w:hAnsi="宋体" w:cs="宋体"/>
          <w:bCs/>
          <w:color w:val="auto"/>
          <w:spacing w:val="20"/>
          <w:sz w:val="24"/>
          <w:u w:val="single"/>
        </w:rPr>
        <w:t xml:space="preserve"> 六 </w:t>
      </w:r>
      <w:r>
        <w:rPr>
          <w:rFonts w:hint="eastAsia" w:ascii="宋体" w:hAnsi="宋体" w:cs="宋体"/>
          <w:bCs/>
          <w:color w:val="auto"/>
          <w:spacing w:val="20"/>
          <w:sz w:val="24"/>
        </w:rPr>
        <w:t>份，均具有同等法律效力，发包人执</w:t>
      </w:r>
      <w:r>
        <w:rPr>
          <w:rFonts w:hint="eastAsia" w:ascii="宋体" w:hAnsi="宋体" w:cs="宋体"/>
          <w:bCs/>
          <w:color w:val="auto"/>
          <w:spacing w:val="20"/>
          <w:sz w:val="24"/>
          <w:u w:val="single"/>
        </w:rPr>
        <w:t xml:space="preserve"> 三 </w:t>
      </w:r>
      <w:r>
        <w:rPr>
          <w:rFonts w:hint="eastAsia" w:ascii="宋体" w:hAnsi="宋体" w:cs="宋体"/>
          <w:bCs/>
          <w:color w:val="auto"/>
          <w:spacing w:val="20"/>
          <w:sz w:val="24"/>
        </w:rPr>
        <w:t>份，承包人执</w:t>
      </w:r>
      <w:r>
        <w:rPr>
          <w:rFonts w:hint="eastAsia" w:ascii="宋体" w:hAnsi="宋体" w:cs="宋体"/>
          <w:bCs/>
          <w:color w:val="auto"/>
          <w:spacing w:val="20"/>
          <w:sz w:val="24"/>
          <w:u w:val="single"/>
        </w:rPr>
        <w:t xml:space="preserve"> 三 </w:t>
      </w:r>
      <w:r>
        <w:rPr>
          <w:rFonts w:hint="eastAsia" w:ascii="宋体" w:hAnsi="宋体" w:cs="宋体"/>
          <w:bCs/>
          <w:color w:val="auto"/>
          <w:spacing w:val="20"/>
          <w:sz w:val="24"/>
        </w:rPr>
        <w:t>份。</w:t>
      </w:r>
    </w:p>
    <w:p w14:paraId="6FE06453">
      <w:pPr>
        <w:adjustRightInd w:val="0"/>
        <w:snapToGrid w:val="0"/>
        <w:spacing w:line="360" w:lineRule="auto"/>
        <w:rPr>
          <w:rFonts w:hint="eastAsia" w:ascii="宋体" w:hAnsi="宋体" w:cs="宋体"/>
          <w:bCs/>
          <w:color w:val="auto"/>
          <w:spacing w:val="20"/>
          <w:sz w:val="24"/>
        </w:rPr>
      </w:pPr>
    </w:p>
    <w:p w14:paraId="0E69CB1D">
      <w:pPr>
        <w:adjustRightInd w:val="0"/>
        <w:snapToGrid w:val="0"/>
        <w:spacing w:line="420" w:lineRule="exact"/>
        <w:rPr>
          <w:rFonts w:hint="eastAsia" w:ascii="宋体" w:hAnsi="宋体" w:cs="宋体"/>
          <w:color w:val="auto"/>
          <w:spacing w:val="20"/>
          <w:sz w:val="24"/>
        </w:rPr>
      </w:pPr>
      <w:bookmarkStart w:id="99" w:name="_Toc16007"/>
      <w:bookmarkStart w:id="100" w:name="_Toc425437329"/>
      <w:bookmarkStart w:id="101" w:name="_Toc439779029"/>
      <w:bookmarkStart w:id="102" w:name="_Toc389065256"/>
      <w:bookmarkStart w:id="103" w:name="_Toc21285"/>
      <w:bookmarkStart w:id="104" w:name="_Toc461982824"/>
      <w:bookmarkStart w:id="105" w:name="_Toc351203632"/>
      <w:bookmarkStart w:id="106" w:name="_Toc373227691"/>
      <w:bookmarkStart w:id="107" w:name="_Toc373478338"/>
      <w:r>
        <w:rPr>
          <w:rFonts w:hint="eastAsia" w:ascii="宋体" w:hAnsi="宋体" w:cs="宋体"/>
          <w:color w:val="auto"/>
          <w:spacing w:val="20"/>
          <w:sz w:val="24"/>
        </w:rPr>
        <w:t>发包人：  （公章）              承包人：  （公章）</w:t>
      </w:r>
    </w:p>
    <w:p w14:paraId="573C5EAE">
      <w:pPr>
        <w:adjustRightInd w:val="0"/>
        <w:snapToGrid w:val="0"/>
        <w:spacing w:line="420" w:lineRule="exact"/>
        <w:rPr>
          <w:rFonts w:hint="eastAsia" w:ascii="宋体" w:hAnsi="宋体" w:cs="宋体"/>
          <w:color w:val="auto"/>
          <w:spacing w:val="20"/>
          <w:sz w:val="24"/>
          <w:u w:val="single"/>
        </w:rPr>
      </w:pPr>
      <w:r>
        <w:rPr>
          <w:rFonts w:hint="eastAsia" w:ascii="宋体" w:hAnsi="宋体" w:cs="宋体"/>
          <w:color w:val="auto"/>
          <w:spacing w:val="20"/>
          <w:sz w:val="24"/>
        </w:rPr>
        <w:t xml:space="preserve">浦北县江城街道办事处                                                                                                </w:t>
      </w:r>
    </w:p>
    <w:p w14:paraId="60DB9A6D">
      <w:pPr>
        <w:adjustRightInd w:val="0"/>
        <w:snapToGrid w:val="0"/>
        <w:spacing w:line="420" w:lineRule="exact"/>
        <w:rPr>
          <w:rFonts w:hint="eastAsia" w:ascii="宋体" w:hAnsi="宋体" w:cs="宋体"/>
          <w:color w:val="auto"/>
          <w:spacing w:val="20"/>
          <w:sz w:val="24"/>
        </w:rPr>
      </w:pPr>
      <w:r>
        <w:rPr>
          <w:rFonts w:hint="eastAsia" w:ascii="宋体" w:hAnsi="宋体" w:cs="宋体"/>
          <w:color w:val="auto"/>
          <w:spacing w:val="20"/>
          <w:sz w:val="24"/>
        </w:rPr>
        <w:t>法定代表人：                   法定代表人：</w:t>
      </w:r>
    </w:p>
    <w:p w14:paraId="47A1211C">
      <w:pPr>
        <w:adjustRightInd w:val="0"/>
        <w:snapToGrid w:val="0"/>
        <w:spacing w:line="420" w:lineRule="exact"/>
        <w:rPr>
          <w:rFonts w:hint="eastAsia" w:ascii="宋体" w:hAnsi="宋体" w:cs="宋体"/>
          <w:color w:val="auto"/>
          <w:spacing w:val="20"/>
          <w:sz w:val="24"/>
        </w:rPr>
      </w:pPr>
      <w:r>
        <w:rPr>
          <w:rFonts w:hint="eastAsia" w:ascii="宋体" w:hAnsi="宋体" w:cs="宋体"/>
          <w:color w:val="auto"/>
          <w:spacing w:val="20"/>
          <w:sz w:val="24"/>
        </w:rPr>
        <w:t>或其委托代理人：               或其委托代理人：</w:t>
      </w:r>
    </w:p>
    <w:p w14:paraId="4A11242C">
      <w:pPr>
        <w:adjustRightInd w:val="0"/>
        <w:snapToGrid w:val="0"/>
        <w:spacing w:line="420" w:lineRule="exact"/>
        <w:rPr>
          <w:rFonts w:hint="eastAsia" w:ascii="宋体" w:hAnsi="宋体" w:cs="宋体"/>
          <w:color w:val="auto"/>
          <w:spacing w:val="20"/>
          <w:sz w:val="24"/>
        </w:rPr>
      </w:pPr>
      <w:r>
        <w:rPr>
          <w:rFonts w:hint="eastAsia" w:ascii="宋体" w:hAnsi="宋体" w:cs="宋体"/>
          <w:color w:val="auto"/>
          <w:spacing w:val="20"/>
          <w:sz w:val="24"/>
        </w:rPr>
        <w:t>地址：</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地址：</w:t>
      </w:r>
      <w:r>
        <w:rPr>
          <w:rFonts w:hint="eastAsia" w:ascii="宋体" w:hAnsi="宋体"/>
          <w:color w:val="auto"/>
          <w:sz w:val="24"/>
          <w:u w:val="single"/>
        </w:rPr>
        <w:t xml:space="preserve">                       </w:t>
      </w:r>
    </w:p>
    <w:p w14:paraId="3B4C8C9A">
      <w:pPr>
        <w:adjustRightInd w:val="0"/>
        <w:snapToGrid w:val="0"/>
        <w:spacing w:line="420" w:lineRule="exact"/>
        <w:rPr>
          <w:rFonts w:hint="eastAsia" w:ascii="宋体" w:hAnsi="宋体" w:cs="宋体"/>
          <w:color w:val="auto"/>
          <w:spacing w:val="20"/>
          <w:sz w:val="24"/>
        </w:rPr>
      </w:pPr>
      <w:r>
        <w:rPr>
          <w:rFonts w:hint="eastAsia" w:ascii="宋体" w:hAnsi="宋体" w:cs="宋体"/>
          <w:color w:val="auto"/>
          <w:spacing w:val="20"/>
          <w:sz w:val="24"/>
        </w:rPr>
        <w:t>邮政编码：</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邮政编码：</w:t>
      </w:r>
      <w:r>
        <w:rPr>
          <w:rFonts w:hint="eastAsia" w:ascii="宋体" w:hAnsi="宋体" w:cs="宋体"/>
          <w:color w:val="auto"/>
          <w:spacing w:val="20"/>
          <w:sz w:val="24"/>
          <w:u w:val="single"/>
        </w:rPr>
        <w:t xml:space="preserve">               </w:t>
      </w:r>
    </w:p>
    <w:p w14:paraId="1EADFE63">
      <w:pPr>
        <w:adjustRightInd w:val="0"/>
        <w:snapToGrid w:val="0"/>
        <w:spacing w:line="420" w:lineRule="exact"/>
        <w:rPr>
          <w:rFonts w:hint="eastAsia" w:ascii="宋体" w:hAnsi="宋体" w:cs="宋体"/>
          <w:color w:val="auto"/>
          <w:spacing w:val="20"/>
          <w:sz w:val="24"/>
        </w:rPr>
      </w:pPr>
      <w:r>
        <w:rPr>
          <w:rFonts w:hint="eastAsia" w:ascii="宋体" w:hAnsi="宋体" w:cs="宋体"/>
          <w:color w:val="auto"/>
          <w:spacing w:val="20"/>
          <w:sz w:val="24"/>
        </w:rPr>
        <w:t>电话（传真）：</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电话（传真）：</w:t>
      </w:r>
      <w:r>
        <w:rPr>
          <w:rFonts w:hint="eastAsia" w:ascii="宋体" w:hAnsi="宋体" w:cs="宋体"/>
          <w:color w:val="auto"/>
          <w:spacing w:val="20"/>
          <w:sz w:val="24"/>
          <w:u w:val="single"/>
        </w:rPr>
        <w:t xml:space="preserve">             </w:t>
      </w:r>
    </w:p>
    <w:p w14:paraId="3197BBA8">
      <w:pPr>
        <w:adjustRightInd w:val="0"/>
        <w:snapToGrid w:val="0"/>
        <w:spacing w:line="420" w:lineRule="exact"/>
        <w:rPr>
          <w:rFonts w:hint="eastAsia" w:ascii="宋体" w:hAnsi="宋体" w:cs="宋体"/>
          <w:color w:val="auto"/>
          <w:spacing w:val="20"/>
          <w:sz w:val="24"/>
        </w:rPr>
      </w:pPr>
      <w:r>
        <w:rPr>
          <w:rFonts w:hint="eastAsia" w:ascii="宋体" w:hAnsi="宋体" w:cs="宋体"/>
          <w:color w:val="auto"/>
          <w:spacing w:val="20"/>
          <w:sz w:val="24"/>
        </w:rPr>
        <w:t>开户银行：</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开户银行：</w:t>
      </w:r>
      <w:r>
        <w:rPr>
          <w:rFonts w:hint="eastAsia" w:ascii="宋体" w:hAnsi="宋体"/>
          <w:color w:val="auto"/>
          <w:sz w:val="24"/>
          <w:u w:val="single"/>
        </w:rPr>
        <w:t xml:space="preserve">                      </w:t>
      </w:r>
    </w:p>
    <w:p w14:paraId="01389027">
      <w:pPr>
        <w:adjustRightInd w:val="0"/>
        <w:snapToGrid w:val="0"/>
        <w:spacing w:line="420" w:lineRule="exact"/>
        <w:rPr>
          <w:rFonts w:hint="eastAsia" w:ascii="宋体" w:hAnsi="宋体" w:cs="宋体"/>
          <w:color w:val="auto"/>
          <w:spacing w:val="20"/>
          <w:sz w:val="24"/>
          <w:u w:val="single"/>
        </w:rPr>
      </w:pPr>
      <w:r>
        <w:rPr>
          <w:rFonts w:hint="eastAsia" w:ascii="宋体" w:hAnsi="宋体" w:cs="宋体"/>
          <w:color w:val="auto"/>
          <w:spacing w:val="20"/>
          <w:sz w:val="24"/>
        </w:rPr>
        <w:t>账 号：</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账 号：</w:t>
      </w:r>
      <w:r>
        <w:rPr>
          <w:rFonts w:hint="eastAsia" w:ascii="宋体" w:hAnsi="宋体"/>
          <w:color w:val="auto"/>
          <w:sz w:val="24"/>
          <w:u w:val="single"/>
        </w:rPr>
        <w:t xml:space="preserve">                     </w:t>
      </w:r>
      <w:r>
        <w:rPr>
          <w:rFonts w:hint="eastAsia" w:ascii="宋体" w:hAnsi="宋体" w:cs="宋体"/>
          <w:color w:val="auto"/>
          <w:spacing w:val="20"/>
          <w:szCs w:val="21"/>
          <w:u w:val="single"/>
        </w:rPr>
        <w:t xml:space="preserve"> </w:t>
      </w:r>
      <w:r>
        <w:rPr>
          <w:rFonts w:hint="eastAsia" w:ascii="宋体" w:hAnsi="宋体" w:cs="宋体"/>
          <w:color w:val="auto"/>
          <w:spacing w:val="20"/>
          <w:sz w:val="24"/>
          <w:u w:val="single"/>
        </w:rPr>
        <w:t xml:space="preserve"> </w:t>
      </w:r>
    </w:p>
    <w:p w14:paraId="27110FDD">
      <w:pPr>
        <w:pStyle w:val="4"/>
        <w:keepNext w:val="0"/>
        <w:keepLines w:val="0"/>
        <w:spacing w:line="312" w:lineRule="auto"/>
        <w:jc w:val="center"/>
        <w:rPr>
          <w:rFonts w:hint="eastAsia" w:ascii="宋体" w:hAnsi="宋体" w:cs="宋体"/>
          <w:color w:val="auto"/>
          <w:spacing w:val="20"/>
          <w:szCs w:val="32"/>
        </w:rPr>
      </w:pPr>
    </w:p>
    <w:p w14:paraId="4975452A">
      <w:pPr>
        <w:rPr>
          <w:rFonts w:hint="eastAsia" w:ascii="宋体" w:hAnsi="宋体" w:cs="宋体"/>
          <w:color w:val="auto"/>
          <w:spacing w:val="20"/>
          <w:szCs w:val="32"/>
        </w:rPr>
      </w:pPr>
    </w:p>
    <w:p w14:paraId="5F136759">
      <w:pPr>
        <w:rPr>
          <w:rFonts w:hint="eastAsia" w:ascii="宋体" w:hAnsi="宋体" w:cs="宋体"/>
          <w:color w:val="auto"/>
          <w:spacing w:val="20"/>
          <w:szCs w:val="32"/>
        </w:rPr>
      </w:pPr>
    </w:p>
    <w:p w14:paraId="06E16EA6">
      <w:pPr>
        <w:rPr>
          <w:rFonts w:hint="eastAsia" w:ascii="宋体" w:hAnsi="宋体" w:cs="宋体"/>
          <w:color w:val="auto"/>
          <w:spacing w:val="20"/>
          <w:szCs w:val="32"/>
        </w:rPr>
      </w:pPr>
    </w:p>
    <w:p w14:paraId="0314FC88">
      <w:pPr>
        <w:rPr>
          <w:rFonts w:hint="eastAsia" w:ascii="宋体" w:hAnsi="宋体" w:cs="宋体"/>
          <w:color w:val="auto"/>
          <w:spacing w:val="20"/>
          <w:szCs w:val="32"/>
        </w:rPr>
      </w:pPr>
    </w:p>
    <w:p w14:paraId="4023374B">
      <w:pPr>
        <w:rPr>
          <w:rFonts w:hint="eastAsia" w:ascii="宋体" w:hAnsi="宋体" w:cs="宋体"/>
          <w:color w:val="auto"/>
          <w:spacing w:val="20"/>
          <w:szCs w:val="32"/>
        </w:rPr>
      </w:pPr>
    </w:p>
    <w:p w14:paraId="0A9A584F">
      <w:pPr>
        <w:pStyle w:val="4"/>
        <w:keepNext w:val="0"/>
        <w:keepLines w:val="0"/>
        <w:spacing w:line="312" w:lineRule="auto"/>
        <w:jc w:val="center"/>
        <w:rPr>
          <w:rFonts w:hint="eastAsia" w:ascii="宋体" w:hAnsi="宋体" w:cs="宋体"/>
          <w:color w:val="auto"/>
          <w:spacing w:val="20"/>
          <w:szCs w:val="32"/>
        </w:rPr>
        <w:sectPr>
          <w:headerReference r:id="rId5" w:type="default"/>
          <w:footerReference r:id="rId6" w:type="default"/>
          <w:pgSz w:w="11906" w:h="16838"/>
          <w:pgMar w:top="1440" w:right="1080" w:bottom="1440" w:left="1080" w:header="567" w:footer="567" w:gutter="567"/>
          <w:cols w:space="720" w:num="1"/>
          <w:docGrid w:type="lines" w:linePitch="312" w:charSpace="0"/>
        </w:sectPr>
      </w:pPr>
    </w:p>
    <w:p w14:paraId="585C8DE3">
      <w:pPr>
        <w:pStyle w:val="4"/>
        <w:keepNext w:val="0"/>
        <w:keepLines w:val="0"/>
        <w:spacing w:line="312" w:lineRule="auto"/>
        <w:jc w:val="center"/>
        <w:rPr>
          <w:rFonts w:hint="eastAsia" w:ascii="宋体" w:hAnsi="宋体" w:cs="宋体"/>
          <w:color w:val="auto"/>
          <w:spacing w:val="20"/>
          <w:szCs w:val="32"/>
        </w:rPr>
      </w:pPr>
      <w:r>
        <w:rPr>
          <w:rFonts w:hint="eastAsia" w:ascii="宋体" w:hAnsi="宋体" w:cs="宋体"/>
          <w:color w:val="auto"/>
          <w:spacing w:val="20"/>
          <w:szCs w:val="32"/>
        </w:rPr>
        <w:t>第二部分 通用合同条款</w:t>
      </w:r>
      <w:bookmarkEnd w:id="99"/>
      <w:bookmarkEnd w:id="100"/>
      <w:bookmarkEnd w:id="101"/>
      <w:bookmarkEnd w:id="102"/>
      <w:bookmarkEnd w:id="103"/>
      <w:bookmarkEnd w:id="104"/>
    </w:p>
    <w:p w14:paraId="2D393003">
      <w:pPr>
        <w:pStyle w:val="7"/>
        <w:spacing w:before="120" w:after="120" w:line="312" w:lineRule="auto"/>
        <w:rPr>
          <w:rFonts w:hint="eastAsia"/>
          <w:b w:val="0"/>
          <w:color w:val="auto"/>
          <w:sz w:val="24"/>
          <w:szCs w:val="24"/>
        </w:rPr>
      </w:pPr>
      <w:bookmarkStart w:id="108" w:name="_Toc351203495"/>
      <w:bookmarkStart w:id="109" w:name="_Toc389065257"/>
      <w:bookmarkStart w:id="110" w:name="_Toc461982825"/>
      <w:bookmarkStart w:id="111" w:name="_Toc425437330"/>
      <w:bookmarkStart w:id="112" w:name="_Toc25546"/>
      <w:bookmarkStart w:id="113" w:name="_Toc1320"/>
      <w:bookmarkStart w:id="114" w:name="_Toc439779030"/>
      <w:r>
        <w:rPr>
          <w:rFonts w:hint="eastAsia"/>
          <w:b w:val="0"/>
          <w:color w:val="auto"/>
          <w:sz w:val="24"/>
          <w:szCs w:val="24"/>
        </w:rPr>
        <w:t>1.</w:t>
      </w:r>
      <w:bookmarkStart w:id="115" w:name="_Toc303538972"/>
      <w:bookmarkEnd w:id="115"/>
      <w:bookmarkStart w:id="116" w:name="_Toc303538974"/>
      <w:bookmarkEnd w:id="116"/>
      <w:bookmarkStart w:id="117" w:name="_Toc303538976"/>
      <w:bookmarkEnd w:id="117"/>
      <w:bookmarkStart w:id="118" w:name="_Toc303538973"/>
      <w:bookmarkEnd w:id="118"/>
      <w:bookmarkStart w:id="119" w:name="_Toc303538975"/>
      <w:bookmarkEnd w:id="119"/>
      <w:bookmarkStart w:id="120" w:name="_Toc296503027"/>
      <w:bookmarkStart w:id="121" w:name="_Toc296346528"/>
      <w:r>
        <w:rPr>
          <w:rFonts w:hint="eastAsia"/>
          <w:b w:val="0"/>
          <w:color w:val="auto"/>
          <w:sz w:val="24"/>
          <w:szCs w:val="24"/>
        </w:rPr>
        <w:t xml:space="preserve"> 一般约定</w:t>
      </w:r>
      <w:bookmarkEnd w:id="108"/>
      <w:bookmarkEnd w:id="120"/>
      <w:bookmarkEnd w:id="121"/>
    </w:p>
    <w:p w14:paraId="7541184E">
      <w:pPr>
        <w:pStyle w:val="8"/>
        <w:spacing w:before="120" w:after="120" w:line="312" w:lineRule="auto"/>
        <w:ind w:firstLine="480" w:firstLineChars="200"/>
        <w:rPr>
          <w:rFonts w:hint="eastAsia" w:ascii="宋体" w:hAnsi="宋体" w:cs="宋体"/>
          <w:b w:val="0"/>
          <w:color w:val="auto"/>
          <w:sz w:val="24"/>
          <w:szCs w:val="24"/>
        </w:rPr>
      </w:pPr>
      <w:bookmarkStart w:id="122" w:name="_Toc337558728"/>
      <w:bookmarkStart w:id="123" w:name="_Toc296346529"/>
      <w:bookmarkStart w:id="124" w:name="_Toc296503028"/>
      <w:bookmarkStart w:id="125" w:name="_Toc351203496"/>
      <w:r>
        <w:rPr>
          <w:rFonts w:hint="eastAsia" w:ascii="宋体" w:hAnsi="宋体" w:cs="宋体"/>
          <w:b w:val="0"/>
          <w:color w:val="auto"/>
          <w:sz w:val="24"/>
          <w:szCs w:val="24"/>
        </w:rPr>
        <w:t>1.1词语定义</w:t>
      </w:r>
      <w:bookmarkEnd w:id="122"/>
      <w:bookmarkEnd w:id="123"/>
      <w:bookmarkEnd w:id="124"/>
      <w:r>
        <w:rPr>
          <w:rFonts w:hint="eastAsia" w:ascii="宋体" w:hAnsi="宋体" w:cs="宋体"/>
          <w:b w:val="0"/>
          <w:color w:val="auto"/>
          <w:sz w:val="24"/>
          <w:szCs w:val="24"/>
        </w:rPr>
        <w:t>与解释</w:t>
      </w:r>
      <w:bookmarkEnd w:id="125"/>
    </w:p>
    <w:p w14:paraId="5C94A66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合同协议书、通用合同条款、专用合同条款中的下列词语具有本款所赋予的含义：</w:t>
      </w:r>
    </w:p>
    <w:p w14:paraId="6EE25069">
      <w:pPr>
        <w:autoSpaceDE w:val="0"/>
        <w:autoSpaceDN w:val="0"/>
        <w:adjustRightInd w:val="0"/>
        <w:spacing w:line="312" w:lineRule="auto"/>
        <w:jc w:val="left"/>
        <w:rPr>
          <w:rFonts w:hint="eastAsia" w:ascii="宋体" w:hAnsi="宋体" w:cs="宋体"/>
          <w:color w:val="auto"/>
          <w:kern w:val="0"/>
          <w:sz w:val="24"/>
        </w:rPr>
      </w:pPr>
      <w:r>
        <w:rPr>
          <w:rFonts w:hint="eastAsia" w:ascii="宋体" w:hAnsi="宋体" w:cs="宋体"/>
          <w:color w:val="auto"/>
          <w:kern w:val="0"/>
          <w:sz w:val="24"/>
        </w:rPr>
        <w:t xml:space="preserve">    1.1.1 合同</w:t>
      </w:r>
    </w:p>
    <w:p w14:paraId="7F926A0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rPr>
        <w:t>及其附件</w:t>
      </w:r>
      <w:r>
        <w:rPr>
          <w:rFonts w:hint="eastAsia" w:ascii="宋体" w:hAnsi="宋体" w:cs="宋体"/>
          <w:color w:val="auto"/>
          <w:kern w:val="0"/>
          <w:sz w:val="24"/>
        </w:rPr>
        <w:t>、通用合同条款、技术标准和要求、图纸、已标价工程量清单或预算书以及其他合同文件。</w:t>
      </w:r>
    </w:p>
    <w:p w14:paraId="147AAA5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1.1.1.2 合同协议书：是指构成合同的由发包人和承包人共同签署的称为“合同协议书”的书面文件。</w:t>
      </w:r>
    </w:p>
    <w:p w14:paraId="7D100C5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1.1.1.3 中标通知书：是指构成合同的由发包人通知承包人中标的书面文件。</w:t>
      </w:r>
    </w:p>
    <w:p w14:paraId="15BCF77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1.1.1.4 投标函：是指构成合同的由承包人填写并签署的用于投标的称为“投标函”的文件。</w:t>
      </w:r>
    </w:p>
    <w:p w14:paraId="704CAE2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1.1.1.5 投标函附录：是指构成合同的附在投标函后的称为“投标函附录”的文件。</w:t>
      </w:r>
    </w:p>
    <w:p w14:paraId="7907899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1.1.1.6 技术标准和要求：是指构成合同的施工应当遵守的或指导施工的国家、行业或地方的技术标准和要求，以及合同约定的技术标准和要求。</w:t>
      </w:r>
    </w:p>
    <w:p w14:paraId="7627620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1.1.1.7 图纸：是指构成合同的图纸，包括由发包人按照合同约定提供或经发包人批准的设计文件、施工图、鸟瞰图及模型等，以及在合同履行过程中形成的图纸文件。图纸应当按照法律规定审查合格。</w:t>
      </w:r>
    </w:p>
    <w:p w14:paraId="698CA186">
      <w:pPr>
        <w:autoSpaceDE w:val="0"/>
        <w:autoSpaceDN w:val="0"/>
        <w:adjustRightInd w:val="0"/>
        <w:spacing w:line="312" w:lineRule="auto"/>
        <w:ind w:firstLine="468" w:firstLineChars="195"/>
        <w:jc w:val="left"/>
        <w:rPr>
          <w:rFonts w:hint="eastAsia" w:ascii="宋体" w:hAnsi="宋体" w:cs="宋体"/>
          <w:color w:val="auto"/>
          <w:kern w:val="0"/>
          <w:sz w:val="24"/>
        </w:rPr>
      </w:pPr>
      <w:r>
        <w:rPr>
          <w:rFonts w:hint="eastAsia" w:ascii="宋体" w:hAnsi="宋体" w:cs="宋体"/>
          <w:color w:val="auto"/>
          <w:kern w:val="0"/>
          <w:sz w:val="24"/>
        </w:rPr>
        <w:t>1.1.1.8 已标价工程量清单：是指构成合同的由承包人按照规定的格式和要求填写并标明价格的工程量清单，包括说明和表格。</w:t>
      </w:r>
    </w:p>
    <w:p w14:paraId="271178D9">
      <w:pPr>
        <w:autoSpaceDE w:val="0"/>
        <w:autoSpaceDN w:val="0"/>
        <w:adjustRightInd w:val="0"/>
        <w:spacing w:line="312" w:lineRule="auto"/>
        <w:ind w:firstLine="468" w:firstLineChars="195"/>
        <w:jc w:val="left"/>
        <w:rPr>
          <w:rFonts w:hint="eastAsia" w:ascii="宋体" w:hAnsi="宋体" w:cs="宋体"/>
          <w:color w:val="auto"/>
          <w:kern w:val="0"/>
          <w:sz w:val="24"/>
        </w:rPr>
      </w:pPr>
      <w:r>
        <w:rPr>
          <w:rFonts w:hint="eastAsia" w:ascii="宋体" w:hAnsi="宋体" w:cs="宋体"/>
          <w:color w:val="auto"/>
          <w:kern w:val="0"/>
          <w:sz w:val="24"/>
        </w:rPr>
        <w:t>1.1.1.9 预算书：是指构成合同的由承包人按照发包人规定的格式和要求编制的工程预算文件。</w:t>
      </w:r>
    </w:p>
    <w:p w14:paraId="0899C65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1.1.1.10 其他合同文件：是指经合同当事人约定的与工程施工有关的具有合同约束力的文件或书面协议。合同当事人可以在专用合同条款中进行约定。</w:t>
      </w:r>
    </w:p>
    <w:p w14:paraId="2DC8E70D">
      <w:pPr>
        <w:autoSpaceDE w:val="0"/>
        <w:autoSpaceDN w:val="0"/>
        <w:adjustRightInd w:val="0"/>
        <w:spacing w:line="312" w:lineRule="auto"/>
        <w:jc w:val="left"/>
        <w:rPr>
          <w:rFonts w:hint="eastAsia" w:ascii="宋体" w:hAnsi="宋体" w:cs="宋体"/>
          <w:color w:val="auto"/>
          <w:kern w:val="0"/>
          <w:sz w:val="24"/>
        </w:rPr>
      </w:pPr>
      <w:r>
        <w:rPr>
          <w:rFonts w:hint="eastAsia" w:ascii="宋体" w:hAnsi="宋体" w:cs="宋体"/>
          <w:color w:val="auto"/>
          <w:kern w:val="0"/>
          <w:sz w:val="24"/>
        </w:rPr>
        <w:t xml:space="preserve">    1.1.2 合同当事人及其他相关方</w:t>
      </w:r>
    </w:p>
    <w:p w14:paraId="0DF2B9A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1.1.2.1 合同当事人：是指发包人和（或）承包人。</w:t>
      </w:r>
    </w:p>
    <w:p w14:paraId="2559CCC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1.1.2.2 发包人：是指与承包人签订合同协议书的当事人及取得该当事人资格的合法继承人。</w:t>
      </w:r>
    </w:p>
    <w:p w14:paraId="1E14A87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1.1.2.3 承包人：是指与发包人签订合同协议书的，具有相应工程施工承包资质的当事人及取得该当事人资格的合法继承人。</w:t>
      </w:r>
    </w:p>
    <w:p w14:paraId="44DBF4E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1.1.2.4 监理人：是指在专用合同条款中指明的，受发包人委托按照法律规定进行工程监督管理的法人或其他组织。</w:t>
      </w:r>
    </w:p>
    <w:p w14:paraId="60EB8B4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1.1.2.5 设计人：是指在专用合同条款中指明的，受发包人委托负责工程设计并具备相应工程设计资质的法人或其他组织。</w:t>
      </w:r>
    </w:p>
    <w:p w14:paraId="06C13BCA">
      <w:pPr>
        <w:spacing w:line="312" w:lineRule="auto"/>
        <w:ind w:firstLine="468" w:firstLineChars="195"/>
        <w:jc w:val="left"/>
        <w:rPr>
          <w:rFonts w:hint="eastAsia" w:ascii="宋体" w:hAnsi="宋体" w:cs="宋体"/>
          <w:color w:val="auto"/>
          <w:kern w:val="0"/>
          <w:sz w:val="24"/>
        </w:rPr>
      </w:pPr>
      <w:r>
        <w:rPr>
          <w:rFonts w:hint="eastAsia" w:ascii="宋体" w:hAnsi="宋体" w:cs="宋体"/>
          <w:color w:val="auto"/>
          <w:kern w:val="0"/>
          <w:sz w:val="24"/>
        </w:rPr>
        <w:t>1.1.2.6 分包人：</w:t>
      </w:r>
      <w:bookmarkStart w:id="126" w:name="#go5"/>
      <w:bookmarkEnd w:id="126"/>
      <w:r>
        <w:rPr>
          <w:rFonts w:hint="eastAsia" w:ascii="宋体" w:hAnsi="宋体" w:cs="宋体"/>
          <w:color w:val="auto"/>
          <w:kern w:val="0"/>
          <w:sz w:val="24"/>
        </w:rPr>
        <w:t>是指按照法律规定和合同约定，分包部分工程或工作，并与承包人签订分包合同的具有相应资质的法人。</w:t>
      </w:r>
    </w:p>
    <w:p w14:paraId="54223B2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1.1.2.7 发包人代表：是指由发包人任命并派驻施工现场在发包人授权范围内行使发包人权利的人。</w:t>
      </w:r>
    </w:p>
    <w:p w14:paraId="6838354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1.1.2.8 项目经理：是指由承包人任命并派驻施工现场，在承包人授权范围内负责合同履行，且按照法律规定具有相应资格的项目负责人。</w:t>
      </w:r>
    </w:p>
    <w:p w14:paraId="3827775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1.1.2.9 总监理工程师：是指由监理人任命并派驻施工现场进行工程监理的总负责人。</w:t>
      </w:r>
    </w:p>
    <w:p w14:paraId="76CD886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 工程和设备</w:t>
      </w:r>
    </w:p>
    <w:p w14:paraId="52017F7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1.1.3.1 工程：是指与合同协议书中工程承包范围对应的永久工程和（或）临时工程。</w:t>
      </w:r>
    </w:p>
    <w:p w14:paraId="484C1DB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1.1.3.2 永久工程：是指按合同约定建造并移交给发包人的工程，包括工程设备。</w:t>
      </w:r>
    </w:p>
    <w:p w14:paraId="06B7DD4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1.1.3.3 临时工程：是指为完成合同约定的永久工程所修建的各类临时性工程，不包括施工设备。</w:t>
      </w:r>
    </w:p>
    <w:p w14:paraId="191C804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1.1.3.4 单位工程：是指在合同协议书中指明的，具备独立施工条件并能形成独立使用功能的永久工程。</w:t>
      </w:r>
    </w:p>
    <w:p w14:paraId="6068E8A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1.1.3.5 工程设备：是指构成永久工程的机电设备、金属结构设备、仪器及其他类似的设备和装置。</w:t>
      </w:r>
    </w:p>
    <w:p w14:paraId="5E671C9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1.1.3.6 施工设备：是指为完成合同约定的各项工作所需的设备、器具和其他物品，但不包括工程设备、临时工程和材料。</w:t>
      </w:r>
    </w:p>
    <w:p w14:paraId="4C746F6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1.1.3.7 施工现场：是指用于工程施工的场所，以及在专用合同条款中指明作为施工场所组成部分的其他场所，包括永久占地和临时占地。</w:t>
      </w:r>
    </w:p>
    <w:p w14:paraId="58AD21F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1.1.3.8临时设施：是指为完成合同约定的各项工作所服务的临时性生产和生活设施。</w:t>
      </w:r>
    </w:p>
    <w:p w14:paraId="241B563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1.1.3.9 永久占地：是指专用合同条款中指明为实施工程需永久占用的土地。</w:t>
      </w:r>
    </w:p>
    <w:p w14:paraId="2A6FD8A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1.1.3.10 临时占地：是指专用合同条款中指明为实施工程需要临时占用的土地。</w:t>
      </w:r>
    </w:p>
    <w:p w14:paraId="5D27051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1.1.4 日期和期限</w:t>
      </w:r>
    </w:p>
    <w:p w14:paraId="6B94F68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C90C9B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1.1.4.2 竣工日期：包括计划竣工日期和实际竣工日期。计划竣工日期是指合同协议书约定的竣工日期；实际竣工日期按照第13.2.3项〔竣工日期〕的约定确定。 </w:t>
      </w:r>
    </w:p>
    <w:p w14:paraId="5B9F925D">
      <w:pPr>
        <w:spacing w:line="312" w:lineRule="auto"/>
        <w:ind w:firstLine="487" w:firstLineChars="203"/>
        <w:rPr>
          <w:rFonts w:hint="eastAsia" w:ascii="宋体" w:hAnsi="宋体" w:cs="宋体"/>
          <w:color w:val="auto"/>
          <w:sz w:val="24"/>
        </w:rPr>
      </w:pPr>
      <w:r>
        <w:rPr>
          <w:rFonts w:hint="eastAsia" w:ascii="宋体" w:hAnsi="宋体" w:cs="宋体"/>
          <w:color w:val="auto"/>
          <w:kern w:val="0"/>
          <w:sz w:val="24"/>
        </w:rPr>
        <w:t>1.1.4.3 工期：是指在合同协议书约定的承包人完成工程所需的期限，包括按照合同约定所作的期限变更。</w:t>
      </w:r>
    </w:p>
    <w:p w14:paraId="32B7ECE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1.1.4.4 缺陷责任期：是指承包人按照合同约定承担缺陷修复义务，且发包人预留质量保证金的期限，自工程实际竣工日期起计算。</w:t>
      </w:r>
    </w:p>
    <w:p w14:paraId="4146A3C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1.1.4.5 保修期：是指承包人按照合同约定对工程承担保修责任的期限，从工程竣工验收合格之日起计算。</w:t>
      </w:r>
    </w:p>
    <w:p w14:paraId="4DB1842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1.1.4.6 基准日期：招标发包的工程以投标截止日前28天的日期为基准日期，直接发包的工程以合同签订日前28天的日期为基准日期。</w:t>
      </w:r>
    </w:p>
    <w:p w14:paraId="75DFF08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1.1.4.7 天：除特别指明外，均指日历天。合同中按天计算时间的，开始当天不计入，从次日开始计算，期限最后一天的截止时间为当天24：00时。</w:t>
      </w:r>
    </w:p>
    <w:p w14:paraId="787DD58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 合同价格和费用</w:t>
      </w:r>
    </w:p>
    <w:p w14:paraId="22DD9E4F">
      <w:pPr>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1.1.5.1 签约合同价：是指</w:t>
      </w:r>
      <w:r>
        <w:rPr>
          <w:rFonts w:hint="eastAsia" w:ascii="宋体" w:hAnsi="宋体" w:cs="宋体"/>
          <w:color w:val="auto"/>
          <w:sz w:val="24"/>
        </w:rPr>
        <w:t>发包人和承包人在合同协议书中确定的总金额，包括安全文明施工费、暂估价及暂列金额等。</w:t>
      </w:r>
    </w:p>
    <w:p w14:paraId="16E48BE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1.1.5.2 合同价格：是指发包人用于支付承包人按照合同约定完成承包范围内全部工作的金额，包括合同履行过程中按合同约定发生的价格变化。</w:t>
      </w:r>
    </w:p>
    <w:p w14:paraId="728423A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1.1.5.3 费用：是指为履行合同所发生的或将要发生的所有必需的开支，包括管理费和应分摊的其他费用，但不包括利润。</w:t>
      </w:r>
    </w:p>
    <w:p w14:paraId="6A3A9F1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1.1.5.4 暂估价：是指发包人在工程量清单或预算书中提供的用于支付必然发生但暂时不能确定价格的材料、工程设备的单价、专业工程以及服务工作的金额。</w:t>
      </w:r>
    </w:p>
    <w:p w14:paraId="44732B5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7B986D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1.1.5.6 计日工：是指合同履行过程中，承包人完成发包人提出的零星工作或需要采用计日工计价的变更工作时，按合同中约定的单价计价的一种方式。</w:t>
      </w:r>
    </w:p>
    <w:p w14:paraId="560F2F6F">
      <w:pPr>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1.1.5.7 质量保证金</w:t>
      </w:r>
      <w:bookmarkStart w:id="127" w:name="#go2"/>
      <w:bookmarkEnd w:id="127"/>
      <w:r>
        <w:rPr>
          <w:rFonts w:hint="eastAsia" w:ascii="宋体" w:hAnsi="宋体" w:cs="宋体"/>
          <w:color w:val="auto"/>
          <w:kern w:val="0"/>
          <w:sz w:val="24"/>
        </w:rPr>
        <w:t>：是指按照第15.3款〔质量保证金〕约定承包人用于保证其在缺陷责任期内履行缺陷修补义务的担保</w:t>
      </w:r>
      <w:r>
        <w:rPr>
          <w:rFonts w:hint="eastAsia" w:ascii="宋体" w:hAnsi="宋体" w:cs="宋体"/>
          <w:color w:val="auto"/>
          <w:sz w:val="24"/>
        </w:rPr>
        <w:t>。</w:t>
      </w:r>
    </w:p>
    <w:p w14:paraId="1916D21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1.1.5.8 总价项目：是指在现行国家、行业以及地方的计量规则中无工程量计算规则，在已标价工程量清单或预算书中以总价或以费率形式计算的项目。</w:t>
      </w:r>
    </w:p>
    <w:p w14:paraId="1E54BE9E">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1.1.6 其他</w:t>
      </w:r>
    </w:p>
    <w:p w14:paraId="649650FA">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1.1.6.1 书面形式：是指合同文件、信函、电报、传真等可以有形地表现所载内容的形式。</w:t>
      </w:r>
    </w:p>
    <w:p w14:paraId="7497C477">
      <w:pPr>
        <w:pStyle w:val="8"/>
        <w:spacing w:before="120" w:after="120" w:line="312" w:lineRule="auto"/>
        <w:rPr>
          <w:rFonts w:hint="eastAsia" w:ascii="宋体" w:hAnsi="宋体" w:cs="宋体"/>
          <w:b w:val="0"/>
          <w:color w:val="auto"/>
          <w:sz w:val="24"/>
          <w:szCs w:val="24"/>
        </w:rPr>
      </w:pPr>
      <w:r>
        <w:rPr>
          <w:rFonts w:hint="eastAsia" w:ascii="宋体" w:hAnsi="宋体" w:cs="宋体"/>
          <w:b w:val="0"/>
          <w:color w:val="auto"/>
          <w:sz w:val="24"/>
          <w:szCs w:val="24"/>
        </w:rPr>
        <w:t xml:space="preserve">    </w:t>
      </w:r>
      <w:bookmarkStart w:id="128" w:name="_Toc296346530"/>
      <w:bookmarkStart w:id="129" w:name="_Toc351203497"/>
      <w:bookmarkStart w:id="130" w:name="_Toc296503029"/>
      <w:bookmarkStart w:id="131" w:name="_Toc337558729"/>
      <w:r>
        <w:rPr>
          <w:rFonts w:hint="eastAsia" w:ascii="宋体" w:hAnsi="宋体" w:cs="宋体"/>
          <w:b w:val="0"/>
          <w:color w:val="auto"/>
          <w:sz w:val="24"/>
          <w:szCs w:val="24"/>
        </w:rPr>
        <w:t>1.2语言文字</w:t>
      </w:r>
      <w:bookmarkEnd w:id="128"/>
      <w:bookmarkEnd w:id="129"/>
      <w:bookmarkEnd w:id="130"/>
      <w:bookmarkEnd w:id="131"/>
    </w:p>
    <w:p w14:paraId="07674DC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合同以中国的汉语简体文字编写、解释和说明。合同当事人在专用合同条款中约定使用两种以上语言时，汉语为优先解释和说明合同的语言。</w:t>
      </w:r>
    </w:p>
    <w:p w14:paraId="31E65441">
      <w:pPr>
        <w:pStyle w:val="8"/>
        <w:spacing w:before="120" w:after="120" w:line="312" w:lineRule="auto"/>
        <w:ind w:firstLine="480" w:firstLineChars="200"/>
        <w:rPr>
          <w:rFonts w:hint="eastAsia" w:ascii="宋体" w:hAnsi="宋体" w:cs="宋体"/>
          <w:b w:val="0"/>
          <w:color w:val="auto"/>
          <w:sz w:val="24"/>
          <w:szCs w:val="24"/>
        </w:rPr>
      </w:pPr>
      <w:bookmarkStart w:id="132" w:name="_Toc337558730"/>
      <w:bookmarkStart w:id="133" w:name="_Toc296346531"/>
      <w:bookmarkStart w:id="134" w:name="_Toc351203498"/>
      <w:bookmarkStart w:id="135" w:name="_Toc296503030"/>
      <w:r>
        <w:rPr>
          <w:rFonts w:hint="eastAsia" w:ascii="宋体" w:hAnsi="宋体" w:cs="宋体"/>
          <w:b w:val="0"/>
          <w:color w:val="auto"/>
          <w:sz w:val="24"/>
          <w:szCs w:val="24"/>
        </w:rPr>
        <w:t>1.3法律</w:t>
      </w:r>
      <w:bookmarkEnd w:id="132"/>
      <w:bookmarkEnd w:id="133"/>
      <w:bookmarkEnd w:id="134"/>
      <w:bookmarkEnd w:id="135"/>
    </w:p>
    <w:p w14:paraId="4722BE2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合同所称法律是指中华人民共和国法律、行政法规、部门规章，以及工程所在地的地方性法规、自治条例、单行条例和地方政府规章等。</w:t>
      </w:r>
    </w:p>
    <w:p w14:paraId="7481F15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合同当事人可以在专用合同条款中约定合同适用的其他规范性文件。</w:t>
      </w:r>
    </w:p>
    <w:p w14:paraId="5A2A8515">
      <w:pPr>
        <w:pStyle w:val="8"/>
        <w:spacing w:before="120" w:after="120" w:line="312" w:lineRule="auto"/>
        <w:ind w:firstLine="480" w:firstLineChars="200"/>
        <w:rPr>
          <w:rFonts w:hint="eastAsia" w:ascii="宋体" w:hAnsi="宋体" w:cs="宋体"/>
          <w:b w:val="0"/>
          <w:color w:val="auto"/>
          <w:sz w:val="24"/>
          <w:szCs w:val="24"/>
        </w:rPr>
      </w:pPr>
      <w:bookmarkStart w:id="136" w:name="_Toc351203499"/>
      <w:r>
        <w:rPr>
          <w:rFonts w:hint="eastAsia" w:ascii="宋体" w:hAnsi="宋体" w:cs="宋体"/>
          <w:b w:val="0"/>
          <w:color w:val="auto"/>
          <w:sz w:val="24"/>
          <w:szCs w:val="24"/>
        </w:rPr>
        <w:t>1.4 标准和规范</w:t>
      </w:r>
      <w:bookmarkEnd w:id="136"/>
    </w:p>
    <w:p w14:paraId="73D0F10C">
      <w:pPr>
        <w:autoSpaceDE w:val="0"/>
        <w:autoSpaceDN w:val="0"/>
        <w:adjustRightInd w:val="0"/>
        <w:spacing w:line="312" w:lineRule="auto"/>
        <w:ind w:firstLine="640"/>
        <w:jc w:val="left"/>
        <w:rPr>
          <w:rFonts w:hint="eastAsia" w:ascii="宋体" w:hAnsi="宋体" w:cs="宋体"/>
          <w:color w:val="auto"/>
          <w:kern w:val="0"/>
          <w:sz w:val="24"/>
        </w:rPr>
      </w:pPr>
      <w:r>
        <w:rPr>
          <w:rFonts w:hint="eastAsia" w:ascii="宋体" w:hAnsi="宋体" w:cs="宋体"/>
          <w:color w:val="auto"/>
          <w:kern w:val="0"/>
          <w:sz w:val="24"/>
        </w:rPr>
        <w:t>1.4.1 适用于工程的国家标准、行业标准、工程所在地的地方性标准，以及相应的规范、规程等，合同当事人有特别要求的，应在专用合同条款中约定。</w:t>
      </w:r>
    </w:p>
    <w:p w14:paraId="185B02B8">
      <w:pPr>
        <w:autoSpaceDE w:val="0"/>
        <w:autoSpaceDN w:val="0"/>
        <w:adjustRightInd w:val="0"/>
        <w:spacing w:line="312" w:lineRule="auto"/>
        <w:ind w:firstLine="640"/>
        <w:jc w:val="left"/>
        <w:rPr>
          <w:rFonts w:hint="eastAsia" w:ascii="宋体" w:hAnsi="宋体" w:cs="宋体"/>
          <w:color w:val="auto"/>
          <w:kern w:val="0"/>
          <w:sz w:val="24"/>
        </w:rPr>
      </w:pPr>
      <w:r>
        <w:rPr>
          <w:rFonts w:hint="eastAsia" w:ascii="宋体" w:hAnsi="宋体" w:cs="宋体"/>
          <w:color w:val="auto"/>
          <w:kern w:val="0"/>
          <w:sz w:val="24"/>
        </w:rPr>
        <w:t>1.4.2 发包人要求使用国外标准、规范的，发包人负责提供原文版本和中文译本，并在专用合同条款中约定提供标准规范的名称、份数和时间。</w:t>
      </w:r>
    </w:p>
    <w:p w14:paraId="467B0606">
      <w:pPr>
        <w:autoSpaceDE w:val="0"/>
        <w:autoSpaceDN w:val="0"/>
        <w:adjustRightInd w:val="0"/>
        <w:spacing w:line="312" w:lineRule="auto"/>
        <w:ind w:firstLine="640"/>
        <w:jc w:val="left"/>
        <w:rPr>
          <w:rFonts w:hint="eastAsia" w:ascii="宋体" w:hAnsi="宋体" w:cs="宋体"/>
          <w:color w:val="auto"/>
          <w:kern w:val="0"/>
          <w:sz w:val="24"/>
        </w:rPr>
      </w:pPr>
      <w:r>
        <w:rPr>
          <w:rFonts w:hint="eastAsia" w:ascii="宋体" w:hAnsi="宋体" w:cs="宋体"/>
          <w:color w:val="auto"/>
          <w:kern w:val="0"/>
          <w:sz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CC33175">
      <w:pPr>
        <w:pStyle w:val="8"/>
        <w:spacing w:before="120" w:after="120" w:line="312" w:lineRule="auto"/>
        <w:ind w:firstLine="480" w:firstLineChars="200"/>
        <w:rPr>
          <w:rFonts w:hint="eastAsia" w:ascii="宋体" w:hAnsi="宋体" w:cs="宋体"/>
          <w:b w:val="0"/>
          <w:color w:val="auto"/>
          <w:sz w:val="24"/>
          <w:szCs w:val="24"/>
        </w:rPr>
      </w:pPr>
      <w:bookmarkStart w:id="137" w:name="_Toc351203500"/>
      <w:r>
        <w:rPr>
          <w:rFonts w:hint="eastAsia" w:ascii="宋体" w:hAnsi="宋体" w:cs="宋体"/>
          <w:b w:val="0"/>
          <w:color w:val="auto"/>
          <w:sz w:val="24"/>
          <w:szCs w:val="24"/>
        </w:rPr>
        <w:t>1</w:t>
      </w:r>
      <w:bookmarkStart w:id="138" w:name="_Toc296503031"/>
      <w:bookmarkStart w:id="139" w:name="_Toc296346532"/>
      <w:bookmarkStart w:id="140" w:name="_Toc337558731"/>
      <w:r>
        <w:rPr>
          <w:rFonts w:hint="eastAsia" w:ascii="宋体" w:hAnsi="宋体" w:cs="宋体"/>
          <w:b w:val="0"/>
          <w:color w:val="auto"/>
          <w:sz w:val="24"/>
          <w:szCs w:val="24"/>
        </w:rPr>
        <w:t>.5 合同文件的优先顺序</w:t>
      </w:r>
      <w:bookmarkEnd w:id="137"/>
    </w:p>
    <w:bookmarkEnd w:id="138"/>
    <w:bookmarkEnd w:id="139"/>
    <w:bookmarkEnd w:id="140"/>
    <w:p w14:paraId="2288CB8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组成合同的各项文件应互相解释，互为说明。除专用合同条款另有约定外，解释合同文件的优先顺序如下：</w:t>
      </w:r>
    </w:p>
    <w:p w14:paraId="2F81D2C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（1）合同协议书；</w:t>
      </w:r>
    </w:p>
    <w:p w14:paraId="776F50A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（2）中标通知书（如果有）；</w:t>
      </w:r>
    </w:p>
    <w:p w14:paraId="455C1B5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（3）投标函及其附录（如果有）；</w:t>
      </w:r>
    </w:p>
    <w:p w14:paraId="7330DD9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（4）专用合同条款</w:t>
      </w:r>
      <w:r>
        <w:rPr>
          <w:rFonts w:hint="eastAsia" w:ascii="宋体" w:hAnsi="宋体" w:cs="宋体"/>
          <w:color w:val="auto"/>
          <w:sz w:val="24"/>
        </w:rPr>
        <w:t>及其附件</w:t>
      </w:r>
      <w:r>
        <w:rPr>
          <w:rFonts w:hint="eastAsia" w:ascii="宋体" w:hAnsi="宋体" w:cs="宋体"/>
          <w:color w:val="auto"/>
          <w:kern w:val="0"/>
          <w:sz w:val="24"/>
        </w:rPr>
        <w:t>；</w:t>
      </w:r>
    </w:p>
    <w:p w14:paraId="30C0D57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（5）通用合同条款；</w:t>
      </w:r>
    </w:p>
    <w:p w14:paraId="29923C5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（6）技术标准和要求；</w:t>
      </w:r>
    </w:p>
    <w:p w14:paraId="443DAAC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（7）图纸；</w:t>
      </w:r>
    </w:p>
    <w:p w14:paraId="6CEA833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（8）已标价工程量清单或预算书；</w:t>
      </w:r>
    </w:p>
    <w:p w14:paraId="489B1C97">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（9）其他合同文件。</w:t>
      </w:r>
    </w:p>
    <w:p w14:paraId="5CFDE6E5">
      <w:pPr>
        <w:spacing w:line="312" w:lineRule="auto"/>
        <w:ind w:firstLine="511" w:firstLineChars="213"/>
        <w:rPr>
          <w:rFonts w:hint="eastAsia" w:ascii="宋体" w:hAnsi="宋体" w:cs="宋体"/>
          <w:color w:val="auto"/>
          <w:sz w:val="24"/>
        </w:rPr>
      </w:pPr>
      <w:r>
        <w:rPr>
          <w:rFonts w:hint="eastAsia" w:ascii="宋体" w:hAnsi="宋体" w:cs="宋体"/>
          <w:color w:val="auto"/>
          <w:sz w:val="24"/>
        </w:rPr>
        <w:t>上述各项合同文件包括合同当事人就该项合同文件所作出的补充和修改，属于同一类内容的文件，应以最新签署的为准。</w:t>
      </w:r>
    </w:p>
    <w:p w14:paraId="656DCFC2">
      <w:pPr>
        <w:spacing w:line="312" w:lineRule="auto"/>
        <w:ind w:firstLine="511" w:firstLineChars="213"/>
        <w:rPr>
          <w:rFonts w:hint="eastAsia" w:ascii="宋体" w:hAnsi="宋体" w:cs="宋体"/>
          <w:color w:val="auto"/>
          <w:sz w:val="24"/>
        </w:rPr>
      </w:pPr>
      <w:r>
        <w:rPr>
          <w:rFonts w:hint="eastAsia" w:ascii="宋体" w:hAnsi="宋体" w:cs="宋体"/>
          <w:color w:val="auto"/>
          <w:sz w:val="24"/>
        </w:rPr>
        <w:t>在合同订立及履行过程中形成的与合同有关的文件均构成合同文件组成部分，并根据其性质确定优先解释顺序。</w:t>
      </w:r>
    </w:p>
    <w:p w14:paraId="5B615CCC">
      <w:pPr>
        <w:pStyle w:val="8"/>
        <w:spacing w:before="120" w:after="120" w:line="312" w:lineRule="auto"/>
        <w:ind w:firstLine="480" w:firstLineChars="200"/>
        <w:rPr>
          <w:rFonts w:hint="eastAsia" w:ascii="宋体" w:hAnsi="宋体" w:cs="宋体"/>
          <w:b w:val="0"/>
          <w:color w:val="auto"/>
          <w:sz w:val="24"/>
          <w:szCs w:val="24"/>
        </w:rPr>
      </w:pPr>
      <w:bookmarkStart w:id="141" w:name="_Toc351203501"/>
      <w:r>
        <w:rPr>
          <w:rFonts w:hint="eastAsia" w:ascii="宋体" w:hAnsi="宋体" w:cs="宋体"/>
          <w:b w:val="0"/>
          <w:color w:val="auto"/>
          <w:sz w:val="24"/>
          <w:szCs w:val="24"/>
        </w:rPr>
        <w:t>1</w:t>
      </w:r>
      <w:bookmarkStart w:id="142" w:name="_Toc296346533"/>
      <w:bookmarkStart w:id="143" w:name="_Toc296503032"/>
      <w:bookmarkStart w:id="144" w:name="_Toc337558732"/>
      <w:r>
        <w:rPr>
          <w:rFonts w:hint="eastAsia" w:ascii="宋体" w:hAnsi="宋体" w:cs="宋体"/>
          <w:b w:val="0"/>
          <w:color w:val="auto"/>
          <w:sz w:val="24"/>
          <w:szCs w:val="24"/>
        </w:rPr>
        <w:t>.6图纸和承包人文件</w:t>
      </w:r>
      <w:bookmarkEnd w:id="141"/>
    </w:p>
    <w:bookmarkEnd w:id="142"/>
    <w:bookmarkEnd w:id="143"/>
    <w:bookmarkEnd w:id="144"/>
    <w:p w14:paraId="398ABCA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1.6.1 图纸的提供和交底</w:t>
      </w:r>
    </w:p>
    <w:p w14:paraId="56BD5D5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BB6C12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因发包人未按合同约定提供图纸导致承包人费用增加和（或）工期延误的，按照第7.5.1项〔因发包人原因导致工期延误〕约定办理。</w:t>
      </w:r>
    </w:p>
    <w:p w14:paraId="71CCA14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1.6.2 图纸的错误</w:t>
      </w:r>
    </w:p>
    <w:p w14:paraId="71435ED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945553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1.6.3 图纸的修改和补充</w:t>
      </w:r>
    </w:p>
    <w:p w14:paraId="4762BDD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图纸需要修改和补充的，应经图纸原设计人及审批部门同意，并由监理人在工程或工程相应部位施工前将修改后的图纸或补充图纸提交给承包人，承包人应按修改或补充后的图纸施工。</w:t>
      </w:r>
    </w:p>
    <w:p w14:paraId="4E97080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1.6.4 承包人文件</w:t>
      </w:r>
    </w:p>
    <w:p w14:paraId="213DA7D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承包人应按照专用合同条款的约定提供应当由其编制的与工程施工有关的文件，并按照专用合同条款约定的期限、数量和形式提交监理人，并由监理人报送发包人。</w:t>
      </w:r>
    </w:p>
    <w:p w14:paraId="119ABB4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B60033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1.6.5 图纸和承包人文件的保管</w:t>
      </w:r>
    </w:p>
    <w:p w14:paraId="77688C6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除专用合同条款另有约定外，承包人应在施工现场另外保存一套完整的图纸和承包人文件，供发包人、监理人及有关人员进行工程检查时使用。</w:t>
      </w:r>
    </w:p>
    <w:p w14:paraId="244FC709">
      <w:pPr>
        <w:pStyle w:val="8"/>
        <w:spacing w:before="120" w:after="120" w:line="312" w:lineRule="auto"/>
        <w:ind w:firstLine="480" w:firstLineChars="200"/>
        <w:rPr>
          <w:rFonts w:hint="eastAsia" w:ascii="宋体" w:hAnsi="宋体" w:cs="宋体"/>
          <w:b w:val="0"/>
          <w:color w:val="auto"/>
          <w:sz w:val="24"/>
          <w:szCs w:val="24"/>
        </w:rPr>
      </w:pPr>
      <w:bookmarkStart w:id="145" w:name="_Toc351203502"/>
      <w:r>
        <w:rPr>
          <w:rFonts w:hint="eastAsia" w:ascii="宋体" w:hAnsi="宋体" w:cs="宋体"/>
          <w:b w:val="0"/>
          <w:color w:val="auto"/>
          <w:sz w:val="24"/>
          <w:szCs w:val="24"/>
        </w:rPr>
        <w:t>1</w:t>
      </w:r>
      <w:bookmarkStart w:id="146" w:name="_Toc296503033"/>
      <w:bookmarkStart w:id="147" w:name="_Toc296346534"/>
      <w:bookmarkStart w:id="148" w:name="_Toc337558733"/>
      <w:r>
        <w:rPr>
          <w:rFonts w:hint="eastAsia" w:ascii="宋体" w:hAnsi="宋体" w:cs="宋体"/>
          <w:b w:val="0"/>
          <w:color w:val="auto"/>
          <w:sz w:val="24"/>
          <w:szCs w:val="24"/>
        </w:rPr>
        <w:t>.7联络</w:t>
      </w:r>
      <w:bookmarkEnd w:id="145"/>
    </w:p>
    <w:bookmarkEnd w:id="146"/>
    <w:bookmarkEnd w:id="147"/>
    <w:bookmarkEnd w:id="148"/>
    <w:p w14:paraId="16108E7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1.7.1 与合同有关的通知、批准、证明、证书、指示、指令、要求、请求、同意、意见、确定和决定等，均应采用书面形式，并应在合同约定的期限内送达接收人和送达地点。</w:t>
      </w:r>
    </w:p>
    <w:p w14:paraId="7822396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1.7.2 发包人和承包人应在专用合同条款中约定各自的送达接收人和送达地点。任何一方合同当事人指定的接收人或送达地点发生变动的，应提前3天以书面形式通知对方。</w:t>
      </w:r>
    </w:p>
    <w:p w14:paraId="49B09F2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1.7.3 发包人和承包人应当及时签收另一方送达至送达地点和指定接收人的来往信函。拒不签收的，由此增加的费用和（或）延误的工期由拒绝接收一方承担。</w:t>
      </w:r>
    </w:p>
    <w:p w14:paraId="69E8BA51">
      <w:pPr>
        <w:pStyle w:val="8"/>
        <w:spacing w:before="120" w:after="120" w:line="312" w:lineRule="auto"/>
        <w:ind w:firstLine="480" w:firstLineChars="200"/>
        <w:rPr>
          <w:rFonts w:hint="eastAsia" w:ascii="宋体" w:hAnsi="宋体" w:cs="宋体"/>
          <w:b w:val="0"/>
          <w:color w:val="auto"/>
          <w:sz w:val="24"/>
          <w:szCs w:val="24"/>
        </w:rPr>
      </w:pPr>
      <w:bookmarkStart w:id="149" w:name="_Toc351203503"/>
      <w:r>
        <w:rPr>
          <w:rFonts w:hint="eastAsia" w:ascii="宋体" w:hAnsi="宋体" w:cs="宋体"/>
          <w:b w:val="0"/>
          <w:color w:val="auto"/>
          <w:sz w:val="24"/>
          <w:szCs w:val="24"/>
        </w:rPr>
        <w:t>1</w:t>
      </w:r>
      <w:bookmarkStart w:id="150" w:name="_Toc337558734"/>
      <w:bookmarkStart w:id="151" w:name="_Toc296346536"/>
      <w:bookmarkStart w:id="152" w:name="_Toc296503035"/>
      <w:r>
        <w:rPr>
          <w:rFonts w:hint="eastAsia" w:ascii="宋体" w:hAnsi="宋体" w:cs="宋体"/>
          <w:b w:val="0"/>
          <w:color w:val="auto"/>
          <w:sz w:val="24"/>
          <w:szCs w:val="24"/>
        </w:rPr>
        <w:t>.8严禁贿赂</w:t>
      </w:r>
      <w:bookmarkEnd w:id="149"/>
    </w:p>
    <w:bookmarkEnd w:id="150"/>
    <w:bookmarkEnd w:id="151"/>
    <w:bookmarkEnd w:id="152"/>
    <w:p w14:paraId="6AB5D43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合同当事人不得以贿赂或变相贿赂的方式，谋取非法利益或损害对方权益。因一方合同当事人的贿赂造成对方损失的，应赔偿损失，并承担相应的法律责任。</w:t>
      </w:r>
    </w:p>
    <w:p w14:paraId="59E308E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6CAA6929">
      <w:pPr>
        <w:pStyle w:val="8"/>
        <w:spacing w:before="120" w:after="120" w:line="312" w:lineRule="auto"/>
        <w:ind w:firstLine="480" w:firstLineChars="200"/>
        <w:rPr>
          <w:rFonts w:hint="eastAsia" w:ascii="宋体" w:hAnsi="宋体" w:cs="宋体"/>
          <w:b w:val="0"/>
          <w:color w:val="auto"/>
          <w:sz w:val="24"/>
          <w:szCs w:val="24"/>
        </w:rPr>
      </w:pPr>
      <w:bookmarkStart w:id="153" w:name="_Toc351203504"/>
      <w:r>
        <w:rPr>
          <w:rFonts w:hint="eastAsia" w:ascii="宋体" w:hAnsi="宋体" w:cs="宋体"/>
          <w:b w:val="0"/>
          <w:color w:val="auto"/>
          <w:sz w:val="24"/>
          <w:szCs w:val="24"/>
        </w:rPr>
        <w:t>1</w:t>
      </w:r>
      <w:bookmarkStart w:id="154" w:name="_Toc296346537"/>
      <w:bookmarkStart w:id="155" w:name="_Toc337558735"/>
      <w:bookmarkStart w:id="156" w:name="_Toc296503036"/>
      <w:r>
        <w:rPr>
          <w:rFonts w:hint="eastAsia" w:ascii="宋体" w:hAnsi="宋体" w:cs="宋体"/>
          <w:b w:val="0"/>
          <w:color w:val="auto"/>
          <w:sz w:val="24"/>
          <w:szCs w:val="24"/>
        </w:rPr>
        <w:t>.9化石、文物</w:t>
      </w:r>
      <w:bookmarkEnd w:id="153"/>
    </w:p>
    <w:bookmarkEnd w:id="154"/>
    <w:bookmarkEnd w:id="155"/>
    <w:bookmarkEnd w:id="156"/>
    <w:p w14:paraId="0724861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F59B1D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发包人、监理人和承包人应按有关政府行政管理部门要求采取妥善的保护措施，由此增加的费用和（或）延误的工期由发包人承担。</w:t>
      </w:r>
    </w:p>
    <w:p w14:paraId="1657C40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承包人发现文物后不及时报告或隐瞒不报，致使文物丢失或损坏的，应赔偿损失，并承担相应的法律责任。</w:t>
      </w:r>
    </w:p>
    <w:p w14:paraId="1CD9D5AF">
      <w:pPr>
        <w:pStyle w:val="8"/>
        <w:spacing w:before="120" w:after="120" w:line="312" w:lineRule="auto"/>
        <w:ind w:firstLine="480" w:firstLineChars="200"/>
        <w:rPr>
          <w:rFonts w:hint="eastAsia" w:ascii="宋体" w:hAnsi="宋体" w:cs="宋体"/>
          <w:b w:val="0"/>
          <w:color w:val="auto"/>
          <w:sz w:val="24"/>
          <w:szCs w:val="24"/>
        </w:rPr>
      </w:pPr>
      <w:bookmarkStart w:id="157" w:name="_Toc351203505"/>
      <w:r>
        <w:rPr>
          <w:rFonts w:hint="eastAsia" w:ascii="宋体" w:hAnsi="宋体" w:cs="宋体"/>
          <w:b w:val="0"/>
          <w:color w:val="auto"/>
          <w:sz w:val="24"/>
          <w:szCs w:val="24"/>
        </w:rPr>
        <w:t>1</w:t>
      </w:r>
      <w:bookmarkStart w:id="158" w:name="_Toc337558736"/>
      <w:r>
        <w:rPr>
          <w:rFonts w:hint="eastAsia" w:ascii="宋体" w:hAnsi="宋体" w:cs="宋体"/>
          <w:b w:val="0"/>
          <w:color w:val="auto"/>
          <w:sz w:val="24"/>
          <w:szCs w:val="24"/>
        </w:rPr>
        <w:t>.10交通运输</w:t>
      </w:r>
      <w:bookmarkEnd w:id="157"/>
    </w:p>
    <w:bookmarkEnd w:id="158"/>
    <w:p w14:paraId="75FF491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1.10.1 出入现场的权利</w:t>
      </w:r>
    </w:p>
    <w:p w14:paraId="70BF7C7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897500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6251DC0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1.10.2 场外交通</w:t>
      </w:r>
    </w:p>
    <w:p w14:paraId="11F7B56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C26556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1.10.3场内交通</w:t>
      </w:r>
    </w:p>
    <w:p w14:paraId="44408AB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276AA9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2F7FA5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场外交通和场内交通的边界由合同当事人在专用合同条款中约定。</w:t>
      </w:r>
    </w:p>
    <w:p w14:paraId="13AE6B2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1.10.4 超大件和超重件的运输</w:t>
      </w:r>
    </w:p>
    <w:p w14:paraId="0C3A6D9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D44585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1.10.5 道路和桥梁的损坏责任</w:t>
      </w:r>
    </w:p>
    <w:p w14:paraId="4E7CCF9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因承包人运输造成施工场地内外公共道路和桥梁损坏的，由承包人承担修复损坏的全部费用和可能引起的赔偿。</w:t>
      </w:r>
    </w:p>
    <w:p w14:paraId="05D57E5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1.10.6 水路和航空运输</w:t>
      </w:r>
    </w:p>
    <w:p w14:paraId="128D254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本款前述各项的内容适用于水路运输和航空运输，其中“道路”一词的涵义包括河道、航线、船闸、机场、码头、堤防以及水路或航空运输中其他相似结构物；“车辆”一词的涵义包括船舶和飞机等。</w:t>
      </w:r>
    </w:p>
    <w:p w14:paraId="01963886">
      <w:pPr>
        <w:pStyle w:val="8"/>
        <w:spacing w:before="120" w:after="120" w:line="312" w:lineRule="auto"/>
        <w:ind w:firstLine="480" w:firstLineChars="200"/>
        <w:rPr>
          <w:rFonts w:hint="eastAsia" w:ascii="宋体" w:hAnsi="宋体" w:cs="宋体"/>
          <w:b w:val="0"/>
          <w:color w:val="auto"/>
          <w:sz w:val="24"/>
          <w:szCs w:val="24"/>
        </w:rPr>
      </w:pPr>
      <w:bookmarkStart w:id="159" w:name="_Toc351203506"/>
      <w:r>
        <w:rPr>
          <w:rFonts w:hint="eastAsia" w:ascii="宋体" w:hAnsi="宋体" w:cs="宋体"/>
          <w:b w:val="0"/>
          <w:color w:val="auto"/>
          <w:sz w:val="24"/>
          <w:szCs w:val="24"/>
        </w:rPr>
        <w:t>1</w:t>
      </w:r>
      <w:bookmarkStart w:id="160" w:name="_Toc337558737"/>
      <w:bookmarkStart w:id="161" w:name="_Toc296346538"/>
      <w:bookmarkStart w:id="162" w:name="_Toc296503037"/>
      <w:r>
        <w:rPr>
          <w:rFonts w:hint="eastAsia" w:ascii="宋体" w:hAnsi="宋体" w:cs="宋体"/>
          <w:b w:val="0"/>
          <w:color w:val="auto"/>
          <w:sz w:val="24"/>
          <w:szCs w:val="24"/>
        </w:rPr>
        <w:t>.11知识产权</w:t>
      </w:r>
      <w:bookmarkEnd w:id="159"/>
      <w:r>
        <w:rPr>
          <w:rFonts w:hint="eastAsia" w:ascii="宋体" w:hAnsi="宋体" w:cs="宋体"/>
          <w:b w:val="0"/>
          <w:color w:val="auto"/>
          <w:sz w:val="24"/>
          <w:szCs w:val="24"/>
        </w:rPr>
        <w:t xml:space="preserve"> </w:t>
      </w:r>
      <w:bookmarkEnd w:id="160"/>
    </w:p>
    <w:bookmarkEnd w:id="161"/>
    <w:bookmarkEnd w:id="162"/>
    <w:p w14:paraId="759DCEA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A964D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1223C8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6C24AA8">
      <w:pPr>
        <w:spacing w:line="312" w:lineRule="auto"/>
        <w:rPr>
          <w:rFonts w:hint="eastAsia" w:ascii="宋体" w:hAnsi="宋体" w:cs="宋体"/>
          <w:color w:val="auto"/>
          <w:sz w:val="24"/>
        </w:rPr>
      </w:pPr>
      <w:r>
        <w:rPr>
          <w:rFonts w:hint="eastAsia" w:ascii="宋体" w:hAnsi="宋体" w:cs="宋体"/>
          <w:color w:val="auto"/>
          <w:kern w:val="0"/>
          <w:sz w:val="24"/>
        </w:rPr>
        <w:t xml:space="preserve">    </w:t>
      </w:r>
      <w:r>
        <w:rPr>
          <w:rFonts w:hint="eastAsia" w:ascii="宋体" w:hAnsi="宋体" w:cs="宋体"/>
          <w:color w:val="auto"/>
          <w:sz w:val="24"/>
        </w:rPr>
        <w:t>1.11.4 除专用合同条款另有约定外，承包人在合同签订前和签订时已确定采用的专利、专有技术、技术秘密的使用费已包含在签约合同价中。</w:t>
      </w:r>
    </w:p>
    <w:p w14:paraId="07E5BE5D">
      <w:pPr>
        <w:pStyle w:val="8"/>
        <w:spacing w:before="120" w:after="120" w:line="312" w:lineRule="auto"/>
        <w:ind w:firstLine="480" w:firstLineChars="200"/>
        <w:rPr>
          <w:rFonts w:hint="eastAsia" w:ascii="宋体" w:hAnsi="宋体" w:cs="宋体"/>
          <w:b w:val="0"/>
          <w:color w:val="auto"/>
          <w:sz w:val="24"/>
          <w:szCs w:val="24"/>
        </w:rPr>
      </w:pPr>
      <w:bookmarkStart w:id="163" w:name="_Toc351203507"/>
      <w:r>
        <w:rPr>
          <w:rFonts w:hint="eastAsia" w:ascii="宋体" w:hAnsi="宋体" w:cs="宋体"/>
          <w:b w:val="0"/>
          <w:color w:val="auto"/>
          <w:sz w:val="24"/>
          <w:szCs w:val="24"/>
        </w:rPr>
        <w:t>1</w:t>
      </w:r>
      <w:bookmarkStart w:id="164" w:name="_Toc337558738"/>
      <w:r>
        <w:rPr>
          <w:rFonts w:hint="eastAsia" w:ascii="宋体" w:hAnsi="宋体" w:cs="宋体"/>
          <w:b w:val="0"/>
          <w:color w:val="auto"/>
          <w:sz w:val="24"/>
          <w:szCs w:val="24"/>
        </w:rPr>
        <w:t>.12保密</w:t>
      </w:r>
      <w:bookmarkEnd w:id="163"/>
    </w:p>
    <w:bookmarkEnd w:id="164"/>
    <w:p w14:paraId="35EFE3A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除法律规定或合同另有约定外，未经发包人同意，承包人不得将发包人提供的图纸、文件以及声明需要保密的资料信息等商业秘密泄露给第三方。</w:t>
      </w:r>
    </w:p>
    <w:p w14:paraId="224AA7F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除法律规定或合同另有约定外，未经承包人同意，发包人不得将承包人提供的技术秘密及声明需要保密的资料信息等商业秘密泄露给第三方。</w:t>
      </w:r>
    </w:p>
    <w:p w14:paraId="763F2C1A">
      <w:pPr>
        <w:pStyle w:val="8"/>
        <w:spacing w:before="120" w:after="120" w:line="312" w:lineRule="auto"/>
        <w:ind w:firstLine="480" w:firstLineChars="200"/>
        <w:rPr>
          <w:rFonts w:hint="eastAsia" w:ascii="宋体" w:hAnsi="宋体" w:cs="宋体"/>
          <w:b w:val="0"/>
          <w:color w:val="auto"/>
          <w:sz w:val="24"/>
          <w:szCs w:val="24"/>
        </w:rPr>
      </w:pPr>
      <w:bookmarkStart w:id="165" w:name="_Toc351203508"/>
      <w:r>
        <w:rPr>
          <w:rFonts w:hint="eastAsia" w:ascii="宋体" w:hAnsi="宋体" w:cs="宋体"/>
          <w:b w:val="0"/>
          <w:color w:val="auto"/>
          <w:sz w:val="24"/>
          <w:szCs w:val="24"/>
        </w:rPr>
        <w:t>1.13工程量清单错误的修正</w:t>
      </w:r>
      <w:bookmarkEnd w:id="165"/>
    </w:p>
    <w:p w14:paraId="53352DB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除专用合同条款另有约定外，发包人提供的工程量清单，应被认为是准确的和完整的。出现下列情形之一时，发包人应予以修正，并相应调整合同价格：</w:t>
      </w:r>
    </w:p>
    <w:p w14:paraId="2AAFC38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（1）工程量清单存在缺项、漏项的；</w:t>
      </w:r>
    </w:p>
    <w:p w14:paraId="25DD383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（2）工程量清单偏差超出专用合同条款约定的工程量偏差范围的；</w:t>
      </w:r>
    </w:p>
    <w:p w14:paraId="171C279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（3）未按照国家现行计量规范强制性规定计量的。</w:t>
      </w:r>
    </w:p>
    <w:p w14:paraId="3C1F6D48">
      <w:pPr>
        <w:pStyle w:val="7"/>
        <w:spacing w:before="120" w:after="120" w:line="312" w:lineRule="auto"/>
        <w:rPr>
          <w:rFonts w:hint="eastAsia"/>
          <w:b w:val="0"/>
          <w:color w:val="auto"/>
          <w:sz w:val="24"/>
          <w:szCs w:val="24"/>
        </w:rPr>
      </w:pPr>
      <w:bookmarkStart w:id="166" w:name="_Toc351203509"/>
      <w:r>
        <w:rPr>
          <w:rFonts w:hint="eastAsia"/>
          <w:b w:val="0"/>
          <w:color w:val="auto"/>
          <w:sz w:val="24"/>
          <w:szCs w:val="24"/>
        </w:rPr>
        <w:t>2</w:t>
      </w:r>
      <w:bookmarkStart w:id="167" w:name="_Toc296346539"/>
      <w:bookmarkStart w:id="168" w:name="_Toc296503038"/>
      <w:bookmarkStart w:id="169" w:name="_Toc337558739"/>
      <w:bookmarkStart w:id="170" w:name="OLE_LINK1"/>
      <w:bookmarkStart w:id="171" w:name="OLE_LINK2"/>
      <w:r>
        <w:rPr>
          <w:rFonts w:hint="eastAsia"/>
          <w:b w:val="0"/>
          <w:color w:val="auto"/>
          <w:sz w:val="24"/>
          <w:szCs w:val="24"/>
        </w:rPr>
        <w:t>. 发包人</w:t>
      </w:r>
      <w:bookmarkEnd w:id="166"/>
    </w:p>
    <w:bookmarkEnd w:id="167"/>
    <w:bookmarkEnd w:id="168"/>
    <w:bookmarkEnd w:id="169"/>
    <w:p w14:paraId="7B874F9E">
      <w:pPr>
        <w:pStyle w:val="8"/>
        <w:spacing w:before="120" w:after="120" w:line="312" w:lineRule="auto"/>
        <w:ind w:firstLine="480" w:firstLineChars="200"/>
        <w:rPr>
          <w:rFonts w:hint="eastAsia" w:ascii="宋体" w:hAnsi="宋体" w:cs="宋体"/>
          <w:b w:val="0"/>
          <w:color w:val="auto"/>
          <w:sz w:val="24"/>
          <w:szCs w:val="24"/>
        </w:rPr>
      </w:pPr>
      <w:bookmarkStart w:id="172" w:name="_Toc351203510"/>
      <w:r>
        <w:rPr>
          <w:rFonts w:hint="eastAsia" w:ascii="宋体" w:hAnsi="宋体" w:cs="宋体"/>
          <w:b w:val="0"/>
          <w:color w:val="auto"/>
          <w:sz w:val="24"/>
          <w:szCs w:val="24"/>
        </w:rPr>
        <w:t>2</w:t>
      </w:r>
      <w:bookmarkStart w:id="173" w:name="_Toc337558740"/>
      <w:bookmarkStart w:id="174" w:name="_Toc296503039"/>
      <w:bookmarkStart w:id="175" w:name="_Toc296346540"/>
      <w:r>
        <w:rPr>
          <w:rFonts w:hint="eastAsia" w:ascii="宋体" w:hAnsi="宋体" w:cs="宋体"/>
          <w:b w:val="0"/>
          <w:color w:val="auto"/>
          <w:sz w:val="24"/>
          <w:szCs w:val="24"/>
        </w:rPr>
        <w:t>.1 许可或批准</w:t>
      </w:r>
      <w:bookmarkEnd w:id="172"/>
    </w:p>
    <w:p w14:paraId="56A2BE6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A000D7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因发包人原因未能及时办理完毕前述许可、批准或备案，由发包人承担由此增加的费用和（或）延误的工期，并支付承包人合理的利润。</w:t>
      </w:r>
    </w:p>
    <w:p w14:paraId="1CFB8863">
      <w:pPr>
        <w:pStyle w:val="8"/>
        <w:spacing w:before="120" w:after="120" w:line="312" w:lineRule="auto"/>
        <w:ind w:firstLine="480" w:firstLineChars="200"/>
        <w:rPr>
          <w:rFonts w:hint="eastAsia" w:ascii="宋体" w:hAnsi="宋体" w:cs="宋体"/>
          <w:b w:val="0"/>
          <w:color w:val="auto"/>
          <w:sz w:val="24"/>
          <w:szCs w:val="24"/>
        </w:rPr>
      </w:pPr>
      <w:bookmarkStart w:id="176" w:name="_Toc351203511"/>
      <w:r>
        <w:rPr>
          <w:rFonts w:hint="eastAsia" w:ascii="宋体" w:hAnsi="宋体" w:cs="宋体"/>
          <w:b w:val="0"/>
          <w:color w:val="auto"/>
          <w:sz w:val="24"/>
          <w:szCs w:val="24"/>
        </w:rPr>
        <w:t>2.2 发包人代表</w:t>
      </w:r>
      <w:bookmarkEnd w:id="176"/>
    </w:p>
    <w:p w14:paraId="60E2F03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42DCD57">
      <w:pPr>
        <w:spacing w:line="312" w:lineRule="auto"/>
        <w:ind w:firstLine="480" w:firstLineChars="200"/>
        <w:rPr>
          <w:rFonts w:hint="eastAsia" w:ascii="宋体" w:hAnsi="宋体" w:cs="宋体"/>
          <w:color w:val="auto"/>
          <w:kern w:val="0"/>
          <w:sz w:val="24"/>
        </w:rPr>
      </w:pPr>
      <w:r>
        <w:rPr>
          <w:rFonts w:hint="eastAsia" w:ascii="宋体" w:hAnsi="宋体" w:cs="宋体"/>
          <w:color w:val="auto"/>
          <w:kern w:val="0"/>
          <w:sz w:val="24"/>
        </w:rPr>
        <w:t>发包人代表不能按照合同约定履行其职责及义务，并导致合同无法继续正常履行的，承包人可以要求发包人撤换发包人代表。</w:t>
      </w:r>
    </w:p>
    <w:p w14:paraId="620B778B">
      <w:pPr>
        <w:spacing w:line="312" w:lineRule="auto"/>
        <w:ind w:firstLine="480" w:firstLineChars="200"/>
        <w:rPr>
          <w:rFonts w:hint="eastAsia" w:ascii="宋体" w:hAnsi="宋体" w:cs="宋体"/>
          <w:color w:val="auto"/>
          <w:sz w:val="24"/>
        </w:rPr>
      </w:pPr>
      <w:r>
        <w:rPr>
          <w:rFonts w:hint="eastAsia" w:ascii="宋体" w:hAnsi="宋体" w:cs="宋体"/>
          <w:color w:val="auto"/>
          <w:kern w:val="0"/>
          <w:sz w:val="24"/>
        </w:rPr>
        <w:t>不属于法定必须监理的工程，监理人的职权可以由发包人代表或发包人指定的其他人员行使。</w:t>
      </w:r>
    </w:p>
    <w:p w14:paraId="698077B8">
      <w:pPr>
        <w:pStyle w:val="8"/>
        <w:spacing w:before="120" w:after="120" w:line="312" w:lineRule="auto"/>
        <w:ind w:firstLine="480" w:firstLineChars="200"/>
        <w:rPr>
          <w:rFonts w:hint="eastAsia" w:ascii="宋体" w:hAnsi="宋体" w:cs="宋体"/>
          <w:b w:val="0"/>
          <w:color w:val="auto"/>
          <w:sz w:val="24"/>
          <w:szCs w:val="24"/>
        </w:rPr>
      </w:pPr>
      <w:bookmarkStart w:id="177" w:name="_Toc351203512"/>
      <w:r>
        <w:rPr>
          <w:rFonts w:hint="eastAsia" w:ascii="宋体" w:hAnsi="宋体" w:cs="宋体"/>
          <w:b w:val="0"/>
          <w:color w:val="auto"/>
          <w:sz w:val="24"/>
          <w:szCs w:val="24"/>
        </w:rPr>
        <w:t>2.3 发包人人员</w:t>
      </w:r>
      <w:bookmarkEnd w:id="177"/>
    </w:p>
    <w:p w14:paraId="71C8FED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发包人应要求在施工现场的发包人人员遵守法律及有关安全、质量、环境保护、文明施工等规定，并保障承包人免于承受因发包人人员未遵守上述要求给承包人造成的损失和责任。</w:t>
      </w:r>
    </w:p>
    <w:p w14:paraId="55228525">
      <w:pPr>
        <w:spacing w:line="312" w:lineRule="auto"/>
        <w:ind w:firstLine="640"/>
        <w:jc w:val="left"/>
        <w:rPr>
          <w:rFonts w:hint="eastAsia" w:ascii="宋体" w:hAnsi="宋体" w:cs="宋体"/>
          <w:color w:val="auto"/>
          <w:kern w:val="0"/>
          <w:sz w:val="24"/>
        </w:rPr>
      </w:pPr>
      <w:r>
        <w:rPr>
          <w:rFonts w:hint="eastAsia" w:ascii="宋体" w:hAnsi="宋体" w:cs="宋体"/>
          <w:color w:val="auto"/>
          <w:kern w:val="0"/>
          <w:sz w:val="24"/>
        </w:rPr>
        <w:t>发包人人员包括发包人代表及其他由发包人派驻施工现场的人员。</w:t>
      </w:r>
      <w:bookmarkEnd w:id="173"/>
      <w:bookmarkEnd w:id="174"/>
      <w:bookmarkEnd w:id="175"/>
    </w:p>
    <w:p w14:paraId="3D98624B">
      <w:pPr>
        <w:pStyle w:val="8"/>
        <w:spacing w:before="120" w:after="120" w:line="312" w:lineRule="auto"/>
        <w:ind w:firstLine="480" w:firstLineChars="200"/>
        <w:rPr>
          <w:rFonts w:hint="eastAsia" w:ascii="宋体" w:hAnsi="宋体" w:cs="宋体"/>
          <w:b w:val="0"/>
          <w:color w:val="auto"/>
          <w:sz w:val="24"/>
          <w:szCs w:val="24"/>
        </w:rPr>
      </w:pPr>
      <w:bookmarkStart w:id="178" w:name="_Toc351203513"/>
      <w:r>
        <w:rPr>
          <w:rFonts w:hint="eastAsia" w:ascii="宋体" w:hAnsi="宋体" w:cs="宋体"/>
          <w:b w:val="0"/>
          <w:color w:val="auto"/>
          <w:sz w:val="24"/>
          <w:szCs w:val="24"/>
        </w:rPr>
        <w:t>2</w:t>
      </w:r>
      <w:bookmarkStart w:id="179" w:name="_Toc296346541"/>
      <w:bookmarkStart w:id="180" w:name="_Toc296503040"/>
      <w:bookmarkStart w:id="181" w:name="_Toc337558741"/>
      <w:r>
        <w:rPr>
          <w:rFonts w:hint="eastAsia" w:ascii="宋体" w:hAnsi="宋体" w:cs="宋体"/>
          <w:b w:val="0"/>
          <w:color w:val="auto"/>
          <w:sz w:val="24"/>
          <w:szCs w:val="24"/>
        </w:rPr>
        <w:t>.4 施工现场、施工条件和基础资料的提供</w:t>
      </w:r>
      <w:bookmarkEnd w:id="178"/>
      <w:r>
        <w:rPr>
          <w:rFonts w:hint="eastAsia" w:ascii="宋体" w:hAnsi="宋体" w:cs="宋体"/>
          <w:b w:val="0"/>
          <w:color w:val="auto"/>
          <w:sz w:val="24"/>
          <w:szCs w:val="24"/>
        </w:rPr>
        <w:t xml:space="preserve"> </w:t>
      </w:r>
      <w:bookmarkEnd w:id="179"/>
      <w:bookmarkEnd w:id="180"/>
      <w:bookmarkEnd w:id="181"/>
      <w:r>
        <w:rPr>
          <w:rFonts w:hint="eastAsia" w:ascii="宋体" w:hAnsi="宋体" w:cs="宋体"/>
          <w:b w:val="0"/>
          <w:color w:val="auto"/>
          <w:sz w:val="24"/>
          <w:szCs w:val="24"/>
        </w:rPr>
        <w:t xml:space="preserve"> </w:t>
      </w:r>
    </w:p>
    <w:p w14:paraId="23705DA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2.4.1 提供施工现场</w:t>
      </w:r>
    </w:p>
    <w:p w14:paraId="01754E0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w:t>
      </w:r>
      <w:bookmarkEnd w:id="170"/>
      <w:bookmarkEnd w:id="171"/>
      <w:r>
        <w:rPr>
          <w:rFonts w:hint="eastAsia" w:ascii="宋体" w:hAnsi="宋体" w:cs="宋体"/>
          <w:color w:val="auto"/>
          <w:kern w:val="0"/>
          <w:sz w:val="24"/>
        </w:rPr>
        <w:t>专用合同条款另有约定外，发包人应最迟于开工日期7天前向承包人移交施工现场。</w:t>
      </w:r>
    </w:p>
    <w:p w14:paraId="1C6EA26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2.4.2 提供施工条件</w:t>
      </w:r>
    </w:p>
    <w:p w14:paraId="0F52488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除专用合同条款另有约定外，发包人应负责提供施工所需要的条件，包括：</w:t>
      </w:r>
    </w:p>
    <w:p w14:paraId="7A5963C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（1）将施工用水、电力、通讯线路等施工所必需的条件接至施工现场内；</w:t>
      </w:r>
    </w:p>
    <w:p w14:paraId="5590E29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（2）保证向承包人提供正常施工所需要的进入施工现场的交通条件；</w:t>
      </w:r>
    </w:p>
    <w:p w14:paraId="040E9F2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（3）协调处理施工现场周围地下管线和邻近建筑物、构筑物、古树名木的保护工作，并承担相关费用；</w:t>
      </w:r>
    </w:p>
    <w:p w14:paraId="119E45E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（4）按照专用合同条款约定应提供的其他设施和条件。</w:t>
      </w:r>
    </w:p>
    <w:p w14:paraId="5FC8FB1A">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2.4.3 提供基础资料</w:t>
      </w:r>
    </w:p>
    <w:p w14:paraId="4EDE17F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1F8BB3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按照法律规定确需在开工后方能提供的基础资料，发包人应尽其努力及时地在相应工程施工前的合理期限内提供，合理期限应以不影响承包人的正常施工为限。</w:t>
      </w:r>
    </w:p>
    <w:p w14:paraId="0EDA2EB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2.4.4 逾期提供的责任</w:t>
      </w:r>
    </w:p>
    <w:p w14:paraId="5C8CD49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因发包人原因未能按合同约定及时向承包人提供施工现场、施工条件、基础资料的，由发包人承担由此增加的费用和（或）延误的工期。</w:t>
      </w:r>
    </w:p>
    <w:p w14:paraId="58D3B84B">
      <w:pPr>
        <w:pStyle w:val="8"/>
        <w:spacing w:before="120" w:after="120" w:line="312" w:lineRule="auto"/>
        <w:ind w:firstLine="480" w:firstLineChars="200"/>
        <w:rPr>
          <w:rFonts w:hint="eastAsia" w:ascii="宋体" w:hAnsi="宋体" w:cs="宋体"/>
          <w:b w:val="0"/>
          <w:color w:val="auto"/>
          <w:sz w:val="24"/>
          <w:szCs w:val="24"/>
        </w:rPr>
      </w:pPr>
      <w:bookmarkStart w:id="182" w:name="_Toc351203514"/>
      <w:r>
        <w:rPr>
          <w:rFonts w:hint="eastAsia" w:ascii="宋体" w:hAnsi="宋体" w:cs="宋体"/>
          <w:b w:val="0"/>
          <w:color w:val="auto"/>
          <w:sz w:val="24"/>
          <w:szCs w:val="24"/>
        </w:rPr>
        <w:t>2</w:t>
      </w:r>
      <w:bookmarkStart w:id="183" w:name="_Toc296503042"/>
      <w:bookmarkStart w:id="184" w:name="_Toc296346543"/>
      <w:bookmarkStart w:id="185" w:name="_Toc337558745"/>
      <w:r>
        <w:rPr>
          <w:rFonts w:hint="eastAsia" w:ascii="宋体" w:hAnsi="宋体" w:cs="宋体"/>
          <w:b w:val="0"/>
          <w:color w:val="auto"/>
          <w:sz w:val="24"/>
          <w:szCs w:val="24"/>
        </w:rPr>
        <w:t>.5 资</w:t>
      </w:r>
      <w:bookmarkEnd w:id="183"/>
      <w:bookmarkEnd w:id="184"/>
      <w:bookmarkEnd w:id="185"/>
      <w:r>
        <w:rPr>
          <w:rFonts w:hint="eastAsia" w:ascii="宋体" w:hAnsi="宋体" w:cs="宋体"/>
          <w:b w:val="0"/>
          <w:color w:val="auto"/>
          <w:sz w:val="24"/>
          <w:szCs w:val="24"/>
        </w:rPr>
        <w:t>金来源证明及支付担保</w:t>
      </w:r>
      <w:bookmarkEnd w:id="182"/>
    </w:p>
    <w:p w14:paraId="59EC12F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除专用合同条款另有约定外，发包人应在收到承包人要求提供资金来源证明的书面通知后28天内，向承包人提供能够按照合同约定支付合同价款的相应资金来源证明。</w:t>
      </w:r>
    </w:p>
    <w:p w14:paraId="288F44F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2A1FA818">
      <w:pPr>
        <w:pStyle w:val="8"/>
        <w:spacing w:before="120" w:after="120" w:line="312" w:lineRule="auto"/>
        <w:ind w:firstLine="480" w:firstLineChars="200"/>
        <w:rPr>
          <w:rFonts w:hint="eastAsia" w:ascii="宋体" w:hAnsi="宋体" w:cs="宋体"/>
          <w:b w:val="0"/>
          <w:color w:val="auto"/>
          <w:sz w:val="24"/>
          <w:szCs w:val="24"/>
        </w:rPr>
      </w:pPr>
      <w:bookmarkStart w:id="186" w:name="_Toc351203515"/>
      <w:r>
        <w:rPr>
          <w:rFonts w:hint="eastAsia" w:ascii="宋体" w:hAnsi="宋体" w:cs="宋体"/>
          <w:b w:val="0"/>
          <w:color w:val="auto"/>
          <w:sz w:val="24"/>
          <w:szCs w:val="24"/>
        </w:rPr>
        <w:t>2.6 支付合同价款</w:t>
      </w:r>
      <w:bookmarkEnd w:id="186"/>
    </w:p>
    <w:p w14:paraId="5720D5B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发包人应按合同约定向承包人及时支付合同价款。</w:t>
      </w:r>
    </w:p>
    <w:p w14:paraId="0504367C">
      <w:pPr>
        <w:pStyle w:val="8"/>
        <w:spacing w:before="120" w:after="120" w:line="312" w:lineRule="auto"/>
        <w:ind w:firstLine="480" w:firstLineChars="200"/>
        <w:rPr>
          <w:rFonts w:hint="eastAsia" w:ascii="宋体" w:hAnsi="宋体" w:cs="宋体"/>
          <w:b w:val="0"/>
          <w:color w:val="auto"/>
          <w:sz w:val="24"/>
          <w:szCs w:val="24"/>
        </w:rPr>
      </w:pPr>
      <w:bookmarkStart w:id="187" w:name="_Toc351203516"/>
      <w:r>
        <w:rPr>
          <w:rFonts w:hint="eastAsia" w:ascii="宋体" w:hAnsi="宋体" w:cs="宋体"/>
          <w:b w:val="0"/>
          <w:color w:val="auto"/>
          <w:sz w:val="24"/>
          <w:szCs w:val="24"/>
        </w:rPr>
        <w:t>2.7 组织竣工验收</w:t>
      </w:r>
      <w:bookmarkEnd w:id="187"/>
    </w:p>
    <w:p w14:paraId="364651B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发包人应按合同约定及时组织竣工验收。</w:t>
      </w:r>
    </w:p>
    <w:p w14:paraId="2760C970">
      <w:pPr>
        <w:pStyle w:val="8"/>
        <w:spacing w:before="120" w:after="120" w:line="312" w:lineRule="auto"/>
        <w:ind w:firstLine="480" w:firstLineChars="200"/>
        <w:rPr>
          <w:rFonts w:hint="eastAsia" w:ascii="宋体" w:hAnsi="宋体" w:cs="宋体"/>
          <w:b w:val="0"/>
          <w:color w:val="auto"/>
          <w:sz w:val="24"/>
          <w:szCs w:val="24"/>
        </w:rPr>
      </w:pPr>
      <w:bookmarkStart w:id="188" w:name="_Toc351203517"/>
      <w:r>
        <w:rPr>
          <w:rFonts w:hint="eastAsia" w:ascii="宋体" w:hAnsi="宋体" w:cs="宋体"/>
          <w:b w:val="0"/>
          <w:color w:val="auto"/>
          <w:sz w:val="24"/>
          <w:szCs w:val="24"/>
        </w:rPr>
        <w:t>2.8 现场统一管理协议</w:t>
      </w:r>
      <w:bookmarkEnd w:id="188"/>
    </w:p>
    <w:p w14:paraId="6759720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发包人应与承包人、由发包人直接发包的专业工程的承包人签订施工现场统一管理协议，明确各方的权利义务。施工现场统一管理协议作为专用合同条款的附件。</w:t>
      </w:r>
    </w:p>
    <w:p w14:paraId="19007803">
      <w:pPr>
        <w:pStyle w:val="7"/>
        <w:spacing w:before="120" w:after="120" w:line="312" w:lineRule="auto"/>
        <w:rPr>
          <w:rFonts w:hint="eastAsia"/>
          <w:b w:val="0"/>
          <w:color w:val="auto"/>
          <w:sz w:val="24"/>
          <w:szCs w:val="24"/>
        </w:rPr>
      </w:pPr>
      <w:bookmarkStart w:id="189" w:name="_Toc351203518"/>
      <w:r>
        <w:rPr>
          <w:rFonts w:hint="eastAsia"/>
          <w:b w:val="0"/>
          <w:color w:val="auto"/>
          <w:sz w:val="24"/>
          <w:szCs w:val="24"/>
        </w:rPr>
        <w:t>3</w:t>
      </w:r>
      <w:bookmarkStart w:id="190" w:name="_Toc296346546"/>
      <w:bookmarkStart w:id="191" w:name="_Toc296503045"/>
      <w:bookmarkStart w:id="192" w:name="_Toc337558746"/>
      <w:r>
        <w:rPr>
          <w:rFonts w:hint="eastAsia"/>
          <w:b w:val="0"/>
          <w:color w:val="auto"/>
          <w:sz w:val="24"/>
          <w:szCs w:val="24"/>
        </w:rPr>
        <w:t>. 承包人</w:t>
      </w:r>
      <w:bookmarkEnd w:id="189"/>
    </w:p>
    <w:bookmarkEnd w:id="190"/>
    <w:bookmarkEnd w:id="191"/>
    <w:bookmarkEnd w:id="192"/>
    <w:p w14:paraId="43C8753A">
      <w:pPr>
        <w:pStyle w:val="8"/>
        <w:spacing w:before="120" w:after="120" w:line="312" w:lineRule="auto"/>
        <w:ind w:firstLine="480" w:firstLineChars="200"/>
        <w:rPr>
          <w:rFonts w:hint="eastAsia" w:ascii="宋体" w:hAnsi="宋体" w:cs="宋体"/>
          <w:b w:val="0"/>
          <w:color w:val="auto"/>
          <w:sz w:val="24"/>
          <w:szCs w:val="24"/>
        </w:rPr>
      </w:pPr>
      <w:bookmarkStart w:id="193" w:name="_Toc351203519"/>
      <w:r>
        <w:rPr>
          <w:rFonts w:hint="eastAsia" w:ascii="宋体" w:hAnsi="宋体" w:cs="宋体"/>
          <w:b w:val="0"/>
          <w:color w:val="auto"/>
          <w:sz w:val="24"/>
          <w:szCs w:val="24"/>
        </w:rPr>
        <w:t>3</w:t>
      </w:r>
      <w:bookmarkStart w:id="194" w:name="_Toc337558747"/>
      <w:bookmarkStart w:id="195" w:name="_Toc296503046"/>
      <w:bookmarkStart w:id="196" w:name="_Toc296346547"/>
      <w:r>
        <w:rPr>
          <w:rFonts w:hint="eastAsia" w:ascii="宋体" w:hAnsi="宋体" w:cs="宋体"/>
          <w:b w:val="0"/>
          <w:color w:val="auto"/>
          <w:sz w:val="24"/>
          <w:szCs w:val="24"/>
        </w:rPr>
        <w:t>.1 承包人的一般义务</w:t>
      </w:r>
      <w:bookmarkEnd w:id="193"/>
    </w:p>
    <w:bookmarkEnd w:id="194"/>
    <w:bookmarkEnd w:id="195"/>
    <w:bookmarkEnd w:id="196"/>
    <w:p w14:paraId="7CC0A52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承包人在履行合同过程中应遵守法律和工程建设标准规范，并履行以下义务：</w:t>
      </w:r>
    </w:p>
    <w:p w14:paraId="52C96324">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办理法律规定应由承包人办理的许可和批准，并将办理结果书面报送发包人留存；</w:t>
      </w:r>
    </w:p>
    <w:p w14:paraId="74160F0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（2）按法律规定和合同约定完成工程，并在保修期内承担保修义务；</w:t>
      </w:r>
    </w:p>
    <w:p w14:paraId="164C193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（3）按法律规定和合同约定采取施工安全和环境保护措施，办理工伤保险，确保工程及人员、材料、设备和设施的安全；</w:t>
      </w:r>
    </w:p>
    <w:p w14:paraId="405CC59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（4）按合同约定的工作内容和施工进度要求，编制施工组织设计和施工措施计划，并对所有施工作业和施工方法的完备性和安全可靠性负责；</w:t>
      </w:r>
    </w:p>
    <w:p w14:paraId="362C9B9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00FD67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（6）按照第6.3款〔环境保护〕约定负责施工场地及其周边环境与生态的保护工作；</w:t>
      </w:r>
    </w:p>
    <w:p w14:paraId="682F321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（7）按第6.1款〔安全文明施工〕约定采取施工安全措施，确保工程及其人员、材料、设备和设施的安全，防止因工程施工造成的人身伤害和财产损失；</w:t>
      </w:r>
    </w:p>
    <w:p w14:paraId="17A10A7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（8）将发包人按合同约定支付的各项价款专用于合同工程，且应及时支付其雇用人员工资，并及时向分包人支付合同价款；</w:t>
      </w:r>
    </w:p>
    <w:p w14:paraId="70CB5BE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（9）按照法律规定和合同约定编制竣工资料，完成竣工资料立卷及归档，并按专用合同条款约定的竣工资料的套数、内容、时间等要求移交发包人；</w:t>
      </w:r>
    </w:p>
    <w:p w14:paraId="5221721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（10）应履行的其他义务。</w:t>
      </w:r>
    </w:p>
    <w:p w14:paraId="6E4A60A1">
      <w:pPr>
        <w:pStyle w:val="8"/>
        <w:spacing w:before="120" w:after="120" w:line="312" w:lineRule="auto"/>
        <w:ind w:firstLine="480" w:firstLineChars="200"/>
        <w:rPr>
          <w:rFonts w:hint="eastAsia" w:ascii="宋体" w:hAnsi="宋体" w:cs="宋体"/>
          <w:b w:val="0"/>
          <w:color w:val="auto"/>
          <w:sz w:val="24"/>
          <w:szCs w:val="24"/>
        </w:rPr>
      </w:pPr>
      <w:bookmarkStart w:id="197" w:name="_Toc351203520"/>
      <w:r>
        <w:rPr>
          <w:rFonts w:hint="eastAsia" w:ascii="宋体" w:hAnsi="宋体" w:cs="宋体"/>
          <w:b w:val="0"/>
          <w:color w:val="auto"/>
          <w:sz w:val="24"/>
          <w:szCs w:val="24"/>
        </w:rPr>
        <w:t>3</w:t>
      </w:r>
      <w:bookmarkStart w:id="198" w:name="_Toc337558748"/>
      <w:bookmarkStart w:id="199" w:name="_Toc296346548"/>
      <w:bookmarkStart w:id="200" w:name="_Toc296503047"/>
      <w:r>
        <w:rPr>
          <w:rFonts w:hint="eastAsia" w:ascii="宋体" w:hAnsi="宋体" w:cs="宋体"/>
          <w:b w:val="0"/>
          <w:color w:val="auto"/>
          <w:sz w:val="24"/>
          <w:szCs w:val="24"/>
        </w:rPr>
        <w:t xml:space="preserve">.2 </w:t>
      </w:r>
      <w:bookmarkEnd w:id="197"/>
      <w:r>
        <w:rPr>
          <w:rFonts w:hint="eastAsia" w:ascii="宋体" w:hAnsi="宋体" w:cs="宋体"/>
          <w:b w:val="0"/>
          <w:color w:val="auto"/>
          <w:sz w:val="24"/>
          <w:szCs w:val="24"/>
        </w:rPr>
        <w:t>项目经理</w:t>
      </w:r>
    </w:p>
    <w:bookmarkEnd w:id="198"/>
    <w:bookmarkEnd w:id="199"/>
    <w:bookmarkEnd w:id="200"/>
    <w:p w14:paraId="7C2BBB1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12082A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05A7B7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承包人违反上述约定的，应按照专用合同条款的约定，承担违约责任。</w:t>
      </w:r>
    </w:p>
    <w:p w14:paraId="3F2ADE6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8CAA39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2EF1E5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62670A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14:paraId="1C5B257B">
      <w:pPr>
        <w:pStyle w:val="8"/>
        <w:spacing w:before="120" w:after="120" w:line="312" w:lineRule="auto"/>
        <w:ind w:firstLine="480" w:firstLineChars="200"/>
        <w:rPr>
          <w:rFonts w:hint="eastAsia" w:ascii="宋体" w:hAnsi="宋体" w:cs="宋体"/>
          <w:b w:val="0"/>
          <w:color w:val="auto"/>
          <w:sz w:val="24"/>
          <w:szCs w:val="24"/>
        </w:rPr>
      </w:pPr>
      <w:bookmarkStart w:id="201" w:name="_Toc351203521"/>
      <w:r>
        <w:rPr>
          <w:rFonts w:hint="eastAsia" w:ascii="宋体" w:hAnsi="宋体" w:cs="宋体"/>
          <w:b w:val="0"/>
          <w:color w:val="auto"/>
          <w:sz w:val="24"/>
          <w:szCs w:val="24"/>
        </w:rPr>
        <w:t>3</w:t>
      </w:r>
      <w:bookmarkStart w:id="202" w:name="_Toc296346549"/>
      <w:bookmarkStart w:id="203" w:name="_Toc296503048"/>
      <w:bookmarkStart w:id="204" w:name="_Toc337558749"/>
      <w:r>
        <w:rPr>
          <w:rFonts w:hint="eastAsia" w:ascii="宋体" w:hAnsi="宋体" w:cs="宋体"/>
          <w:b w:val="0"/>
          <w:color w:val="auto"/>
          <w:sz w:val="24"/>
          <w:szCs w:val="24"/>
        </w:rPr>
        <w:t xml:space="preserve">.3 </w:t>
      </w:r>
      <w:bookmarkEnd w:id="202"/>
      <w:bookmarkEnd w:id="203"/>
      <w:r>
        <w:rPr>
          <w:rFonts w:hint="eastAsia" w:ascii="宋体" w:hAnsi="宋体" w:cs="宋体"/>
          <w:b w:val="0"/>
          <w:color w:val="auto"/>
          <w:sz w:val="24"/>
          <w:szCs w:val="24"/>
        </w:rPr>
        <w:t>承包人人员</w:t>
      </w:r>
      <w:bookmarkEnd w:id="201"/>
    </w:p>
    <w:bookmarkEnd w:id="204"/>
    <w:p w14:paraId="7E1A82D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8A7DD1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04B1A3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特殊工种作业人员均应持有相应的资格证明，监理人可以随时检查。</w:t>
      </w:r>
    </w:p>
    <w:p w14:paraId="7C10496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A83645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2C55B0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3.3.5 承包人擅自更换主要施工管理人员，或前述人员未经监理人或发包人同意擅自离开施工现场的，应按照专用合同条款约定承担违约责任。</w:t>
      </w:r>
    </w:p>
    <w:p w14:paraId="7D92BBA1">
      <w:pPr>
        <w:pStyle w:val="8"/>
        <w:spacing w:before="120" w:after="120" w:line="312" w:lineRule="auto"/>
        <w:ind w:firstLine="480" w:firstLineChars="200"/>
        <w:rPr>
          <w:rFonts w:hint="eastAsia" w:ascii="宋体" w:hAnsi="宋体" w:cs="宋体"/>
          <w:b w:val="0"/>
          <w:color w:val="auto"/>
          <w:sz w:val="24"/>
          <w:szCs w:val="24"/>
        </w:rPr>
      </w:pPr>
      <w:bookmarkStart w:id="205" w:name="_Toc351203522"/>
      <w:r>
        <w:rPr>
          <w:rFonts w:hint="eastAsia" w:ascii="宋体" w:hAnsi="宋体" w:cs="宋体"/>
          <w:b w:val="0"/>
          <w:color w:val="auto"/>
          <w:sz w:val="24"/>
          <w:szCs w:val="24"/>
        </w:rPr>
        <w:t>3</w:t>
      </w:r>
      <w:bookmarkStart w:id="206" w:name="_Toc337558750"/>
      <w:bookmarkStart w:id="207" w:name="_Toc296346551"/>
      <w:bookmarkStart w:id="208" w:name="_Toc296503050"/>
      <w:r>
        <w:rPr>
          <w:rFonts w:hint="eastAsia" w:ascii="宋体" w:hAnsi="宋体" w:cs="宋体"/>
          <w:b w:val="0"/>
          <w:color w:val="auto"/>
          <w:sz w:val="24"/>
          <w:szCs w:val="24"/>
        </w:rPr>
        <w:t>.4 承包人现场查勘</w:t>
      </w:r>
      <w:bookmarkEnd w:id="205"/>
    </w:p>
    <w:bookmarkEnd w:id="206"/>
    <w:bookmarkEnd w:id="207"/>
    <w:bookmarkEnd w:id="208"/>
    <w:p w14:paraId="0E9F4231">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承包人应对基于发包人按照第2.4.3项〔提供基础资料〕提交的基础资料所做出的解释和推断负责，但因基础资料存在错误、遗漏导致承包人解释或推断失实的，由发包人承担责任。</w:t>
      </w:r>
    </w:p>
    <w:p w14:paraId="586CDBD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E06062F">
      <w:pPr>
        <w:pStyle w:val="8"/>
        <w:spacing w:before="120" w:after="120" w:line="312" w:lineRule="auto"/>
        <w:ind w:firstLine="480" w:firstLineChars="200"/>
        <w:rPr>
          <w:rFonts w:hint="eastAsia" w:ascii="宋体" w:hAnsi="宋体" w:cs="宋体"/>
          <w:b w:val="0"/>
          <w:color w:val="auto"/>
          <w:sz w:val="24"/>
          <w:szCs w:val="24"/>
        </w:rPr>
      </w:pPr>
      <w:bookmarkStart w:id="209" w:name="_Toc351203523"/>
      <w:r>
        <w:rPr>
          <w:rFonts w:hint="eastAsia" w:ascii="宋体" w:hAnsi="宋体" w:cs="宋体"/>
          <w:b w:val="0"/>
          <w:color w:val="auto"/>
          <w:sz w:val="24"/>
          <w:szCs w:val="24"/>
        </w:rPr>
        <w:t>3</w:t>
      </w:r>
      <w:bookmarkStart w:id="210" w:name="_Toc337558751"/>
      <w:bookmarkStart w:id="211" w:name="_Toc296503051"/>
      <w:bookmarkStart w:id="212" w:name="_Toc296346552"/>
      <w:r>
        <w:rPr>
          <w:rFonts w:hint="eastAsia" w:ascii="宋体" w:hAnsi="宋体" w:cs="宋体"/>
          <w:b w:val="0"/>
          <w:color w:val="auto"/>
          <w:sz w:val="24"/>
          <w:szCs w:val="24"/>
        </w:rPr>
        <w:t>.5 分包</w:t>
      </w:r>
      <w:bookmarkEnd w:id="209"/>
    </w:p>
    <w:bookmarkEnd w:id="210"/>
    <w:bookmarkEnd w:id="211"/>
    <w:bookmarkEnd w:id="212"/>
    <w:p w14:paraId="001DF62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3.5.1 分包的一般约定</w:t>
      </w:r>
    </w:p>
    <w:p w14:paraId="2D5DBD0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BB8F33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承包人不得以劳务分包的名义转包或违法分包工程。</w:t>
      </w:r>
    </w:p>
    <w:p w14:paraId="13E76D2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3.5.2 分包的确定</w:t>
      </w:r>
    </w:p>
    <w:p w14:paraId="77C3B75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CE03C8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3.5.3 分包管理</w:t>
      </w:r>
    </w:p>
    <w:p w14:paraId="3F8B080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承包人应向监理人提交分包人的主要施工管理人员表，并对分包人的施工人员进行实名制管理，包括但不限于进出场管理、登记造册以及各种证照的办理。</w:t>
      </w:r>
    </w:p>
    <w:p w14:paraId="1EDC7B4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3.5.4 分包合同价款</w:t>
      </w:r>
    </w:p>
    <w:p w14:paraId="12CD2E3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（1）除本项第（2）目约定的情况或专用合同条款另有约定外，分包合同价款由承包人与分包人结算，未经承包人同意，发包人不得向分包人支付分包工程价款；</w:t>
      </w:r>
    </w:p>
    <w:p w14:paraId="0075003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（2）生效法律文书要求发包人向分包人支付分包合同价款的，发包人有权从应付承包人工程款中扣除该部分款项。</w:t>
      </w:r>
    </w:p>
    <w:p w14:paraId="5EB5DF2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3.5.5 分包合同权益的转让</w:t>
      </w:r>
    </w:p>
    <w:p w14:paraId="2A9DF79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3CECB102">
      <w:pPr>
        <w:pStyle w:val="8"/>
        <w:spacing w:before="120" w:after="120" w:line="312"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3.6 工程照管与成品、半成品保护</w:t>
      </w:r>
      <w:bookmarkEnd w:id="213"/>
    </w:p>
    <w:p w14:paraId="006B168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（1）除专用合同条款另有约定外，自发包人向承包人移交施工现场之日起，承包人应负责照管工程及工程相关的材料、工程设备，直到颁发工程接收证书之日止。</w:t>
      </w:r>
    </w:p>
    <w:p w14:paraId="037EE4D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（2）在承包人负责照管期间，因承包人原因造成工程、材料、工程设备损坏的，由承包人负责修复或更换，并承担由此增加的费用和（或）延误的工期。</w:t>
      </w:r>
    </w:p>
    <w:p w14:paraId="697BFB3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（3）对合同内分期完成的成品和半成品，在工程接收证书颁发前，由承包人承担保护责任。因承包人原因造成成品或半成品损坏的，由承包人负责修复或更换，并承担由此增加的费用和（或）延误的工期。</w:t>
      </w:r>
    </w:p>
    <w:p w14:paraId="09CABC37">
      <w:pPr>
        <w:pStyle w:val="8"/>
        <w:spacing w:before="120" w:after="120" w:line="312" w:lineRule="auto"/>
        <w:ind w:firstLine="480" w:firstLineChars="200"/>
        <w:rPr>
          <w:rFonts w:hint="eastAsia" w:ascii="宋体" w:hAnsi="宋体" w:cs="宋体"/>
          <w:b w:val="0"/>
          <w:color w:val="auto"/>
          <w:sz w:val="24"/>
          <w:szCs w:val="24"/>
        </w:rPr>
      </w:pPr>
      <w:bookmarkStart w:id="214" w:name="_Toc351203525"/>
      <w:r>
        <w:rPr>
          <w:rFonts w:hint="eastAsia" w:ascii="宋体" w:hAnsi="宋体" w:cs="宋体"/>
          <w:b w:val="0"/>
          <w:color w:val="auto"/>
          <w:sz w:val="24"/>
          <w:szCs w:val="24"/>
        </w:rPr>
        <w:t>3</w:t>
      </w:r>
      <w:bookmarkStart w:id="215" w:name="_Toc296346553"/>
      <w:bookmarkStart w:id="216" w:name="_Toc296503052"/>
      <w:bookmarkStart w:id="217" w:name="_Toc337558752"/>
      <w:r>
        <w:rPr>
          <w:rFonts w:hint="eastAsia" w:ascii="宋体" w:hAnsi="宋体" w:cs="宋体"/>
          <w:b w:val="0"/>
          <w:color w:val="auto"/>
          <w:sz w:val="24"/>
          <w:szCs w:val="24"/>
        </w:rPr>
        <w:t>.7 履约担保</w:t>
      </w:r>
      <w:bookmarkEnd w:id="214"/>
    </w:p>
    <w:bookmarkEnd w:id="215"/>
    <w:bookmarkEnd w:id="216"/>
    <w:bookmarkEnd w:id="217"/>
    <w:p w14:paraId="707D521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E116D2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因承包人原因导致工期延长的，继续提供履约担保所增加的费用由承包人承担；非因承包人原因导致工期延长的，继续提供履约担保所增加的费用由发包人承担。</w:t>
      </w:r>
    </w:p>
    <w:p w14:paraId="7C442304">
      <w:pPr>
        <w:pStyle w:val="8"/>
        <w:spacing w:before="120" w:after="120" w:line="312" w:lineRule="auto"/>
        <w:ind w:firstLine="480" w:firstLineChars="200"/>
        <w:rPr>
          <w:rFonts w:hint="eastAsia" w:ascii="宋体" w:hAnsi="宋体" w:cs="宋体"/>
          <w:b w:val="0"/>
          <w:color w:val="auto"/>
          <w:sz w:val="24"/>
          <w:szCs w:val="24"/>
        </w:rPr>
      </w:pPr>
      <w:bookmarkStart w:id="218" w:name="_Toc351203526"/>
      <w:r>
        <w:rPr>
          <w:rFonts w:hint="eastAsia" w:ascii="宋体" w:hAnsi="宋体" w:cs="宋体"/>
          <w:b w:val="0"/>
          <w:color w:val="auto"/>
          <w:sz w:val="24"/>
          <w:szCs w:val="24"/>
        </w:rPr>
        <w:t>3.8 联合体</w:t>
      </w:r>
      <w:bookmarkEnd w:id="218"/>
    </w:p>
    <w:p w14:paraId="45A03E8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3.8.1 联合体各方应共同与发包人签订合同协议书。联合体各方应为履行合同向发包人承担连带责任。</w:t>
      </w:r>
    </w:p>
    <w:p w14:paraId="263D0D6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3.8.2 联合体协议经发包人确认后作为合同附件。在履行合同过程中，未经发包人同意，不得修改联合体协议。</w:t>
      </w:r>
    </w:p>
    <w:p w14:paraId="1696D75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3.8.3 联合体牵头人负责与发包人和监理人联系，并接受指示，负责组织联合体各成员全面履行合同。</w:t>
      </w:r>
    </w:p>
    <w:p w14:paraId="43D277C1">
      <w:pPr>
        <w:pStyle w:val="7"/>
        <w:spacing w:before="120" w:after="120" w:line="312" w:lineRule="auto"/>
        <w:rPr>
          <w:rFonts w:hint="eastAsia"/>
          <w:b w:val="0"/>
          <w:color w:val="auto"/>
          <w:sz w:val="24"/>
          <w:szCs w:val="24"/>
        </w:rPr>
      </w:pPr>
      <w:bookmarkStart w:id="219" w:name="_Toc351203527"/>
      <w:r>
        <w:rPr>
          <w:rFonts w:hint="eastAsia"/>
          <w:b w:val="0"/>
          <w:color w:val="auto"/>
          <w:sz w:val="24"/>
          <w:szCs w:val="24"/>
        </w:rPr>
        <w:t>4</w:t>
      </w:r>
      <w:bookmarkStart w:id="220" w:name="_Toc296346554"/>
      <w:bookmarkStart w:id="221" w:name="_Toc296503053"/>
      <w:bookmarkStart w:id="222" w:name="_Toc337558753"/>
      <w:r>
        <w:rPr>
          <w:rFonts w:hint="eastAsia"/>
          <w:b w:val="0"/>
          <w:color w:val="auto"/>
          <w:sz w:val="24"/>
          <w:szCs w:val="24"/>
        </w:rPr>
        <w:t>. 监</w:t>
      </w:r>
      <w:bookmarkEnd w:id="220"/>
      <w:bookmarkEnd w:id="221"/>
      <w:r>
        <w:rPr>
          <w:rFonts w:hint="eastAsia"/>
          <w:b w:val="0"/>
          <w:color w:val="auto"/>
          <w:sz w:val="24"/>
          <w:szCs w:val="24"/>
        </w:rPr>
        <w:t>理人</w:t>
      </w:r>
      <w:bookmarkEnd w:id="219"/>
    </w:p>
    <w:bookmarkEnd w:id="222"/>
    <w:p w14:paraId="4D587606">
      <w:pPr>
        <w:pStyle w:val="8"/>
        <w:spacing w:before="120" w:after="120" w:line="312" w:lineRule="auto"/>
        <w:ind w:firstLine="480" w:firstLineChars="200"/>
        <w:rPr>
          <w:rFonts w:hint="eastAsia" w:ascii="宋体" w:hAnsi="宋体" w:cs="宋体"/>
          <w:b w:val="0"/>
          <w:color w:val="auto"/>
          <w:sz w:val="24"/>
          <w:szCs w:val="24"/>
        </w:rPr>
      </w:pPr>
      <w:bookmarkStart w:id="223" w:name="_Toc351203528"/>
      <w:r>
        <w:rPr>
          <w:rFonts w:hint="eastAsia" w:ascii="宋体" w:hAnsi="宋体" w:cs="宋体"/>
          <w:b w:val="0"/>
          <w:color w:val="auto"/>
          <w:sz w:val="24"/>
          <w:szCs w:val="24"/>
        </w:rPr>
        <w:t>4</w:t>
      </w:r>
      <w:bookmarkStart w:id="224" w:name="_Toc296503054"/>
      <w:bookmarkStart w:id="225" w:name="_Toc296346555"/>
      <w:bookmarkStart w:id="226" w:name="_Toc337558754"/>
      <w:r>
        <w:rPr>
          <w:rFonts w:hint="eastAsia" w:ascii="宋体" w:hAnsi="宋体" w:cs="宋体"/>
          <w:b w:val="0"/>
          <w:color w:val="auto"/>
          <w:sz w:val="24"/>
          <w:szCs w:val="24"/>
        </w:rPr>
        <w:t>.1监理人的一般规定</w:t>
      </w:r>
      <w:bookmarkEnd w:id="223"/>
    </w:p>
    <w:bookmarkEnd w:id="224"/>
    <w:bookmarkEnd w:id="225"/>
    <w:bookmarkEnd w:id="226"/>
    <w:p w14:paraId="05DEA02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81B54B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除专用合同条款另有约定外，监理人在施工现场的办公场所、生活场所由承包人提供，所发生的费用由发包人承担。</w:t>
      </w:r>
    </w:p>
    <w:p w14:paraId="1CB1EC7B">
      <w:pPr>
        <w:pStyle w:val="8"/>
        <w:spacing w:before="120" w:after="120" w:line="312" w:lineRule="auto"/>
        <w:ind w:firstLine="480" w:firstLineChars="200"/>
        <w:rPr>
          <w:rFonts w:hint="eastAsia" w:ascii="宋体" w:hAnsi="宋体" w:cs="宋体"/>
          <w:b w:val="0"/>
          <w:color w:val="auto"/>
          <w:sz w:val="24"/>
          <w:szCs w:val="24"/>
        </w:rPr>
      </w:pPr>
      <w:bookmarkStart w:id="227" w:name="_Toc351203529"/>
      <w:r>
        <w:rPr>
          <w:rFonts w:hint="eastAsia" w:ascii="宋体" w:hAnsi="宋体" w:cs="宋体"/>
          <w:b w:val="0"/>
          <w:color w:val="auto"/>
          <w:sz w:val="24"/>
          <w:szCs w:val="24"/>
        </w:rPr>
        <w:t>4</w:t>
      </w:r>
      <w:bookmarkStart w:id="228" w:name="_Toc337558755"/>
      <w:r>
        <w:rPr>
          <w:rFonts w:hint="eastAsia" w:ascii="宋体" w:hAnsi="宋体" w:cs="宋体"/>
          <w:b w:val="0"/>
          <w:color w:val="auto"/>
          <w:sz w:val="24"/>
          <w:szCs w:val="24"/>
        </w:rPr>
        <w:t>.2监理人员</w:t>
      </w:r>
      <w:bookmarkEnd w:id="227"/>
    </w:p>
    <w:bookmarkEnd w:id="228"/>
    <w:p w14:paraId="1AE2C10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DA6F950">
      <w:pPr>
        <w:pStyle w:val="8"/>
        <w:spacing w:before="120" w:after="120" w:line="312" w:lineRule="auto"/>
        <w:ind w:firstLine="480" w:firstLineChars="200"/>
        <w:rPr>
          <w:rFonts w:hint="eastAsia" w:ascii="宋体" w:hAnsi="宋体" w:cs="宋体"/>
          <w:b w:val="0"/>
          <w:color w:val="auto"/>
          <w:sz w:val="24"/>
          <w:szCs w:val="24"/>
        </w:rPr>
      </w:pPr>
      <w:bookmarkStart w:id="229" w:name="_Toc351203530"/>
      <w:r>
        <w:rPr>
          <w:rFonts w:hint="eastAsia" w:ascii="宋体" w:hAnsi="宋体" w:cs="宋体"/>
          <w:b w:val="0"/>
          <w:color w:val="auto"/>
          <w:sz w:val="24"/>
          <w:szCs w:val="24"/>
        </w:rPr>
        <w:t>4</w:t>
      </w:r>
      <w:bookmarkStart w:id="230" w:name="_Toc296346556"/>
      <w:bookmarkStart w:id="231" w:name="_Toc296503055"/>
      <w:bookmarkStart w:id="232" w:name="_Toc337558756"/>
      <w:r>
        <w:rPr>
          <w:rFonts w:hint="eastAsia" w:ascii="宋体" w:hAnsi="宋体" w:cs="宋体"/>
          <w:b w:val="0"/>
          <w:color w:val="auto"/>
          <w:sz w:val="24"/>
          <w:szCs w:val="24"/>
        </w:rPr>
        <w:t>.3</w:t>
      </w:r>
      <w:bookmarkEnd w:id="230"/>
      <w:bookmarkEnd w:id="231"/>
      <w:r>
        <w:rPr>
          <w:rFonts w:hint="eastAsia" w:ascii="宋体" w:hAnsi="宋体" w:cs="宋体"/>
          <w:b w:val="0"/>
          <w:color w:val="auto"/>
          <w:sz w:val="24"/>
          <w:szCs w:val="24"/>
        </w:rPr>
        <w:t>监理人的指</w:t>
      </w:r>
      <w:bookmarkEnd w:id="232"/>
      <w:r>
        <w:rPr>
          <w:rFonts w:hint="eastAsia" w:ascii="宋体" w:hAnsi="宋体" w:cs="宋体"/>
          <w:b w:val="0"/>
          <w:color w:val="auto"/>
          <w:sz w:val="24"/>
          <w:szCs w:val="24"/>
        </w:rPr>
        <w:t>示</w:t>
      </w:r>
      <w:bookmarkEnd w:id="229"/>
    </w:p>
    <w:p w14:paraId="47367A7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F1E765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E7BDD3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承包人对监理人发出的指示有疑问的，应向监理人提出书面异议，监理人应在48小时内对该指示予以确认、更改或撤销，监理人逾期未回复的，承包人有权拒绝执行上述指示。</w:t>
      </w:r>
    </w:p>
    <w:p w14:paraId="60CE7BD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监理人对承包人的任何工作、工程或其采用的材料和工程设备未在约定的或合理期限内提出意见的，视为批准，但不免除或减轻承包人对该工作、工程、材料、工程设备等应承担的责任和义务。</w:t>
      </w:r>
    </w:p>
    <w:p w14:paraId="40F5DAF1">
      <w:pPr>
        <w:pStyle w:val="7"/>
        <w:spacing w:before="120" w:after="120" w:line="312" w:lineRule="auto"/>
        <w:ind w:firstLine="480" w:firstLineChars="200"/>
        <w:rPr>
          <w:rFonts w:hint="eastAsia"/>
          <w:b w:val="0"/>
          <w:color w:val="auto"/>
          <w:sz w:val="24"/>
          <w:szCs w:val="24"/>
        </w:rPr>
      </w:pPr>
      <w:bookmarkStart w:id="233" w:name="_Toc351203531"/>
      <w:r>
        <w:rPr>
          <w:rFonts w:hint="eastAsia"/>
          <w:b w:val="0"/>
          <w:color w:val="auto"/>
          <w:sz w:val="24"/>
          <w:szCs w:val="24"/>
        </w:rPr>
        <w:t>4</w:t>
      </w:r>
      <w:bookmarkStart w:id="234" w:name="_Toc337558757"/>
      <w:bookmarkStart w:id="235" w:name="_Toc296503057"/>
      <w:bookmarkStart w:id="236" w:name="_Toc296346558"/>
      <w:r>
        <w:rPr>
          <w:rFonts w:hint="eastAsia"/>
          <w:b w:val="0"/>
          <w:color w:val="auto"/>
          <w:sz w:val="24"/>
          <w:szCs w:val="24"/>
        </w:rPr>
        <w:t>.4 商定或确定</w:t>
      </w:r>
      <w:bookmarkEnd w:id="233"/>
    </w:p>
    <w:bookmarkEnd w:id="234"/>
    <w:bookmarkEnd w:id="235"/>
    <w:bookmarkEnd w:id="236"/>
    <w:p w14:paraId="412D0C4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合同当事人进行商定或确定时，总监理工程师应当会同合同当事人尽量通过协商达成一致，不能达成一致的，由总监理工程师按照合同约定审慎做出公正的确定。</w:t>
      </w:r>
    </w:p>
    <w:p w14:paraId="4BE0633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7B44D0D">
      <w:pPr>
        <w:pStyle w:val="7"/>
        <w:spacing w:before="120" w:after="120" w:line="312" w:lineRule="auto"/>
        <w:rPr>
          <w:rFonts w:hint="eastAsia"/>
          <w:b w:val="0"/>
          <w:color w:val="auto"/>
          <w:sz w:val="24"/>
          <w:szCs w:val="24"/>
        </w:rPr>
      </w:pPr>
      <w:bookmarkStart w:id="237" w:name="_Toc351203532"/>
      <w:r>
        <w:rPr>
          <w:rFonts w:hint="eastAsia"/>
          <w:b w:val="0"/>
          <w:color w:val="auto"/>
          <w:sz w:val="24"/>
          <w:szCs w:val="24"/>
        </w:rPr>
        <w:t>5</w:t>
      </w:r>
      <w:bookmarkStart w:id="238" w:name="_Toc337558758"/>
      <w:r>
        <w:rPr>
          <w:rFonts w:hint="eastAsia"/>
          <w:b w:val="0"/>
          <w:color w:val="auto"/>
          <w:sz w:val="24"/>
          <w:szCs w:val="24"/>
        </w:rPr>
        <w:t>. 工程质量</w:t>
      </w:r>
      <w:bookmarkEnd w:id="237"/>
    </w:p>
    <w:bookmarkEnd w:id="238"/>
    <w:p w14:paraId="2E8FACDD">
      <w:pPr>
        <w:pStyle w:val="8"/>
        <w:spacing w:before="120" w:after="120" w:line="312" w:lineRule="auto"/>
        <w:ind w:firstLine="480" w:firstLineChars="200"/>
        <w:rPr>
          <w:rFonts w:hint="eastAsia" w:ascii="宋体" w:hAnsi="宋体" w:cs="宋体"/>
          <w:b w:val="0"/>
          <w:color w:val="auto"/>
          <w:sz w:val="24"/>
          <w:szCs w:val="24"/>
        </w:rPr>
      </w:pPr>
      <w:bookmarkStart w:id="239" w:name="_Toc351203533"/>
      <w:r>
        <w:rPr>
          <w:rFonts w:hint="eastAsia" w:ascii="宋体" w:hAnsi="宋体" w:cs="宋体"/>
          <w:b w:val="0"/>
          <w:color w:val="auto"/>
          <w:sz w:val="24"/>
          <w:szCs w:val="24"/>
        </w:rPr>
        <w:t>5</w:t>
      </w:r>
      <w:bookmarkStart w:id="240" w:name="_Toc337558759"/>
      <w:r>
        <w:rPr>
          <w:rFonts w:hint="eastAsia" w:ascii="宋体" w:hAnsi="宋体" w:cs="宋体"/>
          <w:b w:val="0"/>
          <w:color w:val="auto"/>
          <w:sz w:val="24"/>
          <w:szCs w:val="24"/>
        </w:rPr>
        <w:t>.1质量要求</w:t>
      </w:r>
      <w:bookmarkEnd w:id="239"/>
    </w:p>
    <w:bookmarkEnd w:id="240"/>
    <w:p w14:paraId="16D6AD5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5.1.1 工程质量标准必须符合现行国家有关工程施工质量验收规范和标准的要求。有关工程质量的特殊标准或要求由合同当事人在专用合同条款中约定。</w:t>
      </w:r>
    </w:p>
    <w:p w14:paraId="48D0BBC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5.1.2 因发包人原因造成工程质量未达到合同约定标准的，由发包人承担由此增加的费用和（或）延误的工期，并支付承包人合理的利润。</w:t>
      </w:r>
    </w:p>
    <w:p w14:paraId="13218B0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5.1.3 因承包人原因造成工程质量未达到合同约定标准的，发包人有权要求承包人返工直至工程质量达到合同约定的标准为止，并由承包人承担由此增加的费用和（或）延误的工期。</w:t>
      </w:r>
    </w:p>
    <w:p w14:paraId="3ABA94C5">
      <w:pPr>
        <w:pStyle w:val="8"/>
        <w:spacing w:before="120" w:after="120" w:line="312" w:lineRule="auto"/>
        <w:ind w:firstLine="480" w:firstLineChars="200"/>
        <w:rPr>
          <w:rFonts w:hint="eastAsia" w:ascii="宋体" w:hAnsi="宋体" w:cs="宋体"/>
          <w:b w:val="0"/>
          <w:color w:val="auto"/>
          <w:sz w:val="24"/>
          <w:szCs w:val="24"/>
        </w:rPr>
      </w:pPr>
      <w:bookmarkStart w:id="241" w:name="_Toc351203534"/>
      <w:r>
        <w:rPr>
          <w:rFonts w:hint="eastAsia" w:ascii="宋体" w:hAnsi="宋体" w:cs="宋体"/>
          <w:b w:val="0"/>
          <w:color w:val="auto"/>
          <w:sz w:val="24"/>
          <w:szCs w:val="24"/>
        </w:rPr>
        <w:t>5</w:t>
      </w:r>
      <w:bookmarkStart w:id="242" w:name="_Toc337558760"/>
      <w:r>
        <w:rPr>
          <w:rFonts w:hint="eastAsia" w:ascii="宋体" w:hAnsi="宋体" w:cs="宋体"/>
          <w:b w:val="0"/>
          <w:color w:val="auto"/>
          <w:sz w:val="24"/>
          <w:szCs w:val="24"/>
        </w:rPr>
        <w:t>.2质量保证措施</w:t>
      </w:r>
      <w:bookmarkEnd w:id="241"/>
    </w:p>
    <w:bookmarkEnd w:id="242"/>
    <w:p w14:paraId="5D79A06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5.2.1 发包人的质量管理</w:t>
      </w:r>
    </w:p>
    <w:p w14:paraId="582681C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发包人应按照法律规定及合同约定完成与工程质量有关的各项工作。</w:t>
      </w:r>
    </w:p>
    <w:p w14:paraId="78A6278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5.2.2 承包人的质量管理</w:t>
      </w:r>
    </w:p>
    <w:p w14:paraId="7E68769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4F5A19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承包人应对施工人员进行质量教育和技术培训，定期考核施工人员的劳动技能，严格执行施工规范和操作规程。</w:t>
      </w:r>
    </w:p>
    <w:p w14:paraId="3EC52AD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6B7471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5.2.3 监理人的质量检查和检验</w:t>
      </w:r>
    </w:p>
    <w:p w14:paraId="7B5F60A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FC4099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8DDD0FB">
      <w:pPr>
        <w:pStyle w:val="8"/>
        <w:spacing w:before="120" w:after="120" w:line="312" w:lineRule="auto"/>
        <w:ind w:firstLine="480" w:firstLineChars="200"/>
        <w:rPr>
          <w:rFonts w:hint="eastAsia" w:ascii="宋体" w:hAnsi="宋体" w:cs="宋体"/>
          <w:b w:val="0"/>
          <w:color w:val="auto"/>
          <w:sz w:val="24"/>
          <w:szCs w:val="24"/>
        </w:rPr>
      </w:pPr>
      <w:bookmarkStart w:id="243" w:name="_Toc351203535"/>
      <w:r>
        <w:rPr>
          <w:rFonts w:hint="eastAsia" w:ascii="宋体" w:hAnsi="宋体" w:cs="宋体"/>
          <w:b w:val="0"/>
          <w:color w:val="auto"/>
          <w:sz w:val="24"/>
          <w:szCs w:val="24"/>
        </w:rPr>
        <w:t>5</w:t>
      </w:r>
      <w:bookmarkStart w:id="244" w:name="_Toc337558761"/>
      <w:r>
        <w:rPr>
          <w:rFonts w:hint="eastAsia" w:ascii="宋体" w:hAnsi="宋体" w:cs="宋体"/>
          <w:b w:val="0"/>
          <w:color w:val="auto"/>
          <w:sz w:val="24"/>
          <w:szCs w:val="24"/>
        </w:rPr>
        <w:t>.3 隐蔽工程检查</w:t>
      </w:r>
      <w:bookmarkEnd w:id="243"/>
    </w:p>
    <w:bookmarkEnd w:id="244"/>
    <w:p w14:paraId="0038AAD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5.3.1承包人自检</w:t>
      </w:r>
    </w:p>
    <w:p w14:paraId="415FEEC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承包人应当对工程隐蔽部位进行自检，并经自检确认是否具备覆盖条件。</w:t>
      </w:r>
    </w:p>
    <w:p w14:paraId="5A84A8D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5.3.2检查程序</w:t>
      </w:r>
    </w:p>
    <w:p w14:paraId="2FF5677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388BD9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CC3DEB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3A5BAF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5.3.3 重新检查</w:t>
      </w:r>
    </w:p>
    <w:p w14:paraId="01429F5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32DA9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5.3.4 承包人私自覆盖</w:t>
      </w:r>
    </w:p>
    <w:p w14:paraId="4C1951A2">
      <w:pPr>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14:paraId="490B6067">
      <w:pPr>
        <w:pStyle w:val="8"/>
        <w:spacing w:before="120" w:after="120" w:line="312" w:lineRule="auto"/>
        <w:ind w:firstLine="480" w:firstLineChars="200"/>
        <w:rPr>
          <w:rFonts w:hint="eastAsia" w:ascii="宋体" w:hAnsi="宋体" w:cs="宋体"/>
          <w:b w:val="0"/>
          <w:color w:val="auto"/>
          <w:sz w:val="24"/>
          <w:szCs w:val="24"/>
        </w:rPr>
      </w:pPr>
      <w:bookmarkStart w:id="245" w:name="_Toc351203536"/>
      <w:r>
        <w:rPr>
          <w:rFonts w:hint="eastAsia" w:ascii="宋体" w:hAnsi="宋体" w:cs="宋体"/>
          <w:b w:val="0"/>
          <w:color w:val="auto"/>
          <w:sz w:val="24"/>
          <w:szCs w:val="24"/>
        </w:rPr>
        <w:t>5</w:t>
      </w:r>
      <w:bookmarkStart w:id="246" w:name="_Toc337558762"/>
      <w:r>
        <w:rPr>
          <w:rFonts w:hint="eastAsia" w:ascii="宋体" w:hAnsi="宋体" w:cs="宋体"/>
          <w:b w:val="0"/>
          <w:color w:val="auto"/>
          <w:sz w:val="24"/>
          <w:szCs w:val="24"/>
        </w:rPr>
        <w:t>.4不合格工程的处理</w:t>
      </w:r>
      <w:bookmarkEnd w:id="245"/>
    </w:p>
    <w:bookmarkEnd w:id="246"/>
    <w:p w14:paraId="6395FBF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20AB35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5.4.2 因发包人原因造成工程不合格的，由此增加的费用和（或）延误的工期由发包人承担，并支付承包人合理的利润。</w:t>
      </w:r>
    </w:p>
    <w:p w14:paraId="7F93BD9F">
      <w:pPr>
        <w:pStyle w:val="8"/>
        <w:spacing w:before="120" w:after="120" w:line="312" w:lineRule="auto"/>
        <w:ind w:firstLine="480" w:firstLineChars="200"/>
        <w:rPr>
          <w:rFonts w:hint="eastAsia" w:ascii="宋体" w:hAnsi="宋体" w:cs="宋体"/>
          <w:b w:val="0"/>
          <w:color w:val="auto"/>
          <w:sz w:val="24"/>
          <w:szCs w:val="24"/>
        </w:rPr>
      </w:pPr>
      <w:bookmarkStart w:id="247" w:name="_Toc351203537"/>
      <w:r>
        <w:rPr>
          <w:rFonts w:hint="eastAsia" w:ascii="宋体" w:hAnsi="宋体" w:cs="宋体"/>
          <w:b w:val="0"/>
          <w:color w:val="auto"/>
          <w:sz w:val="24"/>
          <w:szCs w:val="24"/>
        </w:rPr>
        <w:t>5.5 质量争议检测</w:t>
      </w:r>
      <w:bookmarkEnd w:id="247"/>
    </w:p>
    <w:p w14:paraId="7B8CBCD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合同当事人对工程质量有争议的，由双方协商确定的工程质量检测机构鉴定，由此产生的费用及因此造成的损失，由责任方承担。</w:t>
      </w:r>
    </w:p>
    <w:p w14:paraId="4B3F6D13">
      <w:pPr>
        <w:autoSpaceDE w:val="0"/>
        <w:autoSpaceDN w:val="0"/>
        <w:adjustRightInd w:val="0"/>
        <w:spacing w:line="312" w:lineRule="auto"/>
        <w:jc w:val="left"/>
        <w:rPr>
          <w:rFonts w:hint="eastAsia" w:ascii="宋体" w:hAnsi="宋体" w:cs="宋体"/>
          <w:color w:val="auto"/>
          <w:kern w:val="0"/>
          <w:sz w:val="24"/>
        </w:rPr>
      </w:pPr>
      <w:r>
        <w:rPr>
          <w:rFonts w:hint="eastAsia" w:ascii="宋体" w:hAnsi="宋体" w:cs="宋体"/>
          <w:color w:val="auto"/>
          <w:kern w:val="0"/>
          <w:sz w:val="24"/>
        </w:rPr>
        <w:t>合同当事人均有责任的，由双方根据其责任分别承担。合同当事人无法达成一致的，按照第4.4款〔商定或确定〕执行。</w:t>
      </w:r>
    </w:p>
    <w:p w14:paraId="707A26BA">
      <w:pPr>
        <w:pStyle w:val="7"/>
        <w:spacing w:before="120" w:after="120" w:line="312" w:lineRule="auto"/>
        <w:rPr>
          <w:rFonts w:hint="eastAsia"/>
          <w:b w:val="0"/>
          <w:color w:val="auto"/>
          <w:sz w:val="24"/>
          <w:szCs w:val="24"/>
        </w:rPr>
      </w:pPr>
      <w:bookmarkStart w:id="248" w:name="_Toc351203538"/>
      <w:r>
        <w:rPr>
          <w:rFonts w:hint="eastAsia"/>
          <w:b w:val="0"/>
          <w:color w:val="auto"/>
          <w:sz w:val="24"/>
          <w:szCs w:val="24"/>
        </w:rPr>
        <w:t>6</w:t>
      </w:r>
      <w:bookmarkStart w:id="249" w:name="_Toc337558763"/>
      <w:r>
        <w:rPr>
          <w:rFonts w:hint="eastAsia"/>
          <w:b w:val="0"/>
          <w:color w:val="auto"/>
          <w:sz w:val="24"/>
          <w:szCs w:val="24"/>
        </w:rPr>
        <w:t>. 安全文明施工与环境保护</w:t>
      </w:r>
      <w:bookmarkEnd w:id="248"/>
    </w:p>
    <w:bookmarkEnd w:id="249"/>
    <w:p w14:paraId="6DEB2631">
      <w:pPr>
        <w:pStyle w:val="8"/>
        <w:spacing w:before="120" w:after="120" w:line="312" w:lineRule="auto"/>
        <w:ind w:firstLine="480" w:firstLineChars="200"/>
        <w:rPr>
          <w:rFonts w:hint="eastAsia" w:ascii="宋体" w:hAnsi="宋体" w:cs="宋体"/>
          <w:b w:val="0"/>
          <w:color w:val="auto"/>
          <w:sz w:val="24"/>
          <w:szCs w:val="24"/>
        </w:rPr>
      </w:pPr>
      <w:bookmarkStart w:id="250" w:name="_Toc351203539"/>
      <w:r>
        <w:rPr>
          <w:rFonts w:hint="eastAsia" w:ascii="宋体" w:hAnsi="宋体" w:cs="宋体"/>
          <w:b w:val="0"/>
          <w:color w:val="auto"/>
          <w:sz w:val="24"/>
          <w:szCs w:val="24"/>
        </w:rPr>
        <w:t>6</w:t>
      </w:r>
      <w:bookmarkStart w:id="251" w:name="_Toc337558764"/>
      <w:r>
        <w:rPr>
          <w:rFonts w:hint="eastAsia" w:ascii="宋体" w:hAnsi="宋体" w:cs="宋体"/>
          <w:b w:val="0"/>
          <w:color w:val="auto"/>
          <w:sz w:val="24"/>
          <w:szCs w:val="24"/>
        </w:rPr>
        <w:t>.1安全文明施工</w:t>
      </w:r>
      <w:bookmarkEnd w:id="250"/>
    </w:p>
    <w:bookmarkEnd w:id="251"/>
    <w:p w14:paraId="6EF63D72">
      <w:pPr>
        <w:spacing w:line="312" w:lineRule="auto"/>
        <w:ind w:firstLine="480" w:firstLineChars="200"/>
        <w:rPr>
          <w:rFonts w:hint="eastAsia" w:ascii="宋体" w:hAnsi="宋体" w:cs="宋体"/>
          <w:color w:val="auto"/>
          <w:sz w:val="24"/>
        </w:rPr>
      </w:pPr>
      <w:r>
        <w:rPr>
          <w:rFonts w:hint="eastAsia" w:ascii="宋体" w:hAnsi="宋体" w:cs="宋体"/>
          <w:color w:val="auto"/>
          <w:sz w:val="24"/>
        </w:rPr>
        <w:t>6.1.1安全生产要求</w:t>
      </w:r>
    </w:p>
    <w:p w14:paraId="2FDF4E4C">
      <w:pPr>
        <w:spacing w:line="312" w:lineRule="auto"/>
        <w:ind w:firstLine="480" w:firstLineChars="200"/>
        <w:rPr>
          <w:rFonts w:hint="eastAsia" w:ascii="宋体" w:hAnsi="宋体" w:cs="宋体"/>
          <w:color w:val="auto"/>
          <w:sz w:val="24"/>
        </w:rPr>
      </w:pPr>
      <w:r>
        <w:rPr>
          <w:rFonts w:hint="eastAsia" w:ascii="宋体" w:hAnsi="宋体" w:cs="宋体"/>
          <w:color w:val="auto"/>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57EF475">
      <w:pPr>
        <w:spacing w:line="312" w:lineRule="auto"/>
        <w:ind w:firstLine="480" w:firstLineChars="200"/>
        <w:rPr>
          <w:rFonts w:hint="eastAsia" w:ascii="宋体" w:hAnsi="宋体" w:cs="宋体"/>
          <w:color w:val="auto"/>
          <w:sz w:val="24"/>
        </w:rPr>
      </w:pPr>
      <w:r>
        <w:rPr>
          <w:rFonts w:hint="eastAsia" w:ascii="宋体" w:hAnsi="宋体" w:cs="宋体"/>
          <w:color w:val="auto"/>
          <w:sz w:val="24"/>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rPr>
        <w:t>政府有关行政管理部门</w:t>
      </w:r>
      <w:r>
        <w:rPr>
          <w:rFonts w:hint="eastAsia" w:ascii="宋体" w:hAnsi="宋体" w:cs="宋体"/>
          <w:color w:val="auto"/>
          <w:sz w:val="24"/>
        </w:rPr>
        <w:t>采取应急措施。</w:t>
      </w:r>
    </w:p>
    <w:p w14:paraId="141EDB82">
      <w:pPr>
        <w:spacing w:line="312" w:lineRule="auto"/>
        <w:ind w:firstLine="480" w:firstLineChars="200"/>
        <w:rPr>
          <w:rFonts w:hint="eastAsia" w:ascii="宋体" w:hAnsi="宋体" w:cs="宋体"/>
          <w:color w:val="auto"/>
          <w:sz w:val="24"/>
        </w:rPr>
      </w:pPr>
      <w:r>
        <w:rPr>
          <w:rFonts w:hint="eastAsia" w:ascii="宋体" w:hAnsi="宋体" w:cs="宋体"/>
          <w:color w:val="auto"/>
          <w:sz w:val="24"/>
        </w:rPr>
        <w:t>因安全生产需要暂停施工的，按照第7.8款〔暂停施工〕的约定执行。</w:t>
      </w:r>
    </w:p>
    <w:p w14:paraId="74E3E076">
      <w:pPr>
        <w:spacing w:line="312" w:lineRule="auto"/>
        <w:ind w:firstLine="480" w:firstLineChars="200"/>
        <w:rPr>
          <w:rFonts w:hint="eastAsia" w:ascii="宋体" w:hAnsi="宋体" w:cs="宋体"/>
          <w:color w:val="auto"/>
          <w:sz w:val="24"/>
        </w:rPr>
      </w:pPr>
      <w:r>
        <w:rPr>
          <w:rFonts w:hint="eastAsia" w:ascii="宋体" w:hAnsi="宋体" w:cs="宋体"/>
          <w:color w:val="auto"/>
          <w:sz w:val="24"/>
        </w:rPr>
        <w:t>6.1.2 安全生产保证措施</w:t>
      </w:r>
    </w:p>
    <w:p w14:paraId="727ABFA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承包人应当按照有关</w:t>
      </w:r>
      <w:r>
        <w:rPr>
          <w:rFonts w:hint="eastAsia" w:ascii="宋体" w:hAnsi="宋体" w:cs="宋体"/>
          <w:color w:val="auto"/>
          <w:kern w:val="0"/>
          <w:sz w:val="24"/>
        </w:rPr>
        <w:t>规定编制安全技术措施或者专项施工方案，</w:t>
      </w:r>
      <w:r>
        <w:rPr>
          <w:rFonts w:hint="eastAsia" w:ascii="宋体" w:hAnsi="宋体" w:cs="宋体"/>
          <w:color w:val="auto"/>
          <w:sz w:val="24"/>
        </w:rPr>
        <w:t>建立安全生产责任制度、治安保卫制度及安全生产教育培训制度，并</w:t>
      </w:r>
      <w:r>
        <w:rPr>
          <w:rFonts w:hint="eastAsia" w:ascii="宋体" w:hAnsi="宋体" w:cs="宋体"/>
          <w:color w:val="auto"/>
          <w:kern w:val="0"/>
          <w:sz w:val="24"/>
        </w:rPr>
        <w:t>按安全生产法律规定及合同约定履行安全职责，如实</w:t>
      </w:r>
      <w:r>
        <w:rPr>
          <w:rFonts w:hint="eastAsia" w:ascii="宋体" w:hAnsi="宋体" w:cs="宋体"/>
          <w:color w:val="auto"/>
          <w:sz w:val="24"/>
        </w:rPr>
        <w:t>编制工程安全生产的有关记录，</w:t>
      </w:r>
      <w:r>
        <w:rPr>
          <w:rFonts w:hint="eastAsia" w:ascii="宋体" w:hAnsi="宋体" w:cs="宋体"/>
          <w:color w:val="auto"/>
          <w:kern w:val="0"/>
          <w:sz w:val="24"/>
        </w:rPr>
        <w:t>接受发包人、监理人及政府安全监督部门的检查与监督。</w:t>
      </w:r>
    </w:p>
    <w:p w14:paraId="65D1BCC6">
      <w:pPr>
        <w:spacing w:line="312" w:lineRule="auto"/>
        <w:ind w:firstLine="480" w:firstLineChars="200"/>
        <w:rPr>
          <w:rFonts w:hint="eastAsia" w:ascii="宋体" w:hAnsi="宋体" w:cs="宋体"/>
          <w:color w:val="auto"/>
          <w:sz w:val="24"/>
        </w:rPr>
      </w:pPr>
      <w:r>
        <w:rPr>
          <w:rFonts w:hint="eastAsia" w:ascii="宋体" w:hAnsi="宋体" w:cs="宋体"/>
          <w:color w:val="auto"/>
          <w:sz w:val="24"/>
        </w:rPr>
        <w:t>6.1.3特别安全生产事项</w:t>
      </w:r>
    </w:p>
    <w:p w14:paraId="7A9C2B52">
      <w:pPr>
        <w:spacing w:line="312" w:lineRule="auto"/>
        <w:ind w:firstLine="480" w:firstLineChars="200"/>
        <w:rPr>
          <w:rFonts w:hint="eastAsia" w:ascii="宋体" w:hAnsi="宋体" w:cs="宋体"/>
          <w:color w:val="auto"/>
          <w:sz w:val="24"/>
        </w:rPr>
      </w:pPr>
      <w:r>
        <w:rPr>
          <w:rFonts w:hint="eastAsia" w:ascii="宋体" w:hAnsi="宋体" w:cs="宋体"/>
          <w:color w:val="auto"/>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3774290">
      <w:pPr>
        <w:spacing w:line="312" w:lineRule="auto"/>
        <w:ind w:firstLine="480" w:firstLineChars="200"/>
        <w:rPr>
          <w:rFonts w:hint="eastAsia" w:ascii="宋体" w:hAnsi="宋体" w:cs="宋体"/>
          <w:color w:val="auto"/>
          <w:sz w:val="24"/>
        </w:rPr>
      </w:pPr>
      <w:r>
        <w:rPr>
          <w:rFonts w:hint="eastAsia" w:ascii="宋体" w:hAnsi="宋体" w:cs="宋体"/>
          <w:color w:val="auto"/>
          <w:sz w:val="24"/>
        </w:rPr>
        <w:t xml:space="preserve">承包人在动力设备、输电线路、地下管道、密封防震车间、易燃易爆地段以及临街交通要道附近施工时，施工开始前应向发包人和监理人提出安全防护措施，经发包人认可后实施。 </w:t>
      </w:r>
    </w:p>
    <w:p w14:paraId="313A94CF">
      <w:pPr>
        <w:spacing w:line="312" w:lineRule="auto"/>
        <w:ind w:firstLine="480" w:firstLineChars="200"/>
        <w:rPr>
          <w:rFonts w:hint="eastAsia" w:ascii="宋体" w:hAnsi="宋体" w:cs="宋体"/>
          <w:color w:val="auto"/>
          <w:sz w:val="24"/>
        </w:rPr>
      </w:pPr>
      <w:r>
        <w:rPr>
          <w:rFonts w:hint="eastAsia" w:ascii="宋体" w:hAnsi="宋体" w:cs="宋体"/>
          <w:color w:val="auto"/>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6156BAD4">
      <w:pPr>
        <w:spacing w:line="312" w:lineRule="auto"/>
        <w:ind w:firstLine="480" w:firstLineChars="200"/>
        <w:rPr>
          <w:rFonts w:hint="eastAsia" w:ascii="宋体" w:hAnsi="宋体" w:cs="宋体"/>
          <w:color w:val="auto"/>
          <w:sz w:val="24"/>
        </w:rPr>
      </w:pPr>
      <w:r>
        <w:rPr>
          <w:rFonts w:hint="eastAsia" w:ascii="宋体" w:hAnsi="宋体" w:cs="宋体"/>
          <w:color w:val="auto"/>
          <w:sz w:val="24"/>
        </w:rPr>
        <w:t>需单独编制危险性较大分部分项专项工程施工方案的，及要求进行专家论证的超过一定规模的危险性较大的分部分项工程，承包人应及时编制和组织论证。</w:t>
      </w:r>
    </w:p>
    <w:p w14:paraId="28D4526D">
      <w:pPr>
        <w:spacing w:line="312" w:lineRule="auto"/>
        <w:ind w:firstLine="480" w:firstLineChars="200"/>
        <w:rPr>
          <w:rFonts w:hint="eastAsia" w:ascii="宋体" w:hAnsi="宋体" w:cs="宋体"/>
          <w:color w:val="auto"/>
          <w:sz w:val="24"/>
        </w:rPr>
      </w:pPr>
      <w:r>
        <w:rPr>
          <w:rFonts w:hint="eastAsia" w:ascii="宋体" w:hAnsi="宋体" w:cs="宋体"/>
          <w:color w:val="auto"/>
          <w:sz w:val="24"/>
        </w:rPr>
        <w:t>6.1.4 治安保卫</w:t>
      </w:r>
    </w:p>
    <w:p w14:paraId="19C824B5">
      <w:pPr>
        <w:spacing w:line="312" w:lineRule="auto"/>
        <w:ind w:firstLine="480" w:firstLineChars="200"/>
        <w:rPr>
          <w:rFonts w:hint="eastAsia" w:ascii="宋体" w:hAnsi="宋体" w:cs="宋体"/>
          <w:color w:val="auto"/>
          <w:sz w:val="24"/>
        </w:rPr>
      </w:pPr>
      <w:r>
        <w:rPr>
          <w:rFonts w:hint="eastAsia" w:ascii="宋体" w:hAnsi="宋体" w:cs="宋体"/>
          <w:color w:val="auto"/>
          <w:sz w:val="24"/>
        </w:rPr>
        <w:t>除专用合同条款另有约定外，发包人应与当地公安部门协商，在现场建立治安管理机构或联防组织，统一管理施工场地的治安保卫事项，履行合同工程的治安保卫职责。</w:t>
      </w:r>
    </w:p>
    <w:p w14:paraId="62B80954">
      <w:pPr>
        <w:spacing w:line="312" w:lineRule="auto"/>
        <w:ind w:firstLine="480" w:firstLineChars="200"/>
        <w:rPr>
          <w:rFonts w:hint="eastAsia" w:ascii="宋体" w:hAnsi="宋体" w:cs="宋体"/>
          <w:color w:val="auto"/>
          <w:sz w:val="24"/>
        </w:rPr>
      </w:pPr>
      <w:r>
        <w:rPr>
          <w:rFonts w:hint="eastAsia" w:ascii="宋体" w:hAnsi="宋体" w:cs="宋体"/>
          <w:color w:val="auto"/>
          <w:sz w:val="24"/>
        </w:rPr>
        <w:t>发包人和承包人除应协助现场治安管理机构或联防组织维护施工场地的社会治安外，还应做好包括生活区在内的各自管辖区的治安保卫工作。</w:t>
      </w:r>
    </w:p>
    <w:p w14:paraId="25AD9132">
      <w:pPr>
        <w:spacing w:line="312" w:lineRule="auto"/>
        <w:ind w:firstLine="480" w:firstLineChars="200"/>
        <w:rPr>
          <w:rFonts w:hint="eastAsia" w:ascii="宋体" w:hAnsi="宋体" w:cs="宋体"/>
          <w:color w:val="auto"/>
          <w:sz w:val="24"/>
        </w:rPr>
      </w:pPr>
      <w:r>
        <w:rPr>
          <w:rFonts w:hint="eastAsia" w:ascii="宋体" w:hAnsi="宋体" w:cs="宋体"/>
          <w:color w:val="auto"/>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11ECA22">
      <w:pPr>
        <w:spacing w:line="312" w:lineRule="auto"/>
        <w:ind w:firstLine="480" w:firstLineChars="200"/>
        <w:rPr>
          <w:rFonts w:hint="eastAsia" w:ascii="宋体" w:hAnsi="宋体" w:cs="宋体"/>
          <w:color w:val="auto"/>
          <w:kern w:val="0"/>
          <w:sz w:val="24"/>
        </w:rPr>
      </w:pPr>
      <w:r>
        <w:rPr>
          <w:rFonts w:hint="eastAsia" w:ascii="宋体" w:hAnsi="宋体" w:cs="宋体"/>
          <w:color w:val="auto"/>
          <w:sz w:val="24"/>
        </w:rPr>
        <w:t>6.1.5 文明施工</w:t>
      </w:r>
    </w:p>
    <w:p w14:paraId="1F9DEF0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C2CC8D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99EF9DF">
      <w:pPr>
        <w:spacing w:line="312" w:lineRule="auto"/>
        <w:ind w:firstLine="480" w:firstLineChars="200"/>
        <w:rPr>
          <w:rFonts w:hint="eastAsia" w:ascii="宋体" w:hAnsi="宋体" w:cs="宋体"/>
          <w:color w:val="auto"/>
          <w:sz w:val="24"/>
        </w:rPr>
      </w:pPr>
      <w:r>
        <w:rPr>
          <w:rFonts w:hint="eastAsia" w:ascii="宋体" w:hAnsi="宋体" w:cs="宋体"/>
          <w:color w:val="auto"/>
          <w:sz w:val="24"/>
        </w:rPr>
        <w:t>6.1.6 安全文明施工费</w:t>
      </w:r>
    </w:p>
    <w:p w14:paraId="0100691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安全文明施工费由发包人承担，发包人不得以任何形式扣减该部分费用。因基准日期后合同所适用的法律或政府有关规定发生变化，增加的安全文明施工费由发包人承担。</w:t>
      </w:r>
    </w:p>
    <w:p w14:paraId="2792977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DEA7BE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3AA043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E82373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6.1.7 紧急情况处理</w:t>
      </w:r>
    </w:p>
    <w:p w14:paraId="687DE3C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C29E5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6.1.8 事故处理</w:t>
      </w:r>
    </w:p>
    <w:p w14:paraId="4916A5A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FB102F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6.1.9 安全生产责任</w:t>
      </w:r>
    </w:p>
    <w:p w14:paraId="4689464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6.1.9.1 发包人的安全责任</w:t>
      </w:r>
    </w:p>
    <w:p w14:paraId="45F7DDF1">
      <w:pPr>
        <w:spacing w:line="312" w:lineRule="auto"/>
        <w:ind w:firstLine="480" w:firstLineChars="200"/>
        <w:rPr>
          <w:rFonts w:hint="eastAsia" w:ascii="宋体" w:hAnsi="宋体" w:cs="宋体"/>
          <w:color w:val="auto"/>
          <w:sz w:val="24"/>
        </w:rPr>
      </w:pPr>
      <w:r>
        <w:rPr>
          <w:rFonts w:hint="eastAsia" w:ascii="宋体" w:hAnsi="宋体" w:cs="宋体"/>
          <w:color w:val="auto"/>
          <w:sz w:val="24"/>
        </w:rPr>
        <w:t>发包人应负责赔偿以下各种情况造成的损失：</w:t>
      </w:r>
    </w:p>
    <w:p w14:paraId="29C8261A">
      <w:pPr>
        <w:spacing w:line="312" w:lineRule="auto"/>
        <w:ind w:firstLine="480" w:firstLineChars="200"/>
        <w:rPr>
          <w:rFonts w:hint="eastAsia" w:ascii="宋体" w:hAnsi="宋体" w:cs="宋体"/>
          <w:color w:val="auto"/>
          <w:sz w:val="24"/>
        </w:rPr>
      </w:pPr>
      <w:r>
        <w:rPr>
          <w:rFonts w:hint="eastAsia" w:ascii="宋体" w:hAnsi="宋体" w:cs="宋体"/>
          <w:color w:val="auto"/>
          <w:sz w:val="24"/>
        </w:rPr>
        <w:t>（1）工程或工程的任何部分对土地的占用所造成的第三者财产损失；</w:t>
      </w:r>
    </w:p>
    <w:p w14:paraId="6E2DC26A">
      <w:pPr>
        <w:spacing w:line="312" w:lineRule="auto"/>
        <w:ind w:firstLine="480" w:firstLineChars="200"/>
        <w:rPr>
          <w:rFonts w:hint="eastAsia" w:ascii="宋体" w:hAnsi="宋体" w:cs="宋体"/>
          <w:color w:val="auto"/>
          <w:sz w:val="24"/>
        </w:rPr>
      </w:pPr>
      <w:r>
        <w:rPr>
          <w:rFonts w:hint="eastAsia" w:ascii="宋体" w:hAnsi="宋体" w:cs="宋体"/>
          <w:color w:val="auto"/>
          <w:sz w:val="24"/>
        </w:rPr>
        <w:t>（2）由于发包人原因在施工场地及其毗邻地带造成的第三者人身伤亡和财产损失；</w:t>
      </w:r>
    </w:p>
    <w:p w14:paraId="1BB434DE">
      <w:pPr>
        <w:spacing w:line="312" w:lineRule="auto"/>
        <w:ind w:firstLine="480" w:firstLineChars="200"/>
        <w:rPr>
          <w:rFonts w:hint="eastAsia" w:ascii="宋体" w:hAnsi="宋体" w:cs="宋体"/>
          <w:color w:val="auto"/>
          <w:sz w:val="24"/>
        </w:rPr>
      </w:pPr>
      <w:r>
        <w:rPr>
          <w:rFonts w:hint="eastAsia" w:ascii="宋体" w:hAnsi="宋体" w:cs="宋体"/>
          <w:color w:val="auto"/>
          <w:sz w:val="24"/>
        </w:rPr>
        <w:t>（3）由于发包人原因对承包人、监理人造成的人员人身伤亡和财产损失；</w:t>
      </w:r>
    </w:p>
    <w:p w14:paraId="2451EA07">
      <w:pPr>
        <w:spacing w:line="312" w:lineRule="auto"/>
        <w:ind w:firstLine="480" w:firstLineChars="200"/>
        <w:rPr>
          <w:rFonts w:hint="eastAsia" w:ascii="宋体" w:hAnsi="宋体" w:cs="宋体"/>
          <w:color w:val="auto"/>
          <w:sz w:val="24"/>
        </w:rPr>
      </w:pPr>
      <w:r>
        <w:rPr>
          <w:rFonts w:hint="eastAsia" w:ascii="宋体" w:hAnsi="宋体" w:cs="宋体"/>
          <w:color w:val="auto"/>
          <w:sz w:val="24"/>
        </w:rPr>
        <w:t>（4）由于发包人原因造成的发包人自身人员的人身伤害以及财产损失。</w:t>
      </w:r>
    </w:p>
    <w:p w14:paraId="44239B5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6.1.9.2 承包人的安全责任</w:t>
      </w:r>
    </w:p>
    <w:p w14:paraId="0803D791">
      <w:pPr>
        <w:spacing w:line="312" w:lineRule="auto"/>
        <w:ind w:firstLine="480" w:firstLineChars="200"/>
        <w:rPr>
          <w:rFonts w:hint="eastAsia" w:ascii="宋体" w:hAnsi="宋体" w:cs="宋体"/>
          <w:color w:val="auto"/>
          <w:kern w:val="0"/>
          <w:sz w:val="24"/>
        </w:rPr>
      </w:pPr>
      <w:r>
        <w:rPr>
          <w:rFonts w:hint="eastAsia" w:ascii="宋体" w:hAnsi="宋体" w:cs="宋体"/>
          <w:color w:val="auto"/>
          <w:sz w:val="24"/>
        </w:rPr>
        <w:t>由于承包人原因在施工场地内及其毗邻地带造成的发包人、监理人以及第三者人员伤亡和财产损失，由承包人负责赔偿。</w:t>
      </w:r>
    </w:p>
    <w:p w14:paraId="516A0C95">
      <w:pPr>
        <w:pStyle w:val="8"/>
        <w:spacing w:before="120" w:after="120" w:line="312" w:lineRule="auto"/>
        <w:ind w:firstLine="480" w:firstLineChars="200"/>
        <w:rPr>
          <w:rFonts w:hint="eastAsia" w:ascii="宋体" w:hAnsi="宋体" w:cs="宋体"/>
          <w:b w:val="0"/>
          <w:color w:val="auto"/>
          <w:sz w:val="24"/>
          <w:szCs w:val="24"/>
        </w:rPr>
      </w:pPr>
      <w:bookmarkStart w:id="252" w:name="_Toc351203540"/>
      <w:r>
        <w:rPr>
          <w:rFonts w:hint="eastAsia" w:ascii="宋体" w:hAnsi="宋体" w:cs="宋体"/>
          <w:b w:val="0"/>
          <w:color w:val="auto"/>
          <w:sz w:val="24"/>
          <w:szCs w:val="24"/>
        </w:rPr>
        <w:t>6</w:t>
      </w:r>
      <w:bookmarkStart w:id="253" w:name="_Toc337558765"/>
      <w:r>
        <w:rPr>
          <w:rFonts w:hint="eastAsia" w:ascii="宋体" w:hAnsi="宋体" w:cs="宋体"/>
          <w:b w:val="0"/>
          <w:color w:val="auto"/>
          <w:sz w:val="24"/>
          <w:szCs w:val="24"/>
        </w:rPr>
        <w:t>.2 职业健康</w:t>
      </w:r>
      <w:bookmarkEnd w:id="252"/>
    </w:p>
    <w:bookmarkEnd w:id="253"/>
    <w:p w14:paraId="0A2A61F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6.2.1 劳动保护</w:t>
      </w:r>
    </w:p>
    <w:p w14:paraId="374D0DD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65FBF5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0763F1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14:paraId="38DCF5B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6.2.2 生活条件</w:t>
      </w:r>
    </w:p>
    <w:p w14:paraId="0EFE256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65FF357">
      <w:pPr>
        <w:pStyle w:val="8"/>
        <w:spacing w:before="120" w:after="120" w:line="312" w:lineRule="auto"/>
        <w:ind w:firstLine="480" w:firstLineChars="200"/>
        <w:rPr>
          <w:rFonts w:hint="eastAsia" w:ascii="宋体" w:hAnsi="宋体" w:cs="宋体"/>
          <w:b w:val="0"/>
          <w:color w:val="auto"/>
          <w:sz w:val="24"/>
          <w:szCs w:val="24"/>
        </w:rPr>
      </w:pPr>
      <w:bookmarkStart w:id="254" w:name="_Toc351203541"/>
      <w:r>
        <w:rPr>
          <w:rFonts w:hint="eastAsia" w:ascii="宋体" w:hAnsi="宋体" w:cs="宋体"/>
          <w:b w:val="0"/>
          <w:color w:val="auto"/>
          <w:sz w:val="24"/>
          <w:szCs w:val="24"/>
        </w:rPr>
        <w:t>6</w:t>
      </w:r>
      <w:bookmarkStart w:id="255" w:name="_Toc337558766"/>
      <w:r>
        <w:rPr>
          <w:rFonts w:hint="eastAsia" w:ascii="宋体" w:hAnsi="宋体" w:cs="宋体"/>
          <w:b w:val="0"/>
          <w:color w:val="auto"/>
          <w:sz w:val="24"/>
          <w:szCs w:val="24"/>
        </w:rPr>
        <w:t>.3 环境保护</w:t>
      </w:r>
      <w:bookmarkEnd w:id="254"/>
    </w:p>
    <w:bookmarkEnd w:id="255"/>
    <w:p w14:paraId="410CE47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78545F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承包人应当承担因其原因引起的环境污染侵权损害赔偿责任，因上述环境污染引起纠纷而导致暂停施工的，由此增加的费用和（或）延误的工期由承包人承担。</w:t>
      </w:r>
    </w:p>
    <w:p w14:paraId="6C390CD2">
      <w:pPr>
        <w:pStyle w:val="7"/>
        <w:spacing w:before="120" w:after="120" w:line="312" w:lineRule="auto"/>
        <w:rPr>
          <w:rFonts w:hint="eastAsia"/>
          <w:b w:val="0"/>
          <w:color w:val="auto"/>
          <w:sz w:val="24"/>
          <w:szCs w:val="24"/>
        </w:rPr>
      </w:pPr>
      <w:bookmarkStart w:id="256" w:name="_Toc351203542"/>
      <w:r>
        <w:rPr>
          <w:rFonts w:hint="eastAsia"/>
          <w:b w:val="0"/>
          <w:color w:val="auto"/>
          <w:sz w:val="24"/>
          <w:szCs w:val="24"/>
        </w:rPr>
        <w:t>7</w:t>
      </w:r>
      <w:bookmarkStart w:id="257" w:name="_Toc337558767"/>
      <w:r>
        <w:rPr>
          <w:rFonts w:hint="eastAsia"/>
          <w:b w:val="0"/>
          <w:color w:val="auto"/>
          <w:sz w:val="24"/>
          <w:szCs w:val="24"/>
        </w:rPr>
        <w:t>. 工期和进度</w:t>
      </w:r>
      <w:bookmarkEnd w:id="256"/>
    </w:p>
    <w:bookmarkEnd w:id="257"/>
    <w:p w14:paraId="2F388AE8">
      <w:pPr>
        <w:pStyle w:val="8"/>
        <w:spacing w:before="120" w:after="120" w:line="312" w:lineRule="auto"/>
        <w:ind w:firstLine="480" w:firstLineChars="200"/>
        <w:rPr>
          <w:rFonts w:hint="eastAsia" w:ascii="宋体" w:hAnsi="宋体" w:cs="宋体"/>
          <w:b w:val="0"/>
          <w:color w:val="auto"/>
          <w:sz w:val="24"/>
          <w:szCs w:val="24"/>
        </w:rPr>
      </w:pPr>
      <w:bookmarkStart w:id="258" w:name="_Toc351203543"/>
      <w:r>
        <w:rPr>
          <w:rFonts w:hint="eastAsia" w:ascii="宋体" w:hAnsi="宋体" w:cs="宋体"/>
          <w:b w:val="0"/>
          <w:color w:val="auto"/>
          <w:sz w:val="24"/>
          <w:szCs w:val="24"/>
        </w:rPr>
        <w:t>7</w:t>
      </w:r>
      <w:bookmarkStart w:id="259" w:name="_Toc337558768"/>
      <w:bookmarkStart w:id="260" w:name="_Toc296346567"/>
      <w:bookmarkStart w:id="261" w:name="_Toc296503066"/>
      <w:r>
        <w:rPr>
          <w:rFonts w:hint="eastAsia" w:ascii="宋体" w:hAnsi="宋体" w:cs="宋体"/>
          <w:b w:val="0"/>
          <w:color w:val="auto"/>
          <w:sz w:val="24"/>
          <w:szCs w:val="24"/>
        </w:rPr>
        <w:t>.1施工组织设计</w:t>
      </w:r>
      <w:bookmarkEnd w:id="258"/>
    </w:p>
    <w:bookmarkEnd w:id="259"/>
    <w:p w14:paraId="3CCE35B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 xml:space="preserve">7.1.1 </w:t>
      </w:r>
      <w:r>
        <w:rPr>
          <w:rFonts w:hint="eastAsia" w:ascii="宋体" w:hAnsi="宋体" w:cs="宋体"/>
          <w:color w:val="auto"/>
          <w:kern w:val="0"/>
          <w:sz w:val="24"/>
        </w:rPr>
        <w:t>施工组织设计的内容</w:t>
      </w:r>
    </w:p>
    <w:p w14:paraId="28D152A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施工组织设计应包含以下内容：</w:t>
      </w:r>
    </w:p>
    <w:p w14:paraId="46968F5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（1）施工方案； </w:t>
      </w:r>
    </w:p>
    <w:p w14:paraId="19B31A2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（2）施工现场平面布置图；</w:t>
      </w:r>
    </w:p>
    <w:p w14:paraId="14D132B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（3）施工进度计划和保证措施； </w:t>
      </w:r>
    </w:p>
    <w:p w14:paraId="73F324B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（4）劳动力及材料供应计划；</w:t>
      </w:r>
    </w:p>
    <w:p w14:paraId="79A250A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（5）施工机械设备的选用；</w:t>
      </w:r>
    </w:p>
    <w:p w14:paraId="01CE2E3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（6）质量保证体系及措施；</w:t>
      </w:r>
    </w:p>
    <w:p w14:paraId="2983136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（7）安全生产、文明施工措施；</w:t>
      </w:r>
    </w:p>
    <w:p w14:paraId="41CF5EA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（8）环境保护、成本控制措施；</w:t>
      </w:r>
    </w:p>
    <w:p w14:paraId="6AEE13D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（9）合同当事人约定的其他内容。</w:t>
      </w:r>
    </w:p>
    <w:p w14:paraId="672702C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 xml:space="preserve">7.1.2 </w:t>
      </w:r>
      <w:r>
        <w:rPr>
          <w:rFonts w:hint="eastAsia" w:ascii="宋体" w:hAnsi="宋体" w:cs="宋体"/>
          <w:color w:val="auto"/>
          <w:kern w:val="0"/>
          <w:sz w:val="24"/>
        </w:rPr>
        <w:t>施工组织设计的提交和修改</w:t>
      </w:r>
    </w:p>
    <w:p w14:paraId="045C587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745105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施工进度计划的编制和修改按照第7.2款〔施工进度计划〕执行。</w:t>
      </w:r>
    </w:p>
    <w:p w14:paraId="7CAFB326">
      <w:pPr>
        <w:pStyle w:val="8"/>
        <w:spacing w:before="120" w:after="120" w:line="312" w:lineRule="auto"/>
        <w:ind w:firstLine="480" w:firstLineChars="200"/>
        <w:rPr>
          <w:rFonts w:hint="eastAsia" w:ascii="宋体" w:hAnsi="宋体" w:cs="宋体"/>
          <w:b w:val="0"/>
          <w:color w:val="auto"/>
          <w:sz w:val="24"/>
          <w:szCs w:val="24"/>
        </w:rPr>
      </w:pPr>
      <w:bookmarkStart w:id="262" w:name="_Toc351203544"/>
      <w:r>
        <w:rPr>
          <w:rFonts w:hint="eastAsia" w:ascii="宋体" w:hAnsi="宋体" w:cs="宋体"/>
          <w:b w:val="0"/>
          <w:color w:val="auto"/>
          <w:sz w:val="24"/>
          <w:szCs w:val="24"/>
        </w:rPr>
        <w:t>7</w:t>
      </w:r>
      <w:bookmarkStart w:id="263" w:name="_Toc337558769"/>
      <w:r>
        <w:rPr>
          <w:rFonts w:hint="eastAsia" w:ascii="宋体" w:hAnsi="宋体" w:cs="宋体"/>
          <w:b w:val="0"/>
          <w:color w:val="auto"/>
          <w:sz w:val="24"/>
          <w:szCs w:val="24"/>
        </w:rPr>
        <w:t>.2 施工进度计划</w:t>
      </w:r>
      <w:bookmarkEnd w:id="262"/>
    </w:p>
    <w:bookmarkEnd w:id="263"/>
    <w:p w14:paraId="2C5360C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7.2.1 施工进度计划的编制</w:t>
      </w:r>
    </w:p>
    <w:p w14:paraId="26C0EBC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ABE1C4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7.2.2 施工进度计划的修订</w:t>
      </w:r>
    </w:p>
    <w:p w14:paraId="3FD958B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F6CEB85">
      <w:pPr>
        <w:pStyle w:val="8"/>
        <w:spacing w:before="120" w:after="120" w:line="312" w:lineRule="auto"/>
        <w:ind w:firstLine="480" w:firstLineChars="200"/>
        <w:rPr>
          <w:rFonts w:hint="eastAsia" w:ascii="宋体" w:hAnsi="宋体" w:cs="宋体"/>
          <w:b w:val="0"/>
          <w:color w:val="auto"/>
          <w:sz w:val="24"/>
          <w:szCs w:val="24"/>
        </w:rPr>
      </w:pPr>
      <w:bookmarkStart w:id="264" w:name="_Toc351203545"/>
      <w:r>
        <w:rPr>
          <w:rFonts w:hint="eastAsia" w:ascii="宋体" w:hAnsi="宋体" w:cs="宋体"/>
          <w:b w:val="0"/>
          <w:color w:val="auto"/>
          <w:sz w:val="24"/>
          <w:szCs w:val="24"/>
        </w:rPr>
        <w:t>7</w:t>
      </w:r>
      <w:bookmarkStart w:id="265" w:name="_Toc337558770"/>
      <w:r>
        <w:rPr>
          <w:rFonts w:hint="eastAsia" w:ascii="宋体" w:hAnsi="宋体" w:cs="宋体"/>
          <w:b w:val="0"/>
          <w:color w:val="auto"/>
          <w:sz w:val="24"/>
          <w:szCs w:val="24"/>
        </w:rPr>
        <w:t>.3 开工</w:t>
      </w:r>
      <w:bookmarkEnd w:id="264"/>
    </w:p>
    <w:p w14:paraId="31B3F872">
      <w:pPr>
        <w:spacing w:line="312" w:lineRule="auto"/>
        <w:ind w:firstLine="480" w:firstLineChars="200"/>
        <w:rPr>
          <w:rFonts w:hint="eastAsia" w:ascii="宋体" w:hAnsi="宋体" w:cs="宋体"/>
          <w:color w:val="auto"/>
          <w:sz w:val="24"/>
        </w:rPr>
      </w:pPr>
      <w:r>
        <w:rPr>
          <w:rFonts w:hint="eastAsia" w:ascii="宋体" w:hAnsi="宋体" w:cs="宋体"/>
          <w:color w:val="auto"/>
          <w:kern w:val="0"/>
          <w:sz w:val="24"/>
        </w:rPr>
        <w:t>7.3.1 开工准备</w:t>
      </w:r>
    </w:p>
    <w:p w14:paraId="3B967ED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0A50C1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除专用合同条款另有约定外，合同当事人应按约定完成开工准备工作。</w:t>
      </w:r>
    </w:p>
    <w:p w14:paraId="3813379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7.3.2 开工通知</w:t>
      </w:r>
    </w:p>
    <w:bookmarkEnd w:id="265"/>
    <w:p w14:paraId="4A9FE14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91F818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48D37C9">
      <w:pPr>
        <w:pStyle w:val="8"/>
        <w:spacing w:before="120" w:after="120" w:line="312" w:lineRule="auto"/>
        <w:ind w:firstLine="480" w:firstLineChars="200"/>
        <w:rPr>
          <w:rFonts w:hint="eastAsia" w:ascii="宋体" w:hAnsi="宋体" w:cs="宋体"/>
          <w:b w:val="0"/>
          <w:color w:val="auto"/>
          <w:sz w:val="24"/>
          <w:szCs w:val="24"/>
        </w:rPr>
      </w:pPr>
      <w:bookmarkStart w:id="266" w:name="_Toc351203546"/>
      <w:r>
        <w:rPr>
          <w:rFonts w:hint="eastAsia" w:ascii="宋体" w:hAnsi="宋体" w:cs="宋体"/>
          <w:b w:val="0"/>
          <w:color w:val="auto"/>
          <w:sz w:val="24"/>
          <w:szCs w:val="24"/>
        </w:rPr>
        <w:t>7.4测量放线</w:t>
      </w:r>
      <w:bookmarkEnd w:id="266"/>
    </w:p>
    <w:p w14:paraId="42BA682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91BE87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3ED169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B13ED2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施工过程中对施工现场内水准点等测量标志物的保护工作由承包人负责。</w:t>
      </w:r>
      <w:bookmarkStart w:id="267" w:name="_Toc351203547"/>
    </w:p>
    <w:p w14:paraId="7038FAA6">
      <w:pPr>
        <w:pStyle w:val="8"/>
        <w:spacing w:before="120" w:after="120" w:line="312"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7</w:t>
      </w:r>
      <w:bookmarkEnd w:id="260"/>
      <w:bookmarkEnd w:id="261"/>
      <w:bookmarkStart w:id="268" w:name="_Toc296346574"/>
      <w:bookmarkStart w:id="269" w:name="_Toc296503073"/>
      <w:bookmarkStart w:id="270" w:name="_Toc337558772"/>
      <w:r>
        <w:rPr>
          <w:rFonts w:hint="eastAsia" w:ascii="宋体" w:hAnsi="宋体" w:cs="宋体"/>
          <w:b w:val="0"/>
          <w:color w:val="auto"/>
          <w:sz w:val="24"/>
          <w:szCs w:val="24"/>
        </w:rPr>
        <w:t>.5 工期延误</w:t>
      </w:r>
      <w:bookmarkEnd w:id="267"/>
    </w:p>
    <w:bookmarkEnd w:id="268"/>
    <w:bookmarkEnd w:id="269"/>
    <w:bookmarkEnd w:id="270"/>
    <w:p w14:paraId="773805E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7.5.1 因发包人原因导致工期延误</w:t>
      </w:r>
    </w:p>
    <w:p w14:paraId="6EAC1D6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在合同履行过程中，因下列情况导致工期延误和（或）费用增加的，由发包人承担由此延误的工期和（或）增加的费用，且发包人应支付承包人合理的利润： </w:t>
      </w:r>
    </w:p>
    <w:p w14:paraId="276B7D8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（1）发包人未能按合同约定提供图纸或所提供图纸不符合合同约定的；</w:t>
      </w:r>
    </w:p>
    <w:p w14:paraId="775C3B8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（2）发包人未能按合同约定提供施工现场、施工条件、基础资料、许可、批准等开工条件的；</w:t>
      </w:r>
    </w:p>
    <w:p w14:paraId="3F9C2D3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（3）发包人提供的测量基准点、基准线和水准点及其书面资料存在错误或疏漏的；</w:t>
      </w:r>
    </w:p>
    <w:p w14:paraId="3F8C0A8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（4）发包人未能在计划开工日期之日起7天内同意下达开工通知的；</w:t>
      </w:r>
    </w:p>
    <w:p w14:paraId="33E8883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（5）发包人未能按合同约定日期支付工程预付款、进度款或竣工结算款的；</w:t>
      </w:r>
    </w:p>
    <w:p w14:paraId="628347C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（6）监理人未按合同约定发出指示、批准等文件的；</w:t>
      </w:r>
    </w:p>
    <w:p w14:paraId="5DD6859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（7）专用合同条款中约定的其他情形。</w:t>
      </w:r>
    </w:p>
    <w:p w14:paraId="0A1EBD3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5305D54">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7.5.2 因承包人原因导致工期延误</w:t>
      </w:r>
    </w:p>
    <w:p w14:paraId="2BA5E8A0">
      <w:pPr>
        <w:autoSpaceDE w:val="0"/>
        <w:autoSpaceDN w:val="0"/>
        <w:adjustRightInd w:val="0"/>
        <w:spacing w:line="312" w:lineRule="auto"/>
        <w:ind w:firstLine="480" w:firstLineChars="200"/>
        <w:jc w:val="left"/>
        <w:rPr>
          <w:rFonts w:hint="eastAsia" w:ascii="宋体" w:hAnsi="宋体" w:cs="宋体"/>
          <w:color w:val="auto"/>
          <w:kern w:val="0"/>
          <w:sz w:val="24"/>
        </w:rPr>
      </w:pPr>
      <w:bookmarkStart w:id="271" w:name="_Toc296346577"/>
      <w:bookmarkStart w:id="272" w:name="_Toc296503076"/>
      <w:r>
        <w:rPr>
          <w:rFonts w:hint="eastAsia" w:ascii="宋体" w:hAnsi="宋体" w:cs="宋体"/>
          <w:color w:val="auto"/>
          <w:kern w:val="0"/>
          <w:sz w:val="24"/>
        </w:rPr>
        <w:t>因</w:t>
      </w:r>
      <w:bookmarkEnd w:id="271"/>
      <w:bookmarkEnd w:id="272"/>
      <w:r>
        <w:rPr>
          <w:rFonts w:hint="eastAsia" w:ascii="宋体" w:hAnsi="宋体" w:cs="宋体"/>
          <w:color w:val="auto"/>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006F403E">
      <w:pPr>
        <w:pStyle w:val="8"/>
        <w:spacing w:before="120" w:after="120" w:line="312" w:lineRule="auto"/>
        <w:ind w:firstLine="480" w:firstLineChars="200"/>
        <w:rPr>
          <w:rFonts w:hint="eastAsia" w:ascii="宋体" w:hAnsi="宋体" w:cs="宋体"/>
          <w:b w:val="0"/>
          <w:color w:val="auto"/>
          <w:sz w:val="24"/>
          <w:szCs w:val="24"/>
        </w:rPr>
      </w:pPr>
      <w:bookmarkStart w:id="273" w:name="_Toc351203548"/>
      <w:r>
        <w:rPr>
          <w:rFonts w:hint="eastAsia" w:ascii="宋体" w:hAnsi="宋体" w:cs="宋体"/>
          <w:b w:val="0"/>
          <w:color w:val="auto"/>
          <w:sz w:val="24"/>
          <w:szCs w:val="24"/>
        </w:rPr>
        <w:t>7</w:t>
      </w:r>
      <w:bookmarkStart w:id="274" w:name="_Toc296503074"/>
      <w:bookmarkStart w:id="275" w:name="_Toc337558773"/>
      <w:bookmarkStart w:id="276" w:name="_Toc296346575"/>
      <w:bookmarkStart w:id="277" w:name="_Toc296346578"/>
      <w:bookmarkStart w:id="278" w:name="_Toc296503077"/>
      <w:r>
        <w:rPr>
          <w:rFonts w:hint="eastAsia" w:ascii="宋体" w:hAnsi="宋体" w:cs="宋体"/>
          <w:b w:val="0"/>
          <w:color w:val="auto"/>
          <w:sz w:val="24"/>
          <w:szCs w:val="24"/>
        </w:rPr>
        <w:t>.6 不利物质条件</w:t>
      </w:r>
      <w:bookmarkEnd w:id="273"/>
    </w:p>
    <w:bookmarkEnd w:id="274"/>
    <w:bookmarkEnd w:id="275"/>
    <w:bookmarkEnd w:id="276"/>
    <w:p w14:paraId="5487422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89D06B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1E7B276">
      <w:pPr>
        <w:pStyle w:val="8"/>
        <w:spacing w:before="120" w:after="120" w:line="312" w:lineRule="auto"/>
        <w:ind w:firstLine="480" w:firstLineChars="200"/>
        <w:rPr>
          <w:rFonts w:hint="eastAsia" w:ascii="宋体" w:hAnsi="宋体" w:cs="宋体"/>
          <w:b w:val="0"/>
          <w:color w:val="auto"/>
          <w:sz w:val="24"/>
          <w:szCs w:val="24"/>
        </w:rPr>
      </w:pPr>
      <w:bookmarkStart w:id="279" w:name="_Toc351203549"/>
      <w:r>
        <w:rPr>
          <w:rFonts w:hint="eastAsia" w:ascii="宋体" w:hAnsi="宋体" w:cs="宋体"/>
          <w:b w:val="0"/>
          <w:color w:val="auto"/>
          <w:sz w:val="24"/>
          <w:szCs w:val="24"/>
        </w:rPr>
        <w:t>7</w:t>
      </w:r>
      <w:bookmarkStart w:id="280" w:name="_Toc296503075"/>
      <w:bookmarkStart w:id="281" w:name="_Toc337558774"/>
      <w:bookmarkStart w:id="282" w:name="_Toc296346576"/>
      <w:r>
        <w:rPr>
          <w:rFonts w:hint="eastAsia" w:ascii="宋体" w:hAnsi="宋体" w:cs="宋体"/>
          <w:b w:val="0"/>
          <w:color w:val="auto"/>
          <w:sz w:val="24"/>
          <w:szCs w:val="24"/>
        </w:rPr>
        <w:t>.7 异常恶劣的气候条件</w:t>
      </w:r>
      <w:bookmarkEnd w:id="279"/>
    </w:p>
    <w:bookmarkEnd w:id="280"/>
    <w:bookmarkEnd w:id="281"/>
    <w:bookmarkEnd w:id="282"/>
    <w:p w14:paraId="36E421E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070F4E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1000293C">
      <w:pPr>
        <w:autoSpaceDE w:val="0"/>
        <w:autoSpaceDN w:val="0"/>
        <w:adjustRightInd w:val="0"/>
        <w:spacing w:line="312" w:lineRule="auto"/>
        <w:ind w:firstLine="480" w:firstLineChars="200"/>
        <w:jc w:val="left"/>
        <w:rPr>
          <w:rFonts w:hint="eastAsia" w:ascii="宋体" w:hAnsi="宋体" w:cs="宋体"/>
          <w:bCs/>
          <w:color w:val="auto"/>
          <w:sz w:val="24"/>
        </w:rPr>
      </w:pPr>
      <w:r>
        <w:rPr>
          <w:rFonts w:hint="eastAsia" w:ascii="宋体" w:hAnsi="宋体" w:cs="宋体"/>
          <w:bCs/>
          <w:color w:val="auto"/>
          <w:sz w:val="24"/>
        </w:rPr>
        <w:t>7</w:t>
      </w:r>
      <w:bookmarkStart w:id="284" w:name="_Toc337558775"/>
      <w:r>
        <w:rPr>
          <w:rFonts w:hint="eastAsia" w:ascii="宋体" w:hAnsi="宋体" w:cs="宋体"/>
          <w:bCs/>
          <w:color w:val="auto"/>
          <w:sz w:val="24"/>
        </w:rPr>
        <w:t>.8 暂停施工</w:t>
      </w:r>
      <w:bookmarkEnd w:id="283"/>
    </w:p>
    <w:bookmarkEnd w:id="277"/>
    <w:bookmarkEnd w:id="278"/>
    <w:bookmarkEnd w:id="284"/>
    <w:p w14:paraId="75E7A78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7.8.1发包人原因引起的暂停施工</w:t>
      </w:r>
    </w:p>
    <w:p w14:paraId="7E51DC8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因发包人原因引起暂停施工的，监理人经发包人同意后，应及时下达暂停施工指示。情况紧急且监理人未及时下达暂停施工指示的，按照第7.8.4项〔紧急情况下的暂停施工〕执行。</w:t>
      </w:r>
    </w:p>
    <w:p w14:paraId="3DCCEC6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因发包人原因引起的暂停施工，发包人应承担由此增加的费用和（或）延误的工期，并支付承包人合理的利润。</w:t>
      </w:r>
    </w:p>
    <w:p w14:paraId="04B3816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7.8.2 承包人原因引起的暂停施工</w:t>
      </w:r>
    </w:p>
    <w:p w14:paraId="11C6CCC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F27A49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7.8.3 指示暂停施工</w:t>
      </w:r>
    </w:p>
    <w:p w14:paraId="18D06D8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监理人认为有必要时，并经发包人批准后，可向承包人作出暂停施工的指示，承包人应按监理人指示暂停施工。</w:t>
      </w:r>
    </w:p>
    <w:p w14:paraId="7E80858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7.8.4 紧急情况下的暂停施工</w:t>
      </w:r>
    </w:p>
    <w:p w14:paraId="1B58307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363F93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7.8.5 暂停施工后的复工</w:t>
      </w:r>
    </w:p>
    <w:p w14:paraId="5E2FE6F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3DDFA2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承包人无故拖延和拒绝复工的，承包人承担由此增加的费用和（或）延误的工期；因发包人原因无法按时复工的，按照第7.5.1项〔因发包人原因导致工期延误〕约定办理。</w:t>
      </w:r>
    </w:p>
    <w:p w14:paraId="2C1693E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7.8.6 暂停施工持续56天以上</w:t>
      </w:r>
    </w:p>
    <w:p w14:paraId="364CE3C6">
      <w:pPr>
        <w:spacing w:line="312" w:lineRule="auto"/>
        <w:ind w:firstLine="468" w:firstLineChars="195"/>
        <w:jc w:val="left"/>
        <w:rPr>
          <w:rFonts w:hint="eastAsia" w:ascii="宋体" w:hAnsi="宋体" w:cs="宋体"/>
          <w:color w:val="auto"/>
          <w:kern w:val="0"/>
          <w:sz w:val="24"/>
        </w:rPr>
      </w:pPr>
      <w:r>
        <w:rPr>
          <w:rFonts w:hint="eastAsia" w:ascii="宋体" w:hAnsi="宋体" w:cs="宋体"/>
          <w:color w:val="auto"/>
          <w:kern w:val="0"/>
          <w:sz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A72455C">
      <w:pPr>
        <w:spacing w:line="312" w:lineRule="auto"/>
        <w:ind w:firstLine="468" w:firstLineChars="195"/>
        <w:jc w:val="left"/>
        <w:rPr>
          <w:rFonts w:hint="eastAsia" w:ascii="宋体" w:hAnsi="宋体" w:cs="宋体"/>
          <w:color w:val="auto"/>
          <w:kern w:val="0"/>
          <w:sz w:val="24"/>
        </w:rPr>
      </w:pPr>
      <w:r>
        <w:rPr>
          <w:rFonts w:hint="eastAsia" w:ascii="宋体" w:hAnsi="宋体" w:cs="宋体"/>
          <w:color w:val="auto"/>
          <w:kern w:val="0"/>
          <w:sz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1267D40">
      <w:pPr>
        <w:spacing w:line="312" w:lineRule="auto"/>
        <w:ind w:left="16" w:firstLine="468" w:firstLineChars="195"/>
        <w:jc w:val="left"/>
        <w:rPr>
          <w:rFonts w:hint="eastAsia" w:ascii="宋体" w:hAnsi="宋体" w:cs="宋体"/>
          <w:color w:val="auto"/>
          <w:kern w:val="0"/>
          <w:sz w:val="24"/>
        </w:rPr>
      </w:pPr>
      <w:r>
        <w:rPr>
          <w:rFonts w:hint="eastAsia" w:ascii="宋体" w:hAnsi="宋体" w:cs="宋体"/>
          <w:color w:val="auto"/>
          <w:kern w:val="0"/>
          <w:sz w:val="24"/>
        </w:rPr>
        <w:t>7.8.7 暂停施工期间的工程照管</w:t>
      </w:r>
    </w:p>
    <w:p w14:paraId="66F2718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暂停施工期间，承包人应负责妥善照管工程并提供安全保障，由此增加的费用由责任方承担。</w:t>
      </w:r>
    </w:p>
    <w:p w14:paraId="171A479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7.8.8 暂停施工的措施</w:t>
      </w:r>
    </w:p>
    <w:p w14:paraId="7295298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暂停施工期间，发包人和承包人均应采取必要的措施确保工程质量及安全，防止因暂停施工扩大损失。</w:t>
      </w:r>
    </w:p>
    <w:p w14:paraId="137A5CFE">
      <w:pPr>
        <w:pStyle w:val="8"/>
        <w:spacing w:before="120" w:after="120" w:line="312" w:lineRule="auto"/>
        <w:ind w:firstLine="480" w:firstLineChars="200"/>
        <w:rPr>
          <w:rFonts w:hint="eastAsia" w:ascii="宋体" w:hAnsi="宋体" w:cs="宋体"/>
          <w:b w:val="0"/>
          <w:color w:val="auto"/>
          <w:sz w:val="24"/>
          <w:szCs w:val="24"/>
        </w:rPr>
      </w:pPr>
      <w:bookmarkStart w:id="285" w:name="_Toc351203551"/>
      <w:r>
        <w:rPr>
          <w:rFonts w:hint="eastAsia" w:ascii="宋体" w:hAnsi="宋体" w:cs="宋体"/>
          <w:b w:val="0"/>
          <w:color w:val="auto"/>
          <w:sz w:val="24"/>
          <w:szCs w:val="24"/>
        </w:rPr>
        <w:t>7.9提前竣工</w:t>
      </w:r>
      <w:bookmarkEnd w:id="285"/>
    </w:p>
    <w:p w14:paraId="7072365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370203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7.9.2 发包人要求承包人提前竣工，或承包人提出提前竣工的建议能够给发包人带来效益的，合同当事人可以在专用合同条款中约定提前竣工的奖励。</w:t>
      </w:r>
    </w:p>
    <w:p w14:paraId="386B4EB9">
      <w:pPr>
        <w:pStyle w:val="7"/>
        <w:spacing w:before="120" w:after="120" w:line="312" w:lineRule="auto"/>
        <w:rPr>
          <w:rFonts w:hint="eastAsia"/>
          <w:b w:val="0"/>
          <w:color w:val="auto"/>
          <w:sz w:val="24"/>
          <w:szCs w:val="24"/>
        </w:rPr>
      </w:pPr>
      <w:bookmarkStart w:id="286" w:name="_Toc351203552"/>
      <w:r>
        <w:rPr>
          <w:rFonts w:hint="eastAsia"/>
          <w:b w:val="0"/>
          <w:color w:val="auto"/>
          <w:sz w:val="24"/>
          <w:szCs w:val="24"/>
        </w:rPr>
        <w:t>8</w:t>
      </w:r>
      <w:bookmarkStart w:id="287" w:name="_Toc296346559"/>
      <w:bookmarkStart w:id="288" w:name="_Toc296503058"/>
      <w:bookmarkStart w:id="289" w:name="_Toc337558776"/>
      <w:r>
        <w:rPr>
          <w:rFonts w:hint="eastAsia"/>
          <w:b w:val="0"/>
          <w:color w:val="auto"/>
          <w:sz w:val="24"/>
          <w:szCs w:val="24"/>
        </w:rPr>
        <w:t>. 材料与设备</w:t>
      </w:r>
      <w:bookmarkEnd w:id="286"/>
    </w:p>
    <w:bookmarkEnd w:id="287"/>
    <w:bookmarkEnd w:id="288"/>
    <w:bookmarkEnd w:id="289"/>
    <w:p w14:paraId="4BB95D0D">
      <w:pPr>
        <w:pStyle w:val="8"/>
        <w:spacing w:before="120" w:after="120" w:line="312" w:lineRule="auto"/>
        <w:ind w:firstLine="480" w:firstLineChars="200"/>
        <w:rPr>
          <w:rFonts w:hint="eastAsia" w:ascii="宋体" w:hAnsi="宋体" w:cs="宋体"/>
          <w:b w:val="0"/>
          <w:color w:val="auto"/>
          <w:sz w:val="24"/>
          <w:szCs w:val="24"/>
        </w:rPr>
      </w:pPr>
      <w:bookmarkStart w:id="290" w:name="_Toc351203553"/>
      <w:r>
        <w:rPr>
          <w:rFonts w:hint="eastAsia" w:ascii="宋体" w:hAnsi="宋体" w:cs="宋体"/>
          <w:b w:val="0"/>
          <w:color w:val="auto"/>
          <w:sz w:val="24"/>
          <w:szCs w:val="24"/>
        </w:rPr>
        <w:t>8</w:t>
      </w:r>
      <w:bookmarkStart w:id="291" w:name="_Toc296503059"/>
      <w:bookmarkStart w:id="292" w:name="_Toc296346560"/>
      <w:bookmarkStart w:id="293" w:name="_Toc337558777"/>
      <w:bookmarkStart w:id="294" w:name="_Toc468936960"/>
      <w:r>
        <w:rPr>
          <w:rFonts w:hint="eastAsia" w:ascii="宋体" w:hAnsi="宋体" w:cs="宋体"/>
          <w:b w:val="0"/>
          <w:color w:val="auto"/>
          <w:sz w:val="24"/>
          <w:szCs w:val="24"/>
        </w:rPr>
        <w:t>.1发包人供应材料与工程设备</w:t>
      </w:r>
      <w:bookmarkEnd w:id="290"/>
    </w:p>
    <w:bookmarkEnd w:id="291"/>
    <w:bookmarkEnd w:id="292"/>
    <w:bookmarkEnd w:id="293"/>
    <w:p w14:paraId="0242C9F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发包人自行供应材料、工程设备的，应在签订合同时在专用合同条款的附件《发包人供应材料设备一览表》中明确材料、工程设备的品种、规格、型号、数量、单价、质量等级和送达地点。</w:t>
      </w:r>
    </w:p>
    <w:p w14:paraId="197A566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705F94C">
      <w:pPr>
        <w:pStyle w:val="8"/>
        <w:spacing w:before="120" w:after="120" w:line="312" w:lineRule="auto"/>
        <w:ind w:firstLine="480" w:firstLineChars="200"/>
        <w:rPr>
          <w:rFonts w:hint="eastAsia" w:ascii="宋体" w:hAnsi="宋体" w:cs="宋体"/>
          <w:color w:val="auto"/>
          <w:sz w:val="24"/>
          <w:szCs w:val="24"/>
        </w:rPr>
      </w:pPr>
      <w:bookmarkStart w:id="295" w:name="_Toc351203554"/>
      <w:r>
        <w:rPr>
          <w:rFonts w:hint="eastAsia" w:ascii="宋体" w:hAnsi="宋体" w:cs="宋体"/>
          <w:b w:val="0"/>
          <w:color w:val="auto"/>
          <w:sz w:val="24"/>
          <w:szCs w:val="24"/>
        </w:rPr>
        <w:t>8</w:t>
      </w:r>
      <w:bookmarkStart w:id="296" w:name="_Toc337558778"/>
      <w:bookmarkStart w:id="297" w:name="_Toc296346561"/>
      <w:bookmarkStart w:id="298" w:name="_Toc296503060"/>
      <w:r>
        <w:rPr>
          <w:rFonts w:hint="eastAsia" w:ascii="宋体" w:hAnsi="宋体" w:cs="宋体"/>
          <w:b w:val="0"/>
          <w:color w:val="auto"/>
          <w:sz w:val="24"/>
          <w:szCs w:val="24"/>
        </w:rPr>
        <w:t>.2承包人采购材料与工程设备</w:t>
      </w:r>
      <w:bookmarkEnd w:id="295"/>
    </w:p>
    <w:bookmarkEnd w:id="296"/>
    <w:bookmarkEnd w:id="297"/>
    <w:bookmarkEnd w:id="298"/>
    <w:p w14:paraId="63F6A0F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FED12FB">
      <w:pPr>
        <w:pStyle w:val="8"/>
        <w:spacing w:before="120" w:after="120" w:line="312" w:lineRule="auto"/>
        <w:ind w:firstLine="480" w:firstLineChars="200"/>
        <w:rPr>
          <w:rFonts w:hint="eastAsia" w:ascii="宋体" w:hAnsi="宋体" w:cs="宋体"/>
          <w:b w:val="0"/>
          <w:color w:val="auto"/>
          <w:sz w:val="24"/>
          <w:szCs w:val="24"/>
        </w:rPr>
      </w:pPr>
      <w:bookmarkStart w:id="299" w:name="_Toc351203555"/>
      <w:r>
        <w:rPr>
          <w:rFonts w:hint="eastAsia" w:ascii="宋体" w:hAnsi="宋体" w:cs="宋体"/>
          <w:b w:val="0"/>
          <w:color w:val="auto"/>
          <w:sz w:val="24"/>
          <w:szCs w:val="24"/>
        </w:rPr>
        <w:t>8</w:t>
      </w:r>
      <w:bookmarkStart w:id="300" w:name="_Toc337558779"/>
      <w:bookmarkStart w:id="301" w:name="_Toc296346562"/>
      <w:bookmarkStart w:id="302" w:name="_Toc296503061"/>
      <w:r>
        <w:rPr>
          <w:rFonts w:hint="eastAsia" w:ascii="宋体" w:hAnsi="宋体" w:cs="宋体"/>
          <w:b w:val="0"/>
          <w:color w:val="auto"/>
          <w:sz w:val="24"/>
          <w:szCs w:val="24"/>
        </w:rPr>
        <w:t>.3材料与工程设备的接收与拒收</w:t>
      </w:r>
      <w:bookmarkEnd w:id="299"/>
    </w:p>
    <w:bookmarkEnd w:id="300"/>
    <w:bookmarkEnd w:id="301"/>
    <w:bookmarkEnd w:id="302"/>
    <w:p w14:paraId="24843D5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42718F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发包人提供的材料和工程设备的规格、数量或质量不符合合同约定的，或因发包人原因导致交货日期延误或交货地点变更等情况的，按照第16.1款〔发包人违约〕约定办理。</w:t>
      </w:r>
    </w:p>
    <w:p w14:paraId="21373D2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rPr>
        <w:t>包人进行永久设备、材料的制造和生产的，应符合相关质量标准，并向监理人提交材料的样本以及有关资料，并应在使用该材料或工程设备之前获得监理人同意。</w:t>
      </w:r>
    </w:p>
    <w:bookmarkEnd w:id="303"/>
    <w:p w14:paraId="3BC70653">
      <w:pPr>
        <w:autoSpaceDE w:val="0"/>
        <w:autoSpaceDN w:val="0"/>
        <w:adjustRightInd w:val="0"/>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9BD7E78">
      <w:pPr>
        <w:pStyle w:val="8"/>
        <w:spacing w:before="120" w:after="120" w:line="312" w:lineRule="auto"/>
        <w:ind w:firstLine="480" w:firstLineChars="200"/>
        <w:rPr>
          <w:rFonts w:hint="eastAsia" w:ascii="宋体" w:hAnsi="宋体" w:cs="宋体"/>
          <w:b w:val="0"/>
          <w:color w:val="auto"/>
          <w:sz w:val="24"/>
          <w:szCs w:val="24"/>
        </w:rPr>
      </w:pPr>
      <w:bookmarkStart w:id="304" w:name="_Toc351203556"/>
      <w:r>
        <w:rPr>
          <w:rFonts w:hint="eastAsia" w:ascii="宋体" w:hAnsi="宋体" w:cs="宋体"/>
          <w:b w:val="0"/>
          <w:color w:val="auto"/>
          <w:sz w:val="24"/>
          <w:szCs w:val="24"/>
        </w:rPr>
        <w:t>8</w:t>
      </w:r>
      <w:bookmarkStart w:id="305" w:name="_Toc296346563"/>
      <w:bookmarkStart w:id="306" w:name="_Toc337558780"/>
      <w:bookmarkStart w:id="307" w:name="_Toc296503062"/>
      <w:r>
        <w:rPr>
          <w:rFonts w:hint="eastAsia" w:ascii="宋体" w:hAnsi="宋体" w:cs="宋体"/>
          <w:b w:val="0"/>
          <w:color w:val="auto"/>
          <w:sz w:val="24"/>
          <w:szCs w:val="24"/>
        </w:rPr>
        <w:t>.4材料与工程设备的保管与使用</w:t>
      </w:r>
      <w:bookmarkEnd w:id="304"/>
    </w:p>
    <w:bookmarkEnd w:id="305"/>
    <w:bookmarkEnd w:id="306"/>
    <w:bookmarkEnd w:id="307"/>
    <w:p w14:paraId="6FDEE7C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8.4.1 发包人供应</w:t>
      </w:r>
      <w:r>
        <w:rPr>
          <w:rFonts w:hint="eastAsia" w:ascii="宋体" w:hAnsi="宋体" w:cs="宋体"/>
          <w:color w:val="auto"/>
          <w:sz w:val="24"/>
        </w:rPr>
        <w:t>材料与</w:t>
      </w:r>
      <w:r>
        <w:rPr>
          <w:rFonts w:hint="eastAsia" w:ascii="宋体" w:hAnsi="宋体" w:cs="宋体"/>
          <w:color w:val="auto"/>
          <w:kern w:val="0"/>
          <w:sz w:val="24"/>
        </w:rPr>
        <w:t>工程</w:t>
      </w:r>
      <w:r>
        <w:rPr>
          <w:rFonts w:hint="eastAsia" w:ascii="宋体" w:hAnsi="宋体" w:cs="宋体"/>
          <w:color w:val="auto"/>
          <w:sz w:val="24"/>
        </w:rPr>
        <w:t>设备的保管与使用</w:t>
      </w:r>
    </w:p>
    <w:p w14:paraId="181592D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4084C6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发包人供应的材料和工程设备使用前，由承包人负责检验，检验费用由发包人承担，不合格的不得使用。</w:t>
      </w:r>
    </w:p>
    <w:p w14:paraId="79BF70E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8.4.2 承包人采购</w:t>
      </w:r>
      <w:r>
        <w:rPr>
          <w:rFonts w:hint="eastAsia" w:ascii="宋体" w:hAnsi="宋体" w:cs="宋体"/>
          <w:color w:val="auto"/>
          <w:sz w:val="24"/>
        </w:rPr>
        <w:t>材料与</w:t>
      </w:r>
      <w:r>
        <w:rPr>
          <w:rFonts w:hint="eastAsia" w:ascii="宋体" w:hAnsi="宋体" w:cs="宋体"/>
          <w:color w:val="auto"/>
          <w:kern w:val="0"/>
          <w:sz w:val="24"/>
        </w:rPr>
        <w:t>工程</w:t>
      </w:r>
      <w:r>
        <w:rPr>
          <w:rFonts w:hint="eastAsia" w:ascii="宋体" w:hAnsi="宋体" w:cs="宋体"/>
          <w:color w:val="auto"/>
          <w:sz w:val="24"/>
        </w:rPr>
        <w:t>设备的保管与使用</w:t>
      </w:r>
    </w:p>
    <w:p w14:paraId="4DB8A36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85B761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发包人或监理人发现承包人使用不符合设计或有关标准要求的材料和工程设备时，有权要求承包人进行修复、拆除或重新采购，由此增加的费用和（或）延误的工期，由承包人承担。</w:t>
      </w:r>
    </w:p>
    <w:p w14:paraId="097E7441">
      <w:pPr>
        <w:pStyle w:val="8"/>
        <w:spacing w:before="120" w:after="120" w:line="312" w:lineRule="auto"/>
        <w:ind w:firstLine="480" w:firstLineChars="200"/>
        <w:rPr>
          <w:rFonts w:hint="eastAsia" w:ascii="宋体" w:hAnsi="宋体" w:cs="宋体"/>
          <w:b w:val="0"/>
          <w:color w:val="auto"/>
          <w:sz w:val="24"/>
          <w:szCs w:val="24"/>
        </w:rPr>
      </w:pPr>
      <w:bookmarkStart w:id="308" w:name="_Toc351203557"/>
      <w:r>
        <w:rPr>
          <w:rFonts w:hint="eastAsia" w:ascii="宋体" w:hAnsi="宋体" w:cs="宋体"/>
          <w:b w:val="0"/>
          <w:color w:val="auto"/>
          <w:sz w:val="24"/>
          <w:szCs w:val="24"/>
        </w:rPr>
        <w:t>8.5禁止使用不合格的材料和工程设备</w:t>
      </w:r>
      <w:bookmarkEnd w:id="308"/>
    </w:p>
    <w:p w14:paraId="371A02A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8.5.1 监理人有权拒绝承包人提供的不合格材料或工程设备，并要求承包人立即进行更换。监理人应在更换后再次进行检查和检验，由此增加的费用和（或）延误的工期由承包人承担。</w:t>
      </w:r>
    </w:p>
    <w:p w14:paraId="4D640DB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8.5.2 监理人发现承包人使用了不合格的材料和工程设备，承包人应按照监理人的指示立即改正，并禁止在工程中继续使用不合格的材料和工程设备。</w:t>
      </w:r>
    </w:p>
    <w:p w14:paraId="1D5AE48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8.5.3 发包人提供的材料或工程设备不符合合同要求的，承包人有权拒绝，并可要求发包人更换，由此增加的费用和（或）延误的工期由发包人承担，并支付承包人合理的利润。</w:t>
      </w:r>
    </w:p>
    <w:p w14:paraId="33FAC0EA">
      <w:pPr>
        <w:pStyle w:val="8"/>
        <w:spacing w:before="120" w:after="120" w:line="312" w:lineRule="auto"/>
        <w:ind w:firstLine="480" w:firstLineChars="200"/>
        <w:rPr>
          <w:rFonts w:hint="eastAsia" w:ascii="宋体" w:hAnsi="宋体" w:cs="宋体"/>
          <w:b w:val="0"/>
          <w:color w:val="auto"/>
          <w:sz w:val="24"/>
          <w:szCs w:val="24"/>
        </w:rPr>
      </w:pPr>
      <w:bookmarkStart w:id="309" w:name="_Toc351203558"/>
      <w:r>
        <w:rPr>
          <w:rFonts w:hint="eastAsia" w:ascii="宋体" w:hAnsi="宋体" w:cs="宋体"/>
          <w:b w:val="0"/>
          <w:color w:val="auto"/>
          <w:sz w:val="24"/>
          <w:szCs w:val="24"/>
        </w:rPr>
        <w:t>8.6 样品</w:t>
      </w:r>
      <w:bookmarkEnd w:id="309"/>
    </w:p>
    <w:p w14:paraId="0FAEAC6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8.6.1</w:t>
      </w:r>
      <w:r>
        <w:rPr>
          <w:rFonts w:hint="eastAsia" w:ascii="宋体" w:hAnsi="宋体" w:cs="宋体"/>
          <w:color w:val="auto"/>
          <w:kern w:val="0"/>
          <w:sz w:val="24"/>
        </w:rPr>
        <w:tab/>
      </w:r>
      <w:r>
        <w:rPr>
          <w:rFonts w:hint="eastAsia" w:ascii="宋体" w:hAnsi="宋体" w:cs="宋体"/>
          <w:color w:val="auto"/>
          <w:kern w:val="0"/>
          <w:sz w:val="24"/>
        </w:rPr>
        <w:t>样品的报送与封存</w:t>
      </w:r>
    </w:p>
    <w:p w14:paraId="220EEA4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需要承包人报送样品的材料或工程设备，样品的种类、名称、规格、数量等要求均应在专用合同条款中约定。样品的报送程序如下：</w:t>
      </w:r>
    </w:p>
    <w:p w14:paraId="641AB06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BC5502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ABFF62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（3）经发包人和监理人审批确认的样品应按约定的方法封样，封存的样品作为检验工程相关部分的标准之一。承包人在施工过程中不得使用与样品不符的材料或工程设备。</w:t>
      </w:r>
    </w:p>
    <w:p w14:paraId="7F6135E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FBEC42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8.6.2 样品的保管</w:t>
      </w:r>
    </w:p>
    <w:p w14:paraId="66F4C29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经批准的样品应由监理人负责封存于现场，承包人应在现场为保存样品提供适当和固定的场所并保持适当和良好的存储环境条件。</w:t>
      </w:r>
    </w:p>
    <w:p w14:paraId="4D287536">
      <w:pPr>
        <w:pStyle w:val="8"/>
        <w:spacing w:before="120" w:after="120" w:line="312" w:lineRule="auto"/>
        <w:ind w:firstLine="480" w:firstLineChars="200"/>
        <w:rPr>
          <w:rFonts w:hint="eastAsia" w:ascii="宋体" w:hAnsi="宋体" w:cs="宋体"/>
          <w:b w:val="0"/>
          <w:color w:val="auto"/>
          <w:sz w:val="24"/>
          <w:szCs w:val="24"/>
        </w:rPr>
      </w:pPr>
      <w:bookmarkStart w:id="310" w:name="_Toc351203559"/>
      <w:r>
        <w:rPr>
          <w:rFonts w:hint="eastAsia" w:ascii="宋体" w:hAnsi="宋体" w:cs="宋体"/>
          <w:b w:val="0"/>
          <w:color w:val="auto"/>
          <w:sz w:val="24"/>
          <w:szCs w:val="24"/>
        </w:rPr>
        <w:t>8.7材料与工程设备的替代</w:t>
      </w:r>
      <w:bookmarkEnd w:id="310"/>
    </w:p>
    <w:p w14:paraId="37141C1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8.7.1 出现下列情况需要使用替代材料和工程设备的，承包人应按照第8.7.2项约定的程序执行：</w:t>
      </w:r>
    </w:p>
    <w:p w14:paraId="380801B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（1）基准日期后生效的法律规定禁止使用的；</w:t>
      </w:r>
    </w:p>
    <w:p w14:paraId="106C10D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（2）发包人要求使用替代品的；</w:t>
      </w:r>
    </w:p>
    <w:p w14:paraId="4E36DC4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（3）因其他原因必须使用替代品的。</w:t>
      </w:r>
    </w:p>
    <w:p w14:paraId="40B47AF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8.7.2 承包人应在使用替代材料和工程设备28天前书面通知监理人，并附下列文件：</w:t>
      </w:r>
    </w:p>
    <w:p w14:paraId="607AF60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（1）被替代的材料和工程设备的名称、数量、规格、型号、品牌、性能、价格及其他相关资料；</w:t>
      </w:r>
    </w:p>
    <w:p w14:paraId="14FE679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（2）替代品的名称、数量、规格、型号、品牌、性能、价格及其他相关资料；</w:t>
      </w:r>
    </w:p>
    <w:p w14:paraId="636BFFB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（3）替代品与被替代产品之间的差异以及使用替代品可能对工程产生的影响；</w:t>
      </w:r>
    </w:p>
    <w:p w14:paraId="4018179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（4）替代品与被替代产品的价格差异；</w:t>
      </w:r>
    </w:p>
    <w:p w14:paraId="2934F26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（5）使用替代品的理由和原因说明；</w:t>
      </w:r>
    </w:p>
    <w:p w14:paraId="665AC57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（6）监理人要求的其他文件。</w:t>
      </w:r>
    </w:p>
    <w:p w14:paraId="208F3B8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监理人应在收到通知后14天内向承包人发出经发包人签认的书面指示；监理人逾期发出书面指示的，视为发包人和监理人同意使用替代品。</w:t>
      </w:r>
    </w:p>
    <w:p w14:paraId="7F3157D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F7BC642">
      <w:pPr>
        <w:pStyle w:val="8"/>
        <w:spacing w:before="120" w:after="120" w:line="312" w:lineRule="auto"/>
        <w:ind w:firstLine="480" w:firstLineChars="200"/>
        <w:rPr>
          <w:rFonts w:hint="eastAsia" w:ascii="宋体" w:hAnsi="宋体" w:cs="宋体"/>
          <w:b w:val="0"/>
          <w:color w:val="auto"/>
          <w:sz w:val="24"/>
          <w:szCs w:val="24"/>
        </w:rPr>
      </w:pPr>
      <w:bookmarkStart w:id="311" w:name="_Toc351203560"/>
      <w:r>
        <w:rPr>
          <w:rFonts w:hint="eastAsia" w:ascii="宋体" w:hAnsi="宋体" w:cs="宋体"/>
          <w:b w:val="0"/>
          <w:color w:val="auto"/>
          <w:sz w:val="24"/>
          <w:szCs w:val="24"/>
        </w:rPr>
        <w:t>8.8施工设备和临时设施</w:t>
      </w:r>
      <w:bookmarkEnd w:id="311"/>
    </w:p>
    <w:p w14:paraId="1E74E78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8.8.1 承包人提供的施工设备和临时设施</w:t>
      </w:r>
    </w:p>
    <w:p w14:paraId="1F11E5D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承包人应按合同进度计划的要求，及时配置施工设备和修建临时设施。进入施工场地的承包人设备需经监理人核查后才能投入使用。承包人更换合同约定的承包人设备的，应报监理人批准。</w:t>
      </w:r>
    </w:p>
    <w:p w14:paraId="0507862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除专用合同条款另有约定外，承包人应自行承担修建临时设施的费用，需要临时占地的，应由发包人办理申请手续并承担相应费用。</w:t>
      </w:r>
    </w:p>
    <w:p w14:paraId="4C9675A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8.8.2发包人提供的施工设备和临时设施</w:t>
      </w:r>
    </w:p>
    <w:p w14:paraId="39B7AF0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发包人提供的施工设备或临时设施在专用合同条款中约定。</w:t>
      </w:r>
    </w:p>
    <w:p w14:paraId="3427C5D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8.8.3要求承包人增加或更换施工设备</w:t>
      </w:r>
    </w:p>
    <w:p w14:paraId="7F472B8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承包人使用的施工设备不能满足合同进度计划和（或）质量要求时，监理人有权要求承包人增加或更换施工设备，承包人应及时增加或更换，由此增加的费用和（或）延误的工期由承包人承担。</w:t>
      </w:r>
    </w:p>
    <w:p w14:paraId="05F9C835">
      <w:pPr>
        <w:pStyle w:val="8"/>
        <w:spacing w:before="120" w:after="120" w:line="312" w:lineRule="auto"/>
        <w:ind w:firstLine="480" w:firstLineChars="200"/>
        <w:rPr>
          <w:rFonts w:hint="eastAsia" w:ascii="宋体" w:hAnsi="宋体" w:cs="宋体"/>
          <w:b w:val="0"/>
          <w:color w:val="auto"/>
          <w:sz w:val="24"/>
          <w:szCs w:val="24"/>
        </w:rPr>
      </w:pPr>
      <w:bookmarkStart w:id="312" w:name="_Toc351203561"/>
      <w:r>
        <w:rPr>
          <w:rFonts w:hint="eastAsia" w:ascii="宋体" w:hAnsi="宋体" w:cs="宋体"/>
          <w:b w:val="0"/>
          <w:color w:val="auto"/>
          <w:sz w:val="24"/>
          <w:szCs w:val="24"/>
        </w:rPr>
        <w:t>8</w:t>
      </w:r>
      <w:bookmarkStart w:id="313" w:name="_Toc296346564"/>
      <w:bookmarkStart w:id="314" w:name="_Toc337558781"/>
      <w:bookmarkStart w:id="315" w:name="_Toc296503063"/>
      <w:r>
        <w:rPr>
          <w:rFonts w:hint="eastAsia" w:ascii="宋体" w:hAnsi="宋体" w:cs="宋体"/>
          <w:b w:val="0"/>
          <w:color w:val="auto"/>
          <w:sz w:val="24"/>
          <w:szCs w:val="24"/>
        </w:rPr>
        <w:t>.9材料与设备专用</w:t>
      </w:r>
      <w:bookmarkEnd w:id="312"/>
      <w:r>
        <w:rPr>
          <w:rFonts w:hint="eastAsia" w:ascii="宋体" w:hAnsi="宋体" w:cs="宋体"/>
          <w:b w:val="0"/>
          <w:color w:val="auto"/>
          <w:sz w:val="24"/>
          <w:szCs w:val="24"/>
        </w:rPr>
        <w:t>要求</w:t>
      </w:r>
    </w:p>
    <w:bookmarkEnd w:id="313"/>
    <w:bookmarkEnd w:id="314"/>
    <w:bookmarkEnd w:id="315"/>
    <w:p w14:paraId="08A3C23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rPr>
        <w:t>经发包人批准，承包人可以根据施工进度计划撤走闲置的施工设备和其他物品。</w:t>
      </w:r>
    </w:p>
    <w:p w14:paraId="1E396189">
      <w:pPr>
        <w:pStyle w:val="7"/>
        <w:spacing w:before="120" w:after="120" w:line="312" w:lineRule="auto"/>
        <w:rPr>
          <w:rFonts w:hint="eastAsia"/>
          <w:b w:val="0"/>
          <w:color w:val="auto"/>
          <w:sz w:val="24"/>
          <w:szCs w:val="24"/>
        </w:rPr>
      </w:pPr>
      <w:bookmarkStart w:id="316" w:name="_Toc351203562"/>
      <w:r>
        <w:rPr>
          <w:rFonts w:hint="eastAsia"/>
          <w:b w:val="0"/>
          <w:color w:val="auto"/>
          <w:sz w:val="24"/>
          <w:szCs w:val="24"/>
        </w:rPr>
        <w:t>9</w:t>
      </w:r>
      <w:bookmarkStart w:id="317" w:name="_Toc337558782"/>
      <w:bookmarkStart w:id="318" w:name="_Toc296503083"/>
      <w:bookmarkStart w:id="319" w:name="_Toc296346584"/>
      <w:r>
        <w:rPr>
          <w:rFonts w:hint="eastAsia"/>
          <w:b w:val="0"/>
          <w:color w:val="auto"/>
          <w:sz w:val="24"/>
          <w:szCs w:val="24"/>
        </w:rPr>
        <w:t>. 试验与检验</w:t>
      </w:r>
      <w:bookmarkEnd w:id="316"/>
    </w:p>
    <w:bookmarkEnd w:id="317"/>
    <w:p w14:paraId="3A4FFB23">
      <w:pPr>
        <w:pStyle w:val="8"/>
        <w:spacing w:before="120" w:after="120" w:line="312" w:lineRule="auto"/>
        <w:ind w:firstLine="480" w:firstLineChars="200"/>
        <w:rPr>
          <w:rFonts w:hint="eastAsia" w:ascii="宋体" w:hAnsi="宋体" w:cs="宋体"/>
          <w:b w:val="0"/>
          <w:color w:val="auto"/>
          <w:sz w:val="24"/>
          <w:szCs w:val="24"/>
        </w:rPr>
      </w:pPr>
      <w:bookmarkStart w:id="320" w:name="_Toc351203563"/>
      <w:r>
        <w:rPr>
          <w:rFonts w:hint="eastAsia" w:ascii="宋体" w:hAnsi="宋体" w:cs="宋体"/>
          <w:b w:val="0"/>
          <w:color w:val="auto"/>
          <w:sz w:val="24"/>
          <w:szCs w:val="24"/>
        </w:rPr>
        <w:t>9</w:t>
      </w:r>
      <w:bookmarkStart w:id="321" w:name="_Toc337558783"/>
      <w:r>
        <w:rPr>
          <w:rFonts w:hint="eastAsia" w:ascii="宋体" w:hAnsi="宋体" w:cs="宋体"/>
          <w:b w:val="0"/>
          <w:color w:val="auto"/>
          <w:sz w:val="24"/>
          <w:szCs w:val="24"/>
        </w:rPr>
        <w:t>.1试验设备与试验人员</w:t>
      </w:r>
      <w:bookmarkEnd w:id="320"/>
    </w:p>
    <w:bookmarkEnd w:id="321"/>
    <w:p w14:paraId="1A67955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0926AB1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9.1.2 承包人应按专用合同条款的约定提供试验设备、取样装置、试验场所和试验条件，并向监理人提交相应进场计划表。</w:t>
      </w:r>
    </w:p>
    <w:p w14:paraId="2E59647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承包人配置的试验设备要符合相应试验规程的要求并经过具有资质的检测单位检测，且在正式使用该试验设备前，需要经过监理人与承包人共同校定。</w:t>
      </w:r>
    </w:p>
    <w:p w14:paraId="356B45A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9.1.3 承包人应向监理人提交试验人员的名单及其岗位、资格等证明资料，试验人员必须能够熟练进行相应的检测试验，承包人对试验人员的试验程序和试验结果的正确性负责。</w:t>
      </w:r>
    </w:p>
    <w:p w14:paraId="00DF5A70">
      <w:pPr>
        <w:pStyle w:val="8"/>
        <w:spacing w:before="120" w:after="120" w:line="312" w:lineRule="auto"/>
        <w:ind w:firstLine="480" w:firstLineChars="200"/>
        <w:rPr>
          <w:rFonts w:hint="eastAsia" w:ascii="宋体" w:hAnsi="宋体" w:cs="宋体"/>
          <w:b w:val="0"/>
          <w:color w:val="auto"/>
          <w:sz w:val="24"/>
          <w:szCs w:val="24"/>
        </w:rPr>
      </w:pPr>
      <w:bookmarkStart w:id="322" w:name="_Toc351203564"/>
      <w:r>
        <w:rPr>
          <w:rFonts w:hint="eastAsia" w:ascii="宋体" w:hAnsi="宋体" w:cs="宋体"/>
          <w:b w:val="0"/>
          <w:color w:val="auto"/>
          <w:sz w:val="24"/>
          <w:szCs w:val="24"/>
        </w:rPr>
        <w:t>9</w:t>
      </w:r>
      <w:bookmarkStart w:id="323" w:name="_Toc337558784"/>
      <w:r>
        <w:rPr>
          <w:rFonts w:hint="eastAsia" w:ascii="宋体" w:hAnsi="宋体" w:cs="宋体"/>
          <w:b w:val="0"/>
          <w:color w:val="auto"/>
          <w:sz w:val="24"/>
          <w:szCs w:val="24"/>
        </w:rPr>
        <w:t>.2取样</w:t>
      </w:r>
      <w:bookmarkEnd w:id="322"/>
    </w:p>
    <w:bookmarkEnd w:id="323"/>
    <w:p w14:paraId="693402F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试验属于自检性质的，承包人可以单独取样。试验属于监理人抽检性质的，可由监理人取样，也可由承包人的试验人员在监理人的监督下取样。</w:t>
      </w:r>
    </w:p>
    <w:p w14:paraId="391330C8">
      <w:pPr>
        <w:pStyle w:val="8"/>
        <w:spacing w:before="120" w:after="120" w:line="312" w:lineRule="auto"/>
        <w:ind w:firstLine="480" w:firstLineChars="200"/>
        <w:rPr>
          <w:rFonts w:hint="eastAsia" w:ascii="宋体" w:hAnsi="宋体" w:cs="宋体"/>
          <w:b w:val="0"/>
          <w:color w:val="auto"/>
          <w:sz w:val="24"/>
          <w:szCs w:val="24"/>
        </w:rPr>
      </w:pPr>
      <w:bookmarkStart w:id="324" w:name="_Toc351203565"/>
      <w:r>
        <w:rPr>
          <w:rFonts w:hint="eastAsia" w:ascii="宋体" w:hAnsi="宋体" w:cs="宋体"/>
          <w:b w:val="0"/>
          <w:color w:val="auto"/>
          <w:sz w:val="24"/>
          <w:szCs w:val="24"/>
        </w:rPr>
        <w:t>9</w:t>
      </w:r>
      <w:bookmarkStart w:id="325" w:name="_Toc337558785"/>
      <w:r>
        <w:rPr>
          <w:rFonts w:hint="eastAsia" w:ascii="宋体" w:hAnsi="宋体" w:cs="宋体"/>
          <w:b w:val="0"/>
          <w:color w:val="auto"/>
          <w:sz w:val="24"/>
          <w:szCs w:val="24"/>
        </w:rPr>
        <w:t>.3材料、工程设备和工程的试验和检验</w:t>
      </w:r>
      <w:bookmarkEnd w:id="324"/>
    </w:p>
    <w:bookmarkEnd w:id="325"/>
    <w:p w14:paraId="7220A74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ECF8A8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BD4E91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A56392B">
      <w:pPr>
        <w:pStyle w:val="8"/>
        <w:spacing w:before="120" w:after="120" w:line="312" w:lineRule="auto"/>
        <w:ind w:firstLine="480" w:firstLineChars="200"/>
        <w:rPr>
          <w:rFonts w:hint="eastAsia" w:ascii="宋体" w:hAnsi="宋体" w:cs="宋体"/>
          <w:b w:val="0"/>
          <w:color w:val="auto"/>
          <w:sz w:val="24"/>
          <w:szCs w:val="24"/>
        </w:rPr>
      </w:pPr>
      <w:bookmarkStart w:id="326" w:name="_Toc351203566"/>
      <w:r>
        <w:rPr>
          <w:rFonts w:hint="eastAsia" w:ascii="宋体" w:hAnsi="宋体" w:cs="宋体"/>
          <w:b w:val="0"/>
          <w:color w:val="auto"/>
          <w:sz w:val="24"/>
          <w:szCs w:val="24"/>
        </w:rPr>
        <w:t>9</w:t>
      </w:r>
      <w:bookmarkStart w:id="327" w:name="_Toc337558786"/>
      <w:r>
        <w:rPr>
          <w:rFonts w:hint="eastAsia" w:ascii="宋体" w:hAnsi="宋体" w:cs="宋体"/>
          <w:b w:val="0"/>
          <w:color w:val="auto"/>
          <w:sz w:val="24"/>
          <w:szCs w:val="24"/>
        </w:rPr>
        <w:t>.4现场工艺试验</w:t>
      </w:r>
      <w:bookmarkEnd w:id="326"/>
    </w:p>
    <w:bookmarkEnd w:id="327"/>
    <w:p w14:paraId="50A6D5A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承包人应按合同约定或监理人指示进行现场工艺试验。对大型的现场工艺试验，监理人认为必要时，承包人应根据监理人提出的工艺试验要求，编制工艺试验措施计划，报送监理人审查。</w:t>
      </w:r>
    </w:p>
    <w:p w14:paraId="03A949CC">
      <w:pPr>
        <w:pStyle w:val="7"/>
        <w:spacing w:before="120" w:after="120" w:line="312" w:lineRule="auto"/>
        <w:rPr>
          <w:rFonts w:hint="eastAsia"/>
          <w:b w:val="0"/>
          <w:color w:val="auto"/>
          <w:sz w:val="24"/>
          <w:szCs w:val="24"/>
        </w:rPr>
      </w:pPr>
      <w:bookmarkStart w:id="328" w:name="_Toc351203567"/>
      <w:r>
        <w:rPr>
          <w:rFonts w:hint="eastAsia"/>
          <w:b w:val="0"/>
          <w:color w:val="auto"/>
          <w:sz w:val="24"/>
          <w:szCs w:val="24"/>
        </w:rPr>
        <w:t>1</w:t>
      </w:r>
      <w:bookmarkStart w:id="329" w:name="_Toc337558787"/>
      <w:r>
        <w:rPr>
          <w:rFonts w:hint="eastAsia"/>
          <w:b w:val="0"/>
          <w:color w:val="auto"/>
          <w:sz w:val="24"/>
          <w:szCs w:val="24"/>
        </w:rPr>
        <w:t>0. 变更</w:t>
      </w:r>
      <w:bookmarkEnd w:id="318"/>
      <w:bookmarkEnd w:id="319"/>
      <w:bookmarkEnd w:id="328"/>
    </w:p>
    <w:bookmarkEnd w:id="329"/>
    <w:p w14:paraId="5CCDC2AA">
      <w:pPr>
        <w:pStyle w:val="8"/>
        <w:spacing w:before="120" w:after="120" w:line="312" w:lineRule="auto"/>
        <w:ind w:firstLine="480" w:firstLineChars="200"/>
        <w:rPr>
          <w:rFonts w:hint="eastAsia" w:ascii="宋体" w:hAnsi="宋体" w:cs="宋体"/>
          <w:b w:val="0"/>
          <w:color w:val="auto"/>
          <w:sz w:val="24"/>
          <w:szCs w:val="24"/>
        </w:rPr>
      </w:pPr>
      <w:bookmarkStart w:id="330" w:name="_Toc351203568"/>
      <w:r>
        <w:rPr>
          <w:rFonts w:hint="eastAsia" w:ascii="宋体" w:hAnsi="宋体" w:cs="宋体"/>
          <w:b w:val="0"/>
          <w:color w:val="auto"/>
          <w:sz w:val="24"/>
          <w:szCs w:val="24"/>
        </w:rPr>
        <w:t>1</w:t>
      </w:r>
      <w:bookmarkStart w:id="331" w:name="_Toc296346585"/>
      <w:bookmarkStart w:id="332" w:name="_Toc337558788"/>
      <w:bookmarkStart w:id="333" w:name="_Toc296503084"/>
      <w:r>
        <w:rPr>
          <w:rFonts w:hint="eastAsia" w:ascii="宋体" w:hAnsi="宋体" w:cs="宋体"/>
          <w:b w:val="0"/>
          <w:color w:val="auto"/>
          <w:sz w:val="24"/>
          <w:szCs w:val="24"/>
        </w:rPr>
        <w:t>0.1变更的范围</w:t>
      </w:r>
      <w:bookmarkEnd w:id="330"/>
    </w:p>
    <w:bookmarkEnd w:id="331"/>
    <w:bookmarkEnd w:id="332"/>
    <w:bookmarkEnd w:id="333"/>
    <w:p w14:paraId="05C0DA6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除专用合同条款另有约定外，合同履行过程中发生以下情形的，应按照本条约定进行变更：</w:t>
      </w:r>
    </w:p>
    <w:p w14:paraId="38FAF7C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（1）增加或减少合同中任何工作，或追加额外的工作；</w:t>
      </w:r>
    </w:p>
    <w:p w14:paraId="5A5731E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（2）取消合同中任何工作，但转由他人实施的工作除外；</w:t>
      </w:r>
    </w:p>
    <w:p w14:paraId="3E44010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（3）改变合同中任何工作的质量标准或其他特性；</w:t>
      </w:r>
    </w:p>
    <w:p w14:paraId="3DF8D4E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（4）改变工程的基线、标高、位置和尺寸；</w:t>
      </w:r>
    </w:p>
    <w:p w14:paraId="2CC5BDE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（5）改变工程的时间安排或实施顺序。</w:t>
      </w:r>
    </w:p>
    <w:p w14:paraId="2162D26A">
      <w:pPr>
        <w:pStyle w:val="8"/>
        <w:spacing w:before="120" w:after="120" w:line="312" w:lineRule="auto"/>
        <w:ind w:firstLine="480" w:firstLineChars="200"/>
        <w:rPr>
          <w:rFonts w:hint="eastAsia" w:ascii="宋体" w:hAnsi="宋体" w:cs="宋体"/>
          <w:b w:val="0"/>
          <w:color w:val="auto"/>
          <w:sz w:val="24"/>
          <w:szCs w:val="24"/>
        </w:rPr>
      </w:pPr>
      <w:bookmarkStart w:id="334" w:name="_Toc351203569"/>
      <w:r>
        <w:rPr>
          <w:rFonts w:hint="eastAsia" w:ascii="宋体" w:hAnsi="宋体" w:cs="宋体"/>
          <w:b w:val="0"/>
          <w:color w:val="auto"/>
          <w:sz w:val="24"/>
          <w:szCs w:val="24"/>
        </w:rPr>
        <w:t>1</w:t>
      </w:r>
      <w:bookmarkStart w:id="335" w:name="_Toc337558789"/>
      <w:bookmarkStart w:id="336" w:name="_Toc296503085"/>
      <w:bookmarkStart w:id="337" w:name="_Toc296346586"/>
      <w:r>
        <w:rPr>
          <w:rFonts w:hint="eastAsia" w:ascii="宋体" w:hAnsi="宋体" w:cs="宋体"/>
          <w:b w:val="0"/>
          <w:color w:val="auto"/>
          <w:sz w:val="24"/>
          <w:szCs w:val="24"/>
        </w:rPr>
        <w:t>0.2变更权</w:t>
      </w:r>
      <w:bookmarkEnd w:id="334"/>
    </w:p>
    <w:bookmarkEnd w:id="335"/>
    <w:bookmarkEnd w:id="336"/>
    <w:bookmarkEnd w:id="337"/>
    <w:p w14:paraId="17B23BC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B77460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涉及设计变更的，应由设计人提供变更后的图纸和说明。如变更超过原设计标准或批准的建设规模时，发包人应及时办理规划、设计变更等审批手续。</w:t>
      </w:r>
    </w:p>
    <w:p w14:paraId="14E3C02A">
      <w:pPr>
        <w:pStyle w:val="8"/>
        <w:spacing w:before="120" w:after="120" w:line="312" w:lineRule="auto"/>
        <w:ind w:firstLine="480" w:firstLineChars="200"/>
        <w:rPr>
          <w:rFonts w:hint="eastAsia" w:ascii="宋体" w:hAnsi="宋体" w:cs="宋体"/>
          <w:b w:val="0"/>
          <w:color w:val="auto"/>
          <w:sz w:val="24"/>
          <w:szCs w:val="24"/>
        </w:rPr>
      </w:pPr>
      <w:bookmarkStart w:id="338" w:name="_Toc351203570"/>
      <w:r>
        <w:rPr>
          <w:rFonts w:hint="eastAsia" w:ascii="宋体" w:hAnsi="宋体" w:cs="宋体"/>
          <w:b w:val="0"/>
          <w:color w:val="auto"/>
          <w:sz w:val="24"/>
          <w:szCs w:val="24"/>
        </w:rPr>
        <w:t>1</w:t>
      </w:r>
      <w:bookmarkStart w:id="339" w:name="_Toc296346587"/>
      <w:bookmarkStart w:id="340" w:name="_Toc337558790"/>
      <w:bookmarkStart w:id="341" w:name="_Toc296503086"/>
      <w:r>
        <w:rPr>
          <w:rFonts w:hint="eastAsia" w:ascii="宋体" w:hAnsi="宋体" w:cs="宋体"/>
          <w:b w:val="0"/>
          <w:color w:val="auto"/>
          <w:sz w:val="24"/>
          <w:szCs w:val="24"/>
        </w:rPr>
        <w:t>0.3变更程序</w:t>
      </w:r>
      <w:bookmarkEnd w:id="338"/>
    </w:p>
    <w:bookmarkEnd w:id="339"/>
    <w:bookmarkEnd w:id="340"/>
    <w:bookmarkEnd w:id="341"/>
    <w:p w14:paraId="6EE98D5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10</w:t>
      </w:r>
      <w:r>
        <w:rPr>
          <w:rFonts w:hint="eastAsia" w:ascii="宋体" w:hAnsi="宋体" w:cs="宋体"/>
          <w:color w:val="auto"/>
          <w:kern w:val="0"/>
          <w:sz w:val="24"/>
        </w:rPr>
        <w:t>.3.1 发包人提出变更</w:t>
      </w:r>
    </w:p>
    <w:p w14:paraId="33B47BA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发包人提出变更的，应通过监理人向承包人发出变更指示，变更指示应说明计划变更的工程范围和变更的内容。</w:t>
      </w:r>
    </w:p>
    <w:p w14:paraId="6DDC566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10</w:t>
      </w:r>
      <w:r>
        <w:rPr>
          <w:rFonts w:hint="eastAsia" w:ascii="宋体" w:hAnsi="宋体" w:cs="宋体"/>
          <w:color w:val="auto"/>
          <w:kern w:val="0"/>
          <w:sz w:val="24"/>
        </w:rPr>
        <w:t>.3.2 监理人提出变更建议</w:t>
      </w:r>
    </w:p>
    <w:p w14:paraId="3A49956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CFF5CD3">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10.3.3 变更执行</w:t>
      </w:r>
    </w:p>
    <w:p w14:paraId="74D763F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0BDA968">
      <w:pPr>
        <w:pStyle w:val="8"/>
        <w:spacing w:before="120" w:after="120" w:line="312" w:lineRule="auto"/>
        <w:ind w:firstLine="480" w:firstLineChars="200"/>
        <w:rPr>
          <w:rFonts w:hint="eastAsia" w:ascii="宋体" w:hAnsi="宋体" w:cs="宋体"/>
          <w:b w:val="0"/>
          <w:color w:val="auto"/>
          <w:sz w:val="24"/>
          <w:szCs w:val="24"/>
        </w:rPr>
      </w:pPr>
      <w:bookmarkStart w:id="342" w:name="_Toc351203571"/>
      <w:r>
        <w:rPr>
          <w:rFonts w:hint="eastAsia" w:ascii="宋体" w:hAnsi="宋体" w:cs="宋体"/>
          <w:b w:val="0"/>
          <w:color w:val="auto"/>
          <w:sz w:val="24"/>
          <w:szCs w:val="24"/>
        </w:rPr>
        <w:t>1</w:t>
      </w:r>
      <w:bookmarkStart w:id="343" w:name="_Toc296346588"/>
      <w:bookmarkStart w:id="344" w:name="_Toc296503087"/>
      <w:bookmarkStart w:id="345" w:name="_Toc337558791"/>
      <w:r>
        <w:rPr>
          <w:rFonts w:hint="eastAsia" w:ascii="宋体" w:hAnsi="宋体" w:cs="宋体"/>
          <w:b w:val="0"/>
          <w:color w:val="auto"/>
          <w:sz w:val="24"/>
          <w:szCs w:val="24"/>
        </w:rPr>
        <w:t>0.4变更估价</w:t>
      </w:r>
      <w:bookmarkEnd w:id="342"/>
    </w:p>
    <w:bookmarkEnd w:id="343"/>
    <w:bookmarkEnd w:id="344"/>
    <w:bookmarkEnd w:id="345"/>
    <w:p w14:paraId="33E36D1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10.4.1 变更估价原则</w:t>
      </w:r>
    </w:p>
    <w:p w14:paraId="5830E99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除专用合同条款另有约定外，变更估价按照本款约定处理：</w:t>
      </w:r>
    </w:p>
    <w:p w14:paraId="6057BB4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（1）已标价工程量清单或预算书有相同项目的，按照相同项目单价认定；</w:t>
      </w:r>
    </w:p>
    <w:p w14:paraId="0E003E8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（2）已标价工程量清单或预算书中无相同项目，但有类似项目的，参照类似项目的单价认定；</w:t>
      </w:r>
    </w:p>
    <w:p w14:paraId="4C4FCC7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6D6062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10.4.2 变更估价程序</w:t>
      </w:r>
    </w:p>
    <w:p w14:paraId="38A94A1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C848C1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因变更引起的价格调整应计入最近一期的进度款中支付。</w:t>
      </w:r>
    </w:p>
    <w:p w14:paraId="2D53AF3A">
      <w:pPr>
        <w:pStyle w:val="8"/>
        <w:spacing w:before="120" w:after="120" w:line="312" w:lineRule="auto"/>
        <w:ind w:firstLine="480" w:firstLineChars="200"/>
        <w:rPr>
          <w:rFonts w:hint="eastAsia" w:ascii="宋体" w:hAnsi="宋体" w:cs="宋体"/>
          <w:b w:val="0"/>
          <w:color w:val="auto"/>
          <w:sz w:val="24"/>
          <w:szCs w:val="24"/>
        </w:rPr>
      </w:pPr>
      <w:bookmarkStart w:id="346" w:name="_Toc351203572"/>
      <w:r>
        <w:rPr>
          <w:rFonts w:hint="eastAsia" w:ascii="宋体" w:hAnsi="宋体" w:cs="宋体"/>
          <w:b w:val="0"/>
          <w:color w:val="auto"/>
          <w:sz w:val="24"/>
          <w:szCs w:val="24"/>
        </w:rPr>
        <w:t>1</w:t>
      </w:r>
      <w:bookmarkStart w:id="347" w:name="_Toc337558792"/>
      <w:bookmarkStart w:id="348" w:name="_Toc296346595"/>
      <w:bookmarkStart w:id="349" w:name="_Toc296503094"/>
      <w:r>
        <w:rPr>
          <w:rFonts w:hint="eastAsia" w:ascii="宋体" w:hAnsi="宋体" w:cs="宋体"/>
          <w:b w:val="0"/>
          <w:color w:val="auto"/>
          <w:sz w:val="24"/>
          <w:szCs w:val="24"/>
        </w:rPr>
        <w:t>0.5承包人的合理化建议</w:t>
      </w:r>
      <w:bookmarkEnd w:id="346"/>
    </w:p>
    <w:bookmarkEnd w:id="347"/>
    <w:bookmarkEnd w:id="348"/>
    <w:bookmarkEnd w:id="349"/>
    <w:p w14:paraId="0311B74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承包人提出合理化建议的，应向监理人提交合理化建议说明，说明建议的内容和理由，以及实施该建议对合同价格和工期的影响。</w:t>
      </w:r>
    </w:p>
    <w:p w14:paraId="35430E3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69D5EF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合理化建议降低了合同价格或者提高了工程经济效益的，发包人可对承包人给予奖励，奖励的方法和金额在专用合同条款中约定。</w:t>
      </w:r>
    </w:p>
    <w:p w14:paraId="10B2BAB3">
      <w:pPr>
        <w:pStyle w:val="8"/>
        <w:spacing w:before="120" w:after="120" w:line="312" w:lineRule="auto"/>
        <w:ind w:firstLine="480" w:firstLineChars="200"/>
        <w:rPr>
          <w:rFonts w:hint="eastAsia" w:ascii="宋体" w:hAnsi="宋体" w:cs="宋体"/>
          <w:color w:val="auto"/>
          <w:sz w:val="24"/>
          <w:szCs w:val="24"/>
        </w:rPr>
      </w:pPr>
      <w:bookmarkStart w:id="350" w:name="_Toc351203573"/>
      <w:r>
        <w:rPr>
          <w:rFonts w:hint="eastAsia" w:ascii="宋体" w:hAnsi="宋体" w:cs="宋体"/>
          <w:b w:val="0"/>
          <w:color w:val="auto"/>
          <w:sz w:val="24"/>
          <w:szCs w:val="24"/>
        </w:rPr>
        <w:t>1</w:t>
      </w:r>
      <w:bookmarkStart w:id="351" w:name="_Toc337558793"/>
      <w:r>
        <w:rPr>
          <w:rFonts w:hint="eastAsia" w:ascii="宋体" w:hAnsi="宋体" w:cs="宋体"/>
          <w:b w:val="0"/>
          <w:color w:val="auto"/>
          <w:sz w:val="24"/>
          <w:szCs w:val="24"/>
        </w:rPr>
        <w:t>0.6变更引起的工期调整</w:t>
      </w:r>
      <w:bookmarkEnd w:id="350"/>
      <w:r>
        <w:rPr>
          <w:rFonts w:hint="eastAsia" w:ascii="宋体" w:hAnsi="宋体" w:cs="宋体"/>
          <w:b w:val="0"/>
          <w:color w:val="auto"/>
          <w:sz w:val="24"/>
          <w:szCs w:val="24"/>
        </w:rPr>
        <w:t xml:space="preserve"> </w:t>
      </w:r>
      <w:bookmarkEnd w:id="351"/>
      <w:r>
        <w:rPr>
          <w:rFonts w:hint="eastAsia" w:ascii="宋体" w:hAnsi="宋体" w:cs="宋体"/>
          <w:b w:val="0"/>
          <w:color w:val="auto"/>
          <w:sz w:val="24"/>
          <w:szCs w:val="24"/>
        </w:rPr>
        <w:t xml:space="preserve"> </w:t>
      </w:r>
      <w:r>
        <w:rPr>
          <w:rFonts w:hint="eastAsia" w:ascii="宋体" w:hAnsi="宋体" w:cs="宋体"/>
          <w:color w:val="auto"/>
          <w:sz w:val="24"/>
          <w:szCs w:val="24"/>
        </w:rPr>
        <w:t xml:space="preserve"> </w:t>
      </w:r>
    </w:p>
    <w:p w14:paraId="057FC82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因变更引起工期变化的，合同当事人均可要求调整合同工期，由合同当事人按照第4.4款〔商定或确定〕并参考工程所在地的工期定额标准确定增减工期天数。</w:t>
      </w:r>
    </w:p>
    <w:p w14:paraId="3BEB472D">
      <w:pPr>
        <w:pStyle w:val="8"/>
        <w:spacing w:before="120" w:after="120" w:line="312" w:lineRule="auto"/>
        <w:ind w:firstLine="480" w:firstLineChars="200"/>
        <w:rPr>
          <w:rFonts w:hint="eastAsia" w:ascii="宋体" w:hAnsi="宋体" w:cs="宋体"/>
          <w:b w:val="0"/>
          <w:color w:val="auto"/>
          <w:sz w:val="24"/>
          <w:szCs w:val="24"/>
        </w:rPr>
      </w:pPr>
      <w:bookmarkStart w:id="352" w:name="_Toc351203574"/>
      <w:r>
        <w:rPr>
          <w:rFonts w:hint="eastAsia" w:ascii="宋体" w:hAnsi="宋体" w:cs="宋体"/>
          <w:b w:val="0"/>
          <w:color w:val="auto"/>
          <w:sz w:val="24"/>
          <w:szCs w:val="24"/>
        </w:rPr>
        <w:t>10.7暂估价</w:t>
      </w:r>
      <w:bookmarkEnd w:id="352"/>
    </w:p>
    <w:p w14:paraId="78AEDD4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暂估价专业分包工程、服务、材料和工程设备的明细由合同当事人在专用合同条款中约定。</w:t>
      </w:r>
    </w:p>
    <w:p w14:paraId="4B75FE9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10.7.1</w:t>
      </w:r>
      <w:r>
        <w:rPr>
          <w:rFonts w:hint="eastAsia" w:ascii="宋体" w:hAnsi="宋体" w:cs="宋体"/>
          <w:color w:val="auto"/>
          <w:kern w:val="0"/>
          <w:sz w:val="24"/>
        </w:rPr>
        <w:t xml:space="preserve"> 依法必须招标的暂估价项目</w:t>
      </w:r>
    </w:p>
    <w:p w14:paraId="3604FB3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对于依法必须招标的暂估价项目，采取以下第1种方式确定。合同当事人也可以在专用合同条款中选择其他招标方式。</w:t>
      </w:r>
    </w:p>
    <w:p w14:paraId="1AE48B6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第1种方式：对于依法必须招标的暂估价项目，由承包人招标，对该暂估价项目的确认和批准按照以下约定执行：</w:t>
      </w:r>
    </w:p>
    <w:p w14:paraId="3E1103E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50574A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0395553">
      <w:pPr>
        <w:spacing w:line="312" w:lineRule="auto"/>
        <w:jc w:val="left"/>
        <w:rPr>
          <w:rFonts w:hint="eastAsia" w:ascii="宋体" w:hAnsi="宋体" w:cs="宋体"/>
          <w:color w:val="auto"/>
          <w:kern w:val="0"/>
          <w:sz w:val="24"/>
        </w:rPr>
      </w:pPr>
      <w:r>
        <w:rPr>
          <w:rFonts w:hint="eastAsia" w:ascii="宋体" w:hAnsi="宋体" w:cs="宋体"/>
          <w:color w:val="auto"/>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82BBF6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32F09D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10.7.2</w:t>
      </w:r>
      <w:r>
        <w:rPr>
          <w:rFonts w:hint="eastAsia" w:ascii="宋体" w:hAnsi="宋体" w:cs="宋体"/>
          <w:color w:val="auto"/>
          <w:kern w:val="0"/>
          <w:sz w:val="24"/>
        </w:rPr>
        <w:t>不属于依法必须招标的暂估价项目</w:t>
      </w:r>
    </w:p>
    <w:p w14:paraId="7766835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除专用合同条款另有约定外，对于不属于依法必须招标的暂估价项目，采取以下第1种方式确定： </w:t>
      </w:r>
    </w:p>
    <w:p w14:paraId="749498B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第1种方式：对于不属于依法必须招标的暂估价项目，按本项约定确认和批准：</w:t>
      </w:r>
    </w:p>
    <w:p w14:paraId="521F7CC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A8CF1D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（2）发包人认为承包人确定的供应商、分包人无法满足工程质量或合同要求的，发包人可以要求承包人重新确定暂估价项目的供应商、分包人;</w:t>
      </w:r>
    </w:p>
    <w:p w14:paraId="6E26381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（3）承包人应当在签订暂估价合同后7天内，将暂估价合同副本报送发包人留存。</w:t>
      </w:r>
    </w:p>
    <w:p w14:paraId="12A27EC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第2种方式：承包人按照第10.7.1项〔依法必须招标的暂估价项目〕约定的第1种方式确定暂估价项目。</w:t>
      </w:r>
    </w:p>
    <w:p w14:paraId="4C7B8E3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第3种方式：</w:t>
      </w:r>
      <w:r>
        <w:rPr>
          <w:rFonts w:hint="eastAsia" w:ascii="宋体" w:hAnsi="宋体" w:cs="宋体"/>
          <w:color w:val="auto"/>
          <w:kern w:val="0"/>
          <w:sz w:val="24"/>
        </w:rPr>
        <w:t>承包人直接实施的暂估价项目</w:t>
      </w:r>
    </w:p>
    <w:p w14:paraId="1F5B3AA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承包人具备实施暂估价项目的资格和条件的，经发包人和承包人协商一致后，可由承包人自行实施暂估价项目，合同当事人可以在专用合同条款约定具体事项。</w:t>
      </w:r>
    </w:p>
    <w:p w14:paraId="3C8B06D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86BE351">
      <w:pPr>
        <w:pStyle w:val="8"/>
        <w:spacing w:before="120" w:after="120" w:line="312" w:lineRule="auto"/>
        <w:ind w:firstLine="480" w:firstLineChars="200"/>
        <w:rPr>
          <w:rFonts w:hint="eastAsia" w:ascii="宋体" w:hAnsi="宋体" w:cs="宋体"/>
          <w:b w:val="0"/>
          <w:color w:val="auto"/>
          <w:sz w:val="24"/>
          <w:szCs w:val="24"/>
        </w:rPr>
      </w:pPr>
      <w:bookmarkStart w:id="353" w:name="_Toc351203575"/>
      <w:r>
        <w:rPr>
          <w:rFonts w:hint="eastAsia" w:ascii="宋体" w:hAnsi="宋体" w:cs="宋体"/>
          <w:b w:val="0"/>
          <w:color w:val="auto"/>
          <w:sz w:val="24"/>
          <w:szCs w:val="24"/>
        </w:rPr>
        <w:t>1</w:t>
      </w:r>
      <w:bookmarkStart w:id="354" w:name="_Toc337558794"/>
      <w:bookmarkStart w:id="355" w:name="_Toc322522561"/>
      <w:bookmarkStart w:id="356" w:name="_Toc296503090"/>
      <w:bookmarkStart w:id="357" w:name="_Toc296346591"/>
      <w:r>
        <w:rPr>
          <w:rFonts w:hint="eastAsia" w:ascii="宋体" w:hAnsi="宋体" w:cs="宋体"/>
          <w:b w:val="0"/>
          <w:color w:val="auto"/>
          <w:sz w:val="24"/>
          <w:szCs w:val="24"/>
        </w:rPr>
        <w:t>0.8暂列金额</w:t>
      </w:r>
      <w:bookmarkEnd w:id="353"/>
    </w:p>
    <w:bookmarkEnd w:id="354"/>
    <w:p w14:paraId="7E2137A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暂列金额应按照发包人的要求使用，发包人的要求应通过监理人发出。合同当事人可以在专用合同条款中协商确定有关事项。</w:t>
      </w:r>
    </w:p>
    <w:bookmarkEnd w:id="355"/>
    <w:bookmarkEnd w:id="356"/>
    <w:bookmarkEnd w:id="357"/>
    <w:p w14:paraId="76576004">
      <w:pPr>
        <w:pStyle w:val="8"/>
        <w:spacing w:before="120" w:after="120" w:line="312" w:lineRule="auto"/>
        <w:ind w:firstLine="480" w:firstLineChars="200"/>
        <w:rPr>
          <w:rFonts w:hint="eastAsia" w:ascii="宋体" w:hAnsi="宋体" w:cs="宋体"/>
          <w:b w:val="0"/>
          <w:color w:val="auto"/>
          <w:sz w:val="24"/>
          <w:szCs w:val="24"/>
        </w:rPr>
      </w:pPr>
      <w:bookmarkStart w:id="358" w:name="_Toc351203576"/>
      <w:r>
        <w:rPr>
          <w:rFonts w:hint="eastAsia" w:ascii="宋体" w:hAnsi="宋体" w:cs="宋体"/>
          <w:b w:val="0"/>
          <w:color w:val="auto"/>
          <w:sz w:val="24"/>
          <w:szCs w:val="24"/>
        </w:rPr>
        <w:t>1</w:t>
      </w:r>
      <w:bookmarkStart w:id="359" w:name="_Toc337558796"/>
      <w:bookmarkStart w:id="360" w:name="_Toc296346592"/>
      <w:bookmarkStart w:id="361" w:name="_Toc296503091"/>
      <w:r>
        <w:rPr>
          <w:rFonts w:hint="eastAsia" w:ascii="宋体" w:hAnsi="宋体" w:cs="宋体"/>
          <w:b w:val="0"/>
          <w:color w:val="auto"/>
          <w:sz w:val="24"/>
          <w:szCs w:val="24"/>
        </w:rPr>
        <w:t>0.9计日工</w:t>
      </w:r>
      <w:bookmarkEnd w:id="358"/>
      <w:r>
        <w:rPr>
          <w:rFonts w:hint="eastAsia" w:ascii="宋体" w:hAnsi="宋体" w:cs="宋体"/>
          <w:b w:val="0"/>
          <w:color w:val="auto"/>
          <w:sz w:val="24"/>
          <w:szCs w:val="24"/>
        </w:rPr>
        <w:t xml:space="preserve"> </w:t>
      </w:r>
      <w:bookmarkEnd w:id="359"/>
      <w:bookmarkEnd w:id="360"/>
      <w:bookmarkEnd w:id="361"/>
    </w:p>
    <w:p w14:paraId="66FEAFE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461AC04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采用计日工计价的任何一项工作，承包人应在该项工作实施过程中，每天提交以下报表和有关凭证报送监理人审查：</w:t>
      </w:r>
    </w:p>
    <w:p w14:paraId="5E37B77E">
      <w:pPr>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（1）工作名称、内容和数量；</w:t>
      </w:r>
    </w:p>
    <w:p w14:paraId="4FC39592">
      <w:pPr>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（2）投入该工作的所有人员的姓名、专业、工种、级别和耗用工时；</w:t>
      </w:r>
    </w:p>
    <w:p w14:paraId="67342942">
      <w:pPr>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（3）投入该工作的材料类别和数量；</w:t>
      </w:r>
    </w:p>
    <w:p w14:paraId="07D7E8F4">
      <w:pPr>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（4）投入该工作的施工设备型号、台数和耗用台时；</w:t>
      </w:r>
    </w:p>
    <w:p w14:paraId="4C93F435">
      <w:pPr>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（5）其他有关资料和凭证。</w:t>
      </w:r>
    </w:p>
    <w:p w14:paraId="268C0AC7">
      <w:pPr>
        <w:spacing w:line="312" w:lineRule="auto"/>
        <w:ind w:firstLine="360" w:firstLineChars="150"/>
        <w:jc w:val="left"/>
        <w:rPr>
          <w:rFonts w:hint="eastAsia" w:ascii="宋体" w:hAnsi="宋体" w:cs="宋体"/>
          <w:color w:val="auto"/>
          <w:kern w:val="0"/>
          <w:sz w:val="24"/>
        </w:rPr>
      </w:pPr>
      <w:r>
        <w:rPr>
          <w:rFonts w:hint="eastAsia" w:ascii="宋体" w:hAnsi="宋体" w:cs="宋体"/>
          <w:color w:val="auto"/>
          <w:kern w:val="0"/>
          <w:sz w:val="24"/>
        </w:rPr>
        <w:t xml:space="preserve"> 计日工由承包人汇总后，列入最近一期进度付款申请单，由监理人审查并经发包人批准后列入进度付款。</w:t>
      </w:r>
      <w:bookmarkStart w:id="362" w:name="_Toc351203577"/>
    </w:p>
    <w:p w14:paraId="5F20DCD8">
      <w:pPr>
        <w:numPr>
          <w:ilvl w:val="0"/>
          <w:numId w:val="5"/>
        </w:numPr>
        <w:spacing w:line="312" w:lineRule="auto"/>
        <w:ind w:firstLine="360" w:firstLineChars="150"/>
        <w:jc w:val="left"/>
        <w:rPr>
          <w:rFonts w:hint="eastAsia" w:ascii="宋体" w:hAnsi="宋体" w:cs="宋体"/>
          <w:color w:val="auto"/>
          <w:sz w:val="24"/>
        </w:rPr>
      </w:pPr>
      <w:r>
        <w:rPr>
          <w:rFonts w:hint="eastAsia" w:ascii="宋体" w:hAnsi="宋体" w:cs="宋体"/>
          <w:color w:val="auto"/>
          <w:sz w:val="24"/>
        </w:rPr>
        <w:t>价格调整</w:t>
      </w:r>
      <w:bookmarkEnd w:id="362"/>
      <w:bookmarkStart w:id="363" w:name="_Toc351203578"/>
      <w:bookmarkStart w:id="364" w:name="_Toc296503092"/>
      <w:bookmarkStart w:id="365" w:name="_Toc337558797"/>
      <w:bookmarkStart w:id="366" w:name="_Toc296346593"/>
    </w:p>
    <w:p w14:paraId="0DCCA623">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11.1市场价格波动引起的调整</w:t>
      </w:r>
      <w:bookmarkEnd w:id="363"/>
    </w:p>
    <w:bookmarkEnd w:id="364"/>
    <w:bookmarkEnd w:id="365"/>
    <w:bookmarkEnd w:id="366"/>
    <w:p w14:paraId="7AC505F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除专用合同条款另有约定外，市场价格波动超过合同当事人约定的范围，合同价格应当调整。合同当事人可以在专用合同条款中约定选择以下一种方式对合同价格进行调整：</w:t>
      </w:r>
    </w:p>
    <w:p w14:paraId="671F498A">
      <w:pPr>
        <w:spacing w:line="312" w:lineRule="auto"/>
        <w:ind w:firstLine="480" w:firstLineChars="200"/>
        <w:rPr>
          <w:rFonts w:hint="eastAsia" w:ascii="宋体" w:hAnsi="宋体" w:cs="宋体"/>
          <w:color w:val="auto"/>
          <w:sz w:val="24"/>
        </w:rPr>
      </w:pPr>
      <w:r>
        <w:rPr>
          <w:rFonts w:hint="eastAsia" w:ascii="宋体" w:hAnsi="宋体" w:cs="宋体"/>
          <w:color w:val="auto"/>
          <w:sz w:val="24"/>
        </w:rPr>
        <w:t>第1种方式：采用价格指数进行价格调整。</w:t>
      </w:r>
    </w:p>
    <w:p w14:paraId="0A3D1D1B">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（1）价格调整公式</w:t>
      </w:r>
    </w:p>
    <w:p w14:paraId="566D7369">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因人工、材料和设备等价格波动影响合同价格时，根据专用合同条款中约定的数据，按以下公式计算差额并调整合同价格：</w:t>
      </w:r>
    </w:p>
    <w:p w14:paraId="44D56EFD">
      <w:pPr>
        <w:tabs>
          <w:tab w:val="left" w:pos="0"/>
          <w:tab w:val="left" w:pos="360"/>
          <w:tab w:val="left" w:pos="540"/>
        </w:tabs>
        <w:spacing w:line="312" w:lineRule="auto"/>
        <w:ind w:firstLine="480" w:firstLineChars="200"/>
        <w:rPr>
          <w:rFonts w:hint="eastAsia" w:ascii="宋体" w:hAnsi="宋体" w:cs="宋体"/>
          <w:color w:val="auto"/>
          <w:sz w:val="24"/>
        </w:rPr>
      </w:pPr>
    </w:p>
    <w:p w14:paraId="0B007550">
      <w:pPr>
        <w:tabs>
          <w:tab w:val="left" w:pos="0"/>
          <w:tab w:val="left" w:pos="360"/>
          <w:tab w:val="left" w:pos="540"/>
        </w:tabs>
        <w:spacing w:line="312" w:lineRule="auto"/>
        <w:ind w:firstLine="600" w:firstLineChars="200"/>
        <w:rPr>
          <w:rFonts w:hint="eastAsia" w:ascii="宋体" w:hAnsi="宋体" w:cs="宋体"/>
          <w:color w:val="auto"/>
          <w:sz w:val="24"/>
        </w:rPr>
      </w:pPr>
      <w:r>
        <w:rPr>
          <w:rFonts w:hint="eastAsia" w:eastAsia="仿宋_GB2312"/>
          <w:color w:val="auto"/>
          <w:position w:val="-30"/>
          <w:sz w:val="30"/>
          <w:szCs w:val="32"/>
        </w:rPr>
        <w:object>
          <v:shape id="_x0000_i1025" o:spt="75" type="#_x0000_t75" style="height:45.0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526B6511">
      <w:pPr>
        <w:tabs>
          <w:tab w:val="left" w:pos="0"/>
          <w:tab w:val="left" w:pos="360"/>
          <w:tab w:val="left" w:pos="540"/>
        </w:tabs>
        <w:spacing w:line="312" w:lineRule="auto"/>
        <w:ind w:firstLine="640"/>
        <w:rPr>
          <w:rFonts w:hint="eastAsia" w:ascii="宋体" w:hAnsi="宋体" w:cs="宋体"/>
          <w:color w:val="auto"/>
          <w:sz w:val="24"/>
        </w:rPr>
      </w:pPr>
      <w:r>
        <w:rPr>
          <w:rFonts w:hint="eastAsia" w:ascii="宋体" w:hAnsi="宋体" w:cs="宋体"/>
          <w:color w:val="auto"/>
          <w:sz w:val="24"/>
        </w:rPr>
        <w:t>公式中：ΔP——需调整的价格差额；</w:t>
      </w:r>
    </w:p>
    <w:p w14:paraId="4A25EF24">
      <w:pPr>
        <w:tabs>
          <w:tab w:val="left" w:pos="0"/>
          <w:tab w:val="left" w:pos="360"/>
          <w:tab w:val="left" w:pos="540"/>
        </w:tabs>
        <w:spacing w:line="312" w:lineRule="auto"/>
        <w:ind w:firstLine="1440" w:firstLineChars="600"/>
        <w:rPr>
          <w:rFonts w:hint="eastAsia" w:ascii="宋体" w:hAnsi="宋体" w:cs="宋体"/>
          <w:color w:val="auto"/>
          <w:sz w:val="24"/>
        </w:rPr>
      </w:pPr>
      <w:r>
        <w:rPr>
          <w:rFonts w:hint="eastAsia" w:ascii="宋体" w:hAnsi="宋体" w:cs="宋体"/>
          <w:color w:val="auto"/>
          <w:position w:val="-6"/>
          <w:sz w:val="24"/>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515DF30F">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A——定值权重（即不调部分的权重）；</w:t>
      </w:r>
    </w:p>
    <w:p w14:paraId="088AE3F2">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position w:val="-10"/>
          <w:sz w:val="24"/>
        </w:rPr>
        <w:object>
          <v:shape id="_x0000_i1027" o:spt="75" type="#_x0000_t75" style="height:21pt;width:101.2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rPr>
        <w:t>——各可调因子的变值权重（即可调部分的权重），为各可调因子在签约合同价中所占的比例；</w:t>
      </w:r>
    </w:p>
    <w:p w14:paraId="34B6CF7A">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position w:val="-10"/>
          <w:sz w:val="24"/>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rPr>
        <w:t>——各可调因子的现行价格指数，指约定的付款证书相关周期最后一天的前42天的各可调因子的价格指数；</w:t>
      </w:r>
    </w:p>
    <w:p w14:paraId="6659E9DD">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position w:val="-10"/>
          <w:sz w:val="24"/>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rPr>
        <w:t>——各可调因子的基本价格指数，指基准日期的各可调因子的价格指数。</w:t>
      </w:r>
    </w:p>
    <w:p w14:paraId="2934D391">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A797DD6">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（2）暂时确定调整差额</w:t>
      </w:r>
    </w:p>
    <w:p w14:paraId="4CDC967C">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在计算调整差额时无现行价格指数的，合同当事人同意暂用前次价格指数计算。实际价格指数有调整的，合同当事人进行相应调整。</w:t>
      </w:r>
    </w:p>
    <w:p w14:paraId="4AD0DF01">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（3）权重的调整</w:t>
      </w:r>
    </w:p>
    <w:p w14:paraId="46FB8FB0">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因变更导致合同约定的权重不合理时，按照第4.4款〔商定或确定〕执行。</w:t>
      </w:r>
    </w:p>
    <w:p w14:paraId="4825004A">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（4）因承包人原因工期延误后的价格调整</w:t>
      </w:r>
    </w:p>
    <w:p w14:paraId="05CA97A3">
      <w:pPr>
        <w:tabs>
          <w:tab w:val="left" w:pos="0"/>
          <w:tab w:val="left" w:pos="360"/>
          <w:tab w:val="left" w:pos="540"/>
        </w:tabs>
        <w:spacing w:line="312" w:lineRule="auto"/>
        <w:ind w:firstLine="480" w:firstLineChars="200"/>
        <w:rPr>
          <w:rFonts w:hint="eastAsia" w:ascii="宋体" w:hAnsi="宋体" w:cs="宋体"/>
          <w:color w:val="auto"/>
          <w:sz w:val="24"/>
        </w:rPr>
      </w:pPr>
      <w:r>
        <w:rPr>
          <w:rFonts w:hint="eastAsia" w:ascii="宋体" w:hAnsi="宋体" w:cs="宋体"/>
          <w:color w:val="auto"/>
          <w:sz w:val="24"/>
        </w:rPr>
        <w:t>因承包人原因未按期竣工的，对合同约定的竣工日期后继续施工的工程，在使用价格调整公式时，应采用计划竣工日期与实际竣工日期的两个价格指数中较低的一个作为现行价格指数。</w:t>
      </w:r>
    </w:p>
    <w:p w14:paraId="0B50317C">
      <w:pPr>
        <w:spacing w:line="312" w:lineRule="auto"/>
        <w:ind w:firstLine="480" w:firstLineChars="200"/>
        <w:rPr>
          <w:rFonts w:hint="eastAsia" w:ascii="宋体" w:hAnsi="宋体" w:cs="宋体"/>
          <w:color w:val="auto"/>
          <w:sz w:val="24"/>
        </w:rPr>
      </w:pPr>
      <w:r>
        <w:rPr>
          <w:rFonts w:hint="eastAsia" w:ascii="宋体" w:hAnsi="宋体" w:cs="宋体"/>
          <w:color w:val="auto"/>
          <w:sz w:val="24"/>
        </w:rPr>
        <w:t>第2种方式：采用造价信息进行价格调整。</w:t>
      </w:r>
    </w:p>
    <w:p w14:paraId="2D833F99">
      <w:pPr>
        <w:spacing w:line="312" w:lineRule="auto"/>
        <w:ind w:firstLine="480" w:firstLineChars="200"/>
        <w:rPr>
          <w:rFonts w:hint="eastAsia" w:ascii="宋体" w:hAnsi="宋体" w:cs="宋体"/>
          <w:color w:val="auto"/>
          <w:sz w:val="24"/>
        </w:rPr>
      </w:pPr>
      <w:r>
        <w:rPr>
          <w:rFonts w:hint="eastAsia" w:ascii="宋体" w:hAnsi="宋体" w:cs="宋体"/>
          <w:color w:val="auto"/>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31BAB93">
      <w:pPr>
        <w:spacing w:line="312" w:lineRule="auto"/>
        <w:ind w:firstLine="480" w:firstLineChars="200"/>
        <w:rPr>
          <w:rFonts w:hint="eastAsia" w:ascii="宋体" w:hAnsi="宋体" w:cs="宋体"/>
          <w:color w:val="auto"/>
          <w:sz w:val="24"/>
        </w:rPr>
      </w:pPr>
      <w:r>
        <w:rPr>
          <w:rFonts w:hint="eastAsia" w:ascii="宋体" w:hAnsi="宋体" w:cs="宋体"/>
          <w:color w:val="auto"/>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A9304EE">
      <w:pPr>
        <w:spacing w:line="312" w:lineRule="auto"/>
        <w:ind w:firstLine="480" w:firstLineChars="200"/>
        <w:rPr>
          <w:rFonts w:hint="eastAsia" w:ascii="宋体" w:hAnsi="宋体" w:cs="宋体"/>
          <w:color w:val="auto"/>
          <w:sz w:val="24"/>
        </w:rPr>
      </w:pPr>
      <w:r>
        <w:rPr>
          <w:rFonts w:hint="eastAsia" w:ascii="宋体" w:hAnsi="宋体" w:cs="宋体"/>
          <w:color w:val="auto"/>
          <w:sz w:val="24"/>
        </w:rPr>
        <w:t>（2）材料、工程设备价格变化的价款调整按照发包人提供的基准价格，按以下风险范围规定执行：</w:t>
      </w:r>
    </w:p>
    <w:p w14:paraId="65FF4156">
      <w:pPr>
        <w:spacing w:line="312" w:lineRule="auto"/>
        <w:ind w:firstLine="480" w:firstLineChars="200"/>
        <w:rPr>
          <w:rFonts w:hint="eastAsia" w:ascii="宋体" w:hAnsi="宋体" w:cs="宋体"/>
          <w:color w:val="auto"/>
          <w:sz w:val="24"/>
        </w:rPr>
      </w:pPr>
      <w:r>
        <w:rPr>
          <w:rFonts w:hint="eastAsia" w:ascii="宋体" w:hAnsi="宋体" w:cs="宋体"/>
          <w:color w:val="auto"/>
          <w:sz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21EE04">
      <w:pPr>
        <w:spacing w:line="312" w:lineRule="auto"/>
        <w:ind w:firstLine="480" w:firstLineChars="200"/>
        <w:rPr>
          <w:rFonts w:hint="eastAsia" w:ascii="宋体" w:hAnsi="宋体" w:cs="宋体"/>
          <w:color w:val="auto"/>
          <w:sz w:val="24"/>
        </w:rPr>
      </w:pPr>
      <w:r>
        <w:rPr>
          <w:rFonts w:hint="eastAsia" w:ascii="宋体" w:hAnsi="宋体" w:cs="宋体"/>
          <w:color w:val="auto"/>
          <w:sz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99135DC">
      <w:pPr>
        <w:spacing w:line="312" w:lineRule="auto"/>
        <w:ind w:firstLine="480" w:firstLineChars="200"/>
        <w:rPr>
          <w:rFonts w:hint="eastAsia" w:ascii="宋体" w:hAnsi="宋体" w:cs="宋体"/>
          <w:color w:val="auto"/>
          <w:sz w:val="24"/>
        </w:rPr>
      </w:pPr>
      <w:r>
        <w:rPr>
          <w:rFonts w:hint="eastAsia" w:ascii="宋体" w:hAnsi="宋体" w:cs="宋体"/>
          <w:color w:val="auto"/>
          <w:sz w:val="24"/>
        </w:rPr>
        <w:t>③承包人在已标价工程量清单或预算书中载明材料单价等于基准价格的：除专用合同条款另有约定外，合同履行期间材料单价涨跌幅以基准价格为基础超过±5%时，其超过部分据实调整。</w:t>
      </w:r>
    </w:p>
    <w:p w14:paraId="09511597">
      <w:pPr>
        <w:spacing w:line="312" w:lineRule="auto"/>
        <w:ind w:firstLine="480" w:firstLineChars="200"/>
        <w:rPr>
          <w:rFonts w:hint="eastAsia" w:ascii="宋体" w:hAnsi="宋体" w:cs="宋体"/>
          <w:color w:val="auto"/>
          <w:sz w:val="24"/>
        </w:rPr>
      </w:pPr>
      <w:r>
        <w:rPr>
          <w:rFonts w:hint="eastAsia" w:ascii="宋体" w:hAnsi="宋体" w:cs="宋体"/>
          <w:color w:val="auto"/>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23F1338">
      <w:pPr>
        <w:spacing w:line="312" w:lineRule="auto"/>
        <w:ind w:firstLine="480" w:firstLineChars="200"/>
        <w:rPr>
          <w:rFonts w:hint="eastAsia" w:ascii="宋体" w:hAnsi="宋体" w:cs="宋体"/>
          <w:color w:val="auto"/>
          <w:sz w:val="24"/>
        </w:rPr>
      </w:pPr>
      <w:r>
        <w:rPr>
          <w:rFonts w:hint="eastAsia" w:ascii="宋体" w:hAnsi="宋体" w:cs="宋体"/>
          <w:color w:val="auto"/>
          <w:sz w:val="24"/>
        </w:rPr>
        <w:t>前述基准价格是指由发包人在招标文件或专用合同条款中给定的材料、工程设备的价格，该价格原则上应当按照省级或行业建设主管部门或其授权的工程造价管理机构发布的信息价编制。</w:t>
      </w:r>
    </w:p>
    <w:p w14:paraId="02B7DABD">
      <w:pPr>
        <w:spacing w:line="312" w:lineRule="auto"/>
        <w:ind w:firstLine="480" w:firstLineChars="200"/>
        <w:rPr>
          <w:rFonts w:hint="eastAsia" w:ascii="宋体" w:hAnsi="宋体" w:cs="宋体"/>
          <w:color w:val="auto"/>
          <w:sz w:val="24"/>
        </w:rPr>
      </w:pPr>
      <w:r>
        <w:rPr>
          <w:rFonts w:hint="eastAsia" w:ascii="宋体" w:hAnsi="宋体" w:cs="宋体"/>
          <w:color w:val="auto"/>
          <w:sz w:val="24"/>
        </w:rPr>
        <w:t>（3）施工机械台班单价或施工机械使用费发生变化超过省级或行业建设主管部门或其授权的工程造价管理机构规定的范围时，按规定调整合同价格。</w:t>
      </w:r>
    </w:p>
    <w:p w14:paraId="2BC89963">
      <w:pPr>
        <w:spacing w:line="312" w:lineRule="auto"/>
        <w:ind w:firstLine="480" w:firstLineChars="200"/>
        <w:rPr>
          <w:rFonts w:hint="eastAsia" w:ascii="宋体" w:hAnsi="宋体" w:cs="宋体"/>
          <w:color w:val="auto"/>
          <w:sz w:val="24"/>
        </w:rPr>
      </w:pPr>
      <w:r>
        <w:rPr>
          <w:rFonts w:hint="eastAsia" w:ascii="宋体" w:hAnsi="宋体" w:cs="宋体"/>
          <w:color w:val="auto"/>
          <w:sz w:val="24"/>
        </w:rPr>
        <w:t>第3种方式：专用合同条款约定的其他方式。</w:t>
      </w:r>
    </w:p>
    <w:p w14:paraId="162A413E">
      <w:pPr>
        <w:pStyle w:val="8"/>
        <w:spacing w:before="120" w:after="120" w:line="312" w:lineRule="auto"/>
        <w:ind w:firstLine="480" w:firstLineChars="200"/>
        <w:rPr>
          <w:rFonts w:hint="eastAsia" w:ascii="宋体" w:hAnsi="宋体" w:cs="宋体"/>
          <w:b w:val="0"/>
          <w:color w:val="auto"/>
          <w:sz w:val="24"/>
          <w:szCs w:val="24"/>
        </w:rPr>
      </w:pPr>
      <w:bookmarkStart w:id="367" w:name="_Toc351203579"/>
      <w:bookmarkStart w:id="368" w:name="_Toc337558798"/>
      <w:bookmarkStart w:id="369" w:name="_Toc296346594"/>
      <w:bookmarkStart w:id="370" w:name="_Toc296503093"/>
      <w:r>
        <w:rPr>
          <w:rFonts w:hint="eastAsia" w:ascii="宋体" w:hAnsi="宋体" w:cs="宋体"/>
          <w:b w:val="0"/>
          <w:color w:val="auto"/>
          <w:sz w:val="24"/>
          <w:szCs w:val="24"/>
        </w:rPr>
        <w:t>11.2法律变化引起的调整</w:t>
      </w:r>
      <w:bookmarkEnd w:id="367"/>
    </w:p>
    <w:bookmarkEnd w:id="368"/>
    <w:bookmarkEnd w:id="369"/>
    <w:bookmarkEnd w:id="370"/>
    <w:p w14:paraId="6F1944DF">
      <w:pPr>
        <w:spacing w:line="312" w:lineRule="auto"/>
        <w:ind w:firstLine="480" w:firstLineChars="200"/>
        <w:rPr>
          <w:rFonts w:hint="eastAsia" w:ascii="宋体" w:hAnsi="宋体" w:cs="宋体"/>
          <w:color w:val="auto"/>
          <w:sz w:val="24"/>
        </w:rPr>
      </w:pPr>
      <w:r>
        <w:rPr>
          <w:rFonts w:hint="eastAsia" w:ascii="宋体" w:hAnsi="宋体" w:cs="宋体"/>
          <w:color w:val="auto"/>
          <w:sz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8FE9347">
      <w:pPr>
        <w:spacing w:line="312" w:lineRule="auto"/>
        <w:ind w:firstLine="480" w:firstLineChars="200"/>
        <w:rPr>
          <w:rFonts w:hint="eastAsia" w:ascii="宋体" w:hAnsi="宋体" w:cs="宋体"/>
          <w:color w:val="auto"/>
          <w:sz w:val="24"/>
        </w:rPr>
      </w:pPr>
      <w:r>
        <w:rPr>
          <w:rFonts w:hint="eastAsia" w:ascii="宋体" w:hAnsi="宋体" w:cs="宋体"/>
          <w:color w:val="auto"/>
          <w:sz w:val="24"/>
        </w:rPr>
        <w:t>因法律变化引起的合同价格和工期调整，合同当事人无法达成一致的，由总监理工程师按第4.4款〔商定或确定〕的约定处理。</w:t>
      </w:r>
    </w:p>
    <w:p w14:paraId="189D7759">
      <w:pPr>
        <w:spacing w:line="312" w:lineRule="auto"/>
        <w:ind w:firstLine="480" w:firstLineChars="200"/>
        <w:rPr>
          <w:rFonts w:hint="eastAsia" w:ascii="宋体" w:hAnsi="宋体" w:cs="宋体"/>
          <w:color w:val="auto"/>
          <w:sz w:val="24"/>
        </w:rPr>
      </w:pPr>
      <w:r>
        <w:rPr>
          <w:rFonts w:hint="eastAsia" w:ascii="宋体" w:hAnsi="宋体" w:cs="宋体"/>
          <w:color w:val="auto"/>
          <w:kern w:val="0"/>
          <w:sz w:val="24"/>
        </w:rPr>
        <w:t>因承包人原因造成工期延误，在工期延误期间出现法律变化的，由此增加的费用和（或）延误的工期由承包人承担。</w:t>
      </w:r>
    </w:p>
    <w:p w14:paraId="52A75E6D">
      <w:pPr>
        <w:pStyle w:val="7"/>
        <w:spacing w:before="120" w:after="120" w:line="312" w:lineRule="auto"/>
        <w:rPr>
          <w:rFonts w:hint="eastAsia"/>
          <w:b w:val="0"/>
          <w:color w:val="auto"/>
          <w:sz w:val="24"/>
          <w:szCs w:val="24"/>
        </w:rPr>
      </w:pPr>
      <w:bookmarkStart w:id="371" w:name="_Toc351203580"/>
      <w:bookmarkStart w:id="372" w:name="_Toc337558799"/>
      <w:bookmarkStart w:id="373" w:name="_Toc296346597"/>
      <w:bookmarkStart w:id="374" w:name="_Toc296503096"/>
      <w:r>
        <w:rPr>
          <w:rFonts w:hint="eastAsia"/>
          <w:b w:val="0"/>
          <w:color w:val="auto"/>
          <w:sz w:val="24"/>
          <w:szCs w:val="24"/>
        </w:rPr>
        <w:t>12. 合同价格、计量与支付</w:t>
      </w:r>
      <w:bookmarkEnd w:id="371"/>
    </w:p>
    <w:bookmarkEnd w:id="372"/>
    <w:p w14:paraId="4DFE4597">
      <w:pPr>
        <w:pStyle w:val="8"/>
        <w:spacing w:before="120" w:after="120" w:line="312" w:lineRule="auto"/>
        <w:ind w:firstLine="480" w:firstLineChars="200"/>
        <w:rPr>
          <w:rFonts w:hint="eastAsia" w:ascii="宋体" w:hAnsi="宋体" w:cs="宋体"/>
          <w:b w:val="0"/>
          <w:color w:val="auto"/>
          <w:sz w:val="24"/>
          <w:szCs w:val="24"/>
        </w:rPr>
      </w:pPr>
      <w:bookmarkStart w:id="375" w:name="_Toc351203581"/>
      <w:bookmarkStart w:id="376" w:name="_Toc337558800"/>
      <w:r>
        <w:rPr>
          <w:rFonts w:hint="eastAsia" w:ascii="宋体" w:hAnsi="宋体" w:cs="宋体"/>
          <w:b w:val="0"/>
          <w:color w:val="auto"/>
          <w:sz w:val="24"/>
          <w:szCs w:val="24"/>
        </w:rPr>
        <w:t>12.1 合同价</w:t>
      </w:r>
      <w:bookmarkEnd w:id="373"/>
      <w:bookmarkEnd w:id="374"/>
      <w:r>
        <w:rPr>
          <w:rFonts w:hint="eastAsia" w:ascii="宋体" w:hAnsi="宋体" w:cs="宋体"/>
          <w:b w:val="0"/>
          <w:color w:val="auto"/>
          <w:sz w:val="24"/>
          <w:szCs w:val="24"/>
        </w:rPr>
        <w:t>格形式</w:t>
      </w:r>
      <w:bookmarkEnd w:id="375"/>
    </w:p>
    <w:bookmarkEnd w:id="376"/>
    <w:p w14:paraId="50B0BE6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发包人和承包人应在合同协议书中选择下列一种合同价格形式： </w:t>
      </w:r>
    </w:p>
    <w:p w14:paraId="773AF1A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1、单价合同</w:t>
      </w:r>
    </w:p>
    <w:p w14:paraId="6E6FB9D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单价合同是指合同当事人约定以工程量清单及其综合单价进行合同价格计算、调整和确认的建设工程施工合同，</w:t>
      </w:r>
      <w:r>
        <w:rPr>
          <w:rFonts w:hint="eastAsia" w:ascii="宋体" w:hAnsi="宋体" w:cs="宋体"/>
          <w:color w:val="auto"/>
          <w:sz w:val="24"/>
        </w:rPr>
        <w:t>在约定的范围内合同单价不作调整</w:t>
      </w:r>
      <w:r>
        <w:rPr>
          <w:rFonts w:hint="eastAsia" w:ascii="宋体" w:hAnsi="宋体" w:cs="宋体"/>
          <w:color w:val="auto"/>
          <w:kern w:val="0"/>
          <w:sz w:val="24"/>
        </w:rPr>
        <w:t>。合同当事人应在专用合同条款中约定综合单价包含的风险范围和风险费用的计算方法</w:t>
      </w:r>
      <w:r>
        <w:rPr>
          <w:rFonts w:hint="eastAsia" w:ascii="宋体" w:hAnsi="宋体" w:cs="宋体"/>
          <w:color w:val="auto"/>
          <w:sz w:val="24"/>
        </w:rPr>
        <w:t>，</w:t>
      </w:r>
      <w:r>
        <w:rPr>
          <w:rFonts w:hint="eastAsia" w:ascii="宋体" w:hAnsi="宋体" w:cs="宋体"/>
          <w:color w:val="auto"/>
          <w:kern w:val="0"/>
          <w:sz w:val="24"/>
        </w:rPr>
        <w:t>并约定风险范围以外的合同价格的调整方法，其中因市场价格波动引起的调整按第11.1款〔市场价格波动引起的调整〕约定执行。</w:t>
      </w:r>
    </w:p>
    <w:p w14:paraId="0C674DD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2、总价合同</w:t>
      </w:r>
    </w:p>
    <w:p w14:paraId="0D568B4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总价合同是指合同当事人约定以施工图、已标价工程量清单或预算书及有关条件进行合同价格计算、调整和确认的建设工程施工合同，</w:t>
      </w:r>
      <w:r>
        <w:rPr>
          <w:rFonts w:hint="eastAsia" w:ascii="宋体" w:hAnsi="宋体" w:cs="宋体"/>
          <w:color w:val="auto"/>
          <w:sz w:val="24"/>
        </w:rPr>
        <w:t>在约定的范围内合同总价不作调整</w:t>
      </w:r>
      <w:r>
        <w:rPr>
          <w:rFonts w:hint="eastAsia" w:ascii="宋体" w:hAnsi="宋体" w:cs="宋体"/>
          <w:color w:val="auto"/>
          <w:kern w:val="0"/>
          <w:sz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F3F7D4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3、其它价格形式</w:t>
      </w:r>
    </w:p>
    <w:p w14:paraId="390E199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合同当事人可在专用合同条款中约定其他合同价格形式。</w:t>
      </w:r>
    </w:p>
    <w:p w14:paraId="1CCAAF54">
      <w:pPr>
        <w:pStyle w:val="8"/>
        <w:spacing w:before="120" w:after="120" w:line="312" w:lineRule="auto"/>
        <w:ind w:firstLine="480" w:firstLineChars="200"/>
        <w:rPr>
          <w:rFonts w:hint="eastAsia" w:ascii="宋体" w:hAnsi="宋体" w:cs="宋体"/>
          <w:b w:val="0"/>
          <w:color w:val="auto"/>
          <w:sz w:val="24"/>
          <w:szCs w:val="24"/>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rPr>
        <w:t>12.2预</w:t>
      </w:r>
      <w:bookmarkEnd w:id="377"/>
      <w:bookmarkEnd w:id="378"/>
      <w:bookmarkStart w:id="381" w:name="_Toc296503100"/>
      <w:bookmarkStart w:id="382" w:name="_Toc296346601"/>
      <w:r>
        <w:rPr>
          <w:rFonts w:hint="eastAsia" w:ascii="宋体" w:hAnsi="宋体" w:cs="宋体"/>
          <w:b w:val="0"/>
          <w:color w:val="auto"/>
          <w:sz w:val="24"/>
          <w:szCs w:val="24"/>
        </w:rPr>
        <w:t>付款</w:t>
      </w:r>
      <w:bookmarkEnd w:id="379"/>
    </w:p>
    <w:bookmarkEnd w:id="380"/>
    <w:bookmarkEnd w:id="381"/>
    <w:bookmarkEnd w:id="382"/>
    <w:p w14:paraId="07AA90A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12.2.</w:t>
      </w:r>
      <w:r>
        <w:rPr>
          <w:rFonts w:hint="eastAsia" w:ascii="宋体" w:hAnsi="宋体" w:cs="宋体"/>
          <w:color w:val="auto"/>
          <w:kern w:val="0"/>
          <w:sz w:val="24"/>
        </w:rPr>
        <w:t>1预付款的支付</w:t>
      </w:r>
    </w:p>
    <w:p w14:paraId="146536B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预付款的支付按照专用合同条款约定执行，但至迟应在开工通知载明的开工日期7天前支付。预付款应当用于材料、工程设备、施工设备的采购及修建临时工程、组织施工队伍进场等。</w:t>
      </w:r>
    </w:p>
    <w:p w14:paraId="0C69F4E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除专用合同条款另有约定外，预付款在进度付款中同比例扣回。在颁发工程接收证书前，提前解除合同的，尚未扣完的预付款应与合同价款一并结算。</w:t>
      </w:r>
    </w:p>
    <w:p w14:paraId="2A0ADAD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发包人逾期支付预付款超过7天的，承包人有权向发包人发出要求预付的催告通知，发包人收到通知后7天内仍未支付的，承包人有权暂停施工，并按第16.1.1项〔发包人违约的情形〕执行。</w:t>
      </w:r>
    </w:p>
    <w:p w14:paraId="4DD493C9">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12.2.2 预付款担保</w:t>
      </w:r>
    </w:p>
    <w:p w14:paraId="406321B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F2C5F4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发包人在工程款中逐期扣回预付款后，预付款担保额度应相应减少，但剩余的预付款担保金额不得低于未被扣回的预付款金额。</w:t>
      </w:r>
    </w:p>
    <w:p w14:paraId="3E2B83D2">
      <w:pPr>
        <w:pStyle w:val="8"/>
        <w:spacing w:before="120" w:after="120" w:line="312" w:lineRule="auto"/>
        <w:ind w:firstLine="480" w:firstLineChars="200"/>
        <w:rPr>
          <w:rFonts w:hint="eastAsia" w:ascii="宋体" w:hAnsi="宋体" w:cs="宋体"/>
          <w:b w:val="0"/>
          <w:color w:val="auto"/>
          <w:sz w:val="24"/>
          <w:szCs w:val="24"/>
        </w:rPr>
      </w:pPr>
      <w:bookmarkStart w:id="383" w:name="_Toc351203583"/>
      <w:bookmarkStart w:id="384" w:name="_Toc337558802"/>
      <w:r>
        <w:rPr>
          <w:rFonts w:hint="eastAsia" w:ascii="宋体" w:hAnsi="宋体" w:cs="宋体"/>
          <w:b w:val="0"/>
          <w:color w:val="auto"/>
          <w:sz w:val="24"/>
          <w:szCs w:val="24"/>
        </w:rPr>
        <w:t>12.3计量</w:t>
      </w:r>
      <w:bookmarkEnd w:id="383"/>
    </w:p>
    <w:bookmarkEnd w:id="384"/>
    <w:p w14:paraId="3FCC132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12.3.1 计量原则</w:t>
      </w:r>
    </w:p>
    <w:p w14:paraId="1A15026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工程量计量按照合同约定的工程量计算规则、图纸及变更指示等进行计量。工程量计算规则应以相关的国家标准、行业标准等为依据，由合同当事人在专用合同条款中约定。</w:t>
      </w:r>
    </w:p>
    <w:p w14:paraId="6E6FAB1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12.3.2 计量周期</w:t>
      </w:r>
    </w:p>
    <w:p w14:paraId="3690388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除专用合同条款另有约定外，工程量的计量按月进行。</w:t>
      </w:r>
    </w:p>
    <w:p w14:paraId="3422604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12.3.3 单价合同的计量</w:t>
      </w:r>
    </w:p>
    <w:p w14:paraId="4B2F6E7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除专用合同条款另有约定外，单价合同的计量按照本项约定执行：</w:t>
      </w:r>
    </w:p>
    <w:p w14:paraId="02F0F2C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（1）承包人应于每月25日向监理人报送上月20日至当月19日已完成的工程量报告，并附具进度付款申请单、已完成工程量报表和有关资料。</w:t>
      </w:r>
    </w:p>
    <w:p w14:paraId="76CB55F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1DDD5B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（3）监理人未在收到承包人提交的工程量报表后的7天内完成审核的，承包人报送的工程量报告中的工程量视为承包人实际完成的工程量，据此计算工程价款。</w:t>
      </w:r>
    </w:p>
    <w:p w14:paraId="2FDEDBE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12.3.4 总价合同的计量</w:t>
      </w:r>
    </w:p>
    <w:p w14:paraId="78D1780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除专用合同条款另有约定外，按月计量支付的总价合同，按照本项约定执行：</w:t>
      </w:r>
    </w:p>
    <w:p w14:paraId="55D3D0A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（1）承包人应于每月25日向监理人报送上月20日至当月19日已完成的工程量报告，并附具进度付款申请单、已完成工程量报表和有关资料。</w:t>
      </w:r>
    </w:p>
    <w:p w14:paraId="360CF71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DA6222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（3）监理人未在收到承包人提交的工程量报表后的7天内完成复核的，承包人提交的工程量报告中的工程量视为承包人实际完成的工程量。</w:t>
      </w:r>
    </w:p>
    <w:p w14:paraId="40C4E0D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12.3.5 总价合同采用支付分解表计量支付的，可以按照第12.3.4项〔总价合同的计量〕约定进行计量，但合同价款按照支付分解表进行支付。</w:t>
      </w:r>
    </w:p>
    <w:p w14:paraId="1DE1B3B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12.3.6 其他价格形式合同的计量</w:t>
      </w:r>
    </w:p>
    <w:p w14:paraId="50867D5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合同当事人可在专用合同条款中约定其他价格形式合同的计量方式和程序。</w:t>
      </w:r>
    </w:p>
    <w:p w14:paraId="5B7172D0">
      <w:pPr>
        <w:pStyle w:val="8"/>
        <w:spacing w:before="120" w:after="120" w:line="312" w:lineRule="auto"/>
        <w:ind w:firstLine="480" w:firstLineChars="200"/>
        <w:rPr>
          <w:rFonts w:hint="eastAsia" w:ascii="宋体" w:hAnsi="宋体" w:cs="宋体"/>
          <w:b w:val="0"/>
          <w:color w:val="auto"/>
          <w:sz w:val="24"/>
          <w:szCs w:val="24"/>
        </w:rPr>
      </w:pPr>
      <w:bookmarkStart w:id="385" w:name="_Toc296346602"/>
      <w:bookmarkStart w:id="386" w:name="_Toc296503101"/>
      <w:bookmarkStart w:id="387" w:name="_Toc351203584"/>
      <w:bookmarkStart w:id="388" w:name="_Toc337558803"/>
      <w:r>
        <w:rPr>
          <w:rFonts w:hint="eastAsia" w:ascii="宋体" w:hAnsi="宋体" w:cs="宋体"/>
          <w:b w:val="0"/>
          <w:color w:val="auto"/>
          <w:sz w:val="24"/>
          <w:szCs w:val="24"/>
        </w:rPr>
        <w:t>12.4工程进度款支</w:t>
      </w:r>
      <w:bookmarkEnd w:id="385"/>
      <w:bookmarkEnd w:id="386"/>
      <w:r>
        <w:rPr>
          <w:rFonts w:hint="eastAsia" w:ascii="宋体" w:hAnsi="宋体" w:cs="宋体"/>
          <w:b w:val="0"/>
          <w:color w:val="auto"/>
          <w:sz w:val="24"/>
          <w:szCs w:val="24"/>
        </w:rPr>
        <w:t>付</w:t>
      </w:r>
      <w:bookmarkEnd w:id="387"/>
    </w:p>
    <w:bookmarkEnd w:id="388"/>
    <w:p w14:paraId="26D01A4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12.4</w:t>
      </w:r>
      <w:r>
        <w:rPr>
          <w:rFonts w:hint="eastAsia" w:ascii="宋体" w:hAnsi="宋体" w:cs="宋体"/>
          <w:color w:val="auto"/>
          <w:kern w:val="0"/>
          <w:sz w:val="24"/>
        </w:rPr>
        <w:t>.1 付款周期</w:t>
      </w:r>
    </w:p>
    <w:p w14:paraId="1DE9B5C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除专用合同条款另有约定外，付款周期应按照第12.3.2项〔计量周期〕的约定与计量周期保持一致。</w:t>
      </w:r>
    </w:p>
    <w:p w14:paraId="0202282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12.4</w:t>
      </w:r>
      <w:r>
        <w:rPr>
          <w:rFonts w:hint="eastAsia" w:ascii="宋体" w:hAnsi="宋体" w:cs="宋体"/>
          <w:color w:val="auto"/>
          <w:kern w:val="0"/>
          <w:sz w:val="24"/>
        </w:rPr>
        <w:t>.2 进度付款申请单的编制</w:t>
      </w:r>
    </w:p>
    <w:p w14:paraId="6B2A31C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除专用合同条款另有约定外，进度付款申请单应包括下列内容：</w:t>
      </w:r>
    </w:p>
    <w:p w14:paraId="5C652FF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（1）截至本次付款周期已完成工作对应的金额；</w:t>
      </w:r>
    </w:p>
    <w:p w14:paraId="6E78E34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（2）根据第10条〔变更〕应增加和扣减的变更金额；</w:t>
      </w:r>
    </w:p>
    <w:p w14:paraId="7DFA8BD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（3）根据第12.2款〔预付款〕约定应支付的预付款和扣减的返还预付款；</w:t>
      </w:r>
    </w:p>
    <w:p w14:paraId="13B6AFB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（4）根据第15.3款〔质量保证金〕约定应扣减的质量保证金；</w:t>
      </w:r>
    </w:p>
    <w:p w14:paraId="34AE212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（5）根据第19条〔索赔〕应增加和扣减的索赔金额；</w:t>
      </w:r>
    </w:p>
    <w:p w14:paraId="13AF1BD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（6）对已签发的进度款支付证书中出现错误的修正，应在本次进度付款中支付或扣除的金额；</w:t>
      </w:r>
    </w:p>
    <w:p w14:paraId="0A44E8E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（7）根据合同约定应增加和扣减的其他金额。</w:t>
      </w:r>
    </w:p>
    <w:p w14:paraId="5A3EBAA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12.4.3 进度付款申请单的提交</w:t>
      </w:r>
    </w:p>
    <w:p w14:paraId="5D9584B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（1）单价合同进度付款申请单的提交</w:t>
      </w:r>
    </w:p>
    <w:p w14:paraId="082B301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40389A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（2）总价合同进度付款申请单的提交</w:t>
      </w:r>
    </w:p>
    <w:p w14:paraId="33F0580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总价合同按月计量支付的，承包人按照第12.3.4项〔总价合同的计量〕约定的时间按月向监理人提交进度付款申请单，并附上已完成工程量报表和有关资料。</w:t>
      </w:r>
    </w:p>
    <w:p w14:paraId="228D6D2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总价合同按支付分解表支付的，承包人应按照第12.4.6项〔支付分解表〕及第12.4.2项〔进度付款申请单的编制〕的约定向监理人提交进度付款申请单。</w:t>
      </w:r>
    </w:p>
    <w:p w14:paraId="138468A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（3）其他价格形式合同的进度付款申请单的提交</w:t>
      </w:r>
    </w:p>
    <w:p w14:paraId="486C76E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合同当事人可在专用合同条款中约定其他价格形式合同的进度付款申请单的编制和提交程序。</w:t>
      </w:r>
    </w:p>
    <w:p w14:paraId="5CC79F9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sz w:val="24"/>
        </w:rPr>
        <w:t>12.4</w:t>
      </w:r>
      <w:r>
        <w:rPr>
          <w:rFonts w:hint="eastAsia" w:ascii="宋体" w:hAnsi="宋体" w:cs="宋体"/>
          <w:color w:val="auto"/>
          <w:kern w:val="0"/>
          <w:sz w:val="24"/>
        </w:rPr>
        <w:t>.4 进度款审核和支付</w:t>
      </w:r>
    </w:p>
    <w:p w14:paraId="348AFE3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883B2F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85FA17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7B99374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（3）发包人签发进度款支付证书或临时进度款支付证书，不表明发包人已同意、批准或接受了承包人完成的相应部分的工作。</w:t>
      </w:r>
    </w:p>
    <w:p w14:paraId="2640423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12.4.5 进度付款的修正</w:t>
      </w:r>
    </w:p>
    <w:p w14:paraId="181124E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在对已签发的进度款支付证书进行阶段汇总和复核中发现错误、遗漏或重复的，发包人和承包人均有权提出修正申请。经发包人和承包人同意的修正，应在下期进度付款中支付或扣除。</w:t>
      </w:r>
    </w:p>
    <w:p w14:paraId="4C66FB5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12.4.6 支付分解表</w:t>
      </w:r>
    </w:p>
    <w:p w14:paraId="141FF3D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1、支付分解表的编制要求</w:t>
      </w:r>
    </w:p>
    <w:p w14:paraId="75543A0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（1）支付分解表中所列的每期付款金额，应为第12.4.2项〔进度付款申请单的编制〕第（1）目的估算金额；</w:t>
      </w:r>
    </w:p>
    <w:p w14:paraId="1451E60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（2）实际进度与施工进度计划不一致的，合同当事人可按照第4.4款〔商定或确定〕修改支付分解表；</w:t>
      </w:r>
    </w:p>
    <w:p w14:paraId="57DAFE4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（3）不采用支付分解表的，承包人应向发包人和监理人提交按季度编制的支付估算分解表，用于支付参考。</w:t>
      </w:r>
    </w:p>
    <w:p w14:paraId="34B0592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2、总价合同支付分解表的编制与审批</w:t>
      </w:r>
    </w:p>
    <w:p w14:paraId="2044D55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5C48E7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（2）监理人应在收到支付分解表后7天内完成审核并报送发包人。发包人应在收到经监理人审核的支付分解表后7天内完成审批，经发包人批准的支付分解表为有约束力的支付分解表。</w:t>
      </w:r>
    </w:p>
    <w:p w14:paraId="17B1176C">
      <w:pPr>
        <w:spacing w:line="312" w:lineRule="auto"/>
        <w:jc w:val="left"/>
        <w:rPr>
          <w:rFonts w:hint="eastAsia" w:ascii="宋体" w:hAnsi="宋体" w:cs="宋体"/>
          <w:color w:val="auto"/>
          <w:kern w:val="0"/>
          <w:sz w:val="24"/>
        </w:rPr>
      </w:pPr>
      <w:r>
        <w:rPr>
          <w:rFonts w:hint="eastAsia" w:ascii="宋体" w:hAnsi="宋体" w:cs="宋体"/>
          <w:color w:val="auto"/>
          <w:kern w:val="0"/>
          <w:sz w:val="24"/>
        </w:rPr>
        <w:t xml:space="preserve">    （3）发包人逾期未完成支付分解表审批的，也未及时要求承包人进行修正和提供补充资料的，则承包人提交的支付分解表视为已经获得发包人批准。</w:t>
      </w:r>
    </w:p>
    <w:p w14:paraId="42D6815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3、单价合同的总价项目支付分解表的编制与审批</w:t>
      </w:r>
    </w:p>
    <w:p w14:paraId="0A39544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FB9C69A">
      <w:pPr>
        <w:pStyle w:val="8"/>
        <w:spacing w:before="120" w:after="120" w:line="312" w:lineRule="auto"/>
        <w:ind w:firstLine="480" w:firstLineChars="200"/>
        <w:rPr>
          <w:rFonts w:hint="eastAsia" w:ascii="宋体" w:hAnsi="宋体" w:cs="宋体"/>
          <w:b w:val="0"/>
          <w:color w:val="auto"/>
          <w:sz w:val="24"/>
          <w:szCs w:val="24"/>
        </w:rPr>
      </w:pPr>
      <w:bookmarkStart w:id="389" w:name="_Toc351203585"/>
      <w:r>
        <w:rPr>
          <w:rFonts w:hint="eastAsia" w:ascii="宋体" w:hAnsi="宋体" w:cs="宋体"/>
          <w:b w:val="0"/>
          <w:color w:val="auto"/>
          <w:sz w:val="24"/>
          <w:szCs w:val="24"/>
        </w:rPr>
        <w:t>12.5支付账户</w:t>
      </w:r>
      <w:bookmarkEnd w:id="389"/>
    </w:p>
    <w:p w14:paraId="6610ABB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发包人应将合同价款支付至合同协议书中约定的承包人账户。</w:t>
      </w:r>
    </w:p>
    <w:p w14:paraId="6BBF04A0">
      <w:pPr>
        <w:pStyle w:val="7"/>
        <w:spacing w:before="120" w:after="120" w:line="312" w:lineRule="auto"/>
        <w:rPr>
          <w:rFonts w:hint="eastAsia"/>
          <w:b w:val="0"/>
          <w:color w:val="auto"/>
          <w:sz w:val="24"/>
          <w:szCs w:val="24"/>
        </w:rPr>
      </w:pPr>
      <w:bookmarkStart w:id="390" w:name="_Toc351203586"/>
      <w:bookmarkStart w:id="391" w:name="_Toc296503106"/>
      <w:bookmarkStart w:id="392" w:name="_Toc296346607"/>
      <w:bookmarkStart w:id="393" w:name="_Toc337558804"/>
      <w:bookmarkStart w:id="394" w:name="_Toc322522574"/>
      <w:r>
        <w:rPr>
          <w:rFonts w:hint="eastAsia"/>
          <w:b w:val="0"/>
          <w:color w:val="auto"/>
          <w:sz w:val="24"/>
          <w:szCs w:val="24"/>
        </w:rPr>
        <w:t>13. 验收和工程试车</w:t>
      </w:r>
      <w:bookmarkEnd w:id="390"/>
    </w:p>
    <w:bookmarkEnd w:id="391"/>
    <w:bookmarkEnd w:id="392"/>
    <w:bookmarkEnd w:id="393"/>
    <w:bookmarkEnd w:id="394"/>
    <w:p w14:paraId="7599FCD4">
      <w:pPr>
        <w:pStyle w:val="8"/>
        <w:spacing w:before="120" w:after="120" w:line="312" w:lineRule="auto"/>
        <w:ind w:firstLine="480" w:firstLineChars="200"/>
        <w:rPr>
          <w:rFonts w:hint="eastAsia" w:ascii="宋体" w:hAnsi="宋体" w:cs="宋体"/>
          <w:b w:val="0"/>
          <w:color w:val="auto"/>
          <w:sz w:val="24"/>
          <w:szCs w:val="24"/>
        </w:rPr>
      </w:pPr>
      <w:bookmarkStart w:id="395" w:name="_Toc351203587"/>
      <w:bookmarkStart w:id="396" w:name="_Toc337558805"/>
      <w:bookmarkStart w:id="397" w:name="_Toc296503110"/>
      <w:bookmarkStart w:id="398" w:name="_Toc296346611"/>
      <w:r>
        <w:rPr>
          <w:rFonts w:hint="eastAsia" w:ascii="宋体" w:hAnsi="宋体" w:cs="宋体"/>
          <w:b w:val="0"/>
          <w:color w:val="auto"/>
          <w:sz w:val="24"/>
          <w:szCs w:val="24"/>
        </w:rPr>
        <w:t>13.1分部分项工程验收</w:t>
      </w:r>
      <w:bookmarkEnd w:id="395"/>
    </w:p>
    <w:bookmarkEnd w:id="396"/>
    <w:p w14:paraId="5EE2CAAE">
      <w:pPr>
        <w:spacing w:line="312" w:lineRule="auto"/>
        <w:ind w:firstLine="480" w:firstLineChars="200"/>
        <w:rPr>
          <w:rFonts w:hint="eastAsia" w:ascii="宋体" w:hAnsi="宋体" w:cs="宋体"/>
          <w:color w:val="auto"/>
          <w:sz w:val="24"/>
        </w:rPr>
      </w:pPr>
      <w:r>
        <w:rPr>
          <w:rFonts w:hint="eastAsia" w:ascii="宋体" w:hAnsi="宋体" w:cs="宋体"/>
          <w:color w:val="auto"/>
          <w:sz w:val="24"/>
        </w:rPr>
        <w:t>13.1.1 分部分项工程质量应符合国家有关工程施工验收规范、标准及合同约定，承包人应按照施工组织设计的要求完成分部分项工程施工。</w:t>
      </w:r>
    </w:p>
    <w:p w14:paraId="70F48EAA">
      <w:pPr>
        <w:spacing w:line="312" w:lineRule="auto"/>
        <w:ind w:firstLine="480" w:firstLineChars="200"/>
        <w:rPr>
          <w:rFonts w:hint="eastAsia" w:ascii="宋体" w:hAnsi="宋体" w:cs="宋体"/>
          <w:color w:val="auto"/>
          <w:sz w:val="24"/>
        </w:rPr>
      </w:pPr>
      <w:r>
        <w:rPr>
          <w:rFonts w:hint="eastAsia" w:ascii="宋体" w:hAnsi="宋体" w:cs="宋体"/>
          <w:color w:val="auto"/>
          <w:sz w:val="24"/>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rPr>
        <w:t>分部分项工程未经验收的，不得进入下一道工序施工。</w:t>
      </w:r>
    </w:p>
    <w:p w14:paraId="0AE18634">
      <w:pPr>
        <w:spacing w:line="312" w:lineRule="auto"/>
        <w:ind w:firstLine="480" w:firstLineChars="200"/>
        <w:rPr>
          <w:rFonts w:hint="eastAsia" w:ascii="宋体" w:hAnsi="宋体" w:cs="宋体"/>
          <w:color w:val="auto"/>
          <w:sz w:val="24"/>
        </w:rPr>
      </w:pPr>
      <w:r>
        <w:rPr>
          <w:rFonts w:hint="eastAsia" w:ascii="宋体" w:hAnsi="宋体" w:cs="宋体"/>
          <w:color w:val="auto"/>
          <w:sz w:val="24"/>
        </w:rPr>
        <w:t>分部分项工程的验收资料应当作为竣工资料的组成部分。</w:t>
      </w:r>
    </w:p>
    <w:p w14:paraId="31FFB8BA">
      <w:pPr>
        <w:pStyle w:val="8"/>
        <w:spacing w:before="120" w:after="120" w:line="312" w:lineRule="auto"/>
        <w:ind w:firstLine="480" w:firstLineChars="200"/>
        <w:rPr>
          <w:rFonts w:hint="eastAsia" w:ascii="宋体" w:hAnsi="宋体" w:cs="宋体"/>
          <w:b w:val="0"/>
          <w:color w:val="auto"/>
          <w:sz w:val="24"/>
          <w:szCs w:val="24"/>
        </w:rPr>
      </w:pPr>
      <w:bookmarkStart w:id="399" w:name="_Toc351203588"/>
      <w:bookmarkStart w:id="400" w:name="_Toc337558806"/>
      <w:r>
        <w:rPr>
          <w:rFonts w:hint="eastAsia" w:ascii="宋体" w:hAnsi="宋体" w:cs="宋体"/>
          <w:b w:val="0"/>
          <w:color w:val="auto"/>
          <w:sz w:val="24"/>
          <w:szCs w:val="24"/>
        </w:rPr>
        <w:t>13.2竣工验收</w:t>
      </w:r>
      <w:bookmarkEnd w:id="399"/>
    </w:p>
    <w:bookmarkEnd w:id="397"/>
    <w:bookmarkEnd w:id="398"/>
    <w:bookmarkEnd w:id="400"/>
    <w:p w14:paraId="24F365D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13.2.1竣工验收条件</w:t>
      </w:r>
    </w:p>
    <w:p w14:paraId="3917779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工程具备以下条件的，承包人可以申请竣工验收：</w:t>
      </w:r>
    </w:p>
    <w:p w14:paraId="0709E03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（1）除发包人同意的甩项工作和缺陷修补工作外，合同范围内的全部工程以及有关工作，包括合同要求的试验、试运行以及检验均已完成，并符合合同要求；</w:t>
      </w:r>
    </w:p>
    <w:p w14:paraId="0251E6B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（2）已按合同约定编制了甩项工作和缺陷修补工作清单以及相应的施工计划；</w:t>
      </w:r>
    </w:p>
    <w:p w14:paraId="765A5C5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（3）已按合同约定的内容和份数备齐竣工资料。</w:t>
      </w:r>
    </w:p>
    <w:p w14:paraId="3DC7A05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13.2.2竣工验收程序</w:t>
      </w:r>
    </w:p>
    <w:p w14:paraId="67684C9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除专用合同条款另有约定外，承包人申请竣工验收的，应当按照以下程序进行：</w:t>
      </w:r>
    </w:p>
    <w:p w14:paraId="4CDEE9E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19E954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06EA3B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（3）竣工验收合格的，发包人应在验收合格后14天内向承包人签发工程接收证书。发包人无正当理由逾期不颁发工程接收证书的，自验收合格后第15天起视为已颁发工程接收证书。</w:t>
      </w:r>
    </w:p>
    <w:p w14:paraId="6515B3C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4E5DB5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C085C3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除专用合同条款另有约定外，发包人不按照本项约定组织竣工验收、颁发工程接收证书的，每逾期一天，应以签约合同价为基数，按照中国人民银行发布的同期同类贷款基准利率支付违约金。</w:t>
      </w:r>
    </w:p>
    <w:p w14:paraId="395CE30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13.2.3竣工日期</w:t>
      </w:r>
    </w:p>
    <w:p w14:paraId="5F32A1D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rPr>
        <w:t>收申请报告的日期为实际竣工日期；工程未经竣工验收，发包人擅自使用的，以转移占有工程之日为实际竣工日期。</w:t>
      </w:r>
    </w:p>
    <w:p w14:paraId="407B32E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13.2.4 拒绝接收全部或部分工程</w:t>
      </w:r>
    </w:p>
    <w:p w14:paraId="6018BA0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72F15A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13.2.5 移交、接收全部与部分工程</w:t>
      </w:r>
    </w:p>
    <w:p w14:paraId="273522E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除专用合同条款另有约定外，合同当事人应当在颁发工程接收证书后7天内完成工程的移交。</w:t>
      </w:r>
    </w:p>
    <w:p w14:paraId="66C3B2F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2032933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承包人无正当理由不移交工程的，承包人应承担工程照管、成品保护、保管等与工程有关的各项费用，合同当事人可以在专用合同条款中另行约定承包人无正当理由不移交工程的违约责任。</w:t>
      </w:r>
    </w:p>
    <w:p w14:paraId="2EDBFD67">
      <w:pPr>
        <w:pStyle w:val="8"/>
        <w:spacing w:before="120" w:after="120" w:line="312" w:lineRule="auto"/>
        <w:ind w:firstLine="480" w:firstLineChars="200"/>
        <w:rPr>
          <w:rFonts w:hint="eastAsia" w:ascii="宋体" w:hAnsi="宋体" w:cs="宋体"/>
          <w:b w:val="0"/>
          <w:color w:val="auto"/>
          <w:sz w:val="24"/>
          <w:szCs w:val="24"/>
        </w:rPr>
      </w:pPr>
      <w:bookmarkStart w:id="402" w:name="_Toc351203589"/>
      <w:bookmarkStart w:id="403" w:name="_Toc337558807"/>
      <w:bookmarkStart w:id="404" w:name="_Toc296346612"/>
      <w:bookmarkStart w:id="405" w:name="_Toc296503111"/>
      <w:r>
        <w:rPr>
          <w:rFonts w:hint="eastAsia" w:ascii="宋体" w:hAnsi="宋体" w:cs="宋体"/>
          <w:b w:val="0"/>
          <w:color w:val="auto"/>
          <w:sz w:val="24"/>
          <w:szCs w:val="24"/>
        </w:rPr>
        <w:t>13.3工程试车</w:t>
      </w:r>
      <w:bookmarkEnd w:id="402"/>
    </w:p>
    <w:bookmarkEnd w:id="403"/>
    <w:bookmarkEnd w:id="404"/>
    <w:bookmarkEnd w:id="405"/>
    <w:p w14:paraId="1213EC2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13.3.1试车程序</w:t>
      </w:r>
    </w:p>
    <w:p w14:paraId="42D821D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工程需要试车的，除专用合同条款另有约定外，试车内容应与承包人承包范围相一致，试车费用由承包人承担。工程试车应按如下程序进行：</w:t>
      </w:r>
    </w:p>
    <w:p w14:paraId="77E09DC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5D1F9C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EBB19B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5B4C6B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13.3.2 试车中的责任</w:t>
      </w:r>
    </w:p>
    <w:p w14:paraId="7EA658E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D78C82C">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D7E6F9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13.3.3 投料试车</w:t>
      </w:r>
    </w:p>
    <w:p w14:paraId="6F72BCC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如需进行投料试车的，发包人应在工程竣工验收后组织投料试车。发包人要求在工程竣工验收前进行或需要承包人配合时，应征得承包人同意，并在专用合同条款中约定有关事项。</w:t>
      </w:r>
    </w:p>
    <w:p w14:paraId="2A7AF1D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003106E">
      <w:pPr>
        <w:pStyle w:val="8"/>
        <w:spacing w:before="120" w:after="120" w:line="312" w:lineRule="auto"/>
        <w:rPr>
          <w:rFonts w:hint="eastAsia" w:ascii="宋体" w:hAnsi="宋体" w:cs="宋体"/>
          <w:b w:val="0"/>
          <w:color w:val="auto"/>
          <w:sz w:val="24"/>
          <w:szCs w:val="24"/>
        </w:rPr>
      </w:pPr>
      <w:bookmarkStart w:id="406" w:name="_Toc337558808"/>
      <w:r>
        <w:rPr>
          <w:rFonts w:hint="eastAsia" w:ascii="宋体" w:hAnsi="宋体" w:cs="宋体"/>
          <w:b w:val="0"/>
          <w:color w:val="auto"/>
          <w:sz w:val="24"/>
          <w:szCs w:val="24"/>
        </w:rPr>
        <w:t xml:space="preserve">    </w:t>
      </w:r>
      <w:bookmarkStart w:id="407" w:name="_Toc351203590"/>
      <w:r>
        <w:rPr>
          <w:rFonts w:hint="eastAsia" w:ascii="宋体" w:hAnsi="宋体" w:cs="宋体"/>
          <w:b w:val="0"/>
          <w:color w:val="auto"/>
          <w:sz w:val="24"/>
          <w:szCs w:val="24"/>
        </w:rPr>
        <w:t>13.4提前交付单位工程的验收</w:t>
      </w:r>
      <w:bookmarkEnd w:id="407"/>
    </w:p>
    <w:bookmarkEnd w:id="406"/>
    <w:p w14:paraId="2E50C1D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13.4.1 发包人需要在工程竣工前使用单位工程的，或承包人提出提前交付已经竣工的单位工程且经发包人同意的，可进行单位工程验收，验收的程序按照第13.2款〔竣工验收〕的约定进行。</w:t>
      </w:r>
    </w:p>
    <w:p w14:paraId="524FF14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7DD7D51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13.4.2 发包人要求在工程竣工前交付单位工程，由此导致承包人费用增加和（或）工期延误的，由发包人承担由此增加的费用和（或）延误的工期，并支付承包人合理的利润。</w:t>
      </w:r>
    </w:p>
    <w:p w14:paraId="27A70E59">
      <w:pPr>
        <w:pStyle w:val="8"/>
        <w:spacing w:before="120" w:after="120" w:line="312" w:lineRule="auto"/>
        <w:ind w:firstLine="480" w:firstLineChars="200"/>
        <w:rPr>
          <w:rFonts w:hint="eastAsia" w:ascii="宋体" w:hAnsi="宋体" w:cs="宋体"/>
          <w:b w:val="0"/>
          <w:color w:val="auto"/>
          <w:sz w:val="24"/>
          <w:szCs w:val="24"/>
        </w:rPr>
      </w:pPr>
      <w:bookmarkStart w:id="408" w:name="_Toc351203591"/>
      <w:r>
        <w:rPr>
          <w:rFonts w:hint="eastAsia" w:ascii="宋体" w:hAnsi="宋体" w:cs="宋体"/>
          <w:b w:val="0"/>
          <w:color w:val="auto"/>
          <w:sz w:val="24"/>
          <w:szCs w:val="24"/>
        </w:rPr>
        <w:t>13.5 施工期运行</w:t>
      </w:r>
      <w:bookmarkEnd w:id="408"/>
    </w:p>
    <w:p w14:paraId="5EBABC4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A2BAD9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13.5.2 在施工期运行中发现工程或工程设备损坏或存在缺陷的，由承包人按第15.2款〔缺陷责任期〕约定进行修复。</w:t>
      </w:r>
    </w:p>
    <w:p w14:paraId="11626E31">
      <w:pPr>
        <w:pStyle w:val="8"/>
        <w:spacing w:before="120" w:after="120" w:line="312" w:lineRule="auto"/>
        <w:ind w:firstLine="480" w:firstLineChars="200"/>
        <w:rPr>
          <w:rFonts w:hint="eastAsia" w:ascii="宋体" w:hAnsi="宋体" w:cs="宋体"/>
          <w:b w:val="0"/>
          <w:color w:val="auto"/>
          <w:sz w:val="24"/>
          <w:szCs w:val="24"/>
        </w:rPr>
      </w:pPr>
      <w:bookmarkStart w:id="409" w:name="_Toc296503112"/>
      <w:bookmarkStart w:id="410" w:name="_Toc296346613"/>
      <w:bookmarkStart w:id="411" w:name="_Toc351203592"/>
      <w:bookmarkStart w:id="412" w:name="_Toc337558809"/>
      <w:r>
        <w:rPr>
          <w:rFonts w:hint="eastAsia" w:ascii="宋体" w:hAnsi="宋体" w:cs="宋体"/>
          <w:b w:val="0"/>
          <w:color w:val="auto"/>
          <w:sz w:val="24"/>
          <w:szCs w:val="24"/>
        </w:rPr>
        <w:t>13.6 竣工退</w:t>
      </w:r>
      <w:bookmarkEnd w:id="409"/>
      <w:bookmarkEnd w:id="410"/>
      <w:r>
        <w:rPr>
          <w:rFonts w:hint="eastAsia" w:ascii="宋体" w:hAnsi="宋体" w:cs="宋体"/>
          <w:b w:val="0"/>
          <w:color w:val="auto"/>
          <w:sz w:val="24"/>
          <w:szCs w:val="24"/>
        </w:rPr>
        <w:t>场</w:t>
      </w:r>
      <w:bookmarkEnd w:id="411"/>
    </w:p>
    <w:bookmarkEnd w:id="412"/>
    <w:p w14:paraId="668ED0C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13.6.1 竣工退场</w:t>
      </w:r>
    </w:p>
    <w:p w14:paraId="3756EBA0">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颁发工程接收证书后，承包人应按以下要求对施工现场进行清理：</w:t>
      </w:r>
    </w:p>
    <w:p w14:paraId="6CE1CC3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（1）施工现场内残留的垃圾已全部清除出场；</w:t>
      </w:r>
    </w:p>
    <w:p w14:paraId="2AFFA77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（2）临时工程已拆除，场地已进行清理、平整或复原；</w:t>
      </w:r>
    </w:p>
    <w:p w14:paraId="5A20ADF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（3）按合同约定应撤离的人员、承包人施工设备和剩余的材料，包括废弃的施工设备和材料，已按计划撤离施工现场；</w:t>
      </w:r>
    </w:p>
    <w:p w14:paraId="67CD63C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（4）施工现场周边及其附近道路、河道的施工堆积物，已全部清理；</w:t>
      </w:r>
    </w:p>
    <w:p w14:paraId="64BE490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（5）施工现场其他场地清理工作已全部完成。</w:t>
      </w:r>
    </w:p>
    <w:p w14:paraId="29193B5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826502A">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13.6.2 地表还原</w:t>
      </w:r>
    </w:p>
    <w:p w14:paraId="6DB1879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13EF6E2C">
      <w:pPr>
        <w:pStyle w:val="7"/>
        <w:spacing w:before="120" w:after="120" w:line="312" w:lineRule="auto"/>
        <w:rPr>
          <w:rFonts w:hint="eastAsia"/>
          <w:b w:val="0"/>
          <w:color w:val="auto"/>
          <w:sz w:val="24"/>
          <w:szCs w:val="24"/>
        </w:rPr>
      </w:pPr>
      <w:bookmarkStart w:id="413" w:name="_Toc351203593"/>
      <w:bookmarkStart w:id="414" w:name="_Toc337558810"/>
      <w:bookmarkStart w:id="415" w:name="_Toc296503113"/>
      <w:bookmarkStart w:id="416" w:name="_Toc296346614"/>
      <w:r>
        <w:rPr>
          <w:rFonts w:hint="eastAsia"/>
          <w:b w:val="0"/>
          <w:color w:val="auto"/>
          <w:sz w:val="24"/>
          <w:szCs w:val="24"/>
        </w:rPr>
        <w:t>14. 竣工结算</w:t>
      </w:r>
      <w:bookmarkEnd w:id="413"/>
    </w:p>
    <w:bookmarkEnd w:id="414"/>
    <w:p w14:paraId="6C21751B">
      <w:pPr>
        <w:pStyle w:val="8"/>
        <w:spacing w:before="120" w:after="120" w:line="312" w:lineRule="auto"/>
        <w:ind w:firstLine="480" w:firstLineChars="200"/>
        <w:rPr>
          <w:rFonts w:hint="eastAsia" w:ascii="宋体" w:hAnsi="宋体" w:cs="宋体"/>
          <w:b w:val="0"/>
          <w:color w:val="auto"/>
          <w:sz w:val="24"/>
          <w:szCs w:val="24"/>
        </w:rPr>
      </w:pPr>
      <w:bookmarkStart w:id="417" w:name="_Toc351203594"/>
      <w:bookmarkStart w:id="418" w:name="_Toc337558811"/>
      <w:r>
        <w:rPr>
          <w:rFonts w:hint="eastAsia" w:ascii="宋体" w:hAnsi="宋体" w:cs="宋体"/>
          <w:b w:val="0"/>
          <w:color w:val="auto"/>
          <w:sz w:val="24"/>
          <w:szCs w:val="24"/>
        </w:rPr>
        <w:t>14.1 竣工结算申请</w:t>
      </w:r>
      <w:bookmarkEnd w:id="417"/>
    </w:p>
    <w:bookmarkEnd w:id="418"/>
    <w:p w14:paraId="4AF74637">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除专用合同条款另有约定外，</w:t>
      </w:r>
      <w:r>
        <w:rPr>
          <w:rFonts w:hint="eastAsia" w:ascii="宋体" w:hAnsi="宋体" w:cs="宋体"/>
          <w:color w:val="auto"/>
          <w:sz w:val="24"/>
        </w:rPr>
        <w:t>承包人应在工程竣工验收合格后28天内向发包人和监理人提交竣工结算申请单，并提交完整的结算资料，有关竣工结算申请单的资料清单和份数等要求由合同当事人在专用合同条款中约定。</w:t>
      </w:r>
    </w:p>
    <w:p w14:paraId="70F76F18">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除专用合同条款另有约定外，竣工结算申请单应包括以下内容：</w:t>
      </w:r>
    </w:p>
    <w:p w14:paraId="15F01B18">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（1）竣工结算合同价格；</w:t>
      </w:r>
    </w:p>
    <w:p w14:paraId="7F00D52E">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（2）发包人已支付承包人的款项；</w:t>
      </w:r>
    </w:p>
    <w:p w14:paraId="549DFB35">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（3）应扣留的质量保证金； </w:t>
      </w:r>
    </w:p>
    <w:p w14:paraId="3572AF07">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（4）发包人应支付承包人的合同价款。</w:t>
      </w:r>
    </w:p>
    <w:p w14:paraId="509ECFF6">
      <w:pPr>
        <w:pStyle w:val="8"/>
        <w:spacing w:before="120" w:after="120" w:line="312" w:lineRule="auto"/>
        <w:ind w:firstLine="480" w:firstLineChars="200"/>
        <w:rPr>
          <w:rFonts w:hint="eastAsia" w:ascii="宋体" w:hAnsi="宋体" w:cs="宋体"/>
          <w:b w:val="0"/>
          <w:color w:val="auto"/>
          <w:sz w:val="24"/>
          <w:szCs w:val="24"/>
        </w:rPr>
      </w:pPr>
      <w:bookmarkStart w:id="419" w:name="_Toc351203595"/>
      <w:bookmarkStart w:id="420" w:name="_Toc337558812"/>
      <w:r>
        <w:rPr>
          <w:rFonts w:hint="eastAsia" w:ascii="宋体" w:hAnsi="宋体" w:cs="宋体"/>
          <w:b w:val="0"/>
          <w:color w:val="auto"/>
          <w:sz w:val="24"/>
          <w:szCs w:val="24"/>
        </w:rPr>
        <w:t>14.2 竣工结算审核</w:t>
      </w:r>
      <w:bookmarkEnd w:id="419"/>
    </w:p>
    <w:bookmarkEnd w:id="420"/>
    <w:p w14:paraId="2951F62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rPr>
        <w:t>发包人对竣工</w:t>
      </w:r>
      <w:r>
        <w:rPr>
          <w:rFonts w:hint="eastAsia" w:ascii="宋体" w:hAnsi="宋体" w:cs="宋体"/>
          <w:color w:val="auto"/>
          <w:kern w:val="0"/>
          <w:sz w:val="24"/>
        </w:rPr>
        <w:t>结算</w:t>
      </w:r>
      <w:r>
        <w:rPr>
          <w:rFonts w:hint="eastAsia" w:ascii="宋体" w:hAnsi="宋体" w:cs="宋体"/>
          <w:color w:val="auto"/>
          <w:sz w:val="24"/>
        </w:rPr>
        <w:t>申请单有异议的，有权要求承包人进行修正和提供补充资料，承包人应提交修正后的竣工</w:t>
      </w:r>
      <w:r>
        <w:rPr>
          <w:rFonts w:hint="eastAsia" w:ascii="宋体" w:hAnsi="宋体" w:cs="宋体"/>
          <w:color w:val="auto"/>
          <w:kern w:val="0"/>
          <w:sz w:val="24"/>
        </w:rPr>
        <w:t>结算</w:t>
      </w:r>
      <w:r>
        <w:rPr>
          <w:rFonts w:hint="eastAsia" w:ascii="宋体" w:hAnsi="宋体" w:cs="宋体"/>
          <w:color w:val="auto"/>
          <w:sz w:val="24"/>
        </w:rPr>
        <w:t>申请单。</w:t>
      </w:r>
    </w:p>
    <w:p w14:paraId="7EB6E07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894395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8FD0A6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E24FF4F">
      <w:pPr>
        <w:pStyle w:val="8"/>
        <w:spacing w:before="120" w:after="120" w:line="312" w:lineRule="auto"/>
        <w:ind w:firstLine="480" w:firstLineChars="200"/>
        <w:rPr>
          <w:rFonts w:hint="eastAsia" w:ascii="宋体" w:hAnsi="宋体" w:cs="宋体"/>
          <w:b w:val="0"/>
          <w:color w:val="auto"/>
          <w:sz w:val="24"/>
          <w:szCs w:val="24"/>
        </w:rPr>
      </w:pPr>
      <w:bookmarkStart w:id="421" w:name="_Toc351203596"/>
      <w:bookmarkStart w:id="422" w:name="_Toc337558813"/>
      <w:r>
        <w:rPr>
          <w:rFonts w:hint="eastAsia" w:ascii="宋体" w:hAnsi="宋体" w:cs="宋体"/>
          <w:b w:val="0"/>
          <w:color w:val="auto"/>
          <w:sz w:val="24"/>
          <w:szCs w:val="24"/>
        </w:rPr>
        <w:t>14.3 甩项竣工协议</w:t>
      </w:r>
      <w:bookmarkEnd w:id="421"/>
    </w:p>
    <w:bookmarkEnd w:id="422"/>
    <w:p w14:paraId="285F7D50">
      <w:pPr>
        <w:autoSpaceDE w:val="0"/>
        <w:autoSpaceDN w:val="0"/>
        <w:adjustRightInd w:val="0"/>
        <w:spacing w:line="312" w:lineRule="auto"/>
        <w:ind w:firstLine="470" w:firstLineChars="196"/>
        <w:jc w:val="left"/>
        <w:rPr>
          <w:rFonts w:hint="eastAsia" w:ascii="宋体" w:hAnsi="宋体" w:cs="宋体"/>
          <w:color w:val="auto"/>
          <w:kern w:val="0"/>
          <w:sz w:val="24"/>
        </w:rPr>
      </w:pPr>
      <w:r>
        <w:rPr>
          <w:rFonts w:hint="eastAsia" w:ascii="宋体" w:hAnsi="宋体" w:cs="宋体"/>
          <w:color w:val="auto"/>
          <w:sz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770F2D5D">
      <w:pPr>
        <w:pStyle w:val="8"/>
        <w:spacing w:before="120" w:after="120" w:line="312" w:lineRule="auto"/>
        <w:ind w:firstLine="480" w:firstLineChars="200"/>
        <w:rPr>
          <w:rFonts w:hint="eastAsia" w:ascii="宋体" w:hAnsi="宋体" w:cs="宋体"/>
          <w:b w:val="0"/>
          <w:color w:val="auto"/>
          <w:sz w:val="24"/>
          <w:szCs w:val="24"/>
        </w:rPr>
      </w:pPr>
      <w:bookmarkStart w:id="423" w:name="_Toc351203597"/>
      <w:bookmarkStart w:id="424" w:name="_Toc337558814"/>
      <w:r>
        <w:rPr>
          <w:rFonts w:hint="eastAsia" w:ascii="宋体" w:hAnsi="宋体" w:cs="宋体"/>
          <w:b w:val="0"/>
          <w:color w:val="auto"/>
          <w:sz w:val="24"/>
          <w:szCs w:val="24"/>
        </w:rPr>
        <w:t>14.4 最终结清</w:t>
      </w:r>
      <w:bookmarkEnd w:id="423"/>
    </w:p>
    <w:bookmarkEnd w:id="424"/>
    <w:p w14:paraId="605304A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14.4.1 最终结清申请单</w:t>
      </w:r>
    </w:p>
    <w:p w14:paraId="762385E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（1）除专用合同条款另有约定外，承包人应在缺陷责任期终止证书颁发后7天内，按专用合同条款约定的份数向发包人提交最终结清申请单，并提供相关证明材料。</w:t>
      </w:r>
    </w:p>
    <w:p w14:paraId="5390F440">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除专用合同条款另有约定外，</w:t>
      </w:r>
      <w:r>
        <w:rPr>
          <w:rFonts w:hint="eastAsia" w:ascii="宋体" w:hAnsi="宋体" w:cs="宋体"/>
          <w:color w:val="auto"/>
          <w:kern w:val="0"/>
          <w:sz w:val="24"/>
        </w:rPr>
        <w:t>最终结清申请单</w:t>
      </w:r>
      <w:r>
        <w:rPr>
          <w:rFonts w:hint="eastAsia" w:ascii="宋体" w:hAnsi="宋体" w:cs="宋体"/>
          <w:color w:val="auto"/>
          <w:sz w:val="24"/>
        </w:rPr>
        <w:t>应列明质量保证金、应扣除的质量保证金、缺陷责任期内发生的增减费用。</w:t>
      </w:r>
    </w:p>
    <w:p w14:paraId="2844625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（2）发包人对最终结清申请单内容有异议的，有权要求承包人进行修正和提供补充资料，承包人应向发包人提交修正后的最终结清申请单。</w:t>
      </w:r>
    </w:p>
    <w:p w14:paraId="4F57E40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14.4.2 最终结清证书和支付</w:t>
      </w:r>
    </w:p>
    <w:p w14:paraId="331901C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D116B7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5956E6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（3）承包人对发包人颁发的最终结清证书有异议的，按第20条〔争议解决〕的约定办理。</w:t>
      </w:r>
    </w:p>
    <w:p w14:paraId="0A40908A">
      <w:pPr>
        <w:pStyle w:val="7"/>
        <w:spacing w:before="120" w:after="120" w:line="312" w:lineRule="auto"/>
        <w:rPr>
          <w:rFonts w:hint="eastAsia"/>
          <w:b w:val="0"/>
          <w:color w:val="auto"/>
          <w:sz w:val="24"/>
          <w:szCs w:val="24"/>
        </w:rPr>
      </w:pPr>
      <w:bookmarkStart w:id="425" w:name="_Toc351203598"/>
      <w:bookmarkStart w:id="426" w:name="_Toc337558815"/>
      <w:r>
        <w:rPr>
          <w:rFonts w:hint="eastAsia"/>
          <w:b w:val="0"/>
          <w:color w:val="auto"/>
          <w:sz w:val="24"/>
          <w:szCs w:val="24"/>
        </w:rPr>
        <w:t>15. 缺陷责任与保修</w:t>
      </w:r>
      <w:bookmarkEnd w:id="425"/>
    </w:p>
    <w:bookmarkEnd w:id="415"/>
    <w:bookmarkEnd w:id="416"/>
    <w:bookmarkEnd w:id="426"/>
    <w:p w14:paraId="61F23941">
      <w:pPr>
        <w:pStyle w:val="8"/>
        <w:spacing w:before="120" w:after="120" w:line="312" w:lineRule="auto"/>
        <w:ind w:firstLine="480" w:firstLineChars="200"/>
        <w:rPr>
          <w:rFonts w:hint="eastAsia" w:ascii="宋体" w:hAnsi="宋体" w:cs="宋体"/>
          <w:b w:val="0"/>
          <w:color w:val="auto"/>
          <w:sz w:val="24"/>
          <w:szCs w:val="24"/>
        </w:rPr>
      </w:pPr>
      <w:bookmarkStart w:id="427" w:name="_Toc351203599"/>
      <w:bookmarkStart w:id="428" w:name="_Toc337558816"/>
      <w:bookmarkStart w:id="429" w:name="_Toc296503114"/>
      <w:bookmarkStart w:id="430" w:name="_Toc296346615"/>
      <w:r>
        <w:rPr>
          <w:rFonts w:hint="eastAsia" w:ascii="宋体" w:hAnsi="宋体" w:cs="宋体"/>
          <w:b w:val="0"/>
          <w:color w:val="auto"/>
          <w:sz w:val="24"/>
          <w:szCs w:val="24"/>
        </w:rPr>
        <w:t>15.1 工程保修的原则</w:t>
      </w:r>
      <w:bookmarkEnd w:id="427"/>
    </w:p>
    <w:bookmarkEnd w:id="428"/>
    <w:p w14:paraId="25E0446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在工程移交发包人后，因承包人原因产生的质量缺陷，承包人应承担质量缺陷责任和保修义务。缺陷责任期届满，承包人仍应按合同约定的工程各部位保修年限承担保修义务。</w:t>
      </w:r>
    </w:p>
    <w:p w14:paraId="79D0305B">
      <w:pPr>
        <w:pStyle w:val="8"/>
        <w:spacing w:before="120" w:after="120" w:line="312" w:lineRule="auto"/>
        <w:ind w:firstLine="480" w:firstLineChars="200"/>
        <w:rPr>
          <w:rFonts w:hint="eastAsia" w:ascii="宋体" w:hAnsi="宋体" w:cs="宋体"/>
          <w:b w:val="0"/>
          <w:color w:val="auto"/>
          <w:sz w:val="24"/>
          <w:szCs w:val="24"/>
        </w:rPr>
      </w:pPr>
      <w:bookmarkStart w:id="431" w:name="_Toc351203600"/>
      <w:bookmarkStart w:id="432" w:name="_Toc337558817"/>
      <w:r>
        <w:rPr>
          <w:rFonts w:hint="eastAsia" w:ascii="宋体" w:hAnsi="宋体" w:cs="宋体"/>
          <w:b w:val="0"/>
          <w:color w:val="auto"/>
          <w:sz w:val="24"/>
          <w:szCs w:val="24"/>
        </w:rPr>
        <w:t>15.2 缺陷责任期</w:t>
      </w:r>
      <w:bookmarkEnd w:id="429"/>
      <w:bookmarkEnd w:id="430"/>
      <w:bookmarkEnd w:id="431"/>
    </w:p>
    <w:bookmarkEnd w:id="432"/>
    <w:p w14:paraId="6963B91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15.2.1 缺陷责任期自实际竣工日期起计算，合同当事人应在专用合同条款约定缺陷责任期的具体期限，但该期限最长不超过24个月。</w:t>
      </w:r>
    </w:p>
    <w:p w14:paraId="01EE257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5B17AB7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rPr>
        <w:t>包人延长缺陷责任期，</w:t>
      </w:r>
      <w:r>
        <w:rPr>
          <w:rFonts w:hint="eastAsia" w:ascii="宋体" w:hAnsi="宋体" w:cs="宋体"/>
          <w:color w:val="auto"/>
          <w:kern w:val="0"/>
          <w:sz w:val="24"/>
        </w:rPr>
        <w:t>并应在原缺陷责任期届满前发出延长通知，</w:t>
      </w:r>
      <w:r>
        <w:rPr>
          <w:rFonts w:hint="eastAsia" w:ascii="宋体" w:hAnsi="宋体" w:cs="宋体"/>
          <w:bCs/>
          <w:color w:val="auto"/>
          <w:sz w:val="24"/>
        </w:rPr>
        <w:t>但缺陷责任期最长</w:t>
      </w:r>
      <w:r>
        <w:rPr>
          <w:rFonts w:hint="eastAsia" w:ascii="宋体" w:hAnsi="宋体" w:cs="宋体"/>
          <w:color w:val="auto"/>
          <w:kern w:val="0"/>
          <w:sz w:val="24"/>
        </w:rPr>
        <w:t>不能超过24个月。</w:t>
      </w:r>
    </w:p>
    <w:p w14:paraId="098842C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15.2.3 任何一项缺陷或损坏修复后，经检查证明其影响了工程或工程设备的使用性能，承包人应重新进行合同约定的试验和试运行，试验和试运行的全部费用应由责任方承担。</w:t>
      </w:r>
    </w:p>
    <w:p w14:paraId="5ACF7F2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5AE3805">
      <w:pPr>
        <w:pStyle w:val="8"/>
        <w:spacing w:before="120" w:after="120" w:line="312" w:lineRule="auto"/>
        <w:ind w:firstLine="480" w:firstLineChars="200"/>
        <w:rPr>
          <w:rFonts w:hint="eastAsia" w:ascii="宋体" w:hAnsi="宋体" w:cs="宋体"/>
          <w:b w:val="0"/>
          <w:color w:val="auto"/>
          <w:sz w:val="24"/>
          <w:szCs w:val="24"/>
        </w:rPr>
      </w:pPr>
      <w:bookmarkStart w:id="433" w:name="_Toc351203601"/>
      <w:bookmarkStart w:id="434" w:name="_Toc337558818"/>
      <w:bookmarkStart w:id="435" w:name="_Toc296503115"/>
      <w:bookmarkStart w:id="436" w:name="_Toc296346616"/>
      <w:r>
        <w:rPr>
          <w:rFonts w:hint="eastAsia" w:ascii="宋体" w:hAnsi="宋体" w:cs="宋体"/>
          <w:b w:val="0"/>
          <w:color w:val="auto"/>
          <w:sz w:val="24"/>
          <w:szCs w:val="24"/>
        </w:rPr>
        <w:t>15.3 质量保证金</w:t>
      </w:r>
      <w:bookmarkEnd w:id="433"/>
    </w:p>
    <w:bookmarkEnd w:id="434"/>
    <w:p w14:paraId="4EE2A8A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经合同当事人协商一致扣留质量保证金的，应在专用合同条款中予以明确。</w:t>
      </w:r>
    </w:p>
    <w:p w14:paraId="5AF5D95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15.3.1 承包人提供质量保证金的方式</w:t>
      </w:r>
    </w:p>
    <w:p w14:paraId="6C859FF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承包人提供质量保证金有以下三种方式：</w:t>
      </w:r>
    </w:p>
    <w:p w14:paraId="3DB4F16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（1）质量保证金保函； </w:t>
      </w:r>
    </w:p>
    <w:p w14:paraId="10051BE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（2）相应比例的工程款；</w:t>
      </w:r>
    </w:p>
    <w:p w14:paraId="41C7AF7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（3）双方约定的其他方式。</w:t>
      </w:r>
    </w:p>
    <w:p w14:paraId="740720D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除专用合同条款另有约定外，质量保证金原则上采用上述第（1）种方式。</w:t>
      </w:r>
    </w:p>
    <w:p w14:paraId="63A1A44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15.3.2 质量保证金的扣留</w:t>
      </w:r>
    </w:p>
    <w:p w14:paraId="5D55C96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质量保证金的扣留有以下三种方式：</w:t>
      </w:r>
    </w:p>
    <w:p w14:paraId="596965B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（1）在支付工程进度款时逐次扣留，在此情形下，质量保证金的计算基数不包括预付款的支付、扣回以及价格调整的金额；</w:t>
      </w:r>
    </w:p>
    <w:p w14:paraId="3FFC5A1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（2）工</w:t>
      </w:r>
      <w:bookmarkStart w:id="437" w:name="#go6"/>
      <w:bookmarkEnd w:id="437"/>
      <w:r>
        <w:rPr>
          <w:rFonts w:hint="eastAsia" w:ascii="宋体" w:hAnsi="宋体" w:cs="宋体"/>
          <w:color w:val="auto"/>
          <w:kern w:val="0"/>
          <w:sz w:val="24"/>
        </w:rPr>
        <w:t>程竣工结算时一次性扣留质量保证金；</w:t>
      </w:r>
    </w:p>
    <w:p w14:paraId="29DBAF6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（3）双方约定的其他扣留方式。</w:t>
      </w:r>
    </w:p>
    <w:p w14:paraId="79576A8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除专用合同条款另有约定外，质量保证金的扣留原则上采用上述第（1）种方式。</w:t>
      </w:r>
    </w:p>
    <w:p w14:paraId="39676E5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w:t>
      </w:r>
      <w:bookmarkStart w:id="438" w:name="#go4"/>
      <w:bookmarkEnd w:id="438"/>
      <w:r>
        <w:rPr>
          <w:rFonts w:hint="eastAsia" w:ascii="宋体" w:hAnsi="宋体" w:cs="宋体"/>
          <w:color w:val="auto"/>
          <w:kern w:val="0"/>
          <w:sz w:val="24"/>
        </w:rPr>
        <w:t>包人累计扣留的质量保证金不得超过结算合同价格的5%，如承包人在发包人签发竣工付款证书后28天内提交质量保证金保函，发包人应同时退还扣留的作为质量保证金的工程价款。</w:t>
      </w:r>
    </w:p>
    <w:p w14:paraId="301B161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15.3.3 </w:t>
      </w:r>
      <w:r>
        <w:rPr>
          <w:rFonts w:hint="eastAsia" w:ascii="宋体" w:hAnsi="宋体" w:cs="宋体"/>
          <w:color w:val="auto"/>
          <w:sz w:val="24"/>
        </w:rPr>
        <w:t>质量保证金</w:t>
      </w:r>
      <w:r>
        <w:rPr>
          <w:rFonts w:hint="eastAsia" w:ascii="宋体" w:hAnsi="宋体" w:cs="宋体"/>
          <w:color w:val="auto"/>
          <w:kern w:val="0"/>
          <w:sz w:val="24"/>
        </w:rPr>
        <w:t>的退还</w:t>
      </w:r>
    </w:p>
    <w:p w14:paraId="7F2DE11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发包人应按14.4款〔最终结清〕的约定退还质量保证金。</w:t>
      </w:r>
    </w:p>
    <w:p w14:paraId="4832F720">
      <w:pPr>
        <w:pStyle w:val="8"/>
        <w:spacing w:before="120" w:after="120" w:line="312" w:lineRule="auto"/>
        <w:ind w:firstLine="480" w:firstLineChars="200"/>
        <w:rPr>
          <w:rFonts w:hint="eastAsia" w:ascii="宋体" w:hAnsi="宋体" w:cs="宋体"/>
          <w:b w:val="0"/>
          <w:color w:val="auto"/>
          <w:sz w:val="24"/>
          <w:szCs w:val="24"/>
        </w:rPr>
      </w:pPr>
      <w:bookmarkStart w:id="439" w:name="_Toc351203602"/>
      <w:bookmarkStart w:id="440" w:name="_Toc337558819"/>
      <w:r>
        <w:rPr>
          <w:rFonts w:hint="eastAsia" w:ascii="宋体" w:hAnsi="宋体" w:cs="宋体"/>
          <w:b w:val="0"/>
          <w:color w:val="auto"/>
          <w:sz w:val="24"/>
          <w:szCs w:val="24"/>
        </w:rPr>
        <w:t>15.4 保修</w:t>
      </w:r>
      <w:bookmarkEnd w:id="439"/>
    </w:p>
    <w:bookmarkEnd w:id="435"/>
    <w:bookmarkEnd w:id="436"/>
    <w:bookmarkEnd w:id="440"/>
    <w:p w14:paraId="67265BB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15.4.1保修责任</w:t>
      </w:r>
    </w:p>
    <w:p w14:paraId="1959C41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19CAA21">
      <w:pPr>
        <w:spacing w:line="312" w:lineRule="auto"/>
        <w:ind w:firstLine="420" w:firstLineChars="200"/>
        <w:jc w:val="left"/>
        <w:rPr>
          <w:rFonts w:hint="eastAsia" w:ascii="宋体" w:hAnsi="宋体" w:cs="宋体"/>
          <w:color w:val="auto"/>
          <w:sz w:val="24"/>
        </w:rPr>
      </w:pPr>
      <w:r>
        <w:rPr>
          <w:rFonts w:hint="eastAsia" w:hAnsi="宋体" w:cs="宋体"/>
          <w:color w:val="auto"/>
        </w:rPr>
        <w:t>工程保修期为：</w:t>
      </w:r>
      <w:r>
        <w:rPr>
          <w:color w:val="auto"/>
          <w:kern w:val="0"/>
          <w:u w:val="single"/>
        </w:rPr>
        <w:t xml:space="preserve"> </w:t>
      </w:r>
      <w:r>
        <w:rPr>
          <w:rFonts w:hint="eastAsia"/>
          <w:color w:val="auto"/>
          <w:kern w:val="0"/>
          <w:u w:val="single"/>
        </w:rPr>
        <w:t>1年</w:t>
      </w:r>
      <w:r>
        <w:rPr>
          <w:color w:val="auto"/>
          <w:kern w:val="0"/>
          <w:u w:val="single"/>
        </w:rPr>
        <w:t xml:space="preserve">  </w:t>
      </w:r>
      <w:r>
        <w:rPr>
          <w:rFonts w:hint="eastAsia" w:ascii="宋体" w:hAnsi="宋体" w:cs="宋体"/>
          <w:color w:val="auto"/>
          <w:sz w:val="24"/>
        </w:rPr>
        <w:t>。</w:t>
      </w:r>
    </w:p>
    <w:p w14:paraId="42355B0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15.4.2 修复费用</w:t>
      </w:r>
    </w:p>
    <w:p w14:paraId="54FA67C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保修期内，修复的费用按照以下约定处理：</w:t>
      </w:r>
    </w:p>
    <w:p w14:paraId="119D2F6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（1）保修期内，因承包人原因造成工程的缺陷、损坏，承包人应负责修复，并承担修复的费用以及因工程的缺陷、损坏造成的人身伤害和财产损失；</w:t>
      </w:r>
    </w:p>
    <w:p w14:paraId="7C930E7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（2）保修期内，因发包人使用不当造成工程的缺陷、损坏，可以委托承包人修复，但发包人应承担修复的费用，并支付承包人合理利润；</w:t>
      </w:r>
    </w:p>
    <w:p w14:paraId="5EBF420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（3）因其他原因造成工程的缺陷、损坏，可以委托承包人修复，发包人应承担修复的费用，并支付承包人合理的利润，因工程的缺陷、损坏造成的人身伤害和财产损失由责任方承担。</w:t>
      </w:r>
    </w:p>
    <w:p w14:paraId="6C6DCDA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15.4.3 修复通知</w:t>
      </w:r>
    </w:p>
    <w:p w14:paraId="728B99C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04815E4">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15.4.4 未能修复</w:t>
      </w:r>
    </w:p>
    <w:p w14:paraId="4DBE630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2EAC7C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15.4.5 承包人出入权</w:t>
      </w:r>
    </w:p>
    <w:p w14:paraId="791B5BA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A29C862">
      <w:pPr>
        <w:pStyle w:val="7"/>
        <w:spacing w:before="120" w:after="120" w:line="312" w:lineRule="auto"/>
        <w:rPr>
          <w:rFonts w:hint="eastAsia"/>
          <w:b w:val="0"/>
          <w:color w:val="auto"/>
          <w:sz w:val="24"/>
          <w:szCs w:val="24"/>
        </w:rPr>
      </w:pPr>
      <w:bookmarkStart w:id="441" w:name="_Toc351203603"/>
      <w:bookmarkStart w:id="442" w:name="_Toc337558820"/>
      <w:r>
        <w:rPr>
          <w:rFonts w:hint="eastAsia"/>
          <w:b w:val="0"/>
          <w:color w:val="auto"/>
          <w:sz w:val="24"/>
          <w:szCs w:val="24"/>
        </w:rPr>
        <w:t>16. 违约</w:t>
      </w:r>
      <w:bookmarkEnd w:id="441"/>
    </w:p>
    <w:bookmarkEnd w:id="442"/>
    <w:p w14:paraId="24A5B59C">
      <w:pPr>
        <w:pStyle w:val="8"/>
        <w:spacing w:before="120" w:after="120" w:line="312" w:lineRule="auto"/>
        <w:ind w:firstLine="480" w:firstLineChars="200"/>
        <w:rPr>
          <w:rFonts w:hint="eastAsia" w:ascii="宋体" w:hAnsi="宋体" w:cs="宋体"/>
          <w:b w:val="0"/>
          <w:color w:val="auto"/>
          <w:sz w:val="24"/>
          <w:szCs w:val="24"/>
        </w:rPr>
      </w:pPr>
      <w:bookmarkStart w:id="443" w:name="_Toc296503129"/>
      <w:bookmarkStart w:id="444" w:name="_Toc296346630"/>
      <w:bookmarkStart w:id="445" w:name="_Toc351203604"/>
      <w:bookmarkStart w:id="446" w:name="_Toc337558821"/>
      <w:r>
        <w:rPr>
          <w:rFonts w:hint="eastAsia" w:ascii="宋体" w:hAnsi="宋体" w:cs="宋体"/>
          <w:b w:val="0"/>
          <w:color w:val="auto"/>
          <w:sz w:val="24"/>
          <w:szCs w:val="24"/>
        </w:rPr>
        <w:t>16.1 发</w:t>
      </w:r>
      <w:bookmarkEnd w:id="443"/>
      <w:bookmarkEnd w:id="444"/>
      <w:r>
        <w:rPr>
          <w:rFonts w:hint="eastAsia" w:ascii="宋体" w:hAnsi="宋体" w:cs="宋体"/>
          <w:b w:val="0"/>
          <w:color w:val="auto"/>
          <w:sz w:val="24"/>
          <w:szCs w:val="24"/>
        </w:rPr>
        <w:t>包人违约</w:t>
      </w:r>
      <w:bookmarkEnd w:id="445"/>
    </w:p>
    <w:bookmarkEnd w:id="446"/>
    <w:p w14:paraId="180E332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16.1.1 发包人违约的情形</w:t>
      </w:r>
    </w:p>
    <w:p w14:paraId="3BA6F6E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在合同履行过程中发生的下列情形，属于发包人违约：</w:t>
      </w:r>
    </w:p>
    <w:p w14:paraId="0EC155D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（1）因发包人原因未能在计划开工日期前7天内下达开工通知的；</w:t>
      </w:r>
    </w:p>
    <w:p w14:paraId="6F19212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（2）因发包人原因未能按合同约定支付合同价款的；</w:t>
      </w:r>
    </w:p>
    <w:p w14:paraId="2885DC7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（3）发包人违反第10.1款〔变更的范围〕第（2）项约定，自行实施被取消的工作或转由他人实施的；</w:t>
      </w:r>
    </w:p>
    <w:p w14:paraId="3AAAAC3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（4）发包人提供的材料、工程设备的规格、数量或质量不符合合同约定，或因发包人原因导致交货日期延误或交货地点变更等情况的；</w:t>
      </w:r>
    </w:p>
    <w:p w14:paraId="2E26205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（5）因发包人违反合同约定造成暂停施工的；</w:t>
      </w:r>
    </w:p>
    <w:p w14:paraId="44551EA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（6）发包人无正当理由没有在约定期限内发出复工指示，导致承包人无法复工的；</w:t>
      </w:r>
    </w:p>
    <w:p w14:paraId="6B57EB4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（7）发包人明确表示或者以其行为表明不履行合同主要义务的；</w:t>
      </w:r>
    </w:p>
    <w:p w14:paraId="3D89332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（8）发包人未能按照合同约定履行其他义务的。</w:t>
      </w:r>
    </w:p>
    <w:p w14:paraId="7CCF9DE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38F625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16.1.2 发包人违约的责任</w:t>
      </w:r>
    </w:p>
    <w:p w14:paraId="7C3072E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发包人应承担因其违约给承包人增加的费用和（或）延误的工期，并支付承包人合理的利润。此外，合同当事人可在专用合同条款中另行约定发包人违约责任的承担方式和计算方法。</w:t>
      </w:r>
    </w:p>
    <w:p w14:paraId="73DAB45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16.1.3 因发包人违约解除合同</w:t>
      </w:r>
    </w:p>
    <w:p w14:paraId="5AD7B03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0AA6826">
      <w:pPr>
        <w:autoSpaceDE w:val="0"/>
        <w:autoSpaceDN w:val="0"/>
        <w:adjustRightInd w:val="0"/>
        <w:spacing w:line="312" w:lineRule="auto"/>
        <w:ind w:firstLine="480" w:firstLineChars="200"/>
        <w:jc w:val="left"/>
        <w:rPr>
          <w:rFonts w:hint="eastAsia" w:ascii="宋体" w:hAnsi="宋体" w:cs="宋体"/>
          <w:color w:val="auto"/>
          <w:sz w:val="24"/>
        </w:rPr>
      </w:pPr>
      <w:r>
        <w:rPr>
          <w:rFonts w:hint="eastAsia" w:ascii="宋体" w:hAnsi="宋体" w:cs="宋体"/>
          <w:color w:val="auto"/>
          <w:kern w:val="0"/>
          <w:sz w:val="24"/>
        </w:rPr>
        <w:t>16.1.4 因发包人违约解除合同后的付款</w:t>
      </w:r>
    </w:p>
    <w:p w14:paraId="110EF76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承包人按照本款约定解除合同的，发包人应在解除合同后28天内支付下列款项，并解除履约担保：</w:t>
      </w:r>
    </w:p>
    <w:p w14:paraId="053ED3F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（1）合同解除前所完成工作的价款；</w:t>
      </w:r>
    </w:p>
    <w:p w14:paraId="1F9DA6D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（2）承包人为工程施工订购并已付款的材料、工程设备和其他物品的价款；</w:t>
      </w:r>
    </w:p>
    <w:p w14:paraId="3BD9B98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（3）承包人撤离施工现场以及遣散承包人人员的款项；</w:t>
      </w:r>
    </w:p>
    <w:p w14:paraId="648AE698">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（4）按照合同约定在合同解除前应支付的违约金；</w:t>
      </w:r>
    </w:p>
    <w:p w14:paraId="33E661C5">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（5）按照合同约定应当支付给承包人的其他款项；</w:t>
      </w:r>
    </w:p>
    <w:p w14:paraId="47D32AA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（6）按照合同约定应退还的质量保证金；</w:t>
      </w:r>
    </w:p>
    <w:p w14:paraId="2780630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（7）因解除合同给承包人造成的损失。</w:t>
      </w:r>
    </w:p>
    <w:p w14:paraId="72D06B9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合同当事人未能就解除合同后的结清达成一致的，按照第20条〔争议解决〕的约定处理。</w:t>
      </w:r>
    </w:p>
    <w:p w14:paraId="4C3E1C9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承包人应妥善做好已完工程和与工程有关的已购材料、工程设备的保护和移交工作，并将施工设备和人员撤出施工现场，发包人应为承包人撤出提供必要条件。</w:t>
      </w:r>
    </w:p>
    <w:p w14:paraId="45F709AD">
      <w:pPr>
        <w:pStyle w:val="8"/>
        <w:spacing w:before="120" w:after="120" w:line="312" w:lineRule="auto"/>
        <w:ind w:firstLine="480" w:firstLineChars="200"/>
        <w:rPr>
          <w:rFonts w:hint="eastAsia" w:ascii="宋体" w:hAnsi="宋体" w:cs="宋体"/>
          <w:b w:val="0"/>
          <w:color w:val="auto"/>
          <w:sz w:val="24"/>
          <w:szCs w:val="24"/>
        </w:rPr>
      </w:pPr>
      <w:bookmarkStart w:id="447" w:name="_Toc351203605"/>
      <w:bookmarkStart w:id="448" w:name="_Toc337558822"/>
      <w:bookmarkStart w:id="449" w:name="_Toc296346632"/>
      <w:bookmarkStart w:id="450" w:name="_Toc296503131"/>
      <w:r>
        <w:rPr>
          <w:rFonts w:hint="eastAsia" w:ascii="宋体" w:hAnsi="宋体" w:cs="宋体"/>
          <w:b w:val="0"/>
          <w:color w:val="auto"/>
          <w:sz w:val="24"/>
          <w:szCs w:val="24"/>
        </w:rPr>
        <w:t>16.2 承包人违约</w:t>
      </w:r>
      <w:bookmarkEnd w:id="447"/>
    </w:p>
    <w:bookmarkEnd w:id="448"/>
    <w:bookmarkEnd w:id="449"/>
    <w:bookmarkEnd w:id="450"/>
    <w:p w14:paraId="1431534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16.2.1 承包人违约的情形</w:t>
      </w:r>
    </w:p>
    <w:p w14:paraId="16E10CC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在合同履行过程中发生的下列情形，属于承包人违约：</w:t>
      </w:r>
    </w:p>
    <w:p w14:paraId="7BB441E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（1）承包人违反合同约定进行转包或违法分包的；</w:t>
      </w:r>
    </w:p>
    <w:p w14:paraId="60BA705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（2）承包人违反合同约定采购和使用不合格的材料和工程设备的；</w:t>
      </w:r>
    </w:p>
    <w:p w14:paraId="3FC0768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（3）因承包人原因导致工程质量不符合合同要求的； </w:t>
      </w:r>
    </w:p>
    <w:p w14:paraId="54C450E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（4）承包人违反第8.9款〔材料与设备专用要求〕的约定，未经批准，私自将已按照合同约定进入施工现场的材料或设备撤离施工现场的；</w:t>
      </w:r>
    </w:p>
    <w:p w14:paraId="0C1E6B1F">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（5）承包人未能按施工进度计划及时完成合同约定的工作，造成工期延误的；</w:t>
      </w:r>
    </w:p>
    <w:p w14:paraId="5E88C25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（6）承包人在缺陷责任期及保修期内，未能在合理期限对工程缺陷进行修复，或拒绝按发包人要求进行修复的；</w:t>
      </w:r>
    </w:p>
    <w:p w14:paraId="5762DC0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（7）承包人明确表示或者以其行为表明不履行合同主要义务的；</w:t>
      </w:r>
    </w:p>
    <w:p w14:paraId="5751FC7C">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（8）承包人未能按照合同约定履行其他义务的。</w:t>
      </w:r>
    </w:p>
    <w:p w14:paraId="5217B1D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承包人发生除本项第（7）目约定以外的其他违约情况时，监理人可向承包人发出整改通知，要求其在指定的期限内改正。</w:t>
      </w:r>
    </w:p>
    <w:p w14:paraId="6336F15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16.2.2 承包人违约的责任</w:t>
      </w:r>
    </w:p>
    <w:p w14:paraId="18243BB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承包人应承担因其违约行为而增加的费用和（或）延误的工期。此外，合同当事人可在专用合同条款中另行约定承包人违约责任的承担方式和计算方法。</w:t>
      </w:r>
    </w:p>
    <w:p w14:paraId="4D22BD9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16.2.3 因承包人违约解除合同</w:t>
      </w:r>
    </w:p>
    <w:p w14:paraId="71093BB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0C031C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16.2.4因承包人违约解除合同后的处理</w:t>
      </w:r>
    </w:p>
    <w:p w14:paraId="243E5C2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因承包人原因导致合同解除的，则合同当事人应在合同解除后28天内完成估价、付款和清算，并按以下约定执行：</w:t>
      </w:r>
    </w:p>
    <w:p w14:paraId="70B34B8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（1）合同解除后，按第4.4款〔商定或确定〕商定或确定承包人实际完成工作对应的合同价款，以及承包人已提供的材料、工程设备、施工设备和临时工程等的价值；</w:t>
      </w:r>
    </w:p>
    <w:p w14:paraId="198D96F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（2）合同解除后，承包人应支付的违约金；</w:t>
      </w:r>
    </w:p>
    <w:p w14:paraId="4EAD867E">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（3）合同解除后，因解除合同给发包人造成的损失；</w:t>
      </w:r>
    </w:p>
    <w:p w14:paraId="6D5A22C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（4）合同解除后，承包人应按照发包人要求和监理人的指示完成现场的清理和撤离；</w:t>
      </w:r>
    </w:p>
    <w:p w14:paraId="0110C88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（5）发包人和承包人应在合同解除后进行清算，出具最终结清付款证书，结清全部款项。</w:t>
      </w:r>
    </w:p>
    <w:p w14:paraId="667460B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因承包人违约解除合同的，发包人有权暂停对承包人的付款，查清各项付款和已扣款项。发包人和承包人未能就合同解除后的清算和款项支付达成一致的，按照第20条〔争议解决〕的约定处理。</w:t>
      </w:r>
    </w:p>
    <w:p w14:paraId="6E814BD9">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16.2.5采购合同权益转让</w:t>
      </w:r>
    </w:p>
    <w:p w14:paraId="2367CC93">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2142BB2">
      <w:pPr>
        <w:pStyle w:val="8"/>
        <w:spacing w:before="120" w:after="120" w:line="312" w:lineRule="auto"/>
        <w:ind w:firstLine="480" w:firstLineChars="200"/>
        <w:rPr>
          <w:rFonts w:hint="eastAsia" w:ascii="宋体" w:hAnsi="宋体" w:cs="宋体"/>
          <w:b w:val="0"/>
          <w:color w:val="auto"/>
          <w:sz w:val="24"/>
          <w:szCs w:val="24"/>
        </w:rPr>
      </w:pPr>
      <w:bookmarkStart w:id="451" w:name="_Toc351203606"/>
      <w:r>
        <w:rPr>
          <w:rFonts w:hint="eastAsia" w:ascii="宋体" w:hAnsi="宋体" w:cs="宋体"/>
          <w:b w:val="0"/>
          <w:color w:val="auto"/>
          <w:sz w:val="24"/>
          <w:szCs w:val="24"/>
        </w:rPr>
        <w:t>16.3 第三人造成的违约</w:t>
      </w:r>
      <w:bookmarkEnd w:id="451"/>
    </w:p>
    <w:p w14:paraId="61A8B7BF">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在履行合同过程中，一方当事人因第三人的原因造成违约的，应当向对方当事人承担违约责任。一方当事人和第三人之间的纠纷，依照法律规定或者按照约定解决。</w:t>
      </w:r>
    </w:p>
    <w:p w14:paraId="18ABDDCE">
      <w:pPr>
        <w:pStyle w:val="7"/>
        <w:spacing w:before="120" w:after="120" w:line="312" w:lineRule="auto"/>
        <w:rPr>
          <w:rFonts w:hint="eastAsia"/>
          <w:b w:val="0"/>
          <w:color w:val="auto"/>
          <w:sz w:val="24"/>
          <w:szCs w:val="24"/>
        </w:rPr>
      </w:pPr>
      <w:bookmarkStart w:id="452" w:name="_Toc351203607"/>
      <w:bookmarkStart w:id="453" w:name="_Toc296503116"/>
      <w:bookmarkStart w:id="454" w:name="_Toc296346617"/>
      <w:bookmarkStart w:id="455" w:name="_Toc337558823"/>
      <w:r>
        <w:rPr>
          <w:rFonts w:hint="eastAsia"/>
          <w:b w:val="0"/>
          <w:color w:val="auto"/>
          <w:sz w:val="24"/>
          <w:szCs w:val="24"/>
        </w:rPr>
        <w:t>17. 不可抗力</w:t>
      </w:r>
      <w:bookmarkEnd w:id="452"/>
      <w:r>
        <w:rPr>
          <w:rFonts w:hint="eastAsia"/>
          <w:b w:val="0"/>
          <w:color w:val="auto"/>
          <w:sz w:val="24"/>
          <w:szCs w:val="24"/>
        </w:rPr>
        <w:t xml:space="preserve"> </w:t>
      </w:r>
      <w:bookmarkEnd w:id="453"/>
      <w:bookmarkEnd w:id="454"/>
      <w:bookmarkEnd w:id="455"/>
    </w:p>
    <w:p w14:paraId="77ECE097">
      <w:pPr>
        <w:pStyle w:val="8"/>
        <w:spacing w:before="120" w:after="120" w:line="312" w:lineRule="auto"/>
        <w:ind w:firstLine="480" w:firstLineChars="200"/>
        <w:rPr>
          <w:rFonts w:hint="eastAsia" w:ascii="宋体" w:hAnsi="宋体" w:cs="宋体"/>
          <w:b w:val="0"/>
          <w:color w:val="auto"/>
          <w:sz w:val="24"/>
          <w:szCs w:val="24"/>
        </w:rPr>
      </w:pPr>
      <w:bookmarkStart w:id="456" w:name="_Toc351203608"/>
      <w:bookmarkStart w:id="457" w:name="_Toc337558824"/>
      <w:bookmarkStart w:id="458" w:name="_Toc296503117"/>
      <w:bookmarkStart w:id="459" w:name="_Toc296346618"/>
      <w:r>
        <w:rPr>
          <w:rFonts w:hint="eastAsia" w:ascii="宋体" w:hAnsi="宋体" w:cs="宋体"/>
          <w:b w:val="0"/>
          <w:color w:val="auto"/>
          <w:sz w:val="24"/>
          <w:szCs w:val="24"/>
        </w:rPr>
        <w:t>17.1 不可抗力的确认</w:t>
      </w:r>
      <w:bookmarkEnd w:id="456"/>
    </w:p>
    <w:bookmarkEnd w:id="457"/>
    <w:bookmarkEnd w:id="458"/>
    <w:bookmarkEnd w:id="459"/>
    <w:p w14:paraId="5EE98E6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7DC9D22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ED85E0E">
      <w:pPr>
        <w:pStyle w:val="8"/>
        <w:spacing w:before="120" w:after="120" w:line="312" w:lineRule="auto"/>
        <w:ind w:firstLine="480" w:firstLineChars="200"/>
        <w:rPr>
          <w:rFonts w:hint="eastAsia" w:ascii="宋体" w:hAnsi="宋体" w:cs="宋体"/>
          <w:b w:val="0"/>
          <w:color w:val="auto"/>
          <w:sz w:val="24"/>
          <w:szCs w:val="24"/>
        </w:rPr>
      </w:pPr>
      <w:bookmarkStart w:id="460" w:name="_Toc351203609"/>
      <w:bookmarkStart w:id="461" w:name="_Toc337558825"/>
      <w:bookmarkStart w:id="462" w:name="_Toc296503118"/>
      <w:bookmarkStart w:id="463" w:name="_Toc296346619"/>
      <w:r>
        <w:rPr>
          <w:rFonts w:hint="eastAsia" w:ascii="宋体" w:hAnsi="宋体" w:cs="宋体"/>
          <w:b w:val="0"/>
          <w:color w:val="auto"/>
          <w:sz w:val="24"/>
          <w:szCs w:val="24"/>
        </w:rPr>
        <w:t>17.2 不可抗力的通知</w:t>
      </w:r>
      <w:bookmarkEnd w:id="460"/>
    </w:p>
    <w:bookmarkEnd w:id="461"/>
    <w:bookmarkEnd w:id="462"/>
    <w:bookmarkEnd w:id="463"/>
    <w:p w14:paraId="51A1A2A8">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合同一方当事人遇到不可抗力事件，使其履行合同义务受到阻碍时，应立即通知合同另一方当事人和监理人，书面说明不可抗力和受阻碍的详细情况，并提供必要的证明。</w:t>
      </w:r>
    </w:p>
    <w:p w14:paraId="24AA15B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14:paraId="7B2CA42C">
      <w:pPr>
        <w:pStyle w:val="8"/>
        <w:spacing w:before="120" w:after="120" w:line="312" w:lineRule="auto"/>
        <w:ind w:firstLine="480" w:firstLineChars="200"/>
        <w:rPr>
          <w:rFonts w:hint="eastAsia" w:ascii="宋体" w:hAnsi="宋体" w:cs="宋体"/>
          <w:b w:val="0"/>
          <w:color w:val="auto"/>
          <w:sz w:val="24"/>
          <w:szCs w:val="24"/>
        </w:rPr>
      </w:pPr>
      <w:bookmarkStart w:id="464" w:name="_Toc351203610"/>
      <w:bookmarkStart w:id="465" w:name="_Toc296346620"/>
      <w:bookmarkStart w:id="466" w:name="_Toc337558826"/>
      <w:bookmarkStart w:id="467" w:name="_Toc296503119"/>
      <w:r>
        <w:rPr>
          <w:rFonts w:hint="eastAsia" w:ascii="宋体" w:hAnsi="宋体" w:cs="宋体"/>
          <w:b w:val="0"/>
          <w:color w:val="auto"/>
          <w:sz w:val="24"/>
          <w:szCs w:val="24"/>
        </w:rPr>
        <w:t>17.3 不可抗力后果的承担</w:t>
      </w:r>
      <w:bookmarkEnd w:id="464"/>
    </w:p>
    <w:bookmarkEnd w:id="465"/>
    <w:bookmarkEnd w:id="466"/>
    <w:bookmarkEnd w:id="467"/>
    <w:p w14:paraId="5638B09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17.3.1 不可抗力引起的后果及造成的损失由合同当事人按照法律规定及合同约定各自承担。不可抗力发生前已完成的工程应当按照合同约定进行计量支付。</w:t>
      </w:r>
    </w:p>
    <w:p w14:paraId="2422CE5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17.3.2 不可抗力导致的人员伤亡、财产损失、费用增加和（或）工期延误等后果，由合同当事人按以下原则承担：</w:t>
      </w:r>
    </w:p>
    <w:p w14:paraId="459F0E9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（1）永久工程、已运至施工现场的材料和工程设备的损坏，以及因工程损坏造成的第三人人员伤亡和财产损失由发包人承担；</w:t>
      </w:r>
    </w:p>
    <w:p w14:paraId="267DB7D9">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（2）承包人施工设备的损坏由承包人承担；</w:t>
      </w:r>
    </w:p>
    <w:p w14:paraId="67F4C89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（3）发包人和承包人承担各自人员伤亡和财产的损失；</w:t>
      </w:r>
    </w:p>
    <w:p w14:paraId="435358F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C34EF4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（5）因不可抗力引起或将引起工期延误，发包人要求赶工的，由此增加的赶工费用由发包人承担；</w:t>
      </w:r>
    </w:p>
    <w:p w14:paraId="12F31AE1">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（6）承包人在停工期间按照发包人要求照管、清理和修复工程的费用由发包人承担。</w:t>
      </w:r>
    </w:p>
    <w:p w14:paraId="54211FA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不可抗力发生后，合同当事人均应采取措施尽量避免和减少损失的扩大，任何一方当事人没有采取有效措施导致损失扩大的，应对扩大的损失承担责任。</w:t>
      </w:r>
    </w:p>
    <w:p w14:paraId="7E35405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因合同一方迟延履行合同义务，在迟延履行期间遭遇不可抗力的，不免除其违约责任。</w:t>
      </w:r>
    </w:p>
    <w:p w14:paraId="243CF5C8">
      <w:pPr>
        <w:pStyle w:val="8"/>
        <w:spacing w:before="120" w:after="120" w:line="312" w:lineRule="auto"/>
        <w:ind w:firstLine="480" w:firstLineChars="200"/>
        <w:rPr>
          <w:rFonts w:hint="eastAsia" w:ascii="宋体" w:hAnsi="宋体" w:cs="宋体"/>
          <w:b w:val="0"/>
          <w:color w:val="auto"/>
          <w:sz w:val="24"/>
          <w:szCs w:val="24"/>
        </w:rPr>
      </w:pPr>
      <w:bookmarkStart w:id="468" w:name="_Toc351203611"/>
      <w:bookmarkStart w:id="469" w:name="_Toc337558827"/>
      <w:r>
        <w:rPr>
          <w:rFonts w:hint="eastAsia" w:ascii="宋体" w:hAnsi="宋体" w:cs="宋体"/>
          <w:b w:val="0"/>
          <w:color w:val="auto"/>
          <w:sz w:val="24"/>
          <w:szCs w:val="24"/>
        </w:rPr>
        <w:t>17.4 因不可抗力解除合同</w:t>
      </w:r>
      <w:bookmarkEnd w:id="468"/>
    </w:p>
    <w:bookmarkEnd w:id="469"/>
    <w:p w14:paraId="4A636FA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因不可抗力导致合同无法履行连续超过84天或累计超过140天的，发包人和承包人均有权解除合同。合同解除后，由双方当事人按照第4.4款〔商定或确定〕商定或确定发包人应支付的款项，该款项包括：</w:t>
      </w:r>
    </w:p>
    <w:p w14:paraId="2C6DAC72">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（1）合同解除前承包人已完成工作的价款；</w:t>
      </w:r>
    </w:p>
    <w:p w14:paraId="40A23DC6">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（2）承包人为工程订购的并已交付给承包人，或承包人有责任接受交付的材料、工程设备和其他物品的价款；</w:t>
      </w:r>
    </w:p>
    <w:p w14:paraId="58C97E9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（3）发包人要求承包人退货或解除订货合同而产生的费用，或因不能退货或解除合同而产生的损失；</w:t>
      </w:r>
    </w:p>
    <w:p w14:paraId="76AD86AD">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（4）承包人撤离施工现场以及遣散承包人人员的费用；</w:t>
      </w:r>
    </w:p>
    <w:p w14:paraId="55645D1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（5）按照合同约定在合同解除前应支付给承包人的其他款项；</w:t>
      </w:r>
    </w:p>
    <w:p w14:paraId="1DEDFE41">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（6）扣减承包人按照合同约定应向发包人支付的款项；</w:t>
      </w:r>
    </w:p>
    <w:p w14:paraId="65ED2ABB">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（7）双方商定或确定的其他款项。</w:t>
      </w:r>
    </w:p>
    <w:p w14:paraId="72F583B7">
      <w:pPr>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除专用合同条款另有约定外，合同解除后，发包人应在商定或确定上述款项后28天内完成上述款项的支付。</w:t>
      </w:r>
    </w:p>
    <w:p w14:paraId="3BCA02A9">
      <w:pPr>
        <w:pStyle w:val="7"/>
        <w:spacing w:before="120" w:after="120" w:line="312" w:lineRule="auto"/>
        <w:rPr>
          <w:rFonts w:hint="eastAsia"/>
          <w:b w:val="0"/>
          <w:color w:val="auto"/>
          <w:sz w:val="24"/>
          <w:szCs w:val="24"/>
        </w:rPr>
      </w:pPr>
      <w:bookmarkStart w:id="470" w:name="_Toc351203612"/>
      <w:bookmarkStart w:id="471" w:name="_Toc296503120"/>
      <w:bookmarkStart w:id="472" w:name="_Toc337558828"/>
      <w:bookmarkStart w:id="473" w:name="_Toc296346621"/>
      <w:r>
        <w:rPr>
          <w:rFonts w:hint="eastAsia"/>
          <w:b w:val="0"/>
          <w:color w:val="auto"/>
          <w:sz w:val="24"/>
          <w:szCs w:val="24"/>
        </w:rPr>
        <w:t>18. 保险</w:t>
      </w:r>
      <w:bookmarkEnd w:id="470"/>
    </w:p>
    <w:bookmarkEnd w:id="471"/>
    <w:bookmarkEnd w:id="472"/>
    <w:bookmarkEnd w:id="473"/>
    <w:p w14:paraId="0DF0515D">
      <w:pPr>
        <w:pStyle w:val="8"/>
        <w:spacing w:before="120" w:after="120" w:line="312" w:lineRule="auto"/>
        <w:ind w:firstLine="480" w:firstLineChars="200"/>
        <w:rPr>
          <w:rFonts w:hint="eastAsia" w:ascii="宋体" w:hAnsi="宋体" w:cs="宋体"/>
          <w:b w:val="0"/>
          <w:color w:val="auto"/>
          <w:sz w:val="24"/>
          <w:szCs w:val="24"/>
        </w:rPr>
      </w:pPr>
      <w:bookmarkStart w:id="474" w:name="_Toc351203613"/>
      <w:bookmarkStart w:id="475" w:name="_Toc296346622"/>
      <w:bookmarkStart w:id="476" w:name="_Toc296503121"/>
      <w:bookmarkStart w:id="477" w:name="_Toc337558829"/>
      <w:r>
        <w:rPr>
          <w:rFonts w:hint="eastAsia" w:ascii="宋体" w:hAnsi="宋体" w:cs="宋体"/>
          <w:b w:val="0"/>
          <w:color w:val="auto"/>
          <w:sz w:val="24"/>
          <w:szCs w:val="24"/>
        </w:rPr>
        <w:t>18.1 工程保险</w:t>
      </w:r>
      <w:bookmarkEnd w:id="474"/>
    </w:p>
    <w:bookmarkEnd w:id="475"/>
    <w:bookmarkEnd w:id="476"/>
    <w:bookmarkEnd w:id="477"/>
    <w:p w14:paraId="65FB5484">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除专用合同条款另有约定外，发包人应投保建筑工程一切险或安装工程一切险；发包人委托承包人投保的，因投保产生的保险费和其他相关费用由发包人承担。</w:t>
      </w:r>
    </w:p>
    <w:p w14:paraId="363A331E">
      <w:pPr>
        <w:pStyle w:val="8"/>
        <w:spacing w:before="120" w:after="120" w:line="312" w:lineRule="auto"/>
        <w:ind w:firstLine="480" w:firstLineChars="200"/>
        <w:rPr>
          <w:rFonts w:hint="eastAsia" w:ascii="宋体" w:hAnsi="宋体" w:cs="宋体"/>
          <w:b w:val="0"/>
          <w:color w:val="auto"/>
          <w:sz w:val="24"/>
          <w:szCs w:val="24"/>
        </w:rPr>
      </w:pPr>
      <w:bookmarkStart w:id="478" w:name="_Toc351203614"/>
      <w:bookmarkStart w:id="479" w:name="_Toc296503122"/>
      <w:bookmarkStart w:id="480" w:name="_Toc337558830"/>
      <w:bookmarkStart w:id="481" w:name="_Toc296346623"/>
      <w:r>
        <w:rPr>
          <w:rFonts w:hint="eastAsia" w:ascii="宋体" w:hAnsi="宋体" w:cs="宋体"/>
          <w:b w:val="0"/>
          <w:color w:val="auto"/>
          <w:sz w:val="24"/>
          <w:szCs w:val="24"/>
        </w:rPr>
        <w:t>18.2 工伤保险</w:t>
      </w:r>
      <w:bookmarkEnd w:id="478"/>
    </w:p>
    <w:bookmarkEnd w:id="479"/>
    <w:bookmarkEnd w:id="480"/>
    <w:bookmarkEnd w:id="481"/>
    <w:p w14:paraId="4139F3F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18.2.1 发包人应依照法律规定参加工伤保险。</w:t>
      </w:r>
    </w:p>
    <w:p w14:paraId="4C576D9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18.2.2 承包人应依照法律规定参加工伤保险，并为其履行合同的全部员工办理工伤保险，缴纳工伤保险费，并要求分包人及由承包人为履行合同聘请的第三方依法参加工伤保险。</w:t>
      </w:r>
    </w:p>
    <w:p w14:paraId="4BA0CBE3">
      <w:pPr>
        <w:pStyle w:val="8"/>
        <w:spacing w:before="120" w:after="120" w:line="312" w:lineRule="auto"/>
        <w:ind w:firstLine="480" w:firstLineChars="200"/>
        <w:rPr>
          <w:rFonts w:hint="eastAsia" w:ascii="宋体" w:hAnsi="宋体" w:cs="宋体"/>
          <w:b w:val="0"/>
          <w:color w:val="auto"/>
          <w:sz w:val="24"/>
          <w:szCs w:val="24"/>
        </w:rPr>
      </w:pPr>
      <w:bookmarkStart w:id="482" w:name="_Toc351203615"/>
      <w:bookmarkStart w:id="483" w:name="_Toc296346626"/>
      <w:bookmarkStart w:id="484" w:name="_Toc296503125"/>
      <w:bookmarkStart w:id="485" w:name="_Toc337558831"/>
      <w:r>
        <w:rPr>
          <w:rFonts w:hint="eastAsia" w:ascii="宋体" w:hAnsi="宋体" w:cs="宋体"/>
          <w:b w:val="0"/>
          <w:color w:val="auto"/>
          <w:sz w:val="24"/>
          <w:szCs w:val="24"/>
        </w:rPr>
        <w:t>18.3其他保险</w:t>
      </w:r>
      <w:bookmarkEnd w:id="482"/>
    </w:p>
    <w:bookmarkEnd w:id="483"/>
    <w:bookmarkEnd w:id="484"/>
    <w:bookmarkEnd w:id="485"/>
    <w:p w14:paraId="78A43489">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发包人和承包人可以为其施工现场的全部人员办理意外伤害保险并支付保险费，包括其员工及为履行合同聘请的第三方的人员，具体事项由合同当事人在专用合同条款约定。</w:t>
      </w:r>
    </w:p>
    <w:p w14:paraId="3D6A5DDA">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除专用合同条款另有约定外，承包人应为其施工设备等办理财产保险。</w:t>
      </w:r>
    </w:p>
    <w:p w14:paraId="72948EE0">
      <w:pPr>
        <w:pStyle w:val="8"/>
        <w:spacing w:before="120" w:after="120" w:line="312" w:lineRule="auto"/>
        <w:ind w:firstLine="480" w:firstLineChars="200"/>
        <w:rPr>
          <w:rFonts w:hint="eastAsia" w:ascii="宋体" w:hAnsi="宋体" w:cs="宋体"/>
          <w:b w:val="0"/>
          <w:color w:val="auto"/>
          <w:sz w:val="24"/>
          <w:szCs w:val="24"/>
        </w:rPr>
      </w:pPr>
      <w:bookmarkStart w:id="486" w:name="_Toc351203616"/>
      <w:r>
        <w:rPr>
          <w:rFonts w:hint="eastAsia" w:ascii="宋体" w:hAnsi="宋体" w:cs="宋体"/>
          <w:b w:val="0"/>
          <w:color w:val="auto"/>
          <w:sz w:val="24"/>
          <w:szCs w:val="24"/>
        </w:rPr>
        <w:t>18.4持续保险</w:t>
      </w:r>
      <w:bookmarkEnd w:id="486"/>
    </w:p>
    <w:p w14:paraId="039C26A4">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合同当事人应与保险人保持联系，使保险人能够随时了解工程实施中的变动，并确保按保险合同条款要求持续保险。</w:t>
      </w:r>
    </w:p>
    <w:p w14:paraId="4FBBD0F6">
      <w:pPr>
        <w:pStyle w:val="8"/>
        <w:spacing w:before="120" w:after="120" w:line="312" w:lineRule="auto"/>
        <w:ind w:firstLine="480" w:firstLineChars="200"/>
        <w:rPr>
          <w:rFonts w:hint="eastAsia" w:ascii="宋体" w:hAnsi="宋体" w:cs="宋体"/>
          <w:b w:val="0"/>
          <w:color w:val="auto"/>
          <w:sz w:val="24"/>
          <w:szCs w:val="24"/>
        </w:rPr>
      </w:pPr>
      <w:bookmarkStart w:id="487" w:name="_Toc351203617"/>
      <w:bookmarkStart w:id="488" w:name="_Toc296503126"/>
      <w:bookmarkStart w:id="489" w:name="_Toc296346627"/>
      <w:bookmarkStart w:id="490" w:name="_Toc337558832"/>
      <w:r>
        <w:rPr>
          <w:rFonts w:hint="eastAsia" w:ascii="宋体" w:hAnsi="宋体" w:cs="宋体"/>
          <w:b w:val="0"/>
          <w:color w:val="auto"/>
          <w:sz w:val="24"/>
          <w:szCs w:val="24"/>
        </w:rPr>
        <w:t>18.5 保险凭证</w:t>
      </w:r>
      <w:bookmarkEnd w:id="487"/>
    </w:p>
    <w:bookmarkEnd w:id="488"/>
    <w:bookmarkEnd w:id="489"/>
    <w:bookmarkEnd w:id="490"/>
    <w:p w14:paraId="13BF3278">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合同当事人应及时向另一方当事人提交其已投保的各项保险的凭证和保险单复印件。</w:t>
      </w:r>
    </w:p>
    <w:p w14:paraId="7471FEFE">
      <w:pPr>
        <w:pStyle w:val="8"/>
        <w:spacing w:before="120" w:after="120" w:line="312" w:lineRule="auto"/>
        <w:ind w:firstLine="480" w:firstLineChars="200"/>
        <w:rPr>
          <w:rFonts w:hint="eastAsia" w:ascii="宋体" w:hAnsi="宋体" w:cs="宋体"/>
          <w:b w:val="0"/>
          <w:color w:val="auto"/>
          <w:sz w:val="24"/>
          <w:szCs w:val="24"/>
        </w:rPr>
      </w:pPr>
      <w:bookmarkStart w:id="491" w:name="_Toc351203618"/>
      <w:bookmarkStart w:id="492" w:name="_Toc296346628"/>
      <w:bookmarkStart w:id="493" w:name="_Toc337558833"/>
      <w:bookmarkStart w:id="494" w:name="_Toc296503127"/>
      <w:r>
        <w:rPr>
          <w:rFonts w:hint="eastAsia" w:ascii="宋体" w:hAnsi="宋体" w:cs="宋体"/>
          <w:b w:val="0"/>
          <w:color w:val="auto"/>
          <w:sz w:val="24"/>
          <w:szCs w:val="24"/>
        </w:rPr>
        <w:t>18.6 未按约定投保的补救</w:t>
      </w:r>
      <w:bookmarkEnd w:id="491"/>
    </w:p>
    <w:bookmarkEnd w:id="492"/>
    <w:bookmarkEnd w:id="493"/>
    <w:bookmarkEnd w:id="494"/>
    <w:p w14:paraId="56F05FC4">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18.6.1发包人未按合同约定办理保险，或未能使保险持续有效的，则承包人可代为办理，所需费用由发包人承担。发包人未按合同约定办理保险，导致未能得到足额赔偿的，由发包人负责补足。</w:t>
      </w:r>
    </w:p>
    <w:p w14:paraId="0210E773">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18.6.2承包人未按合同约定办理保险，或未能使保险持续有效的，则发包人可代为办理，所需费用由承包人承担。承包人未按合同约定办理保险，导致未能得到足额赔偿的，由承包人负责补足。</w:t>
      </w:r>
    </w:p>
    <w:p w14:paraId="631A46FC">
      <w:pPr>
        <w:pStyle w:val="8"/>
        <w:spacing w:before="120" w:after="120" w:line="312" w:lineRule="auto"/>
        <w:ind w:firstLine="480" w:firstLineChars="200"/>
        <w:rPr>
          <w:rFonts w:hint="eastAsia" w:ascii="宋体" w:hAnsi="宋体" w:cs="宋体"/>
          <w:b w:val="0"/>
          <w:color w:val="auto"/>
          <w:sz w:val="24"/>
          <w:szCs w:val="24"/>
        </w:rPr>
      </w:pPr>
      <w:bookmarkStart w:id="495" w:name="_Toc351203619"/>
      <w:bookmarkStart w:id="496" w:name="_Toc337558834"/>
      <w:r>
        <w:rPr>
          <w:rFonts w:hint="eastAsia" w:ascii="宋体" w:hAnsi="宋体" w:cs="宋体"/>
          <w:b w:val="0"/>
          <w:color w:val="auto"/>
          <w:sz w:val="24"/>
          <w:szCs w:val="24"/>
        </w:rPr>
        <w:t>18.7 通知义务</w:t>
      </w:r>
      <w:bookmarkEnd w:id="495"/>
    </w:p>
    <w:bookmarkEnd w:id="496"/>
    <w:p w14:paraId="634F44EA">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3E39D358">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保险事故发生时，投保人应按照保险合同规定的条件和期限及时向保险人报告。发包人和承包人应当在知道保险事故发生后及时通知对方。</w:t>
      </w:r>
    </w:p>
    <w:p w14:paraId="2B209368">
      <w:pPr>
        <w:pStyle w:val="7"/>
        <w:spacing w:before="120" w:after="120" w:line="312" w:lineRule="auto"/>
        <w:rPr>
          <w:rFonts w:hint="eastAsia"/>
          <w:b w:val="0"/>
          <w:color w:val="auto"/>
          <w:sz w:val="24"/>
          <w:szCs w:val="24"/>
        </w:rPr>
      </w:pPr>
      <w:bookmarkStart w:id="497" w:name="_Toc351203620"/>
      <w:bookmarkStart w:id="498" w:name="_Toc296503140"/>
      <w:bookmarkStart w:id="499" w:name="_Toc296346641"/>
      <w:bookmarkStart w:id="500" w:name="_Toc337558835"/>
      <w:r>
        <w:rPr>
          <w:rFonts w:hint="eastAsia"/>
          <w:b w:val="0"/>
          <w:color w:val="auto"/>
          <w:sz w:val="24"/>
          <w:szCs w:val="24"/>
        </w:rPr>
        <w:t>19. 索赔</w:t>
      </w:r>
      <w:bookmarkEnd w:id="497"/>
    </w:p>
    <w:bookmarkEnd w:id="498"/>
    <w:bookmarkEnd w:id="499"/>
    <w:bookmarkEnd w:id="500"/>
    <w:p w14:paraId="5E9BD800">
      <w:pPr>
        <w:pStyle w:val="8"/>
        <w:spacing w:before="120" w:after="120" w:line="312" w:lineRule="auto"/>
        <w:ind w:firstLine="480" w:firstLineChars="200"/>
        <w:rPr>
          <w:rFonts w:hint="eastAsia" w:ascii="宋体" w:hAnsi="宋体" w:cs="宋体"/>
          <w:b w:val="0"/>
          <w:color w:val="auto"/>
          <w:sz w:val="24"/>
          <w:szCs w:val="24"/>
        </w:rPr>
      </w:pPr>
      <w:bookmarkStart w:id="501" w:name="_Toc351203621"/>
      <w:bookmarkStart w:id="502" w:name="_Toc296503141"/>
      <w:bookmarkStart w:id="503" w:name="_Toc337558836"/>
      <w:bookmarkStart w:id="504" w:name="_Toc296346642"/>
      <w:r>
        <w:rPr>
          <w:rFonts w:hint="eastAsia" w:ascii="宋体" w:hAnsi="宋体" w:cs="宋体"/>
          <w:b w:val="0"/>
          <w:color w:val="auto"/>
          <w:sz w:val="24"/>
          <w:szCs w:val="24"/>
        </w:rPr>
        <w:t>19.1承包人的索赔</w:t>
      </w:r>
      <w:bookmarkEnd w:id="501"/>
    </w:p>
    <w:bookmarkEnd w:id="502"/>
    <w:bookmarkEnd w:id="503"/>
    <w:bookmarkEnd w:id="504"/>
    <w:p w14:paraId="5AF4E92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根据合同约定，承包人认为有权得到追加付款和（或）延长工期的，应按以下程序向发包人提出索赔：</w:t>
      </w:r>
    </w:p>
    <w:p w14:paraId="620436AD">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4E1DF3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（2）承包人应在发出索赔意向通知书后28天内，向监理人正式递交索赔报告；索赔报告应详细说明索赔理由以及要求追加的付款金额和（或）延长的工期，并附必要的记录和证明材料；</w:t>
      </w:r>
    </w:p>
    <w:p w14:paraId="088333C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（3）索赔事件具有持续影响的，承包人应按合理时间间隔继续递交延续索赔通知，说明持续影响的实际情况和记录，列出累计的追加付款金额和（或）工期延长天数；</w:t>
      </w:r>
    </w:p>
    <w:p w14:paraId="017FB967">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（4）在索赔事件影响结束后28天内，承包人应向监理人递交最终索赔报告，说明最终要求索赔的追加付款金额和（或）延长的工期，并附必要的记录和证明材料。</w:t>
      </w:r>
    </w:p>
    <w:p w14:paraId="641F6119">
      <w:pPr>
        <w:pStyle w:val="8"/>
        <w:spacing w:before="120" w:after="120" w:line="312" w:lineRule="auto"/>
        <w:ind w:firstLine="480" w:firstLineChars="200"/>
        <w:rPr>
          <w:rFonts w:hint="eastAsia" w:ascii="宋体" w:hAnsi="宋体" w:cs="宋体"/>
          <w:b w:val="0"/>
          <w:color w:val="auto"/>
          <w:sz w:val="24"/>
          <w:szCs w:val="24"/>
        </w:rPr>
      </w:pPr>
      <w:bookmarkStart w:id="505" w:name="_Toc351203622"/>
      <w:bookmarkStart w:id="506" w:name="_Toc296346643"/>
      <w:bookmarkStart w:id="507" w:name="_Toc296503142"/>
      <w:bookmarkStart w:id="508" w:name="_Toc337558837"/>
      <w:r>
        <w:rPr>
          <w:rFonts w:hint="eastAsia" w:ascii="宋体" w:hAnsi="宋体" w:cs="宋体"/>
          <w:b w:val="0"/>
          <w:color w:val="auto"/>
          <w:sz w:val="24"/>
          <w:szCs w:val="24"/>
        </w:rPr>
        <w:t>19.2 对承包人索赔的处理</w:t>
      </w:r>
      <w:bookmarkEnd w:id="505"/>
    </w:p>
    <w:bookmarkEnd w:id="506"/>
    <w:bookmarkEnd w:id="507"/>
    <w:bookmarkEnd w:id="508"/>
    <w:p w14:paraId="1AD41010">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对承包人索赔的处理如下：</w:t>
      </w:r>
    </w:p>
    <w:p w14:paraId="1F846423">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（1）监理人应在收到索赔报告后14天内完成审查并报送发包人。监理人对索赔报告存在异议的，有权要求承包人提交全部原始记录副本；</w:t>
      </w:r>
    </w:p>
    <w:p w14:paraId="59FFD06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（2）发包人应在监理人收到索赔报告或有关索赔的进一步证明材料后的28天内，由监理人向承包人出具经发包人签认的索赔处理结果。发包人逾期答复的，则视为认可承包人的索赔要求；</w:t>
      </w:r>
    </w:p>
    <w:p w14:paraId="3D56F6D6">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（3）承包人接受索赔处理结果的，索赔款项在当期进度款中进行支付；承包人不接受索赔处理结果的，按照第20条〔争议解决〕约定处理。</w:t>
      </w:r>
    </w:p>
    <w:p w14:paraId="2D0E3B53">
      <w:pPr>
        <w:pStyle w:val="8"/>
        <w:spacing w:before="120" w:after="120" w:line="312" w:lineRule="auto"/>
        <w:ind w:firstLine="480" w:firstLineChars="200"/>
        <w:rPr>
          <w:rFonts w:hint="eastAsia" w:ascii="宋体" w:hAnsi="宋体" w:cs="宋体"/>
          <w:b w:val="0"/>
          <w:color w:val="auto"/>
          <w:sz w:val="24"/>
          <w:szCs w:val="24"/>
        </w:rPr>
      </w:pPr>
      <w:bookmarkStart w:id="509" w:name="_Toc351203623"/>
      <w:bookmarkStart w:id="510" w:name="_Toc296346644"/>
      <w:bookmarkStart w:id="511" w:name="_Toc296503143"/>
      <w:bookmarkStart w:id="512" w:name="_Toc337558838"/>
      <w:r>
        <w:rPr>
          <w:rFonts w:hint="eastAsia" w:ascii="宋体" w:hAnsi="宋体" w:cs="宋体"/>
          <w:b w:val="0"/>
          <w:color w:val="auto"/>
          <w:sz w:val="24"/>
          <w:szCs w:val="24"/>
        </w:rPr>
        <w:t>19.3发包人的索赔</w:t>
      </w:r>
      <w:bookmarkEnd w:id="509"/>
    </w:p>
    <w:bookmarkEnd w:id="510"/>
    <w:bookmarkEnd w:id="511"/>
    <w:bookmarkEnd w:id="512"/>
    <w:p w14:paraId="283C9C5A">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根据合同约定，发包人认为有权得到赔付金额和（或）延长缺陷责任期的，监理人应向承包人发出通知并附有详细的证明。</w:t>
      </w:r>
    </w:p>
    <w:p w14:paraId="6A3E495E">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BDCEF0">
      <w:pPr>
        <w:pStyle w:val="8"/>
        <w:spacing w:before="120" w:after="120" w:line="312" w:lineRule="auto"/>
        <w:ind w:firstLine="480" w:firstLineChars="200"/>
        <w:rPr>
          <w:rFonts w:hint="eastAsia" w:ascii="宋体" w:hAnsi="宋体" w:cs="宋体"/>
          <w:b w:val="0"/>
          <w:color w:val="auto"/>
          <w:sz w:val="24"/>
          <w:szCs w:val="24"/>
        </w:rPr>
      </w:pPr>
      <w:bookmarkStart w:id="513" w:name="_Toc351203624"/>
      <w:bookmarkStart w:id="514" w:name="_Toc296346645"/>
      <w:bookmarkStart w:id="515" w:name="_Toc337558839"/>
      <w:bookmarkStart w:id="516" w:name="_Toc296503144"/>
      <w:r>
        <w:rPr>
          <w:rFonts w:hint="eastAsia" w:ascii="宋体" w:hAnsi="宋体" w:cs="宋体"/>
          <w:b w:val="0"/>
          <w:color w:val="auto"/>
          <w:sz w:val="24"/>
          <w:szCs w:val="24"/>
        </w:rPr>
        <w:t>19.4 对发包人索赔的处理</w:t>
      </w:r>
      <w:bookmarkEnd w:id="513"/>
    </w:p>
    <w:bookmarkEnd w:id="514"/>
    <w:bookmarkEnd w:id="515"/>
    <w:bookmarkEnd w:id="516"/>
    <w:p w14:paraId="7584E0FB">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对发包人索赔的处理如下：</w:t>
      </w:r>
    </w:p>
    <w:p w14:paraId="353EC45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（1）承包人收到发包人提交的索赔报告后，应及时审查索赔报告的内容、查验发包人证明材料；</w:t>
      </w:r>
    </w:p>
    <w:p w14:paraId="51F47B92">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（2）承包人应在收到索赔报告或有关索赔的进一步证明材料后28天内，将索赔处理结果答复发包人。如果承包人未在上述期限内作出答复的，则视为对发包人索赔要求的认可；</w:t>
      </w:r>
    </w:p>
    <w:p w14:paraId="65BBCEE5">
      <w:pPr>
        <w:autoSpaceDE w:val="0"/>
        <w:autoSpaceDN w:val="0"/>
        <w:adjustRightInd w:val="0"/>
        <w:spacing w:line="312"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（3）承包人接受索赔处理结果的，发包人可从应支付给承包人的合同价款中扣除赔付的金额或延长缺陷责任期；发包人不接受索赔处理结果的，按第20条〔争议解决〕约定处理。</w:t>
      </w:r>
    </w:p>
    <w:p w14:paraId="7A7F69C8">
      <w:pPr>
        <w:pStyle w:val="8"/>
        <w:spacing w:before="120" w:after="120" w:line="312" w:lineRule="auto"/>
        <w:ind w:firstLine="480" w:firstLineChars="200"/>
        <w:rPr>
          <w:rFonts w:hint="eastAsia" w:ascii="宋体" w:hAnsi="宋体" w:cs="宋体"/>
          <w:b w:val="0"/>
          <w:color w:val="auto"/>
          <w:sz w:val="24"/>
          <w:szCs w:val="24"/>
        </w:rPr>
      </w:pPr>
      <w:bookmarkStart w:id="517" w:name="_Toc351203625"/>
      <w:r>
        <w:rPr>
          <w:rFonts w:hint="eastAsia" w:ascii="宋体" w:hAnsi="宋体" w:cs="宋体"/>
          <w:b w:val="0"/>
          <w:color w:val="auto"/>
          <w:sz w:val="24"/>
          <w:szCs w:val="24"/>
        </w:rPr>
        <w:t>19.5 提出索赔的期限</w:t>
      </w:r>
      <w:bookmarkEnd w:id="517"/>
    </w:p>
    <w:p w14:paraId="6C1BC213">
      <w:pPr>
        <w:spacing w:line="312" w:lineRule="auto"/>
        <w:ind w:firstLine="480" w:firstLineChars="200"/>
        <w:rPr>
          <w:rFonts w:hint="eastAsia" w:ascii="宋体" w:hAnsi="宋体" w:cs="宋体"/>
          <w:color w:val="auto"/>
          <w:kern w:val="0"/>
          <w:sz w:val="24"/>
        </w:rPr>
      </w:pPr>
      <w:r>
        <w:rPr>
          <w:rFonts w:hint="eastAsia" w:ascii="宋体" w:hAnsi="宋体" w:cs="宋体"/>
          <w:color w:val="auto"/>
          <w:kern w:val="0"/>
          <w:sz w:val="24"/>
        </w:rPr>
        <w:t>（1）承包人按第14.2款〔竣工结算审核〕约定接收竣工付款证书后，应被视为已无权再提出在工程接收证书颁发前所发生的任何索赔。</w:t>
      </w:r>
    </w:p>
    <w:p w14:paraId="57F0B8B8">
      <w:pPr>
        <w:spacing w:line="312" w:lineRule="auto"/>
        <w:ind w:firstLine="480" w:firstLineChars="200"/>
        <w:rPr>
          <w:rFonts w:hint="eastAsia" w:ascii="宋体" w:hAnsi="宋体" w:cs="宋体"/>
          <w:color w:val="auto"/>
          <w:kern w:val="0"/>
          <w:sz w:val="24"/>
        </w:rPr>
      </w:pPr>
      <w:r>
        <w:rPr>
          <w:rFonts w:hint="eastAsia" w:ascii="宋体" w:hAnsi="宋体" w:cs="宋体"/>
          <w:color w:val="auto"/>
          <w:kern w:val="0"/>
          <w:sz w:val="24"/>
        </w:rPr>
        <w:t>（2）承包人按第14.4款〔最终结清〕提交的最终结清申请单中，只限于提出工程接收证书颁发后发生的索赔。提出索赔的期限自接受最终结清证书时终止。</w:t>
      </w:r>
    </w:p>
    <w:p w14:paraId="0534884B">
      <w:pPr>
        <w:pStyle w:val="7"/>
        <w:spacing w:before="120" w:after="120" w:line="288" w:lineRule="auto"/>
        <w:rPr>
          <w:rFonts w:hint="eastAsia"/>
          <w:b w:val="0"/>
          <w:color w:val="auto"/>
          <w:sz w:val="24"/>
          <w:szCs w:val="24"/>
        </w:rPr>
      </w:pPr>
      <w:bookmarkStart w:id="518" w:name="_Toc351203626"/>
      <w:r>
        <w:rPr>
          <w:rFonts w:hint="eastAsia"/>
          <w:b w:val="0"/>
          <w:color w:val="auto"/>
          <w:sz w:val="24"/>
          <w:szCs w:val="24"/>
        </w:rPr>
        <w:t>20</w:t>
      </w:r>
      <w:bookmarkStart w:id="519" w:name="_Toc296346647"/>
      <w:bookmarkStart w:id="520" w:name="_Toc337558840"/>
      <w:bookmarkStart w:id="521" w:name="_Toc296503146"/>
      <w:r>
        <w:rPr>
          <w:rFonts w:hint="eastAsia"/>
          <w:b w:val="0"/>
          <w:color w:val="auto"/>
          <w:sz w:val="24"/>
          <w:szCs w:val="24"/>
        </w:rPr>
        <w:t>. 争议解决</w:t>
      </w:r>
      <w:bookmarkEnd w:id="518"/>
    </w:p>
    <w:bookmarkEnd w:id="519"/>
    <w:bookmarkEnd w:id="520"/>
    <w:bookmarkEnd w:id="521"/>
    <w:p w14:paraId="70F71C3C">
      <w:pPr>
        <w:pStyle w:val="8"/>
        <w:spacing w:before="120" w:after="120" w:line="288" w:lineRule="auto"/>
        <w:ind w:firstLine="480" w:firstLineChars="200"/>
        <w:rPr>
          <w:rFonts w:hint="eastAsia" w:ascii="宋体" w:hAnsi="宋体" w:cs="宋体"/>
          <w:b w:val="0"/>
          <w:color w:val="auto"/>
          <w:sz w:val="24"/>
          <w:szCs w:val="24"/>
        </w:rPr>
      </w:pPr>
      <w:bookmarkStart w:id="522" w:name="_Toc351203627"/>
      <w:bookmarkStart w:id="523" w:name="_Toc296346648"/>
      <w:bookmarkStart w:id="524" w:name="_Toc296503147"/>
      <w:bookmarkStart w:id="525" w:name="_Toc337558841"/>
      <w:r>
        <w:rPr>
          <w:rFonts w:hint="eastAsia" w:ascii="宋体" w:hAnsi="宋体" w:cs="宋体"/>
          <w:b w:val="0"/>
          <w:color w:val="auto"/>
          <w:sz w:val="24"/>
          <w:szCs w:val="24"/>
        </w:rPr>
        <w:t>20.1和解</w:t>
      </w:r>
      <w:bookmarkEnd w:id="522"/>
    </w:p>
    <w:bookmarkEnd w:id="523"/>
    <w:bookmarkEnd w:id="524"/>
    <w:bookmarkEnd w:id="525"/>
    <w:p w14:paraId="505A2519">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合同当事人可以就争议自行和解，自行和解达成协议的经双方签字并盖章后作为合同补充文件，双方均应遵照执行。</w:t>
      </w:r>
    </w:p>
    <w:p w14:paraId="1F44CA54">
      <w:pPr>
        <w:pStyle w:val="8"/>
        <w:spacing w:before="120" w:after="120" w:line="288" w:lineRule="auto"/>
        <w:ind w:firstLine="480" w:firstLineChars="200"/>
        <w:rPr>
          <w:rFonts w:hint="eastAsia" w:ascii="宋体" w:hAnsi="宋体" w:cs="宋体"/>
          <w:b w:val="0"/>
          <w:color w:val="auto"/>
          <w:sz w:val="24"/>
          <w:szCs w:val="24"/>
        </w:rPr>
      </w:pPr>
      <w:bookmarkStart w:id="526" w:name="_Toc351203628"/>
      <w:r>
        <w:rPr>
          <w:rFonts w:hint="eastAsia" w:ascii="宋体" w:hAnsi="宋体" w:cs="宋体"/>
          <w:b w:val="0"/>
          <w:color w:val="auto"/>
          <w:sz w:val="24"/>
          <w:szCs w:val="24"/>
        </w:rPr>
        <w:t>20</w:t>
      </w:r>
      <w:bookmarkStart w:id="527" w:name="_Toc296503148"/>
      <w:bookmarkStart w:id="528" w:name="_Toc296346649"/>
      <w:bookmarkStart w:id="529" w:name="_Toc337558842"/>
      <w:r>
        <w:rPr>
          <w:rFonts w:hint="eastAsia" w:ascii="宋体" w:hAnsi="宋体" w:cs="宋体"/>
          <w:b w:val="0"/>
          <w:color w:val="auto"/>
          <w:sz w:val="24"/>
          <w:szCs w:val="24"/>
        </w:rPr>
        <w:t>.2调解</w:t>
      </w:r>
      <w:bookmarkEnd w:id="526"/>
    </w:p>
    <w:bookmarkEnd w:id="527"/>
    <w:bookmarkEnd w:id="528"/>
    <w:bookmarkEnd w:id="529"/>
    <w:p w14:paraId="15CBD776">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合同当事人可以就争议请求建设行政主管部门、行业协会或其他第三方进行调解，调解达成协议的，经双方签字并盖章后作为合同补充文件，双方均应遵照执行。</w:t>
      </w:r>
    </w:p>
    <w:p w14:paraId="66201FA9">
      <w:pPr>
        <w:pStyle w:val="8"/>
        <w:spacing w:before="120" w:after="120" w:line="288" w:lineRule="auto"/>
        <w:ind w:firstLine="480" w:firstLineChars="200"/>
        <w:rPr>
          <w:rFonts w:hint="eastAsia" w:ascii="宋体" w:hAnsi="宋体" w:cs="宋体"/>
          <w:b w:val="0"/>
          <w:color w:val="auto"/>
          <w:sz w:val="24"/>
          <w:szCs w:val="24"/>
        </w:rPr>
      </w:pPr>
      <w:bookmarkStart w:id="530" w:name="_Toc351203629"/>
      <w:bookmarkStart w:id="531" w:name="_Toc337558843"/>
      <w:bookmarkStart w:id="532" w:name="_Toc296503149"/>
      <w:bookmarkStart w:id="533" w:name="_Toc296346650"/>
      <w:r>
        <w:rPr>
          <w:rFonts w:hint="eastAsia" w:ascii="宋体" w:hAnsi="宋体" w:cs="宋体"/>
          <w:b w:val="0"/>
          <w:color w:val="auto"/>
          <w:sz w:val="24"/>
          <w:szCs w:val="24"/>
        </w:rPr>
        <w:t>20.3争议评审</w:t>
      </w:r>
      <w:bookmarkEnd w:id="530"/>
    </w:p>
    <w:bookmarkEnd w:id="531"/>
    <w:bookmarkEnd w:id="532"/>
    <w:bookmarkEnd w:id="533"/>
    <w:p w14:paraId="555D2264">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合同当事人在专用合同条款中约定采取争议评审方式解决争议以及评审规则，并按下列约定执行： </w:t>
      </w:r>
    </w:p>
    <w:p w14:paraId="49F24825">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20.3.1 争议评审小组的确定</w:t>
      </w:r>
    </w:p>
    <w:p w14:paraId="4A04FBBF">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合同当事人可以共同选择一名或三名争议评审员，组成争议评审小组。除专用合同条款另有约定外，合同当事人应当自合同签订后28天内，或者争议发生后14天内，选定争议评审员。</w:t>
      </w:r>
    </w:p>
    <w:p w14:paraId="29509AA7">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0B8F777">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除专用合同条款另有约定外，评审员报酬由发包人和承包人各承担一半。</w:t>
      </w:r>
    </w:p>
    <w:p w14:paraId="6AAC464E">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20.3.2 争议评审小组的决定</w:t>
      </w:r>
    </w:p>
    <w:p w14:paraId="614594B8">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6D65B3E">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20.3.3 争议评审小组决定的效力</w:t>
      </w:r>
    </w:p>
    <w:p w14:paraId="6ADB0004">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争议评审小组作出的书面决定经合同当事人签字确认后，对双方具有约束力，双方应遵照执行。</w:t>
      </w:r>
    </w:p>
    <w:p w14:paraId="091CFBB2">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任何一方当事人不接受争议评审小组决定或不履行争议评审小组决定的，双方可选择采用其他争议解决方式。</w:t>
      </w:r>
    </w:p>
    <w:p w14:paraId="38706563">
      <w:pPr>
        <w:pStyle w:val="8"/>
        <w:spacing w:before="120" w:after="120" w:line="288" w:lineRule="auto"/>
        <w:ind w:firstLine="480" w:firstLineChars="200"/>
        <w:rPr>
          <w:rFonts w:hint="eastAsia" w:ascii="宋体" w:hAnsi="宋体" w:cs="宋体"/>
          <w:b w:val="0"/>
          <w:color w:val="auto"/>
          <w:sz w:val="24"/>
          <w:szCs w:val="24"/>
        </w:rPr>
      </w:pPr>
      <w:bookmarkStart w:id="534" w:name="_Toc351203630"/>
      <w:bookmarkStart w:id="535" w:name="_Toc296346651"/>
      <w:bookmarkStart w:id="536" w:name="_Toc337558844"/>
      <w:bookmarkStart w:id="537" w:name="_Toc296503150"/>
      <w:r>
        <w:rPr>
          <w:rFonts w:hint="eastAsia" w:ascii="宋体" w:hAnsi="宋体" w:cs="宋体"/>
          <w:b w:val="0"/>
          <w:color w:val="auto"/>
          <w:sz w:val="24"/>
          <w:szCs w:val="24"/>
        </w:rPr>
        <w:t>20.4仲裁或诉讼</w:t>
      </w:r>
      <w:bookmarkEnd w:id="534"/>
    </w:p>
    <w:bookmarkEnd w:id="535"/>
    <w:bookmarkEnd w:id="536"/>
    <w:bookmarkEnd w:id="537"/>
    <w:p w14:paraId="6FDDDB1F">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因合同及合同有关事项产生的争议，合同当事人可以在专用合同条款中约定以下一种方式解决争议：</w:t>
      </w:r>
    </w:p>
    <w:p w14:paraId="049AB51C">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（1）向约定的仲裁委员会申请仲裁；</w:t>
      </w:r>
    </w:p>
    <w:p w14:paraId="73B2962F">
      <w:pPr>
        <w:autoSpaceDE w:val="0"/>
        <w:autoSpaceDN w:val="0"/>
        <w:adjustRightInd w:val="0"/>
        <w:spacing w:line="288"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（2）向有管辖权的人民法院起诉。</w:t>
      </w:r>
    </w:p>
    <w:p w14:paraId="38347223">
      <w:pPr>
        <w:pStyle w:val="8"/>
        <w:spacing w:before="120" w:after="120" w:line="288" w:lineRule="auto"/>
        <w:ind w:firstLine="480" w:firstLineChars="200"/>
        <w:rPr>
          <w:rFonts w:hint="eastAsia" w:ascii="宋体" w:hAnsi="宋体" w:cs="宋体"/>
          <w:b w:val="0"/>
          <w:color w:val="auto"/>
          <w:sz w:val="24"/>
          <w:szCs w:val="24"/>
        </w:rPr>
      </w:pPr>
      <w:bookmarkStart w:id="538" w:name="_Toc351203631"/>
      <w:bookmarkStart w:id="539" w:name="_Toc337558845"/>
      <w:bookmarkStart w:id="540" w:name="_Toc296346653"/>
      <w:bookmarkStart w:id="541" w:name="_Toc296503152"/>
      <w:r>
        <w:rPr>
          <w:rFonts w:hint="eastAsia" w:ascii="宋体" w:hAnsi="宋体" w:cs="宋体"/>
          <w:b w:val="0"/>
          <w:color w:val="auto"/>
          <w:sz w:val="24"/>
          <w:szCs w:val="24"/>
        </w:rPr>
        <w:t>20.5争议解决条款效力</w:t>
      </w:r>
      <w:bookmarkEnd w:id="538"/>
    </w:p>
    <w:bookmarkEnd w:id="539"/>
    <w:bookmarkEnd w:id="540"/>
    <w:bookmarkEnd w:id="541"/>
    <w:p w14:paraId="4CC6AFF5">
      <w:pPr>
        <w:autoSpaceDE w:val="0"/>
        <w:autoSpaceDN w:val="0"/>
        <w:adjustRightInd w:val="0"/>
        <w:spacing w:line="288" w:lineRule="auto"/>
        <w:ind w:firstLine="480" w:firstLineChars="200"/>
        <w:jc w:val="left"/>
        <w:rPr>
          <w:color w:val="auto"/>
        </w:rPr>
      </w:pPr>
      <w:r>
        <w:rPr>
          <w:rFonts w:hint="eastAsia" w:ascii="宋体" w:hAnsi="宋体" w:cs="宋体"/>
          <w:color w:val="auto"/>
          <w:kern w:val="0"/>
          <w:sz w:val="24"/>
        </w:rPr>
        <w:t xml:space="preserve">合同有关争议解决的条款独立存在，合同的变更、解除、终止、无效或者被撤销均不影响其效力。 </w:t>
      </w:r>
    </w:p>
    <w:p w14:paraId="2B07DF0A">
      <w:pPr>
        <w:rPr>
          <w:rFonts w:hint="eastAsia" w:ascii="宋体" w:hAnsi="宋体" w:cs="宋体"/>
          <w:color w:val="auto"/>
          <w:spacing w:val="20"/>
          <w:sz w:val="30"/>
          <w:szCs w:val="30"/>
        </w:rPr>
      </w:pPr>
      <w:r>
        <w:rPr>
          <w:rFonts w:hint="eastAsia" w:ascii="宋体" w:hAnsi="宋体" w:cs="宋体"/>
          <w:color w:val="auto"/>
          <w:spacing w:val="20"/>
          <w:sz w:val="30"/>
          <w:szCs w:val="30"/>
        </w:rPr>
        <w:br w:type="page"/>
      </w:r>
    </w:p>
    <w:p w14:paraId="009FF2BA">
      <w:pPr>
        <w:pStyle w:val="4"/>
        <w:keepNext w:val="0"/>
        <w:keepLines w:val="0"/>
        <w:spacing w:line="312" w:lineRule="auto"/>
        <w:jc w:val="center"/>
        <w:rPr>
          <w:rFonts w:hint="eastAsia" w:ascii="宋体" w:hAnsi="宋体" w:cs="宋体"/>
          <w:color w:val="auto"/>
          <w:spacing w:val="20"/>
          <w:sz w:val="30"/>
          <w:szCs w:val="30"/>
        </w:rPr>
      </w:pPr>
      <w:r>
        <w:rPr>
          <w:rFonts w:hint="eastAsia" w:ascii="宋体" w:hAnsi="宋体" w:cs="宋体"/>
          <w:color w:val="auto"/>
          <w:spacing w:val="20"/>
          <w:sz w:val="30"/>
          <w:szCs w:val="30"/>
        </w:rPr>
        <w:t>第三部分 专用合同条款</w:t>
      </w:r>
    </w:p>
    <w:p w14:paraId="7F62951B">
      <w:pPr>
        <w:rPr>
          <w:color w:val="auto"/>
        </w:rPr>
      </w:pPr>
    </w:p>
    <w:p w14:paraId="034ED0EB">
      <w:pPr>
        <w:pStyle w:val="5"/>
        <w:adjustRightInd w:val="0"/>
        <w:snapToGrid w:val="0"/>
        <w:spacing w:line="356" w:lineRule="auto"/>
        <w:ind w:firstLine="562" w:firstLineChars="200"/>
        <w:rPr>
          <w:rFonts w:hint="eastAsia" w:ascii="宋体" w:hAnsi="宋体" w:eastAsia="宋体" w:cs="宋体"/>
          <w:color w:val="auto"/>
          <w:sz w:val="28"/>
          <w:szCs w:val="44"/>
        </w:rPr>
      </w:pPr>
      <w:bookmarkStart w:id="542" w:name="_Toc351203633"/>
      <w:bookmarkStart w:id="543" w:name="_Toc14784"/>
      <w:bookmarkStart w:id="544" w:name="_Toc14791"/>
      <w:bookmarkStart w:id="545" w:name="_Toc389065258"/>
      <w:bookmarkStart w:id="546" w:name="_Toc439779031"/>
      <w:bookmarkStart w:id="547" w:name="_Toc373227692"/>
      <w:bookmarkStart w:id="548" w:name="_Toc461982826"/>
      <w:bookmarkStart w:id="549" w:name="_Toc373478339"/>
      <w:bookmarkStart w:id="550" w:name="_Toc292559866"/>
      <w:bookmarkStart w:id="551" w:name="_Toc297048342"/>
      <w:bookmarkStart w:id="552" w:name="_Toc296503156"/>
      <w:bookmarkStart w:id="553" w:name="_Toc297120456"/>
      <w:bookmarkStart w:id="554" w:name="_Toc296890984"/>
      <w:bookmarkStart w:id="555" w:name="_Toc296891196"/>
      <w:bookmarkStart w:id="556" w:name="_Toc296944495"/>
      <w:bookmarkStart w:id="557" w:name="_Toc296347155"/>
      <w:bookmarkStart w:id="558" w:name="_Toc292559361"/>
      <w:bookmarkStart w:id="559" w:name="_Toc296346657"/>
      <w:r>
        <w:rPr>
          <w:rFonts w:hint="eastAsia" w:ascii="宋体" w:hAnsi="宋体" w:eastAsia="宋体" w:cs="宋体"/>
          <w:color w:val="auto"/>
          <w:sz w:val="28"/>
          <w:szCs w:val="44"/>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14F7D456">
      <w:pPr>
        <w:pStyle w:val="6"/>
        <w:adjustRightInd w:val="0"/>
        <w:snapToGrid w:val="0"/>
        <w:spacing w:before="0" w:after="0" w:line="356" w:lineRule="auto"/>
        <w:ind w:firstLine="482" w:firstLineChars="200"/>
        <w:rPr>
          <w:rFonts w:hint="eastAsia" w:cs="宋体"/>
          <w:color w:val="auto"/>
          <w:szCs w:val="40"/>
        </w:rPr>
      </w:pPr>
      <w:bookmarkStart w:id="560" w:name="_Toc461982827"/>
      <w:bookmarkStart w:id="561" w:name="_Toc389065259"/>
      <w:bookmarkStart w:id="562" w:name="_Toc373227693"/>
      <w:bookmarkStart w:id="563" w:name="_Toc439779032"/>
      <w:bookmarkStart w:id="564" w:name="_Toc20097"/>
      <w:bookmarkStart w:id="565" w:name="_Toc16308"/>
      <w:bookmarkStart w:id="566" w:name="_Toc373478340"/>
      <w:r>
        <w:rPr>
          <w:rFonts w:hint="eastAsia" w:cs="宋体"/>
          <w:color w:val="auto"/>
          <w:szCs w:val="40"/>
        </w:rPr>
        <w:t>1.1 词语定义</w:t>
      </w:r>
      <w:bookmarkEnd w:id="560"/>
      <w:bookmarkEnd w:id="561"/>
      <w:bookmarkEnd w:id="562"/>
      <w:bookmarkEnd w:id="563"/>
      <w:bookmarkEnd w:id="564"/>
      <w:bookmarkEnd w:id="565"/>
      <w:bookmarkEnd w:id="566"/>
    </w:p>
    <w:p w14:paraId="1E8396EC">
      <w:pPr>
        <w:adjustRightInd w:val="0"/>
        <w:snapToGrid w:val="0"/>
        <w:spacing w:line="356"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1.1.1 合同</w:t>
      </w:r>
    </w:p>
    <w:p w14:paraId="3AD50106">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kern w:val="0"/>
          <w:sz w:val="24"/>
        </w:rPr>
        <w:t>1.1.1.10 其他合同文件包括：</w:t>
      </w:r>
      <w:r>
        <w:rPr>
          <w:rFonts w:hint="eastAsia" w:ascii="宋体" w:hAnsi="宋体" w:cs="宋体"/>
          <w:color w:val="auto"/>
          <w:sz w:val="24"/>
          <w:u w:val="single"/>
        </w:rPr>
        <w:t xml:space="preserve">投标（响应）文件及其附件，招标（谈判）文件（含补充通知和答疑），履约保证金缴纳证明，履约过程中双方法定代表人（或双方工地代表人）书面确认的对合同内容有实质性影响的会议纪要、签证、设计变更等资料 </w:t>
      </w:r>
      <w:r>
        <w:rPr>
          <w:rFonts w:hint="eastAsia" w:ascii="宋体" w:hAnsi="宋体" w:cs="宋体"/>
          <w:color w:val="auto"/>
          <w:sz w:val="24"/>
        </w:rPr>
        <w:t>。</w:t>
      </w:r>
    </w:p>
    <w:p w14:paraId="36E1F04C">
      <w:pPr>
        <w:adjustRightInd w:val="0"/>
        <w:snapToGrid w:val="0"/>
        <w:spacing w:line="356" w:lineRule="auto"/>
        <w:ind w:firstLine="480" w:firstLineChars="200"/>
        <w:rPr>
          <w:rFonts w:hint="eastAsia" w:ascii="宋体" w:hAnsi="宋体" w:cs="宋体"/>
          <w:color w:val="auto"/>
          <w:sz w:val="24"/>
          <w:szCs w:val="32"/>
        </w:rPr>
      </w:pPr>
      <w:bookmarkStart w:id="567" w:name="_Toc461982830"/>
      <w:bookmarkStart w:id="568" w:name="_Toc373478343"/>
      <w:bookmarkStart w:id="569" w:name="_Toc439779035"/>
      <w:bookmarkStart w:id="570" w:name="_Toc373227696"/>
      <w:bookmarkStart w:id="571" w:name="_Toc26377"/>
      <w:bookmarkStart w:id="572" w:name="_Toc389065262"/>
      <w:bookmarkStart w:id="573" w:name="_Toc25240"/>
      <w:r>
        <w:rPr>
          <w:rFonts w:hint="eastAsia" w:ascii="宋体" w:hAnsi="宋体" w:cs="宋体"/>
          <w:color w:val="auto"/>
          <w:sz w:val="24"/>
          <w:szCs w:val="32"/>
        </w:rPr>
        <w:t>1.2本合同除使用汉语外，还使用</w:t>
      </w:r>
      <w:r>
        <w:rPr>
          <w:rFonts w:hint="eastAsia" w:ascii="宋体" w:hAnsi="宋体" w:cs="宋体"/>
          <w:color w:val="auto"/>
          <w:sz w:val="24"/>
          <w:szCs w:val="32"/>
          <w:u w:val="single"/>
        </w:rPr>
        <w:t xml:space="preserve"> 无其他 </w:t>
      </w:r>
      <w:r>
        <w:rPr>
          <w:rFonts w:hint="eastAsia" w:ascii="宋体" w:hAnsi="宋体" w:cs="宋体"/>
          <w:color w:val="auto"/>
          <w:sz w:val="24"/>
          <w:szCs w:val="32"/>
        </w:rPr>
        <w:t>语言文字</w:t>
      </w:r>
    </w:p>
    <w:p w14:paraId="59EDD1E5">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1.3法律和法规</w:t>
      </w:r>
    </w:p>
    <w:p w14:paraId="2E2A8E2F">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需要明示的法律、行政法规：</w:t>
      </w:r>
      <w:r>
        <w:rPr>
          <w:rFonts w:hint="eastAsia" w:ascii="宋体" w:hAnsi="宋体" w:cs="宋体"/>
          <w:color w:val="auto"/>
          <w:sz w:val="24"/>
          <w:szCs w:val="32"/>
          <w:u w:val="single"/>
        </w:rPr>
        <w:t xml:space="preserve"> 按合同签订时国家现行法律、行政法规及工程所在地政府的有关法规和规章。</w:t>
      </w:r>
    </w:p>
    <w:p w14:paraId="6C85FA36">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1.4发包人提供标准、规范时间：</w:t>
      </w:r>
      <w:r>
        <w:rPr>
          <w:rFonts w:hint="eastAsia" w:ascii="宋体" w:hAnsi="宋体" w:cs="宋体"/>
          <w:color w:val="auto"/>
          <w:sz w:val="24"/>
          <w:szCs w:val="32"/>
          <w:u w:val="single"/>
        </w:rPr>
        <w:t xml:space="preserve"> 无 。</w:t>
      </w:r>
    </w:p>
    <w:p w14:paraId="3FB51A5F">
      <w:pPr>
        <w:pStyle w:val="6"/>
        <w:adjustRightInd w:val="0"/>
        <w:snapToGrid w:val="0"/>
        <w:spacing w:before="0" w:after="0" w:line="356" w:lineRule="auto"/>
        <w:ind w:firstLine="480" w:firstLineChars="200"/>
        <w:rPr>
          <w:rFonts w:hint="eastAsia" w:cs="宋体"/>
          <w:b w:val="0"/>
          <w:bCs w:val="0"/>
          <w:color w:val="auto"/>
          <w:szCs w:val="40"/>
        </w:rPr>
      </w:pPr>
      <w:r>
        <w:rPr>
          <w:rFonts w:hint="eastAsia" w:cs="宋体"/>
          <w:b w:val="0"/>
          <w:bCs w:val="0"/>
          <w:color w:val="auto"/>
        </w:rPr>
        <w:t>国内没有相应的标准、规范时的约定：</w:t>
      </w:r>
      <w:r>
        <w:rPr>
          <w:rFonts w:hint="eastAsia" w:cs="宋体"/>
          <w:b w:val="0"/>
          <w:bCs w:val="0"/>
          <w:color w:val="auto"/>
          <w:u w:val="single"/>
        </w:rPr>
        <w:t xml:space="preserve"> 无。</w:t>
      </w:r>
    </w:p>
    <w:p w14:paraId="56EB060C">
      <w:pPr>
        <w:pStyle w:val="6"/>
        <w:adjustRightInd w:val="0"/>
        <w:snapToGrid w:val="0"/>
        <w:spacing w:before="0" w:after="0" w:line="356" w:lineRule="auto"/>
        <w:ind w:firstLine="482" w:firstLineChars="200"/>
        <w:rPr>
          <w:rFonts w:hint="eastAsia" w:cs="宋体"/>
          <w:color w:val="auto"/>
          <w:szCs w:val="40"/>
        </w:rPr>
      </w:pPr>
      <w:r>
        <w:rPr>
          <w:rFonts w:hint="eastAsia" w:cs="宋体"/>
          <w:color w:val="auto"/>
          <w:szCs w:val="40"/>
        </w:rPr>
        <w:t>1.5合同文件的优先顺序</w:t>
      </w:r>
      <w:bookmarkEnd w:id="567"/>
      <w:bookmarkEnd w:id="568"/>
      <w:bookmarkEnd w:id="569"/>
      <w:bookmarkEnd w:id="570"/>
      <w:bookmarkEnd w:id="571"/>
      <w:bookmarkEnd w:id="572"/>
      <w:bookmarkEnd w:id="573"/>
    </w:p>
    <w:p w14:paraId="235DC9B9">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合同文件组成及优先顺序为：</w:t>
      </w:r>
    </w:p>
    <w:p w14:paraId="41A2FE97">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（1）中标（成交）通知书；</w:t>
      </w:r>
    </w:p>
    <w:p w14:paraId="4B25D5E8">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（2）投标（谈判）函及其附录；</w:t>
      </w:r>
    </w:p>
    <w:p w14:paraId="01185D59">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（3）专用合同条款及其附件；</w:t>
      </w:r>
    </w:p>
    <w:p w14:paraId="412C1706">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（4）通用合同条款；</w:t>
      </w:r>
    </w:p>
    <w:p w14:paraId="5707114C">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（5）</w:t>
      </w:r>
      <w:r>
        <w:rPr>
          <w:rFonts w:hint="eastAsia" w:ascii="宋体" w:hAnsi="宋体" w:cs="宋体"/>
          <w:color w:val="auto"/>
          <w:kern w:val="0"/>
          <w:sz w:val="24"/>
          <w:u w:val="single"/>
        </w:rPr>
        <w:t xml:space="preserve"> 技术标准和要求</w:t>
      </w:r>
      <w:r>
        <w:rPr>
          <w:rFonts w:hint="eastAsia" w:ascii="宋体" w:hAnsi="宋体" w:cs="宋体"/>
          <w:color w:val="auto"/>
          <w:kern w:val="0"/>
          <w:sz w:val="24"/>
        </w:rPr>
        <w:t>；</w:t>
      </w:r>
    </w:p>
    <w:p w14:paraId="18709C61">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（6）</w:t>
      </w:r>
      <w:r>
        <w:rPr>
          <w:rFonts w:hint="eastAsia" w:ascii="宋体" w:hAnsi="宋体" w:cs="宋体"/>
          <w:color w:val="auto"/>
          <w:kern w:val="0"/>
          <w:sz w:val="24"/>
          <w:u w:val="single"/>
        </w:rPr>
        <w:t xml:space="preserve"> 施工图纸</w:t>
      </w:r>
      <w:r>
        <w:rPr>
          <w:rFonts w:hint="eastAsia" w:ascii="宋体" w:hAnsi="宋体" w:cs="宋体"/>
          <w:color w:val="auto"/>
          <w:kern w:val="0"/>
          <w:sz w:val="24"/>
        </w:rPr>
        <w:t>；</w:t>
      </w:r>
    </w:p>
    <w:p w14:paraId="11DA8C60">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（7）</w:t>
      </w:r>
      <w:r>
        <w:rPr>
          <w:rFonts w:hint="eastAsia" w:ascii="宋体" w:hAnsi="宋体" w:cs="宋体"/>
          <w:color w:val="auto"/>
          <w:kern w:val="0"/>
          <w:sz w:val="24"/>
          <w:u w:val="single"/>
        </w:rPr>
        <w:t xml:space="preserve"> 已标价的工程量清单[投标（响应）文件]</w:t>
      </w:r>
      <w:r>
        <w:rPr>
          <w:rFonts w:hint="eastAsia" w:ascii="宋体" w:hAnsi="宋体" w:cs="宋体"/>
          <w:color w:val="auto"/>
          <w:kern w:val="0"/>
          <w:sz w:val="24"/>
        </w:rPr>
        <w:t>；</w:t>
      </w:r>
    </w:p>
    <w:p w14:paraId="6915E32F">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（8）</w:t>
      </w:r>
      <w:r>
        <w:rPr>
          <w:rFonts w:hint="eastAsia" w:ascii="宋体" w:hAnsi="宋体" w:cs="宋体"/>
          <w:color w:val="auto"/>
          <w:kern w:val="0"/>
          <w:sz w:val="24"/>
          <w:u w:val="single"/>
        </w:rPr>
        <w:t xml:space="preserve"> 其他合同文件、设计变更等文件  </w:t>
      </w:r>
      <w:r>
        <w:rPr>
          <w:rFonts w:hint="eastAsia" w:ascii="宋体" w:hAnsi="宋体" w:cs="宋体"/>
          <w:color w:val="auto"/>
          <w:kern w:val="0"/>
          <w:sz w:val="24"/>
        </w:rPr>
        <w:t>。</w:t>
      </w:r>
    </w:p>
    <w:p w14:paraId="02F3596C">
      <w:pPr>
        <w:adjustRightInd w:val="0"/>
        <w:snapToGrid w:val="0"/>
        <w:spacing w:line="356" w:lineRule="auto"/>
        <w:ind w:firstLine="480" w:firstLineChars="200"/>
        <w:rPr>
          <w:rFonts w:hint="eastAsia" w:ascii="宋体" w:hAnsi="宋体" w:cs="宋体"/>
          <w:color w:val="auto"/>
          <w:kern w:val="0"/>
          <w:sz w:val="24"/>
        </w:rPr>
      </w:pPr>
      <w:r>
        <w:rPr>
          <w:rFonts w:hint="eastAsia" w:ascii="宋体" w:hAnsi="宋体" w:cs="宋体"/>
          <w:color w:val="auto"/>
          <w:kern w:val="0"/>
          <w:sz w:val="24"/>
        </w:rPr>
        <w:t>（9）《建设工程工程量清单计价规范（GB5050-2013）》及其广西实施细则、《建设工程工程量清单计算规范（GB5854~50862-2013）》及其广西实施细则。</w:t>
      </w:r>
    </w:p>
    <w:p w14:paraId="28624B4B">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kern w:val="0"/>
          <w:sz w:val="24"/>
        </w:rPr>
        <w:t>说明：（6）、（7）、（8）填空内容分别限于技术标准和要求、图纸、已标价工程量清单或预算书、其他合同文件四者之一，其优先顺序可根据采取的不同合同方式由双方约定。</w:t>
      </w:r>
    </w:p>
    <w:p w14:paraId="3DB469B0">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1.6图纸</w:t>
      </w:r>
    </w:p>
    <w:p w14:paraId="4E0CD905">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1.6.1发包人向承包人提供图纸日期和套数：</w:t>
      </w:r>
      <w:r>
        <w:rPr>
          <w:rFonts w:hint="eastAsia" w:ascii="宋体" w:hAnsi="宋体" w:cs="宋体"/>
          <w:color w:val="auto"/>
          <w:sz w:val="24"/>
          <w:szCs w:val="32"/>
          <w:u w:val="single"/>
        </w:rPr>
        <w:t xml:space="preserve"> 签订合同起5个工作日内提供一式肆份设计图纸。</w:t>
      </w:r>
    </w:p>
    <w:p w14:paraId="3A6578F8">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1.12发包人对图纸的保密要求：</w:t>
      </w:r>
      <w:r>
        <w:rPr>
          <w:rFonts w:hint="eastAsia" w:ascii="宋体" w:hAnsi="宋体" w:cs="宋体"/>
          <w:color w:val="auto"/>
          <w:sz w:val="24"/>
          <w:szCs w:val="32"/>
          <w:u w:val="single"/>
        </w:rPr>
        <w:t>未经发包人同意，承包人不得将图纸转借给第三人。</w:t>
      </w:r>
    </w:p>
    <w:p w14:paraId="0180D17D">
      <w:pPr>
        <w:adjustRightInd w:val="0"/>
        <w:snapToGrid w:val="0"/>
        <w:spacing w:line="356" w:lineRule="auto"/>
        <w:ind w:firstLine="562" w:firstLineChars="200"/>
        <w:rPr>
          <w:rFonts w:hint="eastAsia" w:ascii="宋体" w:hAnsi="宋体" w:cs="宋体"/>
          <w:b/>
          <w:bCs/>
          <w:color w:val="auto"/>
          <w:sz w:val="28"/>
          <w:szCs w:val="36"/>
        </w:rPr>
      </w:pPr>
      <w:r>
        <w:rPr>
          <w:rFonts w:hint="eastAsia" w:ascii="宋体" w:hAnsi="宋体" w:cs="宋体"/>
          <w:b/>
          <w:bCs/>
          <w:color w:val="auto"/>
          <w:sz w:val="28"/>
          <w:szCs w:val="36"/>
        </w:rPr>
        <w:t>二、双方一般权利和义务</w:t>
      </w:r>
    </w:p>
    <w:p w14:paraId="7ABA6A2B">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2、发包人派驻的工程师</w:t>
      </w:r>
    </w:p>
    <w:p w14:paraId="47023500">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姓名：</w:t>
      </w:r>
      <w:r>
        <w:rPr>
          <w:rFonts w:hint="eastAsia" w:ascii="宋体" w:hAnsi="宋体" w:cs="宋体"/>
          <w:color w:val="auto"/>
          <w:sz w:val="24"/>
          <w:szCs w:val="32"/>
          <w:u w:val="single"/>
        </w:rPr>
        <w:t xml:space="preserve">          </w:t>
      </w:r>
      <w:r>
        <w:rPr>
          <w:rFonts w:hint="eastAsia" w:ascii="宋体" w:hAnsi="宋体" w:cs="宋体"/>
          <w:color w:val="auto"/>
          <w:sz w:val="24"/>
          <w:szCs w:val="32"/>
        </w:rPr>
        <w:t xml:space="preserve">  职位：</w:t>
      </w:r>
      <w:r>
        <w:rPr>
          <w:rFonts w:hint="eastAsia" w:ascii="宋体" w:hAnsi="宋体" w:cs="宋体"/>
          <w:color w:val="auto"/>
          <w:sz w:val="24"/>
          <w:szCs w:val="32"/>
          <w:u w:val="single"/>
        </w:rPr>
        <w:t xml:space="preserve">           </w:t>
      </w:r>
      <w:r>
        <w:rPr>
          <w:rFonts w:hint="eastAsia" w:ascii="宋体" w:hAnsi="宋体" w:cs="宋体"/>
          <w:color w:val="auto"/>
          <w:sz w:val="24"/>
          <w:szCs w:val="32"/>
        </w:rPr>
        <w:t xml:space="preserve">  电话：</w:t>
      </w:r>
      <w:r>
        <w:rPr>
          <w:rFonts w:hint="eastAsia" w:ascii="宋体" w:hAnsi="宋体" w:cs="宋体"/>
          <w:color w:val="auto"/>
          <w:sz w:val="24"/>
          <w:szCs w:val="32"/>
          <w:u w:val="single"/>
        </w:rPr>
        <w:t xml:space="preserve">          </w:t>
      </w:r>
    </w:p>
    <w:p w14:paraId="7B4ED59A">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职权：</w:t>
      </w:r>
      <w:r>
        <w:rPr>
          <w:rFonts w:hint="eastAsia" w:ascii="宋体" w:hAnsi="宋体" w:cs="宋体"/>
          <w:color w:val="auto"/>
          <w:sz w:val="24"/>
          <w:szCs w:val="32"/>
          <w:u w:val="single"/>
        </w:rPr>
        <w:t xml:space="preserve"> 负责工程施工的协调工作，负责施工工程有关验收、签证、结算、工程资料审查等工作。</w:t>
      </w:r>
    </w:p>
    <w:p w14:paraId="42689CAD">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不实行监理的，工程师的职权：</w:t>
      </w:r>
      <w:r>
        <w:rPr>
          <w:rFonts w:hint="eastAsia" w:ascii="宋体" w:hAnsi="宋体" w:cs="宋体"/>
          <w:color w:val="auto"/>
          <w:sz w:val="24"/>
          <w:szCs w:val="32"/>
          <w:u w:val="single"/>
        </w:rPr>
        <w:t xml:space="preserve">  无 </w:t>
      </w:r>
      <w:r>
        <w:rPr>
          <w:rFonts w:hint="eastAsia" w:ascii="宋体" w:hAnsi="宋体" w:cs="宋体"/>
          <w:color w:val="auto"/>
          <w:sz w:val="24"/>
          <w:szCs w:val="32"/>
        </w:rPr>
        <w:t xml:space="preserve"> 。</w:t>
      </w:r>
    </w:p>
    <w:p w14:paraId="097C3C38">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2.4发包人工作</w:t>
      </w:r>
    </w:p>
    <w:p w14:paraId="1703048C">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发包人应按约定的时间和要求完成以下工作：</w:t>
      </w:r>
    </w:p>
    <w:p w14:paraId="41C12653">
      <w:pPr>
        <w:numPr>
          <w:ilvl w:val="0"/>
          <w:numId w:val="6"/>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施工场地具备施工条件的要求及完成的时间：</w:t>
      </w:r>
      <w:r>
        <w:rPr>
          <w:rFonts w:hint="eastAsia" w:ascii="宋体" w:hAnsi="宋体" w:cs="宋体"/>
          <w:color w:val="auto"/>
          <w:sz w:val="24"/>
          <w:szCs w:val="32"/>
          <w:u w:val="single"/>
        </w:rPr>
        <w:t xml:space="preserve"> 开工前7日，发包人移交施工工地等工作。</w:t>
      </w:r>
    </w:p>
    <w:p w14:paraId="37C3E978">
      <w:pPr>
        <w:numPr>
          <w:ilvl w:val="0"/>
          <w:numId w:val="6"/>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将施工所需的水、电、电讯线路接至施工场地的时间、地点和供应要求：</w:t>
      </w:r>
      <w:r>
        <w:rPr>
          <w:rFonts w:hint="eastAsia" w:ascii="宋体" w:hAnsi="宋体" w:cs="宋体"/>
          <w:color w:val="auto"/>
          <w:sz w:val="24"/>
          <w:szCs w:val="32"/>
          <w:u w:val="single"/>
        </w:rPr>
        <w:t>协调提供水、电接口；电讯线路由承包人自行处理。水、电、通讯费用由承包人支付。</w:t>
      </w:r>
    </w:p>
    <w:p w14:paraId="16203684">
      <w:pPr>
        <w:numPr>
          <w:ilvl w:val="0"/>
          <w:numId w:val="6"/>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施工场地与公共道路的通道开通时间和要求：</w:t>
      </w:r>
      <w:r>
        <w:rPr>
          <w:rFonts w:hint="eastAsia" w:ascii="宋体" w:hAnsi="宋体" w:cs="宋体"/>
          <w:color w:val="auto"/>
          <w:sz w:val="24"/>
          <w:szCs w:val="32"/>
          <w:u w:val="single"/>
        </w:rPr>
        <w:t xml:space="preserve"> 开工前7天做到施工现场周围道路畅通，并满足施工运输需要。</w:t>
      </w:r>
    </w:p>
    <w:p w14:paraId="07611B62">
      <w:pPr>
        <w:numPr>
          <w:ilvl w:val="0"/>
          <w:numId w:val="6"/>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工程地质和地下管线资料的提供时间：</w:t>
      </w:r>
      <w:r>
        <w:rPr>
          <w:rFonts w:hint="eastAsia" w:ascii="宋体" w:hAnsi="宋体" w:cs="宋体"/>
          <w:color w:val="auto"/>
          <w:sz w:val="24"/>
          <w:szCs w:val="32"/>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rPr>
        <w:t>。</w:t>
      </w:r>
    </w:p>
    <w:p w14:paraId="017FF889">
      <w:pPr>
        <w:numPr>
          <w:ilvl w:val="0"/>
          <w:numId w:val="6"/>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由发包人办理的施工所需证件、批件的名称和完成时间：</w:t>
      </w:r>
      <w:r>
        <w:rPr>
          <w:rFonts w:hint="eastAsia" w:ascii="宋体" w:hAnsi="宋体" w:cs="宋体"/>
          <w:color w:val="auto"/>
          <w:sz w:val="24"/>
          <w:szCs w:val="32"/>
          <w:u w:val="single"/>
        </w:rPr>
        <w:t>开工7日前负责协调办理好施工许可证和临时用地证等开工所需的全部证件和批件。</w:t>
      </w:r>
    </w:p>
    <w:p w14:paraId="69262F5F">
      <w:pPr>
        <w:numPr>
          <w:ilvl w:val="0"/>
          <w:numId w:val="6"/>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水准点与坐标控制点交验要求：</w:t>
      </w:r>
      <w:r>
        <w:rPr>
          <w:rFonts w:hint="eastAsia" w:ascii="宋体" w:hAnsi="宋体" w:cs="宋体"/>
          <w:color w:val="auto"/>
          <w:sz w:val="24"/>
          <w:szCs w:val="32"/>
          <w:u w:val="single"/>
        </w:rPr>
        <w:t xml:space="preserve"> 发包人在开工前以书面形式交给承包人，并双方在现场进行交验。</w:t>
      </w:r>
    </w:p>
    <w:p w14:paraId="5E8D4959">
      <w:pPr>
        <w:numPr>
          <w:ilvl w:val="0"/>
          <w:numId w:val="6"/>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图纸会审和设计交底时间：</w:t>
      </w:r>
      <w:r>
        <w:rPr>
          <w:rFonts w:hint="eastAsia" w:ascii="宋体" w:hAnsi="宋体" w:cs="宋体"/>
          <w:color w:val="auto"/>
          <w:sz w:val="24"/>
          <w:szCs w:val="32"/>
          <w:u w:val="single"/>
        </w:rPr>
        <w:t>开工前7天，组织承包人、设计、地质勘探、监理等相关单位进行图纸会审和设计交底。</w:t>
      </w:r>
    </w:p>
    <w:p w14:paraId="3F2EE1BB">
      <w:pPr>
        <w:numPr>
          <w:ilvl w:val="0"/>
          <w:numId w:val="6"/>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协调处理施工场地周围地下管线和邻近建筑物、构筑物（含文物保护建筑）、古树名木的保护工作：</w:t>
      </w:r>
      <w:r>
        <w:rPr>
          <w:rFonts w:hint="eastAsia" w:ascii="宋体" w:hAnsi="宋体" w:cs="宋体"/>
          <w:color w:val="auto"/>
          <w:sz w:val="24"/>
          <w:szCs w:val="32"/>
          <w:u w:val="single"/>
        </w:rPr>
        <w:t>由发包人负责协调，承包人负责保护，费用由发包人承担。</w:t>
      </w:r>
    </w:p>
    <w:p w14:paraId="067EFA93">
      <w:pPr>
        <w:numPr>
          <w:ilvl w:val="0"/>
          <w:numId w:val="6"/>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 xml:space="preserve">双方约定发包人应做的其他工作： </w:t>
      </w:r>
      <w:r>
        <w:rPr>
          <w:rFonts w:hint="eastAsia" w:ascii="宋体" w:hAnsi="宋体" w:cs="宋体"/>
          <w:color w:val="auto"/>
          <w:sz w:val="24"/>
          <w:szCs w:val="32"/>
          <w:u w:val="single"/>
        </w:rPr>
        <w:t>无 。</w:t>
      </w:r>
    </w:p>
    <w:p w14:paraId="16193476">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发包人委托承包人办理的工作：</w:t>
      </w:r>
      <w:r>
        <w:rPr>
          <w:rFonts w:hint="eastAsia" w:ascii="宋体" w:hAnsi="宋体" w:cs="宋体"/>
          <w:color w:val="auto"/>
          <w:sz w:val="24"/>
          <w:szCs w:val="32"/>
          <w:u w:val="single"/>
        </w:rPr>
        <w:t xml:space="preserve"> 无 。</w:t>
      </w:r>
    </w:p>
    <w:p w14:paraId="107A1655">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2.5担保</w:t>
      </w:r>
    </w:p>
    <w:p w14:paraId="230358BC">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本工程双方约定担保内容如下：</w:t>
      </w:r>
    </w:p>
    <w:p w14:paraId="4E46CF64">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（1）发包人向承包人提供支付担保，担保方式为：</w:t>
      </w:r>
      <w:r>
        <w:rPr>
          <w:rFonts w:hint="eastAsia" w:ascii="宋体" w:hAnsi="宋体" w:cs="宋体"/>
          <w:color w:val="auto"/>
          <w:sz w:val="24"/>
          <w:u w:val="single"/>
        </w:rPr>
        <w:t xml:space="preserve"> 无 。</w:t>
      </w:r>
    </w:p>
    <w:p w14:paraId="63DE7EE9">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（2）承包人向发包人提供履约担保，担保方式为：</w:t>
      </w:r>
      <w:r>
        <w:rPr>
          <w:rFonts w:hint="eastAsia" w:ascii="宋体" w:hAnsi="宋体" w:cs="宋体"/>
          <w:color w:val="auto"/>
          <w:sz w:val="24"/>
          <w:u w:val="single"/>
        </w:rPr>
        <w:t xml:space="preserve"> 在签订合同时向财政部门交中标价2%履约保证金。履约保证金提交方式：银行转账、支票、汇票、本票或者银行、保险机构出具的保函、保险单等非现金方式，审计结算后无息返回。</w:t>
      </w:r>
    </w:p>
    <w:p w14:paraId="315B0D36">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（3）如投标人提供虚假材料造成流标、废标的，扣除投标保证金，提交了履约保证金的一并扣除，造成其他损失的由投标人承担。</w:t>
      </w:r>
    </w:p>
    <w:p w14:paraId="682F2917">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3、承包人</w:t>
      </w:r>
    </w:p>
    <w:p w14:paraId="0FBB7D34">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项目经理</w:t>
      </w:r>
    </w:p>
    <w:p w14:paraId="56D4502F">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姓名：</w:t>
      </w:r>
      <w:r>
        <w:rPr>
          <w:rFonts w:hint="eastAsia" w:ascii="宋体" w:hAnsi="宋体" w:cs="宋体"/>
          <w:color w:val="auto"/>
          <w:sz w:val="24"/>
          <w:szCs w:val="32"/>
          <w:u w:val="single"/>
        </w:rPr>
        <w:t xml:space="preserve">              </w:t>
      </w:r>
      <w:r>
        <w:rPr>
          <w:rFonts w:hint="eastAsia" w:ascii="宋体" w:hAnsi="宋体" w:cs="宋体"/>
          <w:color w:val="auto"/>
          <w:sz w:val="24"/>
          <w:szCs w:val="32"/>
        </w:rPr>
        <w:t xml:space="preserve">    职务： </w:t>
      </w:r>
      <w:r>
        <w:rPr>
          <w:rFonts w:hint="eastAsia" w:ascii="宋体" w:hAnsi="宋体" w:cs="宋体"/>
          <w:color w:val="auto"/>
          <w:sz w:val="24"/>
          <w:szCs w:val="32"/>
          <w:u w:val="single"/>
        </w:rPr>
        <w:t xml:space="preserve">  项目经理    </w:t>
      </w:r>
    </w:p>
    <w:p w14:paraId="76658F25">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3.1承包人工作</w:t>
      </w:r>
    </w:p>
    <w:p w14:paraId="30FCF124">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承包人应按约定时间和要求，完成以下工作：</w:t>
      </w:r>
    </w:p>
    <w:p w14:paraId="6D74023F">
      <w:pPr>
        <w:numPr>
          <w:ilvl w:val="0"/>
          <w:numId w:val="7"/>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需由设计资质等级和业务范围允许的承包人完成的设计文件提交时间：</w:t>
      </w:r>
      <w:r>
        <w:rPr>
          <w:rFonts w:hint="eastAsia" w:ascii="宋体" w:hAnsi="宋体" w:cs="宋体"/>
          <w:color w:val="auto"/>
          <w:sz w:val="24"/>
          <w:szCs w:val="32"/>
          <w:u w:val="single"/>
        </w:rPr>
        <w:t xml:space="preserve"> 无。</w:t>
      </w:r>
    </w:p>
    <w:p w14:paraId="645E47D5">
      <w:pPr>
        <w:numPr>
          <w:ilvl w:val="0"/>
          <w:numId w:val="7"/>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应提供计划、报表的名称及完成时间：</w:t>
      </w:r>
      <w:r>
        <w:rPr>
          <w:rFonts w:hint="eastAsia" w:ascii="宋体" w:hAnsi="宋体" w:cs="宋体"/>
          <w:color w:val="auto"/>
          <w:sz w:val="24"/>
          <w:szCs w:val="32"/>
          <w:u w:val="single"/>
        </w:rPr>
        <w:t>每月25日提供当月完成工程量报表、次月计划完成工程量报表各两份。</w:t>
      </w:r>
    </w:p>
    <w:p w14:paraId="508753D9">
      <w:pPr>
        <w:numPr>
          <w:ilvl w:val="0"/>
          <w:numId w:val="7"/>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承担施工安全保卫工作及非夜间施工照明的责任和要求：</w:t>
      </w:r>
      <w:r>
        <w:rPr>
          <w:rFonts w:hint="eastAsia" w:ascii="宋体" w:hAnsi="宋体" w:cs="宋体"/>
          <w:color w:val="auto"/>
          <w:sz w:val="24"/>
          <w:szCs w:val="32"/>
          <w:u w:val="single"/>
        </w:rPr>
        <w:t>提供和维修非夜间施工使用的照明、围栏设施，并负责安全保卫。</w:t>
      </w:r>
    </w:p>
    <w:p w14:paraId="171FF778">
      <w:pPr>
        <w:numPr>
          <w:ilvl w:val="0"/>
          <w:numId w:val="7"/>
        </w:num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已完工程品保护的特殊要求及费用承担：</w:t>
      </w:r>
      <w:r>
        <w:rPr>
          <w:rFonts w:hint="eastAsia" w:ascii="宋体" w:hAnsi="宋体" w:cs="宋体"/>
          <w:color w:val="auto"/>
          <w:sz w:val="24"/>
          <w:szCs w:val="32"/>
          <w:u w:val="single"/>
        </w:rPr>
        <w:t>在竣工验收移交全部工程前，由承包人负责采取保护措施，并承担费用。</w:t>
      </w:r>
    </w:p>
    <w:p w14:paraId="02300C15">
      <w:pPr>
        <w:numPr>
          <w:ilvl w:val="0"/>
          <w:numId w:val="7"/>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施工场地设置地下管线和邻近建筑物、构筑物（含文物保护建筑）、古树名木的保护要求及费用承担：</w:t>
      </w:r>
      <w:r>
        <w:rPr>
          <w:rFonts w:hint="eastAsia" w:ascii="宋体" w:hAnsi="宋体" w:cs="宋体"/>
          <w:color w:val="auto"/>
          <w:sz w:val="24"/>
          <w:szCs w:val="32"/>
          <w:u w:val="single"/>
        </w:rPr>
        <w:t>由发包人负责协调，相关费用由发包人承担，承包人负责保护，施工时如因承包人原因损坏地下管线，邻近建筑物、构筑物，所发生的费用由承包人负责承担。</w:t>
      </w:r>
    </w:p>
    <w:p w14:paraId="71BB91EE">
      <w:pPr>
        <w:numPr>
          <w:ilvl w:val="0"/>
          <w:numId w:val="7"/>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施工场地清洁卫生的要求：</w:t>
      </w:r>
      <w:r>
        <w:rPr>
          <w:rFonts w:hint="eastAsia" w:ascii="宋体" w:hAnsi="宋体" w:cs="宋体"/>
          <w:color w:val="auto"/>
          <w:sz w:val="24"/>
          <w:szCs w:val="32"/>
          <w:u w:val="single"/>
        </w:rPr>
        <w:t>承包人保证施工场地清洁符合环境卫生管理的有关规定，交工前清理现场做到工完场清，并承担因自身原因违反有关规定造成损失和罚款。</w:t>
      </w:r>
    </w:p>
    <w:p w14:paraId="15B9DA3F">
      <w:pPr>
        <w:pStyle w:val="16"/>
        <w:spacing w:after="0" w:line="356" w:lineRule="auto"/>
        <w:ind w:left="0" w:leftChars="0" w:firstLine="480" w:firstLineChars="200"/>
        <w:rPr>
          <w:rFonts w:hint="eastAsia" w:ascii="宋体" w:hAnsi="宋体" w:cs="宋体"/>
          <w:color w:val="auto"/>
          <w:sz w:val="24"/>
          <w:szCs w:val="32"/>
          <w:u w:val="single"/>
        </w:rPr>
      </w:pPr>
      <w:r>
        <w:rPr>
          <w:rFonts w:hint="eastAsia" w:ascii="宋体" w:hAnsi="宋体" w:cs="宋体"/>
          <w:color w:val="auto"/>
          <w:sz w:val="24"/>
          <w:szCs w:val="32"/>
        </w:rPr>
        <w:t>双方约定承包人应做的其他工作：</w:t>
      </w:r>
      <w:r>
        <w:rPr>
          <w:rFonts w:hint="eastAsia" w:ascii="宋体" w:hAnsi="宋体" w:cs="宋体"/>
          <w:color w:val="auto"/>
          <w:sz w:val="24"/>
          <w:szCs w:val="32"/>
          <w:u w:val="single"/>
        </w:rPr>
        <w:t>无。</w:t>
      </w:r>
    </w:p>
    <w:p w14:paraId="2E3B51D5">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3.5工程分包</w:t>
      </w:r>
    </w:p>
    <w:p w14:paraId="655E0DFE">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3.5.2本工程发包人同意承包人分包的工程：</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64A93BC5">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分包施工单位为</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40F8EDF7">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4.1监理单位：</w:t>
      </w:r>
      <w:r>
        <w:rPr>
          <w:rFonts w:hint="eastAsia" w:ascii="宋体" w:hAnsi="宋体" w:cs="宋体"/>
          <w:color w:val="auto"/>
          <w:sz w:val="24"/>
          <w:szCs w:val="32"/>
          <w:u w:val="single"/>
        </w:rPr>
        <w:t xml:space="preserve">                 </w:t>
      </w:r>
    </w:p>
    <w:p w14:paraId="6504382A">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委派的工程师姓名：</w:t>
      </w:r>
      <w:r>
        <w:rPr>
          <w:rFonts w:hint="eastAsia" w:ascii="宋体" w:hAnsi="宋体" w:cs="宋体"/>
          <w:color w:val="auto"/>
          <w:sz w:val="24"/>
          <w:szCs w:val="32"/>
          <w:u w:val="single"/>
        </w:rPr>
        <w:t xml:space="preserve">        </w:t>
      </w:r>
      <w:r>
        <w:rPr>
          <w:rFonts w:hint="eastAsia" w:ascii="宋体" w:hAnsi="宋体" w:cs="宋体"/>
          <w:color w:val="auto"/>
          <w:sz w:val="24"/>
          <w:szCs w:val="32"/>
        </w:rPr>
        <w:t xml:space="preserve"> 职务：</w:t>
      </w:r>
      <w:r>
        <w:rPr>
          <w:rFonts w:hint="eastAsia" w:ascii="宋体" w:hAnsi="宋体" w:cs="宋体"/>
          <w:color w:val="auto"/>
          <w:sz w:val="24"/>
          <w:szCs w:val="32"/>
          <w:u w:val="single"/>
        </w:rPr>
        <w:t xml:space="preserve">       </w:t>
      </w:r>
      <w:r>
        <w:rPr>
          <w:rFonts w:hint="eastAsia" w:ascii="宋体" w:hAnsi="宋体" w:cs="宋体"/>
          <w:color w:val="auto"/>
          <w:sz w:val="24"/>
          <w:szCs w:val="32"/>
        </w:rPr>
        <w:t xml:space="preserve"> 电话：</w:t>
      </w:r>
      <w:r>
        <w:rPr>
          <w:rFonts w:hint="eastAsia" w:ascii="宋体" w:hAnsi="宋体" w:cs="宋体"/>
          <w:color w:val="auto"/>
          <w:sz w:val="24"/>
          <w:szCs w:val="32"/>
          <w:u w:val="single"/>
        </w:rPr>
        <w:t xml:space="preserve">       </w:t>
      </w:r>
    </w:p>
    <w:p w14:paraId="7DAF703A">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发包人委托的职权：</w:t>
      </w:r>
      <w:r>
        <w:rPr>
          <w:rFonts w:hint="eastAsia" w:ascii="宋体" w:hAnsi="宋体" w:cs="宋体"/>
          <w:color w:val="auto"/>
          <w:sz w:val="24"/>
          <w:szCs w:val="32"/>
          <w:u w:val="single"/>
        </w:rPr>
        <w:t xml:space="preserve"> 按本工程委托监理合同 </w:t>
      </w:r>
    </w:p>
    <w:p w14:paraId="2883CE0B">
      <w:pPr>
        <w:pStyle w:val="16"/>
        <w:spacing w:after="0" w:line="356" w:lineRule="auto"/>
        <w:ind w:left="0" w:leftChars="0" w:firstLine="480" w:firstLineChars="200"/>
        <w:rPr>
          <w:rFonts w:hint="eastAsia" w:ascii="宋体" w:hAnsi="宋体" w:cs="宋体"/>
          <w:color w:val="auto"/>
          <w:sz w:val="24"/>
          <w:szCs w:val="32"/>
          <w:u w:val="single"/>
        </w:rPr>
      </w:pPr>
      <w:r>
        <w:rPr>
          <w:rFonts w:hint="eastAsia" w:ascii="宋体" w:hAnsi="宋体" w:cs="宋体"/>
          <w:color w:val="auto"/>
          <w:sz w:val="24"/>
          <w:szCs w:val="32"/>
        </w:rPr>
        <w:t>需要取得发包人批准才能行使的职权：</w:t>
      </w:r>
      <w:r>
        <w:rPr>
          <w:rFonts w:hint="eastAsia" w:ascii="宋体" w:hAnsi="宋体" w:cs="宋体"/>
          <w:color w:val="auto"/>
          <w:sz w:val="24"/>
          <w:szCs w:val="32"/>
          <w:u w:val="single"/>
        </w:rPr>
        <w:t xml:space="preserve">  按本合同委托监理合同 。</w:t>
      </w:r>
    </w:p>
    <w:p w14:paraId="6A1C010B">
      <w:pPr>
        <w:pStyle w:val="16"/>
        <w:spacing w:after="0" w:line="356" w:lineRule="auto"/>
        <w:ind w:left="0" w:leftChars="0" w:firstLine="562" w:firstLineChars="200"/>
        <w:rPr>
          <w:rFonts w:hint="eastAsia" w:ascii="宋体" w:hAnsi="宋体" w:cs="宋体"/>
          <w:b/>
          <w:bCs/>
          <w:color w:val="auto"/>
          <w:sz w:val="28"/>
          <w:szCs w:val="36"/>
        </w:rPr>
      </w:pPr>
      <w:r>
        <w:rPr>
          <w:rFonts w:hint="eastAsia" w:ascii="宋体" w:hAnsi="宋体" w:cs="宋体"/>
          <w:b/>
          <w:bCs/>
          <w:color w:val="auto"/>
          <w:sz w:val="28"/>
          <w:szCs w:val="36"/>
        </w:rPr>
        <w:t>三、施工组织设计个工期</w:t>
      </w:r>
    </w:p>
    <w:p w14:paraId="65F9345C">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7、进度计划</w:t>
      </w:r>
    </w:p>
    <w:p w14:paraId="177AE48B">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7.1.2承包人提供施工组织设计（施工方案）和进度计划的时间：</w:t>
      </w:r>
      <w:r>
        <w:rPr>
          <w:rFonts w:hint="eastAsia" w:ascii="宋体" w:hAnsi="宋体" w:cs="宋体"/>
          <w:color w:val="auto"/>
          <w:sz w:val="24"/>
          <w:szCs w:val="32"/>
          <w:u w:val="single"/>
        </w:rPr>
        <w:t>合同签订之日起15日内，并全面动工建设。</w:t>
      </w:r>
    </w:p>
    <w:p w14:paraId="742A0A90">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工程师确认的时间：</w:t>
      </w:r>
      <w:r>
        <w:rPr>
          <w:rFonts w:hint="eastAsia" w:ascii="宋体" w:hAnsi="宋体" w:cs="宋体"/>
          <w:color w:val="auto"/>
          <w:sz w:val="24"/>
          <w:szCs w:val="32"/>
          <w:u w:val="single"/>
        </w:rPr>
        <w:t>于收到之日起5日内批复。</w:t>
      </w:r>
    </w:p>
    <w:p w14:paraId="33436090">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群体工程中有关进度计划的要求：</w:t>
      </w:r>
      <w:r>
        <w:rPr>
          <w:rFonts w:hint="eastAsia" w:ascii="宋体" w:hAnsi="宋体" w:cs="宋体"/>
          <w:color w:val="auto"/>
          <w:sz w:val="24"/>
          <w:szCs w:val="32"/>
          <w:u w:val="single"/>
        </w:rPr>
        <w:t>按投标（响应）文件计划。</w:t>
      </w:r>
    </w:p>
    <w:p w14:paraId="35085C6B">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7.5工期延误</w:t>
      </w:r>
    </w:p>
    <w:p w14:paraId="1625A9BA">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7.5.1双方约定工期顺延的其他情况：</w:t>
      </w:r>
      <w:r>
        <w:rPr>
          <w:rFonts w:hint="eastAsia" w:ascii="宋体" w:hAnsi="宋体" w:cs="宋体"/>
          <w:color w:val="auto"/>
          <w:sz w:val="24"/>
          <w:szCs w:val="32"/>
          <w:u w:val="single"/>
        </w:rPr>
        <w:t>因工程行政主管部门指令性（除因施工方责任外）停工；发包人不能按时支付工程进度款给承包人；非承包人责任而造成的工期延误及发包人同意顺延工期的其他情况。</w:t>
      </w:r>
    </w:p>
    <w:p w14:paraId="06BCDAD0">
      <w:pPr>
        <w:pStyle w:val="5"/>
        <w:adjustRightInd w:val="0"/>
        <w:snapToGrid w:val="0"/>
        <w:spacing w:line="356" w:lineRule="auto"/>
        <w:ind w:firstLine="562"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四、材料设备供应</w:t>
      </w:r>
    </w:p>
    <w:p w14:paraId="403D20A4">
      <w:pPr>
        <w:pStyle w:val="5"/>
        <w:adjustRightInd w:val="0"/>
        <w:snapToGrid w:val="0"/>
        <w:spacing w:line="356"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8.1发包人供应材料设备：</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4"/>
          <w:szCs w:val="24"/>
          <w:u w:val="single"/>
        </w:rPr>
        <w:t xml:space="preserve"> 无  </w:t>
      </w:r>
      <w:r>
        <w:rPr>
          <w:rFonts w:hint="eastAsia" w:ascii="宋体" w:hAnsi="宋体" w:eastAsia="宋体" w:cs="宋体"/>
          <w:b w:val="0"/>
          <w:bCs w:val="0"/>
          <w:color w:val="auto"/>
          <w:sz w:val="24"/>
          <w:szCs w:val="24"/>
        </w:rPr>
        <w:t xml:space="preserve"> 。</w:t>
      </w:r>
    </w:p>
    <w:p w14:paraId="1FC30318">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8.3.1发包人供应的材料设备与一览表不符时，双方约定发包人承担责任如下：</w:t>
      </w:r>
    </w:p>
    <w:p w14:paraId="395EBD8E">
      <w:pPr>
        <w:numPr>
          <w:ilvl w:val="0"/>
          <w:numId w:val="8"/>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材料设备单价与一览表不符：</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2C0307E1">
      <w:pPr>
        <w:numPr>
          <w:ilvl w:val="0"/>
          <w:numId w:val="8"/>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材料设备的品种、规格、型号、质量等级与一览表不符：</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44D33131">
      <w:pPr>
        <w:numPr>
          <w:ilvl w:val="0"/>
          <w:numId w:val="8"/>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kern w:val="0"/>
          <w:sz w:val="24"/>
        </w:rPr>
        <w:t>承包人可代为调剂串换的材料：</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0E96A7F2">
      <w:pPr>
        <w:numPr>
          <w:ilvl w:val="0"/>
          <w:numId w:val="8"/>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到货地点与一览表不符：</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7473AFC9">
      <w:pPr>
        <w:numPr>
          <w:ilvl w:val="0"/>
          <w:numId w:val="8"/>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供应数量与一览表不符：</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041DE1DA">
      <w:pPr>
        <w:numPr>
          <w:ilvl w:val="0"/>
          <w:numId w:val="8"/>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到货时间与一览表不符：</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5CEAEABA">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发包人供应材料设备的</w:t>
      </w:r>
      <w:r>
        <w:rPr>
          <w:rFonts w:hint="eastAsia" w:ascii="宋体" w:hAnsi="宋体" w:cs="宋体"/>
          <w:bCs/>
          <w:color w:val="auto"/>
          <w:sz w:val="24"/>
        </w:rPr>
        <w:t>结算方法：</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4038B8AD">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8.2</w:t>
      </w:r>
      <w:r>
        <w:rPr>
          <w:rFonts w:hint="eastAsia" w:ascii="宋体" w:hAnsi="宋体" w:cs="宋体"/>
          <w:color w:val="auto"/>
          <w:kern w:val="0"/>
          <w:sz w:val="24"/>
        </w:rPr>
        <w:t>承包人采购</w:t>
      </w:r>
      <w:r>
        <w:rPr>
          <w:rFonts w:hint="eastAsia" w:ascii="宋体" w:hAnsi="宋体" w:cs="宋体"/>
          <w:color w:val="auto"/>
          <w:sz w:val="24"/>
        </w:rPr>
        <w:t>材料设备</w:t>
      </w:r>
    </w:p>
    <w:p w14:paraId="1FCE5D5A">
      <w:pPr>
        <w:adjustRightInd w:val="0"/>
        <w:snapToGrid w:val="0"/>
        <w:spacing w:line="356" w:lineRule="auto"/>
        <w:ind w:firstLine="480" w:firstLineChars="200"/>
        <w:rPr>
          <w:rFonts w:hint="eastAsia" w:ascii="宋体" w:hAnsi="宋体" w:cs="宋体"/>
          <w:color w:val="auto"/>
        </w:rPr>
      </w:pPr>
      <w:r>
        <w:rPr>
          <w:rFonts w:hint="eastAsia" w:ascii="宋体" w:hAnsi="宋体" w:cs="宋体"/>
          <w:color w:val="auto"/>
          <w:kern w:val="0"/>
          <w:sz w:val="24"/>
        </w:rPr>
        <w:t>承包人采购</w:t>
      </w:r>
      <w:r>
        <w:rPr>
          <w:rFonts w:hint="eastAsia" w:ascii="宋体" w:hAnsi="宋体" w:cs="宋体"/>
          <w:color w:val="auto"/>
          <w:sz w:val="24"/>
        </w:rPr>
        <w:t>材料设备的约定：</w:t>
      </w:r>
      <w:r>
        <w:rPr>
          <w:rFonts w:hint="eastAsia" w:ascii="宋体" w:hAnsi="宋体" w:cs="宋体"/>
          <w:color w:val="auto"/>
          <w:sz w:val="24"/>
          <w:u w:val="single"/>
        </w:rPr>
        <w:t xml:space="preserve">本合同工程实行承包人包工包料方式，由承包人自购。所购材料必须有产品合格证，试验或检验报告，并由监理工程师和发包人工地代表验证后才能进场及投入施工。  </w:t>
      </w:r>
    </w:p>
    <w:p w14:paraId="3EC40C70">
      <w:pPr>
        <w:adjustRightInd w:val="0"/>
        <w:snapToGrid w:val="0"/>
        <w:spacing w:line="356" w:lineRule="auto"/>
        <w:ind w:firstLine="562" w:firstLineChars="200"/>
        <w:rPr>
          <w:rFonts w:hint="eastAsia" w:ascii="宋体" w:hAnsi="宋体" w:cs="宋体"/>
          <w:b/>
          <w:bCs/>
          <w:color w:val="auto"/>
          <w:sz w:val="28"/>
          <w:szCs w:val="36"/>
        </w:rPr>
      </w:pPr>
      <w:r>
        <w:rPr>
          <w:rFonts w:hint="eastAsia" w:ascii="宋体" w:hAnsi="宋体" w:cs="宋体"/>
          <w:b/>
          <w:bCs/>
          <w:color w:val="auto"/>
          <w:sz w:val="28"/>
          <w:szCs w:val="36"/>
        </w:rPr>
        <w:t>五、变更</w:t>
      </w:r>
    </w:p>
    <w:p w14:paraId="4BBB5CE9">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rPr>
        <w:t>按《通用条款》10.1、10.2、10.3、10.4款执行。</w:t>
      </w:r>
    </w:p>
    <w:p w14:paraId="6C4655B4">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10.4.1变更的估价原则</w:t>
      </w:r>
    </w:p>
    <w:p w14:paraId="7DDACE81">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因变更引起的价格调整按照本款约定处理。</w:t>
      </w:r>
    </w:p>
    <w:p w14:paraId="21C82D49">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（1）已标价工程量清单中有使用于变更工作的子目的，采用该子目的单价。</w:t>
      </w:r>
    </w:p>
    <w:p w14:paraId="51444DAF">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（2）已标价工程量清单中无适用于变更工作的子目的，但有类似子目的，可在合理范围内参照类似子目的单价。</w:t>
      </w:r>
    </w:p>
    <w:p w14:paraId="2D3F72DD">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（3）已标价工程量清单中无适用或类似子目的单价，</w:t>
      </w:r>
      <w:r>
        <w:rPr>
          <w:rFonts w:hint="eastAsia" w:ascii="宋体" w:hAnsi="宋体" w:cs="宋体"/>
          <w:color w:val="auto"/>
          <w:sz w:val="24"/>
          <w:szCs w:val="32"/>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2E988500">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11、价格调整</w:t>
      </w:r>
    </w:p>
    <w:p w14:paraId="624A6ED9">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11.1物价波动引起价格调整：</w:t>
      </w:r>
      <w:r>
        <w:rPr>
          <w:rFonts w:hint="eastAsia" w:ascii="宋体" w:hAnsi="宋体" w:cs="宋体"/>
          <w:color w:val="auto"/>
          <w:sz w:val="24"/>
          <w:szCs w:val="32"/>
          <w:u w:val="single"/>
        </w:rPr>
        <w:t xml:space="preserve"> 无。</w:t>
      </w:r>
    </w:p>
    <w:p w14:paraId="53B599D2">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11.1.1采用价格指数调整价格差额：</w:t>
      </w:r>
      <w:r>
        <w:rPr>
          <w:rFonts w:hint="eastAsia" w:ascii="宋体" w:hAnsi="宋体" w:cs="宋体"/>
          <w:color w:val="auto"/>
          <w:sz w:val="24"/>
          <w:szCs w:val="32"/>
          <w:u w:val="single"/>
        </w:rPr>
        <w:t>无。</w:t>
      </w:r>
    </w:p>
    <w:p w14:paraId="7FA80439">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11.1.2采用造价信息调整价格差额：</w:t>
      </w:r>
      <w:r>
        <w:rPr>
          <w:rFonts w:hint="eastAsia" w:ascii="宋体" w:hAnsi="宋体" w:cs="宋体"/>
          <w:color w:val="auto"/>
          <w:sz w:val="24"/>
          <w:szCs w:val="32"/>
          <w:u w:val="single"/>
        </w:rPr>
        <w:t>无。</w:t>
      </w:r>
    </w:p>
    <w:p w14:paraId="276BEAFE">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双方约定合同价款的其他调整因素：</w:t>
      </w:r>
      <w:r>
        <w:rPr>
          <w:rFonts w:hint="eastAsia" w:ascii="宋体" w:hAnsi="宋体" w:cs="宋体"/>
          <w:color w:val="auto"/>
          <w:sz w:val="24"/>
          <w:szCs w:val="32"/>
          <w:u w:val="single"/>
        </w:rPr>
        <w:t>无。</w:t>
      </w:r>
    </w:p>
    <w:p w14:paraId="6B8F32FE">
      <w:pPr>
        <w:adjustRightInd w:val="0"/>
        <w:snapToGrid w:val="0"/>
        <w:spacing w:line="356" w:lineRule="auto"/>
        <w:ind w:firstLine="562" w:firstLineChars="200"/>
        <w:rPr>
          <w:rFonts w:hint="eastAsia" w:ascii="宋体" w:hAnsi="宋体" w:cs="宋体"/>
          <w:b/>
          <w:bCs/>
          <w:color w:val="auto"/>
          <w:sz w:val="28"/>
          <w:szCs w:val="36"/>
        </w:rPr>
      </w:pPr>
      <w:r>
        <w:rPr>
          <w:rFonts w:hint="eastAsia" w:ascii="宋体" w:hAnsi="宋体" w:cs="宋体"/>
          <w:b/>
          <w:bCs/>
          <w:color w:val="auto"/>
          <w:sz w:val="28"/>
          <w:szCs w:val="36"/>
        </w:rPr>
        <w:t>六、合同价款与支付</w:t>
      </w:r>
    </w:p>
    <w:p w14:paraId="03F64775">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12、合同价款及调整</w:t>
      </w:r>
    </w:p>
    <w:p w14:paraId="49FC7C6E">
      <w:pPr>
        <w:pStyle w:val="8"/>
        <w:spacing w:line="356"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12.2预付款</w:t>
      </w:r>
    </w:p>
    <w:p w14:paraId="491117CA">
      <w:pPr>
        <w:spacing w:line="356" w:lineRule="auto"/>
        <w:ind w:firstLine="480" w:firstLineChars="200"/>
        <w:jc w:val="left"/>
        <w:rPr>
          <w:rFonts w:hint="eastAsia" w:ascii="宋体" w:hAnsi="宋体" w:cs="宋体"/>
          <w:color w:val="auto"/>
          <w:kern w:val="0"/>
          <w:sz w:val="24"/>
        </w:rPr>
      </w:pPr>
      <w:r>
        <w:rPr>
          <w:rFonts w:hint="eastAsia" w:ascii="宋体" w:hAnsi="宋体" w:cs="宋体"/>
          <w:color w:val="auto"/>
          <w:sz w:val="24"/>
        </w:rPr>
        <w:t>12.2.1</w:t>
      </w:r>
      <w:r>
        <w:rPr>
          <w:rFonts w:hint="eastAsia" w:ascii="宋体" w:hAnsi="宋体" w:cs="宋体"/>
          <w:color w:val="auto"/>
          <w:kern w:val="0"/>
          <w:sz w:val="24"/>
        </w:rPr>
        <w:t>预付款的支付</w:t>
      </w:r>
    </w:p>
    <w:p w14:paraId="5515DF1F">
      <w:pPr>
        <w:spacing w:line="356" w:lineRule="auto"/>
        <w:ind w:firstLine="480" w:firstLineChars="200"/>
        <w:jc w:val="left"/>
        <w:rPr>
          <w:rFonts w:hint="eastAsia" w:ascii="宋体" w:hAnsi="宋体" w:cs="宋体"/>
          <w:color w:val="auto"/>
          <w:sz w:val="24"/>
          <w:szCs w:val="32"/>
        </w:rPr>
      </w:pPr>
      <w:r>
        <w:rPr>
          <w:rFonts w:hint="eastAsia" w:ascii="宋体" w:hAnsi="宋体" w:cs="宋体"/>
          <w:color w:val="auto"/>
          <w:kern w:val="0"/>
          <w:sz w:val="24"/>
        </w:rPr>
        <w:t>项目实质性开工7天后，可以向财政部门申请不高于合同价30%项目预付款，同时提供合同价30%的预付款保函（必须为无条件的预付款保函且有效期至少12个月）。预付款应当用于材料、工程设备、施工设备的采购及修建临时工程、组织施工队伍进场等。预付款在第一次进度付款中扣回。</w:t>
      </w:r>
    </w:p>
    <w:p w14:paraId="6CCCCC05">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rPr>
        <w:t>12.1</w:t>
      </w:r>
      <w:r>
        <w:rPr>
          <w:rFonts w:hint="eastAsia" w:ascii="宋体" w:hAnsi="宋体" w:cs="宋体"/>
          <w:color w:val="auto"/>
          <w:sz w:val="24"/>
          <w:szCs w:val="32"/>
        </w:rPr>
        <w:t>本合同价款采用</w:t>
      </w:r>
      <w:r>
        <w:rPr>
          <w:rFonts w:hint="eastAsia" w:ascii="宋体" w:hAnsi="宋体" w:cs="宋体"/>
          <w:color w:val="auto"/>
          <w:sz w:val="24"/>
          <w:szCs w:val="32"/>
          <w:u w:val="single"/>
        </w:rPr>
        <w:t xml:space="preserve"> 固定综合单价（指工程量清单所包含的内容）</w:t>
      </w:r>
      <w:r>
        <w:rPr>
          <w:rFonts w:hint="eastAsia" w:ascii="宋体" w:hAnsi="宋体" w:cs="宋体"/>
          <w:color w:val="auto"/>
          <w:sz w:val="24"/>
          <w:szCs w:val="32"/>
        </w:rPr>
        <w:t>合同方式确定。</w:t>
      </w:r>
    </w:p>
    <w:p w14:paraId="5BB22D23">
      <w:pPr>
        <w:numPr>
          <w:ilvl w:val="0"/>
          <w:numId w:val="9"/>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风险费用的计算方式：</w:t>
      </w:r>
      <w:r>
        <w:rPr>
          <w:rFonts w:hint="eastAsia" w:ascii="宋体" w:hAnsi="宋体" w:cs="宋体"/>
          <w:color w:val="auto"/>
          <w:sz w:val="24"/>
          <w:szCs w:val="32"/>
          <w:u w:val="single"/>
        </w:rPr>
        <w:t>无。</w:t>
      </w:r>
    </w:p>
    <w:p w14:paraId="7EF33DF9">
      <w:pPr>
        <w:numPr>
          <w:ilvl w:val="0"/>
          <w:numId w:val="9"/>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采用可调价格合同，合同价款调整方式：</w:t>
      </w:r>
      <w:r>
        <w:rPr>
          <w:rFonts w:hint="eastAsia" w:ascii="宋体" w:hAnsi="宋体" w:cs="宋体"/>
          <w:color w:val="auto"/>
          <w:sz w:val="24"/>
          <w:szCs w:val="32"/>
          <w:u w:val="single"/>
        </w:rPr>
        <w:t>无。</w:t>
      </w:r>
    </w:p>
    <w:p w14:paraId="7ACC6DA0">
      <w:pPr>
        <w:numPr>
          <w:ilvl w:val="0"/>
          <w:numId w:val="9"/>
        </w:num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采用成本加酬金合同，有关成本和酬金的约定：</w:t>
      </w:r>
      <w:r>
        <w:rPr>
          <w:rFonts w:hint="eastAsia" w:ascii="宋体" w:hAnsi="宋体" w:cs="宋体"/>
          <w:color w:val="auto"/>
          <w:sz w:val="24"/>
          <w:szCs w:val="32"/>
          <w:u w:val="single"/>
        </w:rPr>
        <w:t>无。</w:t>
      </w:r>
    </w:p>
    <w:p w14:paraId="709EF86B">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1.双方约定合同价款及其他调整因素：</w:t>
      </w:r>
      <w:r>
        <w:rPr>
          <w:rFonts w:hint="eastAsia" w:ascii="宋体" w:hAnsi="宋体" w:cs="宋体"/>
          <w:color w:val="auto"/>
          <w:sz w:val="24"/>
          <w:szCs w:val="32"/>
          <w:u w:val="single"/>
        </w:rPr>
        <w:t>工程量清单所包含的内容以外部分。</w:t>
      </w:r>
    </w:p>
    <w:p w14:paraId="25AD9AD1">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rPr>
        <w:t>12.2.1</w:t>
      </w:r>
      <w:r>
        <w:rPr>
          <w:rFonts w:hint="eastAsia" w:ascii="宋体" w:hAnsi="宋体" w:cs="宋体"/>
          <w:color w:val="auto"/>
          <w:sz w:val="24"/>
          <w:szCs w:val="32"/>
        </w:rPr>
        <w:t>工程款付款</w:t>
      </w:r>
    </w:p>
    <w:p w14:paraId="36F0C273">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发包人向承包人预付工程款的时间和金额或占合同价款总额的比例：</w:t>
      </w:r>
      <w:r>
        <w:rPr>
          <w:rFonts w:hint="eastAsia" w:ascii="宋体" w:hAnsi="宋体" w:cs="宋体"/>
          <w:color w:val="auto"/>
          <w:sz w:val="24"/>
          <w:szCs w:val="32"/>
          <w:u w:val="single"/>
        </w:rPr>
        <w:t>在合同协议书签订和承包人依据经监理人出具开工令进场开工后，承包人将预付款申请材料报送发包人审核批准后予以支付。</w:t>
      </w:r>
    </w:p>
    <w:p w14:paraId="51F2FD76">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扣回工程款的时间、比例：</w:t>
      </w:r>
      <w:r>
        <w:rPr>
          <w:rFonts w:hint="eastAsia" w:ascii="宋体" w:hAnsi="宋体" w:cs="宋体"/>
          <w:color w:val="auto"/>
          <w:sz w:val="24"/>
          <w:szCs w:val="32"/>
          <w:u w:val="single"/>
        </w:rPr>
        <w:t>第一次申请进度款时扣回30%预付款。</w:t>
      </w:r>
    </w:p>
    <w:p w14:paraId="1E66434E">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rPr>
        <w:t>12.3</w:t>
      </w:r>
      <w:r>
        <w:rPr>
          <w:rFonts w:hint="eastAsia" w:ascii="宋体" w:hAnsi="宋体" w:cs="宋体"/>
          <w:color w:val="auto"/>
          <w:sz w:val="24"/>
          <w:szCs w:val="32"/>
        </w:rPr>
        <w:t>工程量确认</w:t>
      </w:r>
    </w:p>
    <w:p w14:paraId="41F4FA76">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rPr>
        <w:t>12.3.3</w:t>
      </w:r>
      <w:r>
        <w:rPr>
          <w:rFonts w:hint="eastAsia" w:ascii="宋体" w:hAnsi="宋体" w:cs="宋体"/>
          <w:color w:val="auto"/>
          <w:sz w:val="24"/>
          <w:szCs w:val="32"/>
        </w:rPr>
        <w:t>承包人向工程师提交已完工程量报告的时间：</w:t>
      </w:r>
      <w:r>
        <w:rPr>
          <w:rFonts w:hint="eastAsia" w:ascii="宋体" w:hAnsi="宋体" w:cs="宋体"/>
          <w:color w:val="auto"/>
          <w:sz w:val="24"/>
          <w:szCs w:val="32"/>
          <w:u w:val="single"/>
        </w:rPr>
        <w:t>每月25日。</w:t>
      </w:r>
    </w:p>
    <w:p w14:paraId="4A10BD7D">
      <w:pPr>
        <w:pStyle w:val="6"/>
        <w:adjustRightInd w:val="0"/>
        <w:snapToGrid w:val="0"/>
        <w:spacing w:before="0" w:after="0" w:line="356" w:lineRule="auto"/>
        <w:ind w:firstLine="480" w:firstLineChars="200"/>
        <w:rPr>
          <w:rFonts w:hint="eastAsia" w:cs="宋体"/>
          <w:b w:val="0"/>
          <w:bCs w:val="0"/>
          <w:color w:val="auto"/>
          <w:szCs w:val="24"/>
        </w:rPr>
      </w:pPr>
      <w:r>
        <w:rPr>
          <w:rFonts w:hint="eastAsia" w:cs="宋体"/>
          <w:b w:val="0"/>
          <w:bCs w:val="0"/>
          <w:color w:val="auto"/>
          <w:kern w:val="2"/>
          <w:szCs w:val="24"/>
        </w:rPr>
        <w:t>12.4</w:t>
      </w:r>
      <w:r>
        <w:rPr>
          <w:rFonts w:hint="eastAsia" w:cs="宋体"/>
          <w:b w:val="0"/>
          <w:bCs w:val="0"/>
          <w:color w:val="auto"/>
          <w:szCs w:val="24"/>
        </w:rPr>
        <w:t>工程款（进度款）支付</w:t>
      </w:r>
    </w:p>
    <w:p w14:paraId="4D7F01B7">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双方约定的工程款（进度款）的支付方式和时间：</w:t>
      </w:r>
      <w:r>
        <w:rPr>
          <w:rFonts w:hint="eastAsia" w:ascii="宋体" w:hAnsi="宋体" w:cs="宋体"/>
          <w:color w:val="auto"/>
          <w:sz w:val="24"/>
          <w:u w:val="single"/>
        </w:rPr>
        <w:t>合同内进度款支付限额为已完成工程量的80%，工程变更部分进度款支付限额为已完成工程量的60%；工程完工验收达到质量要求，累计支付额度以不超合同总额90%为上限(不含暂列金额、专业工程暂估价)；结算经第三方审计单位审定，并提交完整合格的竣工备案资料给发包人后，工程款支付至结算总价的97%，剩余3%的工程结算款项作为工程质量保证金。待质量保修期满后，发包人在收到承包人退还保证金的申请后，发包人在7个工作日内一次性(无息)退还给承包人。</w:t>
      </w:r>
    </w:p>
    <w:p w14:paraId="66520C75">
      <w:pPr>
        <w:tabs>
          <w:tab w:val="left" w:pos="4173"/>
        </w:tabs>
        <w:adjustRightInd w:val="0"/>
        <w:snapToGrid w:val="0"/>
        <w:spacing w:line="356" w:lineRule="auto"/>
        <w:ind w:firstLine="562" w:firstLineChars="200"/>
        <w:rPr>
          <w:rFonts w:hint="eastAsia" w:ascii="宋体" w:hAnsi="宋体" w:cs="宋体"/>
          <w:b/>
          <w:bCs/>
          <w:color w:val="auto"/>
          <w:sz w:val="28"/>
          <w:szCs w:val="36"/>
        </w:rPr>
      </w:pPr>
      <w:r>
        <w:rPr>
          <w:rFonts w:hint="eastAsia" w:ascii="宋体" w:hAnsi="宋体" w:cs="宋体"/>
          <w:b/>
          <w:bCs/>
          <w:color w:val="auto"/>
          <w:sz w:val="28"/>
          <w:szCs w:val="36"/>
        </w:rPr>
        <w:t>七、质量与验收</w:t>
      </w:r>
      <w:r>
        <w:rPr>
          <w:rFonts w:hint="eastAsia" w:ascii="宋体" w:hAnsi="宋体" w:cs="宋体"/>
          <w:b/>
          <w:bCs/>
          <w:color w:val="auto"/>
          <w:sz w:val="28"/>
          <w:szCs w:val="36"/>
        </w:rPr>
        <w:tab/>
      </w:r>
    </w:p>
    <w:p w14:paraId="5429CA7E">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13.1隐蔽工程和中间验收</w:t>
      </w:r>
    </w:p>
    <w:p w14:paraId="3BD61A3C">
      <w:pPr>
        <w:adjustRightInd w:val="0"/>
        <w:snapToGrid w:val="0"/>
        <w:spacing w:line="356" w:lineRule="auto"/>
        <w:ind w:firstLine="480" w:firstLineChars="200"/>
        <w:rPr>
          <w:rFonts w:hint="eastAsia" w:ascii="宋体" w:hAnsi="宋体" w:cs="宋体"/>
          <w:color w:val="auto"/>
          <w:sz w:val="24"/>
          <w:szCs w:val="32"/>
          <w:u w:val="single"/>
        </w:rPr>
      </w:pPr>
      <w:r>
        <w:rPr>
          <w:rFonts w:hint="eastAsia" w:ascii="宋体" w:hAnsi="宋体" w:cs="宋体"/>
          <w:color w:val="auto"/>
          <w:sz w:val="24"/>
          <w:szCs w:val="32"/>
        </w:rPr>
        <w:t>13.1.1双方约定中间验收部位：</w:t>
      </w:r>
      <w:r>
        <w:rPr>
          <w:rFonts w:hint="eastAsia" w:ascii="宋体" w:hAnsi="宋体" w:cs="宋体"/>
          <w:color w:val="auto"/>
          <w:sz w:val="24"/>
          <w:szCs w:val="32"/>
          <w:u w:val="single"/>
        </w:rPr>
        <w:t xml:space="preserve">     /    。</w:t>
      </w:r>
    </w:p>
    <w:p w14:paraId="4A0A822C">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13.3工程试车</w:t>
      </w:r>
    </w:p>
    <w:p w14:paraId="617DEC34">
      <w:pPr>
        <w:adjustRightInd w:val="0"/>
        <w:snapToGrid w:val="0"/>
        <w:spacing w:line="356" w:lineRule="auto"/>
        <w:ind w:firstLine="480" w:firstLineChars="200"/>
        <w:rPr>
          <w:rFonts w:hint="eastAsia" w:ascii="宋体" w:hAnsi="宋体" w:cs="宋体"/>
          <w:color w:val="auto"/>
          <w:sz w:val="24"/>
          <w:szCs w:val="32"/>
        </w:rPr>
      </w:pPr>
      <w:r>
        <w:rPr>
          <w:rFonts w:hint="eastAsia" w:ascii="宋体" w:hAnsi="宋体" w:cs="宋体"/>
          <w:color w:val="auto"/>
          <w:sz w:val="24"/>
          <w:szCs w:val="32"/>
        </w:rPr>
        <w:t>13.3.1试车费用的承担：</w:t>
      </w:r>
      <w:r>
        <w:rPr>
          <w:rFonts w:hint="eastAsia" w:ascii="宋体" w:hAnsi="宋体" w:cs="宋体"/>
          <w:color w:val="auto"/>
          <w:sz w:val="24"/>
          <w:szCs w:val="32"/>
          <w:u w:val="single"/>
        </w:rPr>
        <w:t>无。</w:t>
      </w:r>
    </w:p>
    <w:p w14:paraId="118E6BF9">
      <w:pPr>
        <w:tabs>
          <w:tab w:val="left" w:pos="463"/>
        </w:tabs>
        <w:adjustRightInd w:val="0"/>
        <w:snapToGrid w:val="0"/>
        <w:spacing w:line="356"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八、竣工验收与结算</w:t>
      </w:r>
    </w:p>
    <w:p w14:paraId="12698323">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13.2竣工验收</w:t>
      </w:r>
    </w:p>
    <w:p w14:paraId="5418E906">
      <w:pPr>
        <w:tabs>
          <w:tab w:val="left" w:pos="463"/>
        </w:tabs>
        <w:adjustRightInd w:val="0"/>
        <w:snapToGrid w:val="0"/>
        <w:spacing w:line="356" w:lineRule="auto"/>
        <w:ind w:firstLine="480" w:firstLineChars="200"/>
        <w:rPr>
          <w:rFonts w:hint="eastAsia" w:ascii="宋体" w:hAnsi="宋体" w:cs="宋体"/>
          <w:bCs/>
          <w:color w:val="auto"/>
          <w:sz w:val="24"/>
          <w:u w:val="single"/>
        </w:rPr>
      </w:pPr>
      <w:r>
        <w:rPr>
          <w:rFonts w:hint="eastAsia" w:ascii="宋体" w:hAnsi="宋体" w:cs="宋体"/>
          <w:color w:val="auto"/>
          <w:sz w:val="24"/>
        </w:rPr>
        <w:t>13.2.2承包人</w:t>
      </w:r>
      <w:r>
        <w:rPr>
          <w:rFonts w:hint="eastAsia" w:ascii="宋体" w:hAnsi="宋体" w:cs="宋体"/>
          <w:bCs/>
          <w:color w:val="auto"/>
          <w:sz w:val="24"/>
        </w:rPr>
        <w:t>提供竣工图的约定：</w:t>
      </w:r>
      <w:r>
        <w:rPr>
          <w:rFonts w:hint="eastAsia" w:ascii="宋体" w:hAnsi="宋体" w:cs="宋体"/>
          <w:bCs/>
          <w:color w:val="auto"/>
          <w:sz w:val="24"/>
          <w:u w:val="single"/>
        </w:rPr>
        <w:t>项目完工后，承包人按工程竣工验收有关规定要先进行自验，并在合同期后6个月内向发包人提交完整竣工资料、自验报告和申请初验。</w:t>
      </w:r>
    </w:p>
    <w:p w14:paraId="3B8F51A7">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bCs/>
          <w:color w:val="auto"/>
          <w:sz w:val="24"/>
        </w:rPr>
        <w:t>中间交工工程的范围和竣工时间：</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61FE2C01">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14、竣工结算</w:t>
      </w:r>
    </w:p>
    <w:p w14:paraId="17A67BAA">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u w:val="single"/>
        </w:rPr>
        <w:t>工程完工验收达到质量要求，结算经有资质审计机构审定后，工程款支付至结算总价的97%，剩余3%的工程结算款项作为工程质量保证金。</w:t>
      </w:r>
    </w:p>
    <w:p w14:paraId="1F6F3499">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15、质量保修</w:t>
      </w:r>
    </w:p>
    <w:p w14:paraId="174102E6">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质量保修书的主要内容包括：</w:t>
      </w:r>
    </w:p>
    <w:p w14:paraId="535CD1E7">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质量保证金的支付方法：</w:t>
      </w:r>
    </w:p>
    <w:p w14:paraId="33FCD22D">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在工程保修期在内，发包人可以根据国家有关规定和合同规定的金额，在支付承包人的工程款内预留质量保证金。质量保证金为：</w:t>
      </w:r>
      <w:r>
        <w:rPr>
          <w:rFonts w:hint="eastAsia" w:ascii="宋体" w:hAnsi="宋体" w:cs="宋体"/>
          <w:color w:val="auto"/>
          <w:sz w:val="24"/>
          <w:u w:val="single"/>
        </w:rPr>
        <w:t>结算金额3%</w:t>
      </w:r>
      <w:r>
        <w:rPr>
          <w:rFonts w:hint="eastAsia" w:ascii="宋体" w:hAnsi="宋体" w:cs="宋体"/>
          <w:color w:val="auto"/>
          <w:sz w:val="24"/>
        </w:rPr>
        <w:t>。发包人在工程质量保修满壹年之日起经发包人复核合格后可向财政部门申请全部退回质量保证金给承包人（无息）。</w:t>
      </w:r>
    </w:p>
    <w:p w14:paraId="3030CDC0">
      <w:pPr>
        <w:numPr>
          <w:ilvl w:val="0"/>
          <w:numId w:val="11"/>
        </w:numPr>
        <w:tabs>
          <w:tab w:val="left" w:pos="463"/>
        </w:tabs>
        <w:adjustRightInd w:val="0"/>
        <w:snapToGrid w:val="0"/>
        <w:spacing w:line="356"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违约和索赔</w:t>
      </w:r>
    </w:p>
    <w:p w14:paraId="507C2373">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16、违约</w:t>
      </w:r>
    </w:p>
    <w:p w14:paraId="0FD4F57C">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16.1.2本合同中关于发包人违约的具体责任如下：</w:t>
      </w:r>
    </w:p>
    <w:p w14:paraId="29107DC7">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本合同通用条款第16.1.2条约定发包人违约应承担的违约责任：</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12071ED5">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本合同通用条款第16.1.3款约定发包人违约应承担的违约责任：</w:t>
      </w:r>
      <w:r>
        <w:rPr>
          <w:rFonts w:hint="eastAsia" w:ascii="宋体" w:hAnsi="宋体" w:cs="宋体"/>
          <w:color w:val="auto"/>
          <w:sz w:val="24"/>
          <w:u w:val="single"/>
        </w:rPr>
        <w:t>按通用条款第16.1.3款执行。</w:t>
      </w:r>
    </w:p>
    <w:p w14:paraId="6E80D926">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本合同通用条款第16.1.4款约定发包人违约应承担的违约责任：</w:t>
      </w:r>
      <w:r>
        <w:rPr>
          <w:rFonts w:hint="eastAsia" w:ascii="宋体" w:hAnsi="宋体" w:cs="宋体"/>
          <w:color w:val="auto"/>
          <w:sz w:val="24"/>
          <w:u w:val="single"/>
        </w:rPr>
        <w:t xml:space="preserve">  无  </w:t>
      </w:r>
      <w:r>
        <w:rPr>
          <w:rFonts w:hint="eastAsia" w:ascii="宋体" w:hAnsi="宋体" w:cs="宋体"/>
          <w:color w:val="auto"/>
          <w:sz w:val="24"/>
        </w:rPr>
        <w:t xml:space="preserve"> 。</w:t>
      </w:r>
    </w:p>
    <w:p w14:paraId="0F390689">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双方约定的发包人其他违约责任：</w:t>
      </w:r>
      <w:r>
        <w:rPr>
          <w:rFonts w:hint="eastAsia" w:ascii="宋体" w:hAnsi="宋体" w:cs="宋体"/>
          <w:color w:val="auto"/>
          <w:sz w:val="24"/>
          <w:u w:val="single"/>
        </w:rPr>
        <w:t>按通用条款执行。</w:t>
      </w:r>
    </w:p>
    <w:p w14:paraId="2FFBC223">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16.2 承包人违约</w:t>
      </w:r>
    </w:p>
    <w:p w14:paraId="2962E2FD">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16.2.1 承包人违约的情形</w:t>
      </w:r>
    </w:p>
    <w:p w14:paraId="7EC7C057">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 xml:space="preserve">承包人违约的其他情形： </w:t>
      </w:r>
    </w:p>
    <w:p w14:paraId="0DB52F02">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（8）承包人未在约定的时间内提供完整的工程竣工结算资料，经发包人书面催促后 28 天内仍未提交。</w:t>
      </w:r>
    </w:p>
    <w:p w14:paraId="210F449A">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16.2.2承包人违约的责任</w:t>
      </w:r>
    </w:p>
    <w:p w14:paraId="04C1AD29">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 xml:space="preserve">承包人违约责任的承担方式和计算方法： </w:t>
      </w:r>
    </w:p>
    <w:p w14:paraId="774A30B2">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（1）承包人违反合同约定进行转包或违法分包的，监理人可向承包人发出整改通知，要求其在指定的期限内改正，并且承包人应按合同价款20%向发包人支付违约金；</w:t>
      </w:r>
    </w:p>
    <w:p w14:paraId="3707CD29">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（2）承包人违反合同约定采购和使用不合格的材料和工程设备的，承包人应将不合格的材料和工程设备的限期清理出施工场地，并负责承担返工及造成损失的费用；</w:t>
      </w:r>
    </w:p>
    <w:p w14:paraId="6C239C75">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 xml:space="preserve">（3）因承包人原因导致工程质量不符合合同要求的，承包人应负责返工或修整，并负责由此产生的费用和损失； </w:t>
      </w:r>
    </w:p>
    <w:p w14:paraId="6E5D438D">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（4）承包人违反通用合同条款第8.9款〔材料与设备专用要求〕的约定，未经批准，私自将已按照合同约定进入施工现场的材料或设备撤离施工现场的，承包人应负责承担由此产生的费用和损失；</w:t>
      </w:r>
    </w:p>
    <w:p w14:paraId="0EFFCCB8">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（5）承包人未能按施工进度计划及时完成合同约定的工作，造成工期延误的，承包人应进行施工进度计划调整并按时完成合同约定的工作，并承担赶工所产生的费用；</w:t>
      </w:r>
    </w:p>
    <w:p w14:paraId="0858C1CF">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728E4523">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（7）承包人明确表示或者以其行为表明不履行合同主要义务的，发包人有权解除合同，并承担发包人不能按期投入使用所造成全部的损失。</w:t>
      </w:r>
    </w:p>
    <w:p w14:paraId="119719CF">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994E93">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（9）承包人的其他违约见本合同其他条款的约定。</w:t>
      </w:r>
    </w:p>
    <w:p w14:paraId="43078C7D">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16.2.2本合同中关于承包人违约的具体责任如下：</w:t>
      </w:r>
    </w:p>
    <w:p w14:paraId="1A76A2F9">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双方约定的承包人其他违约责任：</w:t>
      </w:r>
      <w:r>
        <w:rPr>
          <w:rFonts w:hint="eastAsia" w:ascii="宋体" w:hAnsi="宋体" w:cs="宋体"/>
          <w:color w:val="auto"/>
          <w:sz w:val="24"/>
          <w:u w:val="single"/>
        </w:rPr>
        <w:t>按通用条款执行。</w:t>
      </w:r>
    </w:p>
    <w:p w14:paraId="5AD5FA5B">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36E7C2D6">
      <w:pPr>
        <w:numPr>
          <w:ilvl w:val="0"/>
          <w:numId w:val="11"/>
        </w:numPr>
        <w:adjustRightInd w:val="0"/>
        <w:snapToGrid w:val="0"/>
        <w:spacing w:line="356"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不可抗力、保险及争议</w:t>
      </w:r>
    </w:p>
    <w:p w14:paraId="0ADBC7F1">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17、不可抗力</w:t>
      </w:r>
    </w:p>
    <w:p w14:paraId="3BAF52BC">
      <w:pPr>
        <w:tabs>
          <w:tab w:val="left" w:pos="463"/>
        </w:tabs>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17.1双方关于不可抗力的约定：按《通用条款》第17款执行。</w:t>
      </w:r>
    </w:p>
    <w:p w14:paraId="1C3EBF49">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18、保险</w:t>
      </w:r>
    </w:p>
    <w:p w14:paraId="5564C945">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18.1本工程双方约定投保内容如下：</w:t>
      </w:r>
    </w:p>
    <w:p w14:paraId="08363A6F">
      <w:pPr>
        <w:numPr>
          <w:ilvl w:val="0"/>
          <w:numId w:val="12"/>
        </w:num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发包人投保内容：</w:t>
      </w:r>
      <w:r>
        <w:rPr>
          <w:rFonts w:hint="eastAsia" w:ascii="宋体" w:hAnsi="宋体" w:cs="宋体"/>
          <w:color w:val="auto"/>
          <w:sz w:val="24"/>
          <w:u w:val="single"/>
        </w:rPr>
        <w:t>按国家政策自行办理。</w:t>
      </w:r>
    </w:p>
    <w:p w14:paraId="6FAD90FC">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发包人委托承包人办理的保险事项：</w:t>
      </w:r>
      <w:r>
        <w:rPr>
          <w:rFonts w:hint="eastAsia" w:ascii="宋体" w:hAnsi="宋体" w:cs="宋体"/>
          <w:color w:val="auto"/>
          <w:sz w:val="24"/>
          <w:u w:val="single"/>
        </w:rPr>
        <w:t xml:space="preserve"> 无 。</w:t>
      </w:r>
    </w:p>
    <w:p w14:paraId="53799290">
      <w:pPr>
        <w:numPr>
          <w:ilvl w:val="0"/>
          <w:numId w:val="12"/>
        </w:num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承包人投保内容：</w:t>
      </w:r>
      <w:r>
        <w:rPr>
          <w:rFonts w:hint="eastAsia" w:ascii="宋体" w:hAnsi="宋体" w:cs="宋体"/>
          <w:color w:val="auto"/>
          <w:sz w:val="24"/>
          <w:u w:val="single"/>
        </w:rPr>
        <w:t>承包人应按有关规定自行投保施工人员的人身事故保险，该保险应不属于储蓄险等。承包人应于签订合同之日起10日内按有关规定自行办理。</w:t>
      </w:r>
    </w:p>
    <w:p w14:paraId="60EBE08D">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20、争议</w:t>
      </w:r>
    </w:p>
    <w:p w14:paraId="105C9EAB">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20.4本合同在履行过程中发生的争议，由双方当事人协商解决，协商不成的按下列</w:t>
      </w:r>
      <w:r>
        <w:rPr>
          <w:rFonts w:hint="eastAsia" w:ascii="宋体" w:hAnsi="宋体" w:cs="宋体"/>
          <w:color w:val="auto"/>
          <w:sz w:val="24"/>
          <w:u w:val="single"/>
        </w:rPr>
        <w:t>第（二）</w:t>
      </w:r>
      <w:r>
        <w:rPr>
          <w:rFonts w:hint="eastAsia" w:ascii="宋体" w:hAnsi="宋体" w:cs="宋体"/>
          <w:color w:val="auto"/>
          <w:sz w:val="24"/>
        </w:rPr>
        <w:t>种方式解决：</w:t>
      </w:r>
    </w:p>
    <w:p w14:paraId="0488650E">
      <w:pPr>
        <w:numPr>
          <w:ilvl w:val="0"/>
          <w:numId w:val="13"/>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向</w:t>
      </w:r>
      <w:r>
        <w:rPr>
          <w:rFonts w:hint="eastAsia" w:ascii="宋体" w:hAnsi="宋体" w:cs="宋体"/>
          <w:color w:val="auto"/>
          <w:sz w:val="24"/>
          <w:u w:val="single"/>
        </w:rPr>
        <w:t>约定的</w:t>
      </w:r>
      <w:r>
        <w:rPr>
          <w:rFonts w:hint="eastAsia" w:ascii="宋体" w:hAnsi="宋体" w:cs="宋体"/>
          <w:color w:val="auto"/>
          <w:sz w:val="24"/>
        </w:rPr>
        <w:t>仲裁委员会申请仲裁：</w:t>
      </w:r>
    </w:p>
    <w:p w14:paraId="4A35E820">
      <w:pPr>
        <w:numPr>
          <w:ilvl w:val="0"/>
          <w:numId w:val="13"/>
        </w:num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依法向发包人所在地人民法院起诉。</w:t>
      </w:r>
    </w:p>
    <w:p w14:paraId="248D36EA">
      <w:pPr>
        <w:adjustRightInd w:val="0"/>
        <w:snapToGrid w:val="0"/>
        <w:spacing w:line="356"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十一、其他</w:t>
      </w:r>
    </w:p>
    <w:p w14:paraId="7FF9D25A">
      <w:pPr>
        <w:adjustRightInd w:val="0"/>
        <w:snapToGrid w:val="0"/>
        <w:spacing w:line="356" w:lineRule="auto"/>
        <w:ind w:firstLine="480" w:firstLineChars="200"/>
        <w:rPr>
          <w:rFonts w:hint="eastAsia" w:ascii="宋体" w:hAnsi="宋体" w:cs="宋体"/>
          <w:color w:val="auto"/>
          <w:sz w:val="24"/>
        </w:rPr>
      </w:pPr>
      <w:r>
        <w:rPr>
          <w:rFonts w:hint="eastAsia" w:ascii="宋体" w:hAnsi="宋体" w:cs="宋体"/>
          <w:color w:val="auto"/>
          <w:sz w:val="24"/>
        </w:rPr>
        <w:t>21、合同份数</w:t>
      </w:r>
    </w:p>
    <w:p w14:paraId="398C516C">
      <w:pPr>
        <w:adjustRightInd w:val="0"/>
        <w:snapToGrid w:val="0"/>
        <w:spacing w:line="356" w:lineRule="auto"/>
        <w:ind w:firstLine="480" w:firstLineChars="200"/>
        <w:rPr>
          <w:rFonts w:hint="eastAsia" w:ascii="宋体" w:hAnsi="宋体" w:cs="宋体"/>
          <w:color w:val="auto"/>
          <w:sz w:val="24"/>
          <w:u w:val="single"/>
        </w:rPr>
      </w:pPr>
      <w:r>
        <w:rPr>
          <w:rFonts w:hint="eastAsia" w:ascii="宋体" w:hAnsi="宋体" w:cs="宋体"/>
          <w:color w:val="auto"/>
          <w:sz w:val="24"/>
        </w:rPr>
        <w:t>21.1双方约定合同份数：</w:t>
      </w:r>
      <w:r>
        <w:rPr>
          <w:rFonts w:hint="eastAsia" w:ascii="宋体" w:hAnsi="宋体" w:cs="宋体"/>
          <w:color w:val="auto"/>
          <w:sz w:val="24"/>
          <w:u w:val="single"/>
        </w:rPr>
        <w:t>正本贰份，副本肆份，双方各执壹份正本，贰份副本。</w:t>
      </w:r>
    </w:p>
    <w:p w14:paraId="4D4981E0">
      <w:pPr>
        <w:spacing w:before="156" w:beforeLines="50" w:after="156" w:afterLines="50" w:line="360" w:lineRule="auto"/>
        <w:rPr>
          <w:rFonts w:hint="eastAsia" w:ascii="宋体" w:hAnsi="宋体" w:cs="宋体"/>
          <w:color w:val="auto"/>
          <w:spacing w:val="20"/>
          <w:sz w:val="24"/>
        </w:rPr>
      </w:pPr>
      <w:r>
        <w:rPr>
          <w:rFonts w:hint="eastAsia" w:ascii="宋体" w:hAnsi="宋体" w:cs="宋体"/>
          <w:color w:val="auto"/>
          <w:spacing w:val="20"/>
          <w:sz w:val="24"/>
        </w:rPr>
        <w:t>附件1</w:t>
      </w:r>
    </w:p>
    <w:p w14:paraId="5179FAF6">
      <w:pPr>
        <w:spacing w:before="156" w:beforeLines="50" w:after="156" w:afterLines="50" w:line="360" w:lineRule="auto"/>
        <w:jc w:val="center"/>
        <w:rPr>
          <w:rFonts w:hint="eastAsia" w:ascii="宋体" w:hAnsi="宋体" w:cs="宋体"/>
          <w:b/>
          <w:bCs/>
          <w:color w:val="auto"/>
          <w:spacing w:val="20"/>
          <w:sz w:val="36"/>
          <w:szCs w:val="36"/>
        </w:rPr>
      </w:pPr>
      <w:r>
        <w:rPr>
          <w:rFonts w:hint="eastAsia" w:ascii="宋体" w:hAnsi="宋体" w:cs="宋体"/>
          <w:b/>
          <w:bCs/>
          <w:color w:val="auto"/>
          <w:spacing w:val="20"/>
          <w:sz w:val="40"/>
          <w:szCs w:val="40"/>
        </w:rPr>
        <w:t>工程质量保修书</w:t>
      </w:r>
    </w:p>
    <w:p w14:paraId="6FCE6D4C">
      <w:pPr>
        <w:spacing w:before="156" w:beforeLines="50" w:after="156" w:afterLines="50" w:line="360" w:lineRule="auto"/>
        <w:jc w:val="center"/>
        <w:rPr>
          <w:rFonts w:hint="eastAsia" w:ascii="宋体" w:hAnsi="宋体" w:cs="宋体"/>
          <w:b/>
          <w:bCs/>
          <w:color w:val="auto"/>
          <w:spacing w:val="20"/>
          <w:sz w:val="36"/>
          <w:szCs w:val="36"/>
        </w:rPr>
      </w:pPr>
    </w:p>
    <w:p w14:paraId="04CDB273">
      <w:pPr>
        <w:adjustRightInd w:val="0"/>
        <w:snapToGrid w:val="0"/>
        <w:spacing w:before="156" w:beforeLines="50" w:after="156" w:afterLines="50" w:line="360" w:lineRule="auto"/>
        <w:rPr>
          <w:rFonts w:hint="eastAsia" w:ascii="宋体" w:hAnsi="宋体" w:cs="宋体"/>
          <w:color w:val="auto"/>
          <w:spacing w:val="20"/>
          <w:sz w:val="24"/>
        </w:rPr>
      </w:pPr>
      <w:r>
        <w:rPr>
          <w:rFonts w:hint="eastAsia" w:ascii="宋体" w:hAnsi="宋体" w:cs="宋体"/>
          <w:color w:val="auto"/>
          <w:spacing w:val="20"/>
          <w:sz w:val="24"/>
        </w:rPr>
        <w:t>发包人（全称）：</w:t>
      </w:r>
      <w:r>
        <w:rPr>
          <w:rFonts w:hint="eastAsia" w:ascii="宋体" w:hAnsi="宋体" w:cs="宋体"/>
          <w:color w:val="auto"/>
          <w:spacing w:val="20"/>
          <w:sz w:val="24"/>
          <w:u w:val="single"/>
        </w:rPr>
        <w:t xml:space="preserve"> 浦北县江城街道办事处   </w:t>
      </w:r>
      <w:r>
        <w:rPr>
          <w:rFonts w:hint="eastAsia" w:ascii="宋体" w:hAnsi="宋体" w:cs="宋体"/>
          <w:color w:val="auto"/>
          <w:spacing w:val="20"/>
          <w:sz w:val="24"/>
        </w:rPr>
        <w:t xml:space="preserve"> </w:t>
      </w:r>
    </w:p>
    <w:p w14:paraId="046E9D13">
      <w:pPr>
        <w:adjustRightInd w:val="0"/>
        <w:snapToGrid w:val="0"/>
        <w:spacing w:line="360" w:lineRule="auto"/>
        <w:rPr>
          <w:rFonts w:hint="eastAsia" w:ascii="宋体" w:hAnsi="宋体" w:cs="宋体"/>
          <w:color w:val="auto"/>
          <w:spacing w:val="20"/>
          <w:sz w:val="24"/>
        </w:rPr>
      </w:pPr>
      <w:r>
        <w:rPr>
          <w:rFonts w:hint="eastAsia" w:ascii="宋体" w:hAnsi="宋体" w:cs="宋体"/>
          <w:color w:val="auto"/>
          <w:spacing w:val="20"/>
          <w:sz w:val="24"/>
        </w:rPr>
        <w:t>承包人（全称）：</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w:t>
      </w:r>
    </w:p>
    <w:p w14:paraId="1885CABD">
      <w:pPr>
        <w:adjustRightInd w:val="0"/>
        <w:snapToGrid w:val="0"/>
        <w:spacing w:line="360" w:lineRule="auto"/>
        <w:ind w:firstLine="420"/>
        <w:rPr>
          <w:rFonts w:hint="eastAsia" w:ascii="宋体" w:hAnsi="宋体" w:cs="宋体"/>
          <w:color w:val="auto"/>
          <w:spacing w:val="20"/>
          <w:sz w:val="24"/>
        </w:rPr>
      </w:pPr>
      <w:r>
        <w:rPr>
          <w:rFonts w:hint="eastAsia" w:ascii="宋体" w:hAnsi="宋体" w:cs="宋体"/>
          <w:color w:val="auto"/>
          <w:spacing w:val="20"/>
          <w:sz w:val="24"/>
        </w:rPr>
        <w:t>发包人和承包人根据《中华人民共和国建筑法》、《建设工程质量管理条例》和《房屋建筑工程质量保修办法》，经协商一致，对</w:t>
      </w:r>
      <w:r>
        <w:rPr>
          <w:rFonts w:hint="eastAsia" w:ascii="宋体" w:hAnsi="宋体" w:cs="宋体"/>
          <w:color w:val="auto"/>
          <w:spacing w:val="20"/>
          <w:sz w:val="24"/>
          <w:u w:val="single"/>
        </w:rPr>
        <w:t xml:space="preserve"> </w:t>
      </w:r>
      <w:r>
        <w:rPr>
          <w:rFonts w:hint="eastAsia" w:ascii="宋体" w:hAnsi="宋体" w:eastAsia="宋体" w:cs="宋体"/>
          <w:color w:val="auto"/>
          <w:spacing w:val="20"/>
          <w:sz w:val="24"/>
          <w:u w:val="single"/>
          <w:lang w:eastAsia="zh-CN"/>
        </w:rPr>
        <w:t>浦北县江城街道办事处木麻根社区冲口安置地配电工程项目</w:t>
      </w:r>
      <w:r>
        <w:rPr>
          <w:rFonts w:hint="eastAsia" w:ascii="宋体" w:hAnsi="宋体" w:cs="宋体"/>
          <w:color w:val="auto"/>
          <w:spacing w:val="20"/>
          <w:sz w:val="24"/>
          <w:u w:val="single"/>
        </w:rPr>
        <w:t xml:space="preserve"> </w:t>
      </w:r>
      <w:r>
        <w:rPr>
          <w:rFonts w:hint="eastAsia" w:ascii="宋体" w:hAnsi="宋体" w:cs="宋体"/>
          <w:color w:val="auto"/>
          <w:spacing w:val="20"/>
          <w:sz w:val="24"/>
        </w:rPr>
        <w:t>签订工程质量保修书。</w:t>
      </w:r>
    </w:p>
    <w:p w14:paraId="01AB625A">
      <w:pPr>
        <w:adjustRightInd w:val="0"/>
        <w:snapToGrid w:val="0"/>
        <w:spacing w:line="360" w:lineRule="auto"/>
        <w:outlineLvl w:val="0"/>
        <w:rPr>
          <w:rFonts w:hint="eastAsia" w:ascii="宋体" w:hAnsi="宋体" w:cs="宋体"/>
          <w:color w:val="auto"/>
          <w:spacing w:val="20"/>
          <w:sz w:val="24"/>
        </w:rPr>
      </w:pPr>
      <w:r>
        <w:rPr>
          <w:rFonts w:hint="eastAsia" w:ascii="宋体" w:hAnsi="宋体" w:cs="宋体"/>
          <w:color w:val="auto"/>
          <w:spacing w:val="20"/>
          <w:sz w:val="24"/>
        </w:rPr>
        <w:t>1、工程质量保修范围和内容</w:t>
      </w:r>
    </w:p>
    <w:p w14:paraId="793BBB2E">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承包人在质量保修期内，按照有关法律、法规、规章的管理规定和双方约定，承担工程质量保修责任。</w:t>
      </w:r>
    </w:p>
    <w:p w14:paraId="055527CC">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5F63006">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u w:val="single"/>
        </w:rPr>
        <w:t xml:space="preserve"> 质量保修范围包括  工程等承包人施工的项目  </w:t>
      </w:r>
      <w:r>
        <w:rPr>
          <w:rFonts w:hint="eastAsia" w:ascii="宋体" w:hAnsi="宋体" w:cs="宋体"/>
          <w:color w:val="auto"/>
          <w:spacing w:val="20"/>
          <w:sz w:val="24"/>
        </w:rPr>
        <w:t>。</w:t>
      </w:r>
    </w:p>
    <w:p w14:paraId="1D0B57F1">
      <w:pPr>
        <w:adjustRightInd w:val="0"/>
        <w:snapToGrid w:val="0"/>
        <w:spacing w:line="360" w:lineRule="auto"/>
        <w:ind w:firstLine="560" w:firstLineChars="200"/>
        <w:rPr>
          <w:rFonts w:hint="eastAsia" w:ascii="宋体" w:hAnsi="宋体" w:cs="宋体"/>
          <w:color w:val="auto"/>
          <w:spacing w:val="20"/>
          <w:sz w:val="24"/>
          <w:u w:val="single"/>
        </w:rPr>
      </w:pPr>
      <w:r>
        <w:rPr>
          <w:rFonts w:hint="eastAsia" w:ascii="宋体" w:hAnsi="宋体" w:cs="宋体"/>
          <w:color w:val="auto"/>
          <w:spacing w:val="20"/>
          <w:sz w:val="24"/>
          <w:u w:val="single"/>
        </w:rPr>
        <w:t xml:space="preserve">非承包人施工的项目或非承包人购买的材料、设备，不在保修范围内；因承包人之外的原因造成该部分材料、设备返修的经济支出，不由承包人承担。 </w:t>
      </w:r>
    </w:p>
    <w:p w14:paraId="7D424FD6">
      <w:pPr>
        <w:adjustRightInd w:val="0"/>
        <w:snapToGrid w:val="0"/>
        <w:spacing w:line="360" w:lineRule="auto"/>
        <w:ind w:firstLine="560" w:firstLineChars="200"/>
        <w:rPr>
          <w:rFonts w:hint="eastAsia" w:ascii="宋体" w:hAnsi="宋体" w:cs="宋体"/>
          <w:color w:val="auto"/>
          <w:spacing w:val="20"/>
          <w:sz w:val="24"/>
          <w:u w:val="single"/>
        </w:rPr>
      </w:pPr>
      <w:r>
        <w:rPr>
          <w:rFonts w:hint="eastAsia" w:ascii="宋体" w:hAnsi="宋体" w:cs="宋体"/>
          <w:color w:val="auto"/>
          <w:spacing w:val="20"/>
          <w:sz w:val="24"/>
          <w:u w:val="single"/>
        </w:rPr>
        <w:t xml:space="preserve">因使用不当或者第三方造成质量缺陷的，承包人不负担责任 。 </w:t>
      </w:r>
    </w:p>
    <w:p w14:paraId="00220A04">
      <w:pPr>
        <w:adjustRightInd w:val="0"/>
        <w:snapToGrid w:val="0"/>
        <w:spacing w:line="360" w:lineRule="auto"/>
        <w:ind w:firstLine="560" w:firstLineChars="200"/>
        <w:rPr>
          <w:rFonts w:hint="eastAsia" w:ascii="宋体" w:hAnsi="宋体" w:cs="宋体"/>
          <w:color w:val="auto"/>
          <w:spacing w:val="20"/>
          <w:sz w:val="24"/>
          <w:u w:val="single"/>
        </w:rPr>
      </w:pPr>
      <w:r>
        <w:rPr>
          <w:rFonts w:hint="eastAsia" w:ascii="宋体" w:hAnsi="宋体" w:cs="宋体"/>
          <w:color w:val="auto"/>
          <w:spacing w:val="20"/>
          <w:sz w:val="24"/>
          <w:u w:val="single"/>
        </w:rPr>
        <w:t xml:space="preserve">因不可抗力造成质量缺陷的，承包人不负担责任 。 </w:t>
      </w:r>
    </w:p>
    <w:p w14:paraId="6B0AC7A4">
      <w:pPr>
        <w:adjustRightInd w:val="0"/>
        <w:snapToGrid w:val="0"/>
        <w:spacing w:line="360" w:lineRule="auto"/>
        <w:outlineLvl w:val="0"/>
        <w:rPr>
          <w:rFonts w:hint="eastAsia" w:ascii="宋体" w:hAnsi="宋体" w:cs="宋体"/>
          <w:color w:val="auto"/>
          <w:spacing w:val="20"/>
          <w:sz w:val="24"/>
        </w:rPr>
      </w:pPr>
      <w:r>
        <w:rPr>
          <w:rFonts w:hint="eastAsia" w:ascii="宋体" w:hAnsi="宋体" w:cs="宋体"/>
          <w:color w:val="auto"/>
          <w:spacing w:val="20"/>
          <w:sz w:val="24"/>
        </w:rPr>
        <w:t>2、质量保修期</w:t>
      </w:r>
    </w:p>
    <w:p w14:paraId="2988BAA2">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根据《建设工程质量管理条例》及有关规定，约定本工程的质量保修期如下：</w:t>
      </w:r>
    </w:p>
    <w:p w14:paraId="43BCAC4E">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rPr>
      </w:pPr>
      <w:r>
        <w:rPr>
          <w:rFonts w:hint="eastAsia" w:ascii="宋体" w:hAnsi="宋体" w:cs="宋体"/>
          <w:color w:val="auto"/>
          <w:spacing w:val="20"/>
          <w:sz w:val="24"/>
        </w:rPr>
        <w:t>主体工程为设计文件规定的该工程合理使用年限。</w:t>
      </w:r>
    </w:p>
    <w:p w14:paraId="533EB088">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rPr>
      </w:pPr>
      <w:r>
        <w:rPr>
          <w:rFonts w:hint="eastAsia" w:ascii="宋体" w:hAnsi="宋体" w:cs="宋体"/>
          <w:color w:val="auto"/>
          <w:spacing w:val="20"/>
          <w:sz w:val="24"/>
        </w:rPr>
        <w:t>其他工程项目保修期</w:t>
      </w:r>
      <w:r>
        <w:rPr>
          <w:rFonts w:hint="eastAsia" w:ascii="宋体" w:hAnsi="宋体" w:cs="宋体"/>
          <w:color w:val="auto"/>
          <w:spacing w:val="20"/>
          <w:sz w:val="24"/>
          <w:u w:val="single"/>
        </w:rPr>
        <w:t xml:space="preserve"> 1 </w:t>
      </w:r>
      <w:r>
        <w:rPr>
          <w:rFonts w:hint="eastAsia" w:ascii="宋体" w:hAnsi="宋体" w:cs="宋体"/>
          <w:color w:val="auto"/>
          <w:spacing w:val="20"/>
          <w:sz w:val="24"/>
        </w:rPr>
        <w:t>年。</w:t>
      </w:r>
    </w:p>
    <w:p w14:paraId="3DFBBC69">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rPr>
      </w:pPr>
      <w:r>
        <w:rPr>
          <w:rFonts w:hint="eastAsia" w:ascii="宋体" w:hAnsi="宋体" w:cs="宋体"/>
          <w:color w:val="auto"/>
          <w:spacing w:val="20"/>
          <w:sz w:val="24"/>
        </w:rPr>
        <w:t>质量保修期自工程竣工验收合格之日起计算器。</w:t>
      </w:r>
    </w:p>
    <w:p w14:paraId="189FC7AA">
      <w:pPr>
        <w:adjustRightInd w:val="0"/>
        <w:snapToGrid w:val="0"/>
        <w:spacing w:line="360" w:lineRule="auto"/>
        <w:outlineLvl w:val="0"/>
        <w:rPr>
          <w:rFonts w:hint="eastAsia" w:ascii="宋体" w:hAnsi="宋体" w:cs="宋体"/>
          <w:color w:val="auto"/>
          <w:spacing w:val="20"/>
          <w:sz w:val="24"/>
        </w:rPr>
      </w:pPr>
      <w:r>
        <w:rPr>
          <w:rFonts w:hint="eastAsia" w:ascii="宋体" w:hAnsi="宋体" w:cs="宋体"/>
          <w:color w:val="auto"/>
          <w:spacing w:val="20"/>
          <w:sz w:val="24"/>
        </w:rPr>
        <w:t>3、质量保修责任</w:t>
      </w:r>
    </w:p>
    <w:p w14:paraId="0F92BF2C">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1．属于保修范围、内容的项目，承包人应当在接到保修通知之日起</w:t>
      </w:r>
      <w:r>
        <w:rPr>
          <w:rFonts w:hint="eastAsia" w:ascii="宋体" w:hAnsi="宋体" w:cs="宋体"/>
          <w:color w:val="auto"/>
          <w:spacing w:val="20"/>
          <w:sz w:val="24"/>
          <w:u w:val="single"/>
        </w:rPr>
        <w:t xml:space="preserve">  7    </w:t>
      </w:r>
      <w:r>
        <w:rPr>
          <w:rFonts w:hint="eastAsia" w:ascii="宋体" w:hAnsi="宋体" w:cs="宋体"/>
          <w:color w:val="auto"/>
          <w:spacing w:val="20"/>
          <w:sz w:val="24"/>
        </w:rPr>
        <w:t>天内派人保修。承包人不在约定期限内派人保修的，发包人可以委托他人修理，发生费用由承包人承担。</w:t>
      </w:r>
    </w:p>
    <w:p w14:paraId="7CA6CE9F">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2．发生须紧急抢修事故的，承包人在接到事故通知后，应当立即到达事故现场抢修。</w:t>
      </w:r>
    </w:p>
    <w:p w14:paraId="3E78D477">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B45AF41">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4．质量保修完成后，由发包人组织验收。</w:t>
      </w:r>
    </w:p>
    <w:p w14:paraId="2EE349B2">
      <w:pPr>
        <w:adjustRightInd w:val="0"/>
        <w:snapToGrid w:val="0"/>
        <w:spacing w:line="360" w:lineRule="auto"/>
        <w:outlineLvl w:val="0"/>
        <w:rPr>
          <w:rFonts w:hint="eastAsia" w:ascii="宋体" w:hAnsi="宋体" w:cs="宋体"/>
          <w:color w:val="auto"/>
          <w:spacing w:val="20"/>
          <w:sz w:val="24"/>
        </w:rPr>
      </w:pPr>
      <w:r>
        <w:rPr>
          <w:rFonts w:hint="eastAsia" w:ascii="宋体" w:hAnsi="宋体" w:cs="宋体"/>
          <w:color w:val="auto"/>
          <w:spacing w:val="20"/>
          <w:sz w:val="24"/>
        </w:rPr>
        <w:t>4、保修费用</w:t>
      </w:r>
    </w:p>
    <w:p w14:paraId="013A40BB">
      <w:pPr>
        <w:adjustRightInd w:val="0"/>
        <w:snapToGrid w:val="0"/>
        <w:spacing w:line="360" w:lineRule="auto"/>
        <w:ind w:firstLine="560" w:firstLineChars="200"/>
        <w:rPr>
          <w:rFonts w:hint="eastAsia" w:ascii="宋体" w:hAnsi="宋体" w:cs="宋体"/>
          <w:color w:val="auto"/>
          <w:spacing w:val="20"/>
          <w:sz w:val="24"/>
        </w:rPr>
      </w:pPr>
      <w:r>
        <w:rPr>
          <w:rFonts w:hint="eastAsia" w:ascii="宋体" w:hAnsi="宋体" w:cs="宋体"/>
          <w:color w:val="auto"/>
          <w:spacing w:val="20"/>
          <w:sz w:val="24"/>
        </w:rPr>
        <w:t>保修费用由造成质量缺陷的责任方承担。</w:t>
      </w:r>
    </w:p>
    <w:p w14:paraId="0FBD3C93">
      <w:pPr>
        <w:numPr>
          <w:ilvl w:val="0"/>
          <w:numId w:val="15"/>
        </w:numPr>
        <w:adjustRightInd w:val="0"/>
        <w:snapToGrid w:val="0"/>
        <w:spacing w:line="360" w:lineRule="auto"/>
        <w:jc w:val="left"/>
        <w:rPr>
          <w:rFonts w:hint="eastAsia" w:ascii="宋体" w:hAnsi="宋体" w:cs="宋体"/>
          <w:color w:val="auto"/>
          <w:spacing w:val="20"/>
          <w:sz w:val="24"/>
        </w:rPr>
      </w:pPr>
      <w:r>
        <w:rPr>
          <w:rFonts w:hint="eastAsia" w:ascii="宋体" w:hAnsi="宋体" w:cs="宋体"/>
          <w:color w:val="auto"/>
          <w:spacing w:val="20"/>
          <w:sz w:val="24"/>
        </w:rPr>
        <w:t>其他</w:t>
      </w:r>
    </w:p>
    <w:p w14:paraId="18D8C2DD">
      <w:pPr>
        <w:adjustRightInd w:val="0"/>
        <w:snapToGrid w:val="0"/>
        <w:spacing w:line="360" w:lineRule="auto"/>
        <w:jc w:val="left"/>
        <w:rPr>
          <w:rFonts w:hint="eastAsia" w:ascii="宋体" w:hAnsi="宋体" w:cs="宋体"/>
          <w:color w:val="auto"/>
          <w:spacing w:val="20"/>
          <w:sz w:val="24"/>
        </w:rPr>
      </w:pPr>
      <w:r>
        <w:rPr>
          <w:rFonts w:hint="eastAsia" w:ascii="宋体" w:hAnsi="宋体" w:cs="宋体"/>
          <w:color w:val="auto"/>
          <w:spacing w:val="20"/>
          <w:sz w:val="24"/>
        </w:rPr>
        <w:t>双方约定的其他工程质量保修事项：</w:t>
      </w:r>
      <w:r>
        <w:rPr>
          <w:rFonts w:hint="eastAsia" w:ascii="宋体" w:hAnsi="宋体" w:cs="宋体"/>
          <w:color w:val="auto"/>
          <w:spacing w:val="20"/>
          <w:sz w:val="24"/>
          <w:u w:val="single"/>
        </w:rPr>
        <w:t xml:space="preserve"> 在工程保修期内，发包人根据合同规定的金额，在支付承包人的工程款内预留质量保证金。质量保证金为：</w:t>
      </w:r>
      <w:r>
        <w:rPr>
          <w:rFonts w:hint="eastAsia" w:ascii="宋体" w:hAnsi="宋体" w:cs="宋体"/>
          <w:color w:val="auto"/>
          <w:sz w:val="24"/>
          <w:u w:val="single"/>
        </w:rPr>
        <w:t>结算金额3%</w:t>
      </w:r>
      <w:r>
        <w:rPr>
          <w:rFonts w:hint="eastAsia" w:ascii="宋体" w:hAnsi="宋体" w:cs="宋体"/>
          <w:color w:val="auto"/>
          <w:spacing w:val="20"/>
          <w:sz w:val="24"/>
          <w:u w:val="single"/>
        </w:rPr>
        <w:t>，质量保证金银行利率为：0。发包人在工程质量保修满壹年之日起经发包人复核合格后可向财政部门申请全部退回质量保证金给承包人（无息）</w:t>
      </w:r>
      <w:r>
        <w:rPr>
          <w:rFonts w:hint="eastAsia" w:ascii="宋体" w:hAnsi="宋体" w:cs="宋体"/>
          <w:color w:val="auto"/>
          <w:spacing w:val="20"/>
          <w:sz w:val="24"/>
        </w:rPr>
        <w:t>。</w:t>
      </w:r>
    </w:p>
    <w:p w14:paraId="588CD37B">
      <w:pPr>
        <w:adjustRightInd w:val="0"/>
        <w:snapToGrid w:val="0"/>
        <w:spacing w:line="360" w:lineRule="auto"/>
        <w:ind w:firstLine="532" w:firstLineChars="190"/>
        <w:rPr>
          <w:rFonts w:hint="eastAsia" w:ascii="宋体" w:hAnsi="宋体" w:cs="宋体"/>
          <w:color w:val="auto"/>
          <w:spacing w:val="20"/>
          <w:sz w:val="24"/>
        </w:rPr>
      </w:pPr>
      <w:r>
        <w:rPr>
          <w:rFonts w:hint="eastAsia" w:ascii="宋体" w:hAnsi="宋体" w:cs="宋体"/>
          <w:color w:val="auto"/>
          <w:spacing w:val="20"/>
          <w:sz w:val="24"/>
        </w:rPr>
        <w:t>本工程质量保修书，由施工合同发包人、承包人双方在竣工验收前共同签署，作为施工合同附件，其有效期限至保修期满。</w:t>
      </w:r>
    </w:p>
    <w:p w14:paraId="02D74F45">
      <w:pPr>
        <w:adjustRightInd w:val="0"/>
        <w:snapToGrid w:val="0"/>
        <w:spacing w:line="360" w:lineRule="auto"/>
        <w:rPr>
          <w:rFonts w:hint="eastAsia" w:ascii="宋体" w:hAnsi="宋体" w:cs="宋体"/>
          <w:color w:val="auto"/>
          <w:spacing w:val="20"/>
          <w:sz w:val="24"/>
        </w:rPr>
      </w:pPr>
    </w:p>
    <w:p w14:paraId="16552065">
      <w:pPr>
        <w:adjustRightInd w:val="0"/>
        <w:snapToGrid w:val="0"/>
        <w:spacing w:line="360" w:lineRule="auto"/>
        <w:rPr>
          <w:rFonts w:hint="eastAsia" w:ascii="宋体" w:hAnsi="宋体" w:cs="宋体"/>
          <w:color w:val="auto"/>
          <w:spacing w:val="20"/>
          <w:sz w:val="24"/>
        </w:rPr>
      </w:pPr>
    </w:p>
    <w:p w14:paraId="1B074CAA">
      <w:pPr>
        <w:adjustRightInd w:val="0"/>
        <w:snapToGrid w:val="0"/>
        <w:spacing w:line="360" w:lineRule="auto"/>
        <w:ind w:firstLine="840" w:firstLineChars="300"/>
        <w:rPr>
          <w:rFonts w:hint="eastAsia" w:ascii="宋体" w:hAnsi="宋体" w:cs="宋体"/>
          <w:color w:val="auto"/>
          <w:spacing w:val="20"/>
          <w:sz w:val="24"/>
        </w:rPr>
      </w:pPr>
      <w:r>
        <w:rPr>
          <w:rFonts w:hint="eastAsia" w:ascii="宋体" w:hAnsi="宋体" w:cs="宋体"/>
          <w:color w:val="auto"/>
          <w:spacing w:val="20"/>
          <w:sz w:val="24"/>
        </w:rPr>
        <w:t>发包人（公章）                        承包人（公章）</w:t>
      </w:r>
    </w:p>
    <w:p w14:paraId="59D897AE">
      <w:pPr>
        <w:adjustRightInd w:val="0"/>
        <w:snapToGrid w:val="0"/>
        <w:spacing w:line="360" w:lineRule="auto"/>
        <w:rPr>
          <w:rFonts w:hint="eastAsia" w:ascii="宋体" w:hAnsi="宋体" w:cs="宋体"/>
          <w:color w:val="auto"/>
          <w:spacing w:val="20"/>
          <w:sz w:val="24"/>
          <w:u w:val="single"/>
        </w:rPr>
      </w:pPr>
    </w:p>
    <w:p w14:paraId="0D9BF361">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u w:val="single"/>
        </w:rPr>
        <w:t>浦北县江城街道办事处</w:t>
      </w:r>
      <w:r>
        <w:rPr>
          <w:rFonts w:hint="eastAsia" w:ascii="宋体" w:hAnsi="宋体" w:cs="宋体"/>
          <w:color w:val="auto"/>
          <w:spacing w:val="20"/>
          <w:sz w:val="24"/>
        </w:rPr>
        <w:t xml:space="preserve">              </w:t>
      </w:r>
      <w:r>
        <w:rPr>
          <w:rFonts w:hint="eastAsia" w:ascii="宋体" w:hAnsi="宋体" w:cs="宋体"/>
          <w:color w:val="auto"/>
          <w:spacing w:val="20"/>
          <w:sz w:val="24"/>
          <w:u w:val="single"/>
        </w:rPr>
        <w:t xml:space="preserve">                                                       </w:t>
      </w:r>
    </w:p>
    <w:p w14:paraId="6769DBC6">
      <w:pPr>
        <w:adjustRightInd w:val="0"/>
        <w:snapToGrid w:val="0"/>
        <w:spacing w:line="360" w:lineRule="auto"/>
        <w:rPr>
          <w:rFonts w:hint="eastAsia" w:ascii="宋体" w:hAnsi="宋体" w:cs="宋体"/>
          <w:color w:val="auto"/>
          <w:spacing w:val="20"/>
          <w:sz w:val="24"/>
          <w:u w:val="single"/>
        </w:rPr>
      </w:pPr>
    </w:p>
    <w:p w14:paraId="07D43EA1">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rPr>
        <w:t>法定代表人：</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法定代表人：</w:t>
      </w:r>
      <w:r>
        <w:rPr>
          <w:rFonts w:hint="eastAsia" w:ascii="宋体" w:hAnsi="宋体" w:cs="宋体"/>
          <w:color w:val="auto"/>
          <w:spacing w:val="20"/>
          <w:sz w:val="24"/>
          <w:u w:val="single"/>
        </w:rPr>
        <w:t xml:space="preserve">         </w:t>
      </w:r>
    </w:p>
    <w:p w14:paraId="078E8770">
      <w:pPr>
        <w:adjustRightInd w:val="0"/>
        <w:snapToGrid w:val="0"/>
        <w:spacing w:line="360" w:lineRule="auto"/>
        <w:rPr>
          <w:rFonts w:hint="eastAsia" w:ascii="宋体" w:hAnsi="宋体" w:cs="宋体"/>
          <w:color w:val="auto"/>
          <w:spacing w:val="20"/>
          <w:sz w:val="24"/>
          <w:u w:val="single"/>
        </w:rPr>
      </w:pPr>
    </w:p>
    <w:p w14:paraId="4E16EA2B">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rPr>
        <w:t>电  话：</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电  话：</w:t>
      </w:r>
      <w:r>
        <w:rPr>
          <w:rFonts w:hint="eastAsia" w:ascii="宋体" w:hAnsi="宋体" w:cs="宋体"/>
          <w:color w:val="auto"/>
          <w:spacing w:val="20"/>
          <w:sz w:val="24"/>
          <w:u w:val="single"/>
        </w:rPr>
        <w:t xml:space="preserve">           </w:t>
      </w:r>
    </w:p>
    <w:p w14:paraId="781A28A6">
      <w:pPr>
        <w:spacing w:before="156" w:beforeLines="50" w:after="156" w:afterLines="50" w:line="360" w:lineRule="auto"/>
        <w:rPr>
          <w:rFonts w:hint="eastAsia" w:ascii="宋体" w:hAnsi="宋体" w:cs="宋体"/>
          <w:color w:val="auto"/>
          <w:spacing w:val="20"/>
          <w:sz w:val="24"/>
        </w:rPr>
      </w:pPr>
    </w:p>
    <w:p w14:paraId="2C9F4E57">
      <w:pPr>
        <w:spacing w:before="156" w:beforeLines="50" w:after="156" w:afterLines="50" w:line="360" w:lineRule="auto"/>
        <w:rPr>
          <w:rFonts w:hint="eastAsia" w:ascii="宋体" w:hAnsi="宋体" w:cs="宋体"/>
          <w:color w:val="auto"/>
          <w:spacing w:val="20"/>
          <w:sz w:val="24"/>
        </w:rPr>
      </w:pPr>
      <w:r>
        <w:rPr>
          <w:rFonts w:hint="eastAsia" w:ascii="宋体" w:hAnsi="宋体" w:cs="宋体"/>
          <w:color w:val="auto"/>
          <w:spacing w:val="20"/>
          <w:sz w:val="24"/>
        </w:rPr>
        <w:t>附件2</w:t>
      </w:r>
    </w:p>
    <w:p w14:paraId="26D3B97F">
      <w:pPr>
        <w:spacing w:line="480" w:lineRule="auto"/>
        <w:jc w:val="center"/>
        <w:outlineLvl w:val="3"/>
        <w:rPr>
          <w:rFonts w:hint="eastAsia" w:ascii="宋体" w:hAnsi="宋体" w:cs="宋体"/>
          <w:b/>
          <w:bCs/>
          <w:color w:val="auto"/>
          <w:kern w:val="1"/>
          <w:sz w:val="24"/>
        </w:rPr>
      </w:pPr>
      <w:r>
        <w:rPr>
          <w:rFonts w:hint="eastAsia" w:ascii="宋体" w:hAnsi="宋体" w:cs="宋体"/>
          <w:b/>
          <w:bCs/>
          <w:color w:val="auto"/>
          <w:sz w:val="24"/>
        </w:rPr>
        <w:t>安全生产合同</w:t>
      </w:r>
    </w:p>
    <w:p w14:paraId="7CEDF4A4">
      <w:pPr>
        <w:rPr>
          <w:rFonts w:hint="eastAsia" w:ascii="宋体" w:hAnsi="宋体" w:cs="宋体"/>
          <w:color w:val="auto"/>
          <w:kern w:val="1"/>
          <w:sz w:val="24"/>
        </w:rPr>
      </w:pPr>
    </w:p>
    <w:p w14:paraId="5107739C">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为在</w:t>
      </w:r>
      <w:r>
        <w:rPr>
          <w:rFonts w:hint="eastAsia" w:ascii="宋体" w:hAnsi="宋体" w:cs="宋体"/>
          <w:b/>
          <w:color w:val="auto"/>
          <w:sz w:val="24"/>
          <w:u w:val="single"/>
        </w:rPr>
        <w:t xml:space="preserve"> </w:t>
      </w:r>
      <w:r>
        <w:rPr>
          <w:rFonts w:hint="eastAsia" w:ascii="宋体" w:hAnsi="宋体" w:eastAsia="宋体" w:cs="宋体"/>
          <w:b/>
          <w:color w:val="auto"/>
          <w:sz w:val="24"/>
          <w:u w:val="single"/>
          <w:lang w:eastAsia="zh-CN"/>
        </w:rPr>
        <w:t>浦北县江城街道办事处木麻根社区冲口安置地配电工程项目</w:t>
      </w:r>
      <w:r>
        <w:rPr>
          <w:rFonts w:hint="eastAsia" w:ascii="宋体" w:hAnsi="宋体" w:cs="宋体"/>
          <w:b/>
          <w:color w:val="auto"/>
          <w:sz w:val="24"/>
          <w:u w:val="single"/>
        </w:rPr>
        <w:t xml:space="preserve">  </w:t>
      </w:r>
      <w:r>
        <w:rPr>
          <w:rFonts w:hint="eastAsia" w:ascii="宋体" w:hAnsi="宋体" w:cs="宋体"/>
          <w:color w:val="auto"/>
          <w:kern w:val="1"/>
          <w:sz w:val="24"/>
        </w:rPr>
        <w:t>的实施过程中创造安全、高效的施工环境，切实搞好本项目的安全管理工作，本项目业主</w:t>
      </w:r>
      <w:r>
        <w:rPr>
          <w:rFonts w:hint="eastAsia" w:ascii="宋体" w:hAnsi="宋体" w:cs="宋体"/>
          <w:color w:val="auto"/>
          <w:kern w:val="1"/>
          <w:sz w:val="24"/>
          <w:u w:val="single"/>
        </w:rPr>
        <w:t xml:space="preserve"> </w:t>
      </w:r>
      <w:r>
        <w:rPr>
          <w:rFonts w:hint="eastAsia" w:ascii="宋体" w:hAnsi="宋体" w:cs="宋体"/>
          <w:color w:val="auto"/>
          <w:spacing w:val="20"/>
          <w:sz w:val="24"/>
          <w:u w:val="single"/>
        </w:rPr>
        <w:t>浦北县江城街道办事处</w:t>
      </w:r>
      <w:r>
        <w:rPr>
          <w:rFonts w:hint="eastAsia" w:ascii="宋体" w:hAnsi="宋体" w:cs="宋体"/>
          <w:color w:val="auto"/>
          <w:kern w:val="1"/>
          <w:sz w:val="24"/>
          <w:u w:val="single"/>
        </w:rPr>
        <w:t xml:space="preserve"> </w:t>
      </w:r>
      <w:r>
        <w:rPr>
          <w:rFonts w:hint="eastAsia" w:ascii="宋体" w:hAnsi="宋体" w:cs="宋体"/>
          <w:color w:val="auto"/>
          <w:kern w:val="1"/>
          <w:sz w:val="24"/>
        </w:rPr>
        <w:t>（以下简称“甲方”）与承包人</w:t>
      </w:r>
      <w:r>
        <w:rPr>
          <w:rFonts w:hint="eastAsia" w:ascii="宋体" w:hAnsi="宋体" w:cs="宋体"/>
          <w:b/>
          <w:bCs/>
          <w:color w:val="auto"/>
          <w:kern w:val="1"/>
          <w:sz w:val="24"/>
          <w:u w:val="single"/>
        </w:rPr>
        <w:t xml:space="preserve"> </w:t>
      </w:r>
      <w:r>
        <w:rPr>
          <w:rFonts w:hint="eastAsia" w:ascii="宋体" w:hAnsi="宋体" w:cs="宋体"/>
          <w:color w:val="auto"/>
          <w:sz w:val="24"/>
          <w:u w:val="single"/>
        </w:rPr>
        <w:t xml:space="preserve">                                  </w:t>
      </w:r>
      <w:r>
        <w:rPr>
          <w:rFonts w:hint="eastAsia" w:ascii="宋体" w:hAnsi="宋体" w:cs="宋体"/>
          <w:color w:val="auto"/>
          <w:kern w:val="1"/>
          <w:sz w:val="24"/>
        </w:rPr>
        <w:t>（以下简称“乙方”）特此签订安全生产合同：</w:t>
      </w:r>
    </w:p>
    <w:p w14:paraId="3324BE75">
      <w:pPr>
        <w:spacing w:line="360" w:lineRule="auto"/>
        <w:rPr>
          <w:rFonts w:hint="eastAsia" w:ascii="宋体" w:hAnsi="宋体" w:cs="宋体"/>
          <w:b/>
          <w:color w:val="auto"/>
          <w:kern w:val="1"/>
          <w:sz w:val="24"/>
        </w:rPr>
      </w:pPr>
      <w:r>
        <w:rPr>
          <w:rFonts w:hint="eastAsia" w:ascii="宋体" w:hAnsi="宋体" w:cs="宋体"/>
          <w:color w:val="auto"/>
          <w:kern w:val="1"/>
          <w:sz w:val="24"/>
        </w:rPr>
        <w:t xml:space="preserve">    </w:t>
      </w:r>
      <w:r>
        <w:rPr>
          <w:rFonts w:hint="eastAsia" w:ascii="宋体" w:hAnsi="宋体" w:cs="宋体"/>
          <w:b/>
          <w:color w:val="auto"/>
          <w:kern w:val="1"/>
          <w:sz w:val="24"/>
        </w:rPr>
        <w:t>一、甲方职责</w:t>
      </w:r>
    </w:p>
    <w:p w14:paraId="4542D65F">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1. 严格遵守国家有关安全生产的法律法规，认真执行工程承包合同中的有关安全要求。</w:t>
      </w:r>
    </w:p>
    <w:p w14:paraId="69CAB423">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2. 按照“安全第一、预防为主”和坚持“管生产必须管安全”的原则进行安全生产管理，做到生产与安全工作同时计划、布置、检查、总结和评比。</w:t>
      </w:r>
    </w:p>
    <w:p w14:paraId="2087FFF4">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3. 重要的安全设施必须坚持与主体工程“三同时”的原则，即：同时设计、审批，同时施工，同时验收，投入使用。</w:t>
      </w:r>
    </w:p>
    <w:p w14:paraId="34D77E4B">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4. 定期召开安全生产调度会，及时传达中央及地方有关安全生产的精神。</w:t>
      </w:r>
    </w:p>
    <w:p w14:paraId="2415914D">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5. 组织对乙方施工现场安全生产检查，监督乙方及时处理发现的各种安全隐患。</w:t>
      </w:r>
    </w:p>
    <w:p w14:paraId="4B74CBD0">
      <w:pPr>
        <w:spacing w:line="360" w:lineRule="auto"/>
        <w:rPr>
          <w:rFonts w:hint="eastAsia" w:ascii="宋体" w:hAnsi="宋体" w:cs="宋体"/>
          <w:b/>
          <w:color w:val="auto"/>
          <w:kern w:val="1"/>
          <w:sz w:val="24"/>
        </w:rPr>
      </w:pPr>
      <w:r>
        <w:rPr>
          <w:rFonts w:hint="eastAsia" w:ascii="宋体" w:hAnsi="宋体" w:cs="宋体"/>
          <w:color w:val="auto"/>
          <w:kern w:val="1"/>
          <w:sz w:val="24"/>
        </w:rPr>
        <w:t xml:space="preserve">    </w:t>
      </w:r>
      <w:r>
        <w:rPr>
          <w:rFonts w:hint="eastAsia" w:ascii="宋体" w:hAnsi="宋体" w:cs="宋体"/>
          <w:b/>
          <w:color w:val="auto"/>
          <w:kern w:val="1"/>
          <w:sz w:val="24"/>
        </w:rPr>
        <w:t>二、乙方职责</w:t>
      </w:r>
    </w:p>
    <w:p w14:paraId="4F343E97">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1. 严格遵守国家有关安全生产的法律法规、农业农村部、水利部颁发的有关安全生产的规定，认真执行工程承包合同中的有关安全要求。</w:t>
      </w:r>
    </w:p>
    <w:p w14:paraId="41198783">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BCA96F4">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834285A">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4. 乙方在任何时候都应采取各种合理的预防措施，防止其员工发生任何违法、违禁、暴力或妨碍治安的行为。</w:t>
      </w:r>
    </w:p>
    <w:p w14:paraId="170F02CA">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4A021FFD">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4F69A32">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7. 操作人员上岗，必须按规定穿戴防护用品。施工负责人和安全检查员应随时检查劳动防护用品的穿戴情况，不按规定穿戴防护用品的人员不得上岗。</w:t>
      </w:r>
    </w:p>
    <w:p w14:paraId="3AA40F24">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8. 所有施工机具设备和高空作业的设备均应定期检查，并有安全员的签字记录，保证其经常处于完好状态；不合格的机具、设备和劳动保护用品严禁使用。</w:t>
      </w:r>
    </w:p>
    <w:p w14:paraId="372E2A0F">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9. 施工中采用新技术、新工艺、新设备、新材料时，必须制定相应的安全技术措施，施工现场必须具有相关的安全标志牌。</w:t>
      </w:r>
    </w:p>
    <w:p w14:paraId="7922A780">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55C1B7">
      <w:pPr>
        <w:spacing w:line="360" w:lineRule="auto"/>
        <w:rPr>
          <w:rFonts w:hint="eastAsia" w:ascii="宋体" w:hAnsi="宋体" w:cs="宋体"/>
          <w:b/>
          <w:color w:val="auto"/>
          <w:kern w:val="1"/>
          <w:sz w:val="24"/>
        </w:rPr>
      </w:pPr>
      <w:r>
        <w:rPr>
          <w:rFonts w:hint="eastAsia" w:ascii="宋体" w:hAnsi="宋体" w:cs="宋体"/>
          <w:color w:val="auto"/>
          <w:kern w:val="1"/>
          <w:sz w:val="24"/>
        </w:rPr>
        <w:t xml:space="preserve">    </w:t>
      </w:r>
      <w:r>
        <w:rPr>
          <w:rFonts w:hint="eastAsia" w:ascii="宋体" w:hAnsi="宋体" w:cs="宋体"/>
          <w:b/>
          <w:color w:val="auto"/>
          <w:kern w:val="1"/>
          <w:sz w:val="24"/>
        </w:rPr>
        <w:t>三、违约责任</w:t>
      </w:r>
    </w:p>
    <w:p w14:paraId="4FD6AA3C">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如因甲方或乙方违约造成安全事故，将依法追究责任。</w:t>
      </w:r>
    </w:p>
    <w:p w14:paraId="4F1148EC">
      <w:pPr>
        <w:adjustRightInd w:val="0"/>
        <w:snapToGrid w:val="0"/>
        <w:spacing w:line="360" w:lineRule="auto"/>
        <w:ind w:firstLine="840" w:firstLineChars="300"/>
        <w:rPr>
          <w:rFonts w:hint="eastAsia" w:ascii="宋体" w:hAnsi="宋体" w:cs="宋体"/>
          <w:color w:val="auto"/>
          <w:spacing w:val="20"/>
          <w:sz w:val="24"/>
        </w:rPr>
      </w:pPr>
    </w:p>
    <w:p w14:paraId="5B9BF47A">
      <w:pPr>
        <w:adjustRightInd w:val="0"/>
        <w:snapToGrid w:val="0"/>
        <w:spacing w:line="360" w:lineRule="auto"/>
        <w:ind w:firstLine="840" w:firstLineChars="300"/>
        <w:rPr>
          <w:rFonts w:hint="eastAsia" w:ascii="宋体" w:hAnsi="宋体" w:cs="宋体"/>
          <w:color w:val="auto"/>
          <w:spacing w:val="20"/>
          <w:sz w:val="24"/>
        </w:rPr>
      </w:pPr>
      <w:r>
        <w:rPr>
          <w:rFonts w:hint="eastAsia" w:ascii="宋体" w:hAnsi="宋体" w:cs="宋体"/>
          <w:color w:val="auto"/>
          <w:spacing w:val="20"/>
          <w:sz w:val="24"/>
        </w:rPr>
        <w:t>发包人（公章）                        承包人（公章）</w:t>
      </w:r>
    </w:p>
    <w:p w14:paraId="614F890B">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u w:val="single"/>
        </w:rPr>
        <w:t>浦北县江城街道办事处</w:t>
      </w:r>
      <w:r>
        <w:rPr>
          <w:rFonts w:hint="eastAsia" w:ascii="宋体" w:hAnsi="宋体" w:cs="宋体"/>
          <w:color w:val="auto"/>
          <w:spacing w:val="20"/>
          <w:sz w:val="24"/>
        </w:rPr>
        <w:t xml:space="preserve">              </w:t>
      </w:r>
      <w:r>
        <w:rPr>
          <w:rFonts w:hint="eastAsia" w:ascii="宋体" w:hAnsi="宋体" w:cs="宋体"/>
          <w:color w:val="auto"/>
          <w:spacing w:val="20"/>
          <w:sz w:val="24"/>
          <w:u w:val="single"/>
        </w:rPr>
        <w:t xml:space="preserve">                                                       </w:t>
      </w:r>
    </w:p>
    <w:p w14:paraId="720719A4">
      <w:pPr>
        <w:adjustRightInd w:val="0"/>
        <w:snapToGrid w:val="0"/>
        <w:spacing w:line="360" w:lineRule="auto"/>
        <w:rPr>
          <w:rFonts w:hint="eastAsia" w:ascii="宋体" w:hAnsi="宋体" w:cs="宋体"/>
          <w:color w:val="auto"/>
          <w:spacing w:val="20"/>
          <w:sz w:val="24"/>
          <w:u w:val="single"/>
        </w:rPr>
      </w:pPr>
      <w:r>
        <w:rPr>
          <w:rFonts w:hint="eastAsia" w:ascii="宋体" w:hAnsi="宋体" w:cs="宋体"/>
          <w:color w:val="auto"/>
          <w:spacing w:val="20"/>
          <w:sz w:val="24"/>
        </w:rPr>
        <w:t>法定代表人：</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法定代表人：</w:t>
      </w:r>
      <w:r>
        <w:rPr>
          <w:rFonts w:hint="eastAsia" w:ascii="宋体" w:hAnsi="宋体" w:cs="宋体"/>
          <w:color w:val="auto"/>
          <w:spacing w:val="20"/>
          <w:sz w:val="24"/>
          <w:u w:val="single"/>
        </w:rPr>
        <w:t xml:space="preserve">           </w:t>
      </w:r>
    </w:p>
    <w:p w14:paraId="774685A7">
      <w:pPr>
        <w:spacing w:line="360" w:lineRule="auto"/>
        <w:rPr>
          <w:color w:val="auto"/>
          <w:szCs w:val="21"/>
        </w:rPr>
      </w:pPr>
      <w:r>
        <w:rPr>
          <w:rFonts w:hint="eastAsia" w:ascii="宋体" w:hAnsi="宋体" w:cs="宋体"/>
          <w:color w:val="auto"/>
          <w:spacing w:val="20"/>
          <w:sz w:val="24"/>
        </w:rPr>
        <w:t>电  话：</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电  话：</w:t>
      </w:r>
      <w:r>
        <w:rPr>
          <w:rFonts w:hint="eastAsia" w:ascii="宋体" w:hAnsi="宋体" w:cs="宋体"/>
          <w:color w:val="auto"/>
          <w:spacing w:val="20"/>
          <w:sz w:val="24"/>
          <w:u w:val="single"/>
        </w:rPr>
        <w:t xml:space="preserve">              </w:t>
      </w:r>
      <w:bookmarkEnd w:id="105"/>
      <w:bookmarkEnd w:id="106"/>
      <w:bookmarkEnd w:id="107"/>
      <w:bookmarkEnd w:id="109"/>
      <w:bookmarkEnd w:id="110"/>
      <w:bookmarkEnd w:id="111"/>
      <w:bookmarkEnd w:id="112"/>
      <w:bookmarkEnd w:id="113"/>
      <w:bookmarkEnd w:id="114"/>
    </w:p>
    <w:p w14:paraId="11C4A6A4">
      <w:pPr>
        <w:spacing w:line="260" w:lineRule="auto"/>
        <w:rPr>
          <w:rFonts w:ascii="Arial"/>
          <w:color w:val="auto"/>
          <w:sz w:val="21"/>
        </w:rPr>
      </w:pPr>
    </w:p>
    <w:p w14:paraId="47EF91C3">
      <w:pPr>
        <w:spacing w:line="261" w:lineRule="auto"/>
        <w:rPr>
          <w:rFonts w:ascii="Arial"/>
          <w:color w:val="auto"/>
          <w:sz w:val="21"/>
        </w:rPr>
      </w:pPr>
    </w:p>
    <w:p w14:paraId="056E98F5">
      <w:pPr>
        <w:spacing w:line="360" w:lineRule="auto"/>
        <w:rPr>
          <w:color w:val="auto"/>
          <w:szCs w:val="21"/>
          <w:highlight w:val="none"/>
        </w:rPr>
      </w:pPr>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C734AB5-D2AA-47FB-941D-FA6259606699}"/>
  </w:font>
  <w:font w:name="黑体">
    <w:panose1 w:val="02010609060101010101"/>
    <w:charset w:val="86"/>
    <w:family w:val="auto"/>
    <w:pitch w:val="default"/>
    <w:sig w:usb0="800002BF" w:usb1="38CF7CFA" w:usb2="00000016" w:usb3="00000000" w:csb0="00040001" w:csb1="00000000"/>
    <w:embedRegular r:id="rId2" w:fontKey="{1F971EF6-780E-44A6-AFAF-42337FA35F43}"/>
  </w:font>
  <w:font w:name="Courier New">
    <w:panose1 w:val="02070309020205020404"/>
    <w:charset w:val="01"/>
    <w:family w:val="modern"/>
    <w:pitch w:val="default"/>
    <w:sig w:usb0="E0002AFF" w:usb1="C0007843" w:usb2="00000009" w:usb3="00000000" w:csb0="400001FF" w:csb1="FFFF0000"/>
    <w:embedRegular r:id="rId3" w:fontKey="{5EBEDDF2-5C08-4066-AC3B-35E3871E994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22104030-E3D3-492E-A84D-9749A7405583}"/>
  </w:font>
  <w:font w:name="仿宋">
    <w:panose1 w:val="02010609060101010101"/>
    <w:charset w:val="86"/>
    <w:family w:val="modern"/>
    <w:pitch w:val="default"/>
    <w:sig w:usb0="800002BF" w:usb1="38CF7CFA" w:usb2="00000016" w:usb3="00000000" w:csb0="00040001" w:csb1="00000000"/>
    <w:embedRegular r:id="rId5" w:fontKey="{4924EF74-3ABB-4476-819E-694245513130}"/>
  </w:font>
  <w:font w:name="Cambria">
    <w:panose1 w:val="02040503050406030204"/>
    <w:charset w:val="00"/>
    <w:family w:val="roman"/>
    <w:pitch w:val="default"/>
    <w:sig w:usb0="E00002FF" w:usb1="400004FF" w:usb2="00000000" w:usb3="00000000" w:csb0="2000019F" w:csb1="00000000"/>
    <w:embedRegular r:id="rId6" w:fontKey="{68A17D83-8ED3-4391-A16D-C75892D25D75}"/>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7" w:fontKey="{8D4387B5-DF93-47CD-A473-B3C0F220AC4D}"/>
  </w:font>
  <w:font w:name="Helvetica">
    <w:panose1 w:val="020B0604020202020204"/>
    <w:charset w:val="00"/>
    <w:family w:val="swiss"/>
    <w:pitch w:val="default"/>
    <w:sig w:usb0="00000000" w:usb1="00000000" w:usb2="00000000" w:usb3="00000000" w:csb0="00000000" w:csb1="00000000"/>
    <w:embedRegular r:id="rId8" w:fontKey="{7FEDA37D-2E84-4052-BC26-6AE737F676BE}"/>
  </w:font>
  <w:font w:name="Tahoma">
    <w:panose1 w:val="020B0604030504040204"/>
    <w:charset w:val="00"/>
    <w:family w:val="swiss"/>
    <w:pitch w:val="default"/>
    <w:sig w:usb0="E1002EFF" w:usb1="C000605B" w:usb2="00000029" w:usb3="00000000" w:csb0="200101FF" w:csb1="20280000"/>
    <w:embedRegular r:id="rId9" w:fontKey="{4EEA3702-60AB-49C9-824B-B59759D27F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0E02">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357B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59357B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233E">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2C4DD6">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E2C4DD6">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D81C">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A33BC">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6A33BC">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F13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2B0A">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C3FD">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56C60"/>
    <w:rsid w:val="0027615C"/>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769EB"/>
    <w:rsid w:val="006C03D0"/>
    <w:rsid w:val="006E49D4"/>
    <w:rsid w:val="006F4DB7"/>
    <w:rsid w:val="007051D0"/>
    <w:rsid w:val="00712F5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3B7D"/>
    <w:rsid w:val="00985A95"/>
    <w:rsid w:val="009942A1"/>
    <w:rsid w:val="009A2CCA"/>
    <w:rsid w:val="009B2168"/>
    <w:rsid w:val="009D2098"/>
    <w:rsid w:val="009E6A77"/>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41D5C"/>
    <w:rsid w:val="00B53F5F"/>
    <w:rsid w:val="00B57815"/>
    <w:rsid w:val="00B94E97"/>
    <w:rsid w:val="00BA74DD"/>
    <w:rsid w:val="00BC04D1"/>
    <w:rsid w:val="00BC2F65"/>
    <w:rsid w:val="00C720D9"/>
    <w:rsid w:val="00CD32AF"/>
    <w:rsid w:val="00CE6497"/>
    <w:rsid w:val="00D077EC"/>
    <w:rsid w:val="00D12F80"/>
    <w:rsid w:val="00D17065"/>
    <w:rsid w:val="00D246F4"/>
    <w:rsid w:val="00D676B2"/>
    <w:rsid w:val="00D7037D"/>
    <w:rsid w:val="00DA25AA"/>
    <w:rsid w:val="00DC35A4"/>
    <w:rsid w:val="00DD6B5C"/>
    <w:rsid w:val="00E828D2"/>
    <w:rsid w:val="00E85F78"/>
    <w:rsid w:val="00F447E0"/>
    <w:rsid w:val="00F5573C"/>
    <w:rsid w:val="00FA5913"/>
    <w:rsid w:val="00FE58B4"/>
    <w:rsid w:val="00FF0247"/>
    <w:rsid w:val="00FF6368"/>
    <w:rsid w:val="01003FCC"/>
    <w:rsid w:val="01104A24"/>
    <w:rsid w:val="013730A5"/>
    <w:rsid w:val="01457570"/>
    <w:rsid w:val="014C3BDB"/>
    <w:rsid w:val="016D676E"/>
    <w:rsid w:val="01813E16"/>
    <w:rsid w:val="0190392E"/>
    <w:rsid w:val="01A340D1"/>
    <w:rsid w:val="01BA6796"/>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A80DB6"/>
    <w:rsid w:val="03BE5C4F"/>
    <w:rsid w:val="03C57F1D"/>
    <w:rsid w:val="03D3354B"/>
    <w:rsid w:val="03F370EA"/>
    <w:rsid w:val="043C2B7C"/>
    <w:rsid w:val="04415B0D"/>
    <w:rsid w:val="045D6149"/>
    <w:rsid w:val="04631E56"/>
    <w:rsid w:val="047553ED"/>
    <w:rsid w:val="04832496"/>
    <w:rsid w:val="048838BB"/>
    <w:rsid w:val="04903C37"/>
    <w:rsid w:val="04924FE3"/>
    <w:rsid w:val="04A24CDA"/>
    <w:rsid w:val="04AF1326"/>
    <w:rsid w:val="04FD0E31"/>
    <w:rsid w:val="050637A5"/>
    <w:rsid w:val="050B287F"/>
    <w:rsid w:val="05230D78"/>
    <w:rsid w:val="054769B3"/>
    <w:rsid w:val="05480B39"/>
    <w:rsid w:val="05571F68"/>
    <w:rsid w:val="05A0262C"/>
    <w:rsid w:val="05F46366"/>
    <w:rsid w:val="06021BFE"/>
    <w:rsid w:val="061631B2"/>
    <w:rsid w:val="06191E33"/>
    <w:rsid w:val="061C3D5B"/>
    <w:rsid w:val="06352C8D"/>
    <w:rsid w:val="06376F97"/>
    <w:rsid w:val="065A3ABE"/>
    <w:rsid w:val="068154EF"/>
    <w:rsid w:val="06836237"/>
    <w:rsid w:val="06A7419D"/>
    <w:rsid w:val="06E35353"/>
    <w:rsid w:val="06EC222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B2776D"/>
    <w:rsid w:val="09C735AB"/>
    <w:rsid w:val="09D41DD9"/>
    <w:rsid w:val="09D822DD"/>
    <w:rsid w:val="09FB0360"/>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5636E2"/>
    <w:rsid w:val="0C770701"/>
    <w:rsid w:val="0C78199D"/>
    <w:rsid w:val="0C816B43"/>
    <w:rsid w:val="0CB060DE"/>
    <w:rsid w:val="0CB43D56"/>
    <w:rsid w:val="0CBA47E6"/>
    <w:rsid w:val="0CBF41E0"/>
    <w:rsid w:val="0CCC6BCF"/>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A48F5"/>
    <w:rsid w:val="0F294B59"/>
    <w:rsid w:val="0F37609A"/>
    <w:rsid w:val="0F5E7FAF"/>
    <w:rsid w:val="0F666CCA"/>
    <w:rsid w:val="0F801C32"/>
    <w:rsid w:val="0FC73BE9"/>
    <w:rsid w:val="0FDA0B8C"/>
    <w:rsid w:val="0FDD010F"/>
    <w:rsid w:val="0FEC00EE"/>
    <w:rsid w:val="0FEE6836"/>
    <w:rsid w:val="0FF66442"/>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A823B3"/>
    <w:rsid w:val="11AD4D9B"/>
    <w:rsid w:val="11BF6701"/>
    <w:rsid w:val="11C436DA"/>
    <w:rsid w:val="11CC3E60"/>
    <w:rsid w:val="11DC229F"/>
    <w:rsid w:val="121E0907"/>
    <w:rsid w:val="122E78D2"/>
    <w:rsid w:val="12417917"/>
    <w:rsid w:val="12423A2C"/>
    <w:rsid w:val="125C359D"/>
    <w:rsid w:val="12972A6D"/>
    <w:rsid w:val="12A03046"/>
    <w:rsid w:val="12F16C1F"/>
    <w:rsid w:val="132A0CBC"/>
    <w:rsid w:val="137F578F"/>
    <w:rsid w:val="138A5D40"/>
    <w:rsid w:val="138C7281"/>
    <w:rsid w:val="13B33EEB"/>
    <w:rsid w:val="13BC12BF"/>
    <w:rsid w:val="13BF768D"/>
    <w:rsid w:val="13CF3AB0"/>
    <w:rsid w:val="14034BB8"/>
    <w:rsid w:val="14236617"/>
    <w:rsid w:val="14405D22"/>
    <w:rsid w:val="1444201F"/>
    <w:rsid w:val="14806C8E"/>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71C17FB"/>
    <w:rsid w:val="171D46C2"/>
    <w:rsid w:val="171F74F7"/>
    <w:rsid w:val="172F4AF3"/>
    <w:rsid w:val="174119F0"/>
    <w:rsid w:val="17580A4C"/>
    <w:rsid w:val="17593127"/>
    <w:rsid w:val="17607065"/>
    <w:rsid w:val="176F2E6E"/>
    <w:rsid w:val="17716EB9"/>
    <w:rsid w:val="17863661"/>
    <w:rsid w:val="17A941B6"/>
    <w:rsid w:val="17E2165E"/>
    <w:rsid w:val="180C7126"/>
    <w:rsid w:val="181C7503"/>
    <w:rsid w:val="18236833"/>
    <w:rsid w:val="18333BE2"/>
    <w:rsid w:val="18664E5B"/>
    <w:rsid w:val="18776039"/>
    <w:rsid w:val="188305B7"/>
    <w:rsid w:val="18B2001B"/>
    <w:rsid w:val="1904363B"/>
    <w:rsid w:val="191C7213"/>
    <w:rsid w:val="196D36B1"/>
    <w:rsid w:val="19813A83"/>
    <w:rsid w:val="19845EE9"/>
    <w:rsid w:val="199D157A"/>
    <w:rsid w:val="199D5C40"/>
    <w:rsid w:val="19A940E1"/>
    <w:rsid w:val="19BA6784"/>
    <w:rsid w:val="19E80221"/>
    <w:rsid w:val="1A0B3DC0"/>
    <w:rsid w:val="1A2F6BB8"/>
    <w:rsid w:val="1A397664"/>
    <w:rsid w:val="1A700B7C"/>
    <w:rsid w:val="1A873FD2"/>
    <w:rsid w:val="1A9C70C5"/>
    <w:rsid w:val="1AB8269D"/>
    <w:rsid w:val="1AE41258"/>
    <w:rsid w:val="1AEB00AB"/>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2001A09"/>
    <w:rsid w:val="22096FE7"/>
    <w:rsid w:val="221E50FA"/>
    <w:rsid w:val="222D1D02"/>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225F9F"/>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52732"/>
    <w:rsid w:val="280944AF"/>
    <w:rsid w:val="282646EC"/>
    <w:rsid w:val="282C6E8B"/>
    <w:rsid w:val="283C2BCC"/>
    <w:rsid w:val="28662581"/>
    <w:rsid w:val="28687751"/>
    <w:rsid w:val="286B4291"/>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CA04EF"/>
    <w:rsid w:val="2BE13188"/>
    <w:rsid w:val="2BE713FE"/>
    <w:rsid w:val="2C053476"/>
    <w:rsid w:val="2C113654"/>
    <w:rsid w:val="2C1B212D"/>
    <w:rsid w:val="2C3E2C44"/>
    <w:rsid w:val="2C44674C"/>
    <w:rsid w:val="2C920372"/>
    <w:rsid w:val="2CBD193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553E1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75450C"/>
    <w:rsid w:val="31843543"/>
    <w:rsid w:val="31857990"/>
    <w:rsid w:val="318B126D"/>
    <w:rsid w:val="31A1157A"/>
    <w:rsid w:val="31BA31DE"/>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401C96"/>
    <w:rsid w:val="345E13BA"/>
    <w:rsid w:val="345E3292"/>
    <w:rsid w:val="34664A0B"/>
    <w:rsid w:val="346E2D0F"/>
    <w:rsid w:val="34AE1E6A"/>
    <w:rsid w:val="34F85D6A"/>
    <w:rsid w:val="350E3B42"/>
    <w:rsid w:val="35125628"/>
    <w:rsid w:val="352100FF"/>
    <w:rsid w:val="352167CF"/>
    <w:rsid w:val="35660444"/>
    <w:rsid w:val="3566212E"/>
    <w:rsid w:val="356B276A"/>
    <w:rsid w:val="358E654C"/>
    <w:rsid w:val="35965B9C"/>
    <w:rsid w:val="359F0A1F"/>
    <w:rsid w:val="35C43240"/>
    <w:rsid w:val="35D42CBE"/>
    <w:rsid w:val="35E054FE"/>
    <w:rsid w:val="360D03D3"/>
    <w:rsid w:val="361B3EDC"/>
    <w:rsid w:val="361F6493"/>
    <w:rsid w:val="365C025C"/>
    <w:rsid w:val="36626692"/>
    <w:rsid w:val="367242E0"/>
    <w:rsid w:val="36897340"/>
    <w:rsid w:val="36A63BA7"/>
    <w:rsid w:val="36D05609"/>
    <w:rsid w:val="36E35E9F"/>
    <w:rsid w:val="36EC24B8"/>
    <w:rsid w:val="36FF2B34"/>
    <w:rsid w:val="3712448B"/>
    <w:rsid w:val="374E3122"/>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2B54FF"/>
    <w:rsid w:val="3E874902"/>
    <w:rsid w:val="3E921361"/>
    <w:rsid w:val="3EA96219"/>
    <w:rsid w:val="3EB06A0E"/>
    <w:rsid w:val="3EB31640"/>
    <w:rsid w:val="3EB54AE2"/>
    <w:rsid w:val="3EB92D62"/>
    <w:rsid w:val="3EBE041F"/>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AD13F6"/>
    <w:rsid w:val="41B67760"/>
    <w:rsid w:val="41F63571"/>
    <w:rsid w:val="4200486D"/>
    <w:rsid w:val="42084854"/>
    <w:rsid w:val="420A4AA8"/>
    <w:rsid w:val="42204EB5"/>
    <w:rsid w:val="42341E3D"/>
    <w:rsid w:val="423C231C"/>
    <w:rsid w:val="424E5D3B"/>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D2A75"/>
    <w:rsid w:val="44151500"/>
    <w:rsid w:val="44225771"/>
    <w:rsid w:val="442E2C0A"/>
    <w:rsid w:val="443415E8"/>
    <w:rsid w:val="44471AAC"/>
    <w:rsid w:val="44526732"/>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C73292"/>
    <w:rsid w:val="47D9109A"/>
    <w:rsid w:val="47DF1EDE"/>
    <w:rsid w:val="47E32A44"/>
    <w:rsid w:val="48001EB1"/>
    <w:rsid w:val="48321F62"/>
    <w:rsid w:val="483B5850"/>
    <w:rsid w:val="485F067A"/>
    <w:rsid w:val="48A46FB5"/>
    <w:rsid w:val="48C60564"/>
    <w:rsid w:val="48C63978"/>
    <w:rsid w:val="48D931CF"/>
    <w:rsid w:val="48DB1A95"/>
    <w:rsid w:val="48DE4B3F"/>
    <w:rsid w:val="49095468"/>
    <w:rsid w:val="492B4F94"/>
    <w:rsid w:val="492E6967"/>
    <w:rsid w:val="49A25D9E"/>
    <w:rsid w:val="49A96B07"/>
    <w:rsid w:val="49C51CAF"/>
    <w:rsid w:val="49F50A0E"/>
    <w:rsid w:val="49F53957"/>
    <w:rsid w:val="4A2057D5"/>
    <w:rsid w:val="4A2A06C4"/>
    <w:rsid w:val="4A38723F"/>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BA34B8C"/>
    <w:rsid w:val="4BD22165"/>
    <w:rsid w:val="4C073223"/>
    <w:rsid w:val="4C1A464A"/>
    <w:rsid w:val="4C274913"/>
    <w:rsid w:val="4C941131"/>
    <w:rsid w:val="4CA14D01"/>
    <w:rsid w:val="4CAC3D23"/>
    <w:rsid w:val="4CBB0999"/>
    <w:rsid w:val="4CCF792C"/>
    <w:rsid w:val="4CED7708"/>
    <w:rsid w:val="4CFB7F38"/>
    <w:rsid w:val="4CFE7AD0"/>
    <w:rsid w:val="4D033455"/>
    <w:rsid w:val="4D10719D"/>
    <w:rsid w:val="4D2211D8"/>
    <w:rsid w:val="4D583F97"/>
    <w:rsid w:val="4D725764"/>
    <w:rsid w:val="4DC002E1"/>
    <w:rsid w:val="4DC07059"/>
    <w:rsid w:val="4DC332C4"/>
    <w:rsid w:val="4DD44A19"/>
    <w:rsid w:val="4DE75FC1"/>
    <w:rsid w:val="4E23527B"/>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C3EA9"/>
    <w:rsid w:val="50ED0E10"/>
    <w:rsid w:val="51053BF3"/>
    <w:rsid w:val="513B0119"/>
    <w:rsid w:val="513C7D41"/>
    <w:rsid w:val="515A0C65"/>
    <w:rsid w:val="515E27BB"/>
    <w:rsid w:val="51766187"/>
    <w:rsid w:val="518B5EA5"/>
    <w:rsid w:val="51A45F6D"/>
    <w:rsid w:val="51B907B6"/>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9566A0"/>
    <w:rsid w:val="55C8191C"/>
    <w:rsid w:val="55C8432B"/>
    <w:rsid w:val="55D33DE7"/>
    <w:rsid w:val="56223544"/>
    <w:rsid w:val="562B0309"/>
    <w:rsid w:val="56320F1A"/>
    <w:rsid w:val="564B2BDF"/>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E4DA3"/>
    <w:rsid w:val="572E781C"/>
    <w:rsid w:val="575952E3"/>
    <w:rsid w:val="575C3A47"/>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A065F4B"/>
    <w:rsid w:val="5A0B1C28"/>
    <w:rsid w:val="5A2255E6"/>
    <w:rsid w:val="5A317807"/>
    <w:rsid w:val="5A851E01"/>
    <w:rsid w:val="5A8F2EB6"/>
    <w:rsid w:val="5AA15ABA"/>
    <w:rsid w:val="5AB06C76"/>
    <w:rsid w:val="5AF63E2E"/>
    <w:rsid w:val="5B070568"/>
    <w:rsid w:val="5B1128EC"/>
    <w:rsid w:val="5B29025F"/>
    <w:rsid w:val="5B3143F9"/>
    <w:rsid w:val="5B503CBD"/>
    <w:rsid w:val="5BA069F2"/>
    <w:rsid w:val="5BF21181"/>
    <w:rsid w:val="5BFA46DF"/>
    <w:rsid w:val="5BFD0432"/>
    <w:rsid w:val="5C1974E5"/>
    <w:rsid w:val="5C1C7E80"/>
    <w:rsid w:val="5C462A68"/>
    <w:rsid w:val="5C4828EE"/>
    <w:rsid w:val="5C856CEB"/>
    <w:rsid w:val="5CA72002"/>
    <w:rsid w:val="5CBD3C20"/>
    <w:rsid w:val="5CBF734C"/>
    <w:rsid w:val="5CE075FF"/>
    <w:rsid w:val="5CE9518C"/>
    <w:rsid w:val="5D2166D8"/>
    <w:rsid w:val="5D272680"/>
    <w:rsid w:val="5D45468E"/>
    <w:rsid w:val="5D6B04DF"/>
    <w:rsid w:val="5D707B84"/>
    <w:rsid w:val="5D8F09AD"/>
    <w:rsid w:val="5D9B1497"/>
    <w:rsid w:val="5DA43D6D"/>
    <w:rsid w:val="5DDC51F6"/>
    <w:rsid w:val="5DE3422A"/>
    <w:rsid w:val="5E05130E"/>
    <w:rsid w:val="5E135B29"/>
    <w:rsid w:val="5E466F37"/>
    <w:rsid w:val="5E4E0751"/>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B16607"/>
    <w:rsid w:val="64D401A5"/>
    <w:rsid w:val="65024685"/>
    <w:rsid w:val="65082033"/>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782CD3"/>
    <w:rsid w:val="697F5EFC"/>
    <w:rsid w:val="698A7439"/>
    <w:rsid w:val="69936875"/>
    <w:rsid w:val="69964E32"/>
    <w:rsid w:val="69AE114D"/>
    <w:rsid w:val="69C73736"/>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60017"/>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52341"/>
    <w:rsid w:val="76BA690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6001F6"/>
    <w:rsid w:val="78770683"/>
    <w:rsid w:val="7895462E"/>
    <w:rsid w:val="78D631FC"/>
    <w:rsid w:val="78FC2FBF"/>
    <w:rsid w:val="78FD5501"/>
    <w:rsid w:val="791467F0"/>
    <w:rsid w:val="79192B4F"/>
    <w:rsid w:val="79430114"/>
    <w:rsid w:val="79430A37"/>
    <w:rsid w:val="795E7C16"/>
    <w:rsid w:val="795F01E3"/>
    <w:rsid w:val="79A81D28"/>
    <w:rsid w:val="79AD6C40"/>
    <w:rsid w:val="79B10333"/>
    <w:rsid w:val="79C95ADF"/>
    <w:rsid w:val="79EF0BCC"/>
    <w:rsid w:val="79FF02D1"/>
    <w:rsid w:val="7A0612C2"/>
    <w:rsid w:val="7A1833CE"/>
    <w:rsid w:val="7A1F3257"/>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C6C66"/>
    <w:rsid w:val="7B5C332E"/>
    <w:rsid w:val="7B5D6F2D"/>
    <w:rsid w:val="7B904C22"/>
    <w:rsid w:val="7B9E18EF"/>
    <w:rsid w:val="7BB9672E"/>
    <w:rsid w:val="7BE45955"/>
    <w:rsid w:val="7C0968F5"/>
    <w:rsid w:val="7C1235AA"/>
    <w:rsid w:val="7C160893"/>
    <w:rsid w:val="7C4751E6"/>
    <w:rsid w:val="7C552D07"/>
    <w:rsid w:val="7C5622FF"/>
    <w:rsid w:val="7C571497"/>
    <w:rsid w:val="7C585051"/>
    <w:rsid w:val="7C920181"/>
    <w:rsid w:val="7CB95588"/>
    <w:rsid w:val="7CBA56FF"/>
    <w:rsid w:val="7CE64D15"/>
    <w:rsid w:val="7CF732D1"/>
    <w:rsid w:val="7D131D7B"/>
    <w:rsid w:val="7D1E10B2"/>
    <w:rsid w:val="7D3D5EFF"/>
    <w:rsid w:val="7D435739"/>
    <w:rsid w:val="7D4B1C96"/>
    <w:rsid w:val="7D586CD5"/>
    <w:rsid w:val="7D93221A"/>
    <w:rsid w:val="7DA977AA"/>
    <w:rsid w:val="7DAC0454"/>
    <w:rsid w:val="7DED2A89"/>
    <w:rsid w:val="7DFA3D48"/>
    <w:rsid w:val="7E4D4360"/>
    <w:rsid w:val="7E63789F"/>
    <w:rsid w:val="7E980733"/>
    <w:rsid w:val="7E9B4DC3"/>
    <w:rsid w:val="7EC57197"/>
    <w:rsid w:val="7EFB4248"/>
    <w:rsid w:val="7EFD7DC7"/>
    <w:rsid w:val="7F274E2A"/>
    <w:rsid w:val="7F2C2F55"/>
    <w:rsid w:val="7F45439F"/>
    <w:rsid w:val="7F4A4D43"/>
    <w:rsid w:val="7F545830"/>
    <w:rsid w:val="7F590F20"/>
    <w:rsid w:val="7F5C44C1"/>
    <w:rsid w:val="7F5D047E"/>
    <w:rsid w:val="7F8F3F40"/>
    <w:rsid w:val="7FA62478"/>
    <w:rsid w:val="7FB2257F"/>
    <w:rsid w:val="7FC82A1A"/>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5">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7">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8">
    <w:name w:val="heading 5"/>
    <w:basedOn w:val="1"/>
    <w:next w:val="1"/>
    <w:autoRedefine/>
    <w:qFormat/>
    <w:uiPriority w:val="0"/>
    <w:pPr>
      <w:keepNext/>
      <w:keepLines/>
      <w:spacing w:line="372" w:lineRule="auto"/>
      <w:outlineLvl w:val="4"/>
    </w:pPr>
    <w:rPr>
      <w:b/>
      <w:bCs/>
      <w:sz w:val="28"/>
      <w:szCs w:val="28"/>
    </w:rPr>
  </w:style>
  <w:style w:type="paragraph" w:styleId="9">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autoRedefine/>
    <w:qFormat/>
    <w:uiPriority w:val="99"/>
    <w:pPr>
      <w:spacing w:before="25" w:after="25"/>
      <w:jc w:val="left"/>
    </w:pPr>
    <w:rPr>
      <w:bCs/>
      <w:spacing w:val="10"/>
      <w:kern w:val="0"/>
      <w:sz w:val="24"/>
    </w:rPr>
  </w:style>
  <w:style w:type="paragraph" w:styleId="3">
    <w:name w:val="Body Text Indent"/>
    <w:basedOn w:val="1"/>
    <w:autoRedefine/>
    <w:qFormat/>
    <w:uiPriority w:val="0"/>
    <w:pPr>
      <w:ind w:firstLine="830" w:firstLineChars="352"/>
    </w:pPr>
    <w:rPr>
      <w:rFonts w:ascii="仿宋_GB2312" w:eastAsia="仿宋_GB2312"/>
      <w:sz w:val="32"/>
      <w:szCs w:val="20"/>
    </w:rPr>
  </w:style>
  <w:style w:type="paragraph" w:styleId="10">
    <w:name w:val="Normal Indent"/>
    <w:basedOn w:val="1"/>
    <w:autoRedefine/>
    <w:unhideWhenUsed/>
    <w:qFormat/>
    <w:uiPriority w:val="0"/>
    <w:pPr>
      <w:ind w:firstLine="420" w:firstLineChars="200"/>
    </w:pPr>
  </w:style>
  <w:style w:type="paragraph" w:styleId="11">
    <w:name w:val="annotation text"/>
    <w:basedOn w:val="1"/>
    <w:link w:val="51"/>
    <w:autoRedefine/>
    <w:qFormat/>
    <w:uiPriority w:val="0"/>
    <w:pPr>
      <w:jc w:val="left"/>
    </w:pPr>
  </w:style>
  <w:style w:type="paragraph" w:styleId="12">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rPr>
      <w:rFonts w:ascii="宋体" w:hAnsi="Courier New"/>
      <w:bCs/>
      <w:sz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envelope return"/>
    <w:basedOn w:val="1"/>
    <w:autoRedefine/>
    <w:unhideWhenUsed/>
    <w:qFormat/>
    <w:uiPriority w:val="0"/>
    <w:pPr>
      <w:snapToGrid w:val="0"/>
    </w:pPr>
    <w:rPr>
      <w:rFonts w:ascii="Arial" w:hAnsi="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autoRedefine/>
    <w:qFormat/>
    <w:uiPriority w:val="0"/>
    <w:pPr>
      <w:spacing w:after="120"/>
      <w:ind w:left="420" w:leftChars="200"/>
    </w:pPr>
    <w:rPr>
      <w:sz w:val="16"/>
      <w:szCs w:val="16"/>
    </w:rPr>
  </w:style>
  <w:style w:type="paragraph" w:styleId="23">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autoRedefine/>
    <w:qFormat/>
    <w:uiPriority w:val="0"/>
    <w:rPr>
      <w:lang w:eastAsia="en-US"/>
    </w:rPr>
  </w:style>
  <w:style w:type="paragraph" w:styleId="27">
    <w:name w:val="Title"/>
    <w:basedOn w:val="1"/>
    <w:next w:val="1"/>
    <w:autoRedefine/>
    <w:qFormat/>
    <w:uiPriority w:val="0"/>
    <w:pPr>
      <w:spacing w:before="240" w:after="60"/>
      <w:jc w:val="center"/>
      <w:outlineLvl w:val="0"/>
    </w:pPr>
    <w:rPr>
      <w:rFonts w:ascii="Cambria" w:hAnsi="Cambria"/>
      <w:b/>
      <w:bCs/>
      <w:sz w:val="32"/>
      <w:szCs w:val="32"/>
    </w:rPr>
  </w:style>
  <w:style w:type="paragraph" w:styleId="28">
    <w:name w:val="annotation subject"/>
    <w:basedOn w:val="11"/>
    <w:next w:val="11"/>
    <w:link w:val="52"/>
    <w:autoRedefine/>
    <w:qFormat/>
    <w:uiPriority w:val="0"/>
    <w:rPr>
      <w:b/>
      <w:bCs/>
    </w:rPr>
  </w:style>
  <w:style w:type="paragraph" w:styleId="29">
    <w:name w:val="Body Text First Indent"/>
    <w:basedOn w:val="12"/>
    <w:next w:val="1"/>
    <w:autoRedefine/>
    <w:qFormat/>
    <w:uiPriority w:val="0"/>
    <w:pPr>
      <w:ind w:firstLine="420" w:firstLineChars="100"/>
    </w:pPr>
    <w:rPr>
      <w:rFonts w:ascii="Times New Roman"/>
      <w:sz w:val="21"/>
      <w:szCs w:val="24"/>
    </w:rPr>
  </w:style>
  <w:style w:type="paragraph" w:styleId="30">
    <w:name w:val="Body Text First Indent 2"/>
    <w:basedOn w:val="3"/>
    <w:next w:val="1"/>
    <w:autoRedefine/>
    <w:qFormat/>
    <w:uiPriority w:val="0"/>
    <w:pPr>
      <w:spacing w:line="360" w:lineRule="auto"/>
      <w:ind w:firstLine="420" w:firstLineChars="200"/>
    </w:pPr>
    <w:rPr>
      <w:sz w:val="24"/>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style>
  <w:style w:type="character" w:styleId="36">
    <w:name w:val="FollowedHyperlink"/>
    <w:basedOn w:val="33"/>
    <w:qFormat/>
    <w:uiPriority w:val="0"/>
    <w:rPr>
      <w:color w:val="800080"/>
      <w:u w:val="none"/>
    </w:rPr>
  </w:style>
  <w:style w:type="character" w:styleId="37">
    <w:name w:val="HTML Definition"/>
    <w:basedOn w:val="33"/>
    <w:qFormat/>
    <w:uiPriority w:val="0"/>
  </w:style>
  <w:style w:type="character" w:styleId="38">
    <w:name w:val="HTML Typewriter"/>
    <w:basedOn w:val="33"/>
    <w:qFormat/>
    <w:uiPriority w:val="0"/>
    <w:rPr>
      <w:rFonts w:ascii="monospace" w:hAnsi="monospace" w:eastAsia="monospace" w:cs="monospace"/>
      <w:sz w:val="20"/>
    </w:rPr>
  </w:style>
  <w:style w:type="character" w:styleId="39">
    <w:name w:val="HTML Acronym"/>
    <w:basedOn w:val="33"/>
    <w:qFormat/>
    <w:uiPriority w:val="0"/>
  </w:style>
  <w:style w:type="character" w:styleId="40">
    <w:name w:val="HTML Variable"/>
    <w:basedOn w:val="33"/>
    <w:qFormat/>
    <w:uiPriority w:val="0"/>
  </w:style>
  <w:style w:type="character" w:styleId="41">
    <w:name w:val="Hyperlink"/>
    <w:basedOn w:val="33"/>
    <w:autoRedefine/>
    <w:unhideWhenUsed/>
    <w:qFormat/>
    <w:uiPriority w:val="99"/>
    <w:rPr>
      <w:color w:val="0000FF"/>
      <w:u w:val="single"/>
    </w:rPr>
  </w:style>
  <w:style w:type="character" w:styleId="42">
    <w:name w:val="HTML Code"/>
    <w:basedOn w:val="33"/>
    <w:qFormat/>
    <w:uiPriority w:val="0"/>
    <w:rPr>
      <w:rFonts w:hint="default" w:ascii="monospace" w:hAnsi="monospace" w:eastAsia="monospace" w:cs="monospace"/>
      <w:sz w:val="20"/>
    </w:rPr>
  </w:style>
  <w:style w:type="character" w:styleId="43">
    <w:name w:val="annotation reference"/>
    <w:autoRedefine/>
    <w:qFormat/>
    <w:uiPriority w:val="0"/>
    <w:rPr>
      <w:sz w:val="21"/>
      <w:szCs w:val="21"/>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3"/>
    <w:link w:val="11"/>
    <w:autoRedefine/>
    <w:qFormat/>
    <w:uiPriority w:val="0"/>
    <w:rPr>
      <w:kern w:val="2"/>
      <w:sz w:val="21"/>
      <w:szCs w:val="24"/>
    </w:rPr>
  </w:style>
  <w:style w:type="character" w:customStyle="1" w:styleId="52">
    <w:name w:val="批注主题 字符"/>
    <w:basedOn w:val="51"/>
    <w:link w:val="28"/>
    <w:autoRedefine/>
    <w:qFormat/>
    <w:uiPriority w:val="0"/>
    <w:rPr>
      <w:b/>
      <w:bCs/>
      <w:kern w:val="2"/>
      <w:sz w:val="21"/>
      <w:szCs w:val="24"/>
    </w:rPr>
  </w:style>
  <w:style w:type="character" w:customStyle="1" w:styleId="53">
    <w:name w:val="批注框文本 字符"/>
    <w:basedOn w:val="33"/>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3"/>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未处理的提及1"/>
    <w:basedOn w:val="33"/>
    <w:semiHidden/>
    <w:unhideWhenUsed/>
    <w:qFormat/>
    <w:uiPriority w:val="99"/>
    <w:rPr>
      <w:color w:val="605E5C"/>
      <w:shd w:val="clear" w:color="auto" w:fill="E1DFDD"/>
    </w:rPr>
  </w:style>
  <w:style w:type="character" w:customStyle="1" w:styleId="85">
    <w:name w:val="layui-layer-tabnow"/>
    <w:basedOn w:val="33"/>
    <w:qFormat/>
    <w:uiPriority w:val="0"/>
    <w:rPr>
      <w:bdr w:val="single" w:color="CCCCCC" w:sz="6" w:space="0"/>
      <w:shd w:val="clear" w:color="auto" w:fill="FFFFFF"/>
    </w:rPr>
  </w:style>
  <w:style w:type="character" w:customStyle="1" w:styleId="86">
    <w:name w:val="first-child"/>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137</Pages>
  <Words>25113</Words>
  <Characters>27147</Characters>
  <Lines>2644</Lines>
  <Paragraphs>2581</Paragraphs>
  <TotalTime>6</TotalTime>
  <ScaleCrop>false</ScaleCrop>
  <LinksUpToDate>false</LinksUpToDate>
  <CharactersWithSpaces>27584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2025-05-09T03:25:00Z</dcterms:created>
  <dc:creator>Administrator</dc:creator>
  <cp:lastModifiedBy>雨过天晴</cp:lastModifiedBy>
  <cp:lastPrinted>2023-12-28T08:32:00Z</cp:lastPrinted>
  <dcterms:modified xsi:type="dcterms:W3CDTF">2025-12-12T02:41:33Z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B4F11B0C4B1044E6933CEA860604A3D8_13</vt:lpwstr>
  </property>
  <property fmtid="{D5CDD505-2E9C-101B-9397-08002B2CF9AE}" pid="4" name="KSOTemplateDocerSaveRecord">
    <vt:lpwstr>eyJoZGlkIjoiN2NiMTI3MDRiZWJlZDRkZTA3NmY0MjY1ZjJiMjJkMzMiLCJ1c2VySWQiOiI3MDAxMTU0MTgifQ==</vt:lpwstr>
  </property>
</Properties>
</file>