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56DC6">
      <w:pPr>
        <w:autoSpaceDE w:val="0"/>
        <w:autoSpaceDN w:val="0"/>
        <w:adjustRightInd w:val="0"/>
        <w:jc w:val="distribute"/>
        <w:rPr>
          <w:rFonts w:ascii="Calibri" w:hAnsi="Calibri"/>
          <w:b/>
          <w:bCs/>
          <w:color w:val="000000" w:themeColor="text1"/>
          <w:sz w:val="56"/>
          <w:szCs w:val="52"/>
          <w:highlight w:val="none"/>
          <w14:textFill>
            <w14:solidFill>
              <w14:schemeClr w14:val="tx1"/>
            </w14:solidFill>
          </w14:textFill>
        </w:rPr>
      </w:pPr>
      <w:r>
        <w:rPr>
          <w:rFonts w:hint="eastAsia" w:ascii="Calibri" w:hAnsi="Calibri"/>
          <w:b/>
          <w:bCs/>
          <w:color w:val="000000" w:themeColor="text1"/>
          <w:sz w:val="56"/>
          <w:szCs w:val="52"/>
          <w:highlight w:val="none"/>
          <w14:textFill>
            <w14:solidFill>
              <w14:schemeClr w14:val="tx1"/>
            </w14:solidFill>
          </w14:textFill>
        </w:rPr>
        <w:t>广西国邦项目管理有限公司</w:t>
      </w:r>
    </w:p>
    <w:p w14:paraId="76612908">
      <w:pPr>
        <w:jc w:val="center"/>
        <w:rPr>
          <w:color w:val="000000" w:themeColor="text1"/>
          <w:szCs w:val="24"/>
          <w:highlight w:val="none"/>
          <w14:textFill>
            <w14:solidFill>
              <w14:schemeClr w14:val="tx1"/>
            </w14:solidFill>
          </w14:textFill>
        </w:rPr>
      </w:pPr>
    </w:p>
    <w:p w14:paraId="087016FD">
      <w:pPr>
        <w:adjustRightInd w:val="0"/>
        <w:spacing w:line="318" w:lineRule="atLeast"/>
        <w:jc w:val="center"/>
        <w:textAlignment w:val="baseline"/>
        <w:rPr>
          <w:color w:val="000000" w:themeColor="text1"/>
          <w:szCs w:val="20"/>
          <w:highlight w:val="none"/>
          <w14:textFill>
            <w14:solidFill>
              <w14:schemeClr w14:val="tx1"/>
            </w14:solidFill>
          </w14:textFill>
        </w:rPr>
      </w:pPr>
      <w:r>
        <w:rPr>
          <w:rFonts w:hint="eastAsia" w:ascii="宋体" w:hAnsi="宋体"/>
          <w:b/>
          <w:color w:val="000000" w:themeColor="text1"/>
          <w:spacing w:val="-18"/>
          <w:sz w:val="72"/>
          <w:szCs w:val="72"/>
          <w:highlight w:val="none"/>
          <w14:textFill>
            <w14:solidFill>
              <w14:schemeClr w14:val="tx1"/>
            </w14:solidFill>
          </w14:textFill>
        </w:rPr>
        <w:drawing>
          <wp:inline distT="0" distB="0" distL="0" distR="0">
            <wp:extent cx="3955415" cy="3048000"/>
            <wp:effectExtent l="0" t="0" r="0" b="0"/>
            <wp:docPr id="1" name="图片 2" descr="国邦logo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国邦logo_副本"/>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55415" cy="3048000"/>
                    </a:xfrm>
                    <a:prstGeom prst="rect">
                      <a:avLst/>
                    </a:prstGeom>
                    <a:noFill/>
                    <a:ln>
                      <a:noFill/>
                    </a:ln>
                  </pic:spPr>
                </pic:pic>
              </a:graphicData>
            </a:graphic>
          </wp:inline>
        </w:drawing>
      </w:r>
    </w:p>
    <w:p w14:paraId="4F2E9DC8">
      <w:pPr>
        <w:jc w:val="center"/>
        <w:rPr>
          <w:rFonts w:ascii="Calibri" w:hAnsi="Calibri"/>
          <w:color w:val="000000" w:themeColor="text1"/>
          <w:szCs w:val="24"/>
          <w:highlight w:val="none"/>
          <w14:textFill>
            <w14:solidFill>
              <w14:schemeClr w14:val="tx1"/>
            </w14:solidFill>
          </w14:textFill>
        </w:rPr>
      </w:pPr>
    </w:p>
    <w:p w14:paraId="4A67F27F">
      <w:pPr>
        <w:adjustRightInd w:val="0"/>
        <w:spacing w:line="318" w:lineRule="atLeast"/>
        <w:jc w:val="center"/>
        <w:textAlignment w:val="baseline"/>
        <w:rPr>
          <w:color w:val="000000" w:themeColor="text1"/>
          <w:szCs w:val="20"/>
          <w:highlight w:val="none"/>
          <w14:textFill>
            <w14:solidFill>
              <w14:schemeClr w14:val="tx1"/>
            </w14:solidFill>
          </w14:textFill>
        </w:rPr>
      </w:pPr>
    </w:p>
    <w:p w14:paraId="10CEE11C">
      <w:pPr>
        <w:pStyle w:val="23"/>
        <w:tabs>
          <w:tab w:val="left" w:pos="0"/>
        </w:tabs>
        <w:jc w:val="center"/>
        <w:rPr>
          <w:rFonts w:ascii="华文新魏" w:eastAsia="华文新魏"/>
          <w:b/>
          <w:color w:val="000000" w:themeColor="text1"/>
          <w:spacing w:val="90"/>
          <w:kern w:val="2"/>
          <w:sz w:val="72"/>
          <w:szCs w:val="70"/>
          <w:highlight w:val="none"/>
          <w14:textFill>
            <w14:solidFill>
              <w14:schemeClr w14:val="tx1"/>
            </w14:solidFill>
          </w14:textFill>
        </w:rPr>
      </w:pPr>
      <w:r>
        <w:rPr>
          <w:rFonts w:hint="eastAsia" w:ascii="华文新魏" w:eastAsia="华文新魏"/>
          <w:b/>
          <w:color w:val="000000" w:themeColor="text1"/>
          <w:spacing w:val="90"/>
          <w:kern w:val="2"/>
          <w:sz w:val="72"/>
          <w:szCs w:val="70"/>
          <w:highlight w:val="none"/>
          <w14:textFill>
            <w14:solidFill>
              <w14:schemeClr w14:val="tx1"/>
            </w14:solidFill>
          </w14:textFill>
        </w:rPr>
        <w:t>竞争性磋商采购文件</w:t>
      </w:r>
    </w:p>
    <w:p w14:paraId="6B9EA305">
      <w:pPr>
        <w:rPr>
          <w:color w:val="000000" w:themeColor="text1"/>
          <w:highlight w:val="none"/>
          <w14:textFill>
            <w14:solidFill>
              <w14:schemeClr w14:val="tx1"/>
            </w14:solidFill>
          </w14:textFill>
        </w:rPr>
      </w:pPr>
    </w:p>
    <w:p w14:paraId="3FE0EB55">
      <w:pPr>
        <w:pStyle w:val="23"/>
        <w:rPr>
          <w:color w:val="000000" w:themeColor="text1"/>
          <w:highlight w:val="none"/>
          <w14:textFill>
            <w14:solidFill>
              <w14:schemeClr w14:val="tx1"/>
            </w14:solidFill>
          </w14:textFill>
        </w:rPr>
      </w:pPr>
    </w:p>
    <w:p w14:paraId="32B0E0BD">
      <w:pPr>
        <w:pStyle w:val="23"/>
        <w:rPr>
          <w:color w:val="000000" w:themeColor="text1"/>
          <w:highlight w:val="none"/>
          <w14:textFill>
            <w14:solidFill>
              <w14:schemeClr w14:val="tx1"/>
            </w14:solidFill>
          </w14:textFill>
        </w:rPr>
      </w:pPr>
    </w:p>
    <w:p w14:paraId="46AA89BA">
      <w:pPr>
        <w:ind w:left="1677" w:leftChars="1" w:hanging="1675" w:hangingChars="596"/>
        <w:rPr>
          <w:rFonts w:ascii="宋体"/>
          <w:b/>
          <w:color w:val="000000" w:themeColor="text1"/>
          <w:sz w:val="28"/>
          <w:szCs w:val="36"/>
          <w:highlight w:val="none"/>
          <w14:textFill>
            <w14:solidFill>
              <w14:schemeClr w14:val="tx1"/>
            </w14:solidFill>
          </w14:textFill>
        </w:rPr>
      </w:pPr>
      <w:r>
        <w:rPr>
          <w:rFonts w:hint="eastAsia" w:ascii="宋体"/>
          <w:b/>
          <w:color w:val="000000" w:themeColor="text1"/>
          <w:sz w:val="28"/>
          <w:szCs w:val="36"/>
          <w:highlight w:val="none"/>
          <w14:textFill>
            <w14:solidFill>
              <w14:schemeClr w14:val="tx1"/>
            </w14:solidFill>
          </w14:textFill>
        </w:rPr>
        <w:t>项目名称：桂平新材料产业园化工园区认定资料补充项目编制服务</w:t>
      </w:r>
    </w:p>
    <w:p w14:paraId="177280F6">
      <w:pPr>
        <w:ind w:left="1677" w:leftChars="1" w:hanging="1675" w:hangingChars="596"/>
        <w:rPr>
          <w:b/>
          <w:color w:val="000000" w:themeColor="text1"/>
          <w:sz w:val="28"/>
          <w:szCs w:val="30"/>
          <w:highlight w:val="none"/>
          <w14:textFill>
            <w14:solidFill>
              <w14:schemeClr w14:val="tx1"/>
            </w14:solidFill>
          </w14:textFill>
        </w:rPr>
      </w:pPr>
      <w:r>
        <w:rPr>
          <w:rFonts w:hint="eastAsia" w:ascii="宋体"/>
          <w:b/>
          <w:color w:val="000000" w:themeColor="text1"/>
          <w:sz w:val="28"/>
          <w:szCs w:val="36"/>
          <w:highlight w:val="none"/>
          <w14:textFill>
            <w14:solidFill>
              <w14:schemeClr w14:val="tx1"/>
            </w14:solidFill>
          </w14:textFill>
        </w:rPr>
        <w:t>项目编号：GGZC2026-C3-810009-GXGB</w:t>
      </w:r>
    </w:p>
    <w:p w14:paraId="1ECA0F6C">
      <w:pPr>
        <w:ind w:left="1677" w:leftChars="1" w:hanging="1675" w:hangingChars="596"/>
        <w:rPr>
          <w:rFonts w:ascii="宋体"/>
          <w:b/>
          <w:color w:val="000000" w:themeColor="text1"/>
          <w:sz w:val="28"/>
          <w:szCs w:val="36"/>
          <w:highlight w:val="none"/>
          <w14:textFill>
            <w14:solidFill>
              <w14:schemeClr w14:val="tx1"/>
            </w14:solidFill>
          </w14:textFill>
        </w:rPr>
      </w:pPr>
      <w:r>
        <w:rPr>
          <w:rFonts w:hint="eastAsia" w:ascii="宋体"/>
          <w:b/>
          <w:color w:val="000000" w:themeColor="text1"/>
          <w:sz w:val="28"/>
          <w:szCs w:val="36"/>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165735</wp:posOffset>
                </wp:positionV>
                <wp:extent cx="5039995" cy="635"/>
                <wp:effectExtent l="0" t="0" r="27305" b="37465"/>
                <wp:wrapNone/>
                <wp:docPr id="1039840645" name="直线连接线 8"/>
                <wp:cNvGraphicFramePr/>
                <a:graphic xmlns:a="http://schemas.openxmlformats.org/drawingml/2006/main">
                  <a:graphicData uri="http://schemas.microsoft.com/office/word/2010/wordprocessingShape">
                    <wps:wsp>
                      <wps:cNvCnPr>
                        <a:cxnSpLocks noChangeShapeType="1"/>
                      </wps:cNvCnPr>
                      <wps:spPr bwMode="auto">
                        <a:xfrm>
                          <a:off x="0" y="0"/>
                          <a:ext cx="5040000" cy="635"/>
                        </a:xfrm>
                        <a:prstGeom prst="straightConnector1">
                          <a:avLst/>
                        </a:prstGeom>
                        <a:noFill/>
                        <a:ln w="22225">
                          <a:solidFill>
                            <a:srgbClr val="000000"/>
                          </a:solidFill>
                          <a:round/>
                        </a:ln>
                        <a:effectLst/>
                      </wps:spPr>
                      <wps:bodyPr/>
                    </wps:wsp>
                  </a:graphicData>
                </a:graphic>
              </wp:anchor>
            </w:drawing>
          </mc:Choice>
          <mc:Fallback>
            <w:pict>
              <v:shape id="直线连接线 8" o:spid="_x0000_s1026" o:spt="32" type="#_x0000_t32" style="position:absolute;left:0pt;margin-left:3.55pt;margin-top:13.05pt;height:0.05pt;width:396.85pt;z-index:251661312;mso-width-relative:page;mso-height-relative:page;" filled="f" stroked="t" coordsize="21600,21600" o:gfxdata="UEsDBAoAAAAAAIdO4kAAAAAAAAAAAAAAAAAEAAAAZHJzL1BLAwQUAAAACACHTuJAUnXyhNcAAAAH&#10;AQAADwAAAGRycy9kb3ducmV2LnhtbE2PwU7DMBBE70j8g7VIXCpqJ0KhDXF6AJUDQkiUfoAbb5OI&#10;eB3FTpr269me4LTandHsm2Izu05MOITWk4ZkqUAgVd62VGvYf28fViBCNGRN5wk1nDHApry9KUxu&#10;/Ym+cNrFWnAIhdxoaGLscylD1aAzYel7JNaOfnAm8jrU0g7mxOGuk6lSmXSmJf7QmB5fGqx+dqPT&#10;8Pr+OA6X+bKezyFL958fi2n7ttD6/i5RzyAizvHPDFd8RoeSmQ5+JBtEp+EpYaOGNOPJ8kopbnK4&#10;HlKQZSH/85e/UEsDBBQAAAAIAIdO4kAhaB8y+wEAANIDAAAOAAAAZHJzL2Uyb0RvYy54bWytU0tu&#10;2zAQ3RfoHQjua8mObaSC5SxspJu0NZD0ADRFSUQpDsGhLfsSvUCB7nqDrrrJbZIeo0P60ybdZFEu&#10;CFLDee/Nm9HsatcZtlUeNdiSDwc5Z8pKqLRtSv7p7vrNJWcYhK2EAatKvlfIr+avX816V6gRtGAq&#10;5RmBWCx6V/I2BFdkGcpWdQIH4JSlYA2+E4GuvskqL3pC70w2yvNp1oOvnAepEOnr8hDkR0T/EkCo&#10;ay3VEuSmUzYcUL0yIlBJ2GqHfJ7U1rWS4WNdowrMlJwqDWknEjqv457NZ6JovHCtlkcJ4iUSntXU&#10;CW2J9Ay1FEGwjdf/QHVaekCow0BClx0KSY5QFcP8mTe3rXAq1UJWozubjv8PVn7YrjzTFU1CfvH2&#10;cpxPxxPOrOio849ffzz+vP91/+3hy3c6sMvoVu+woKSFXflYr9zZW3cD8jMyC4tW2EYl1Xd7RwjD&#10;mJE9SYkXdMS57t9DRW/EJkCyblf7LkKSKWyXOrQ/d0jtApP0cZKPc1qcSYpNLyYJXxSnVOcxvFPQ&#10;sXgoOQYvdNOGBVhLkwB+mIjE9gZDFCaKU0LktXCtjUkDYSzrSz6iNUkZCEZXMRrfoW/WC+PZVsSZ&#10;Suso48kzDxtbHViMjXkqjeOR+mTDwdA1VPuVP3lFrU7ijmMZZ+nve3L0z684/w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SdfKE1wAAAAcBAAAPAAAAAAAAAAEAIAAAACIAAABkcnMvZG93bnJldi54&#10;bWxQSwECFAAUAAAACACHTuJAIWgfMvsBAADSAwAADgAAAAAAAAABACAAAAAmAQAAZHJzL2Uyb0Rv&#10;Yy54bWxQSwUGAAAAAAYABgBZAQAAkwUAAAAA&#10;">
                <v:fill on="f" focussize="0,0"/>
                <v:stroke weight="1.75pt" color="#000000" joinstyle="round"/>
                <v:imagedata o:title=""/>
                <o:lock v:ext="edit" aspectratio="f"/>
              </v:shape>
            </w:pict>
          </mc:Fallback>
        </mc:AlternateContent>
      </w:r>
    </w:p>
    <w:p w14:paraId="48BE6299">
      <w:pPr>
        <w:ind w:left="1677" w:leftChars="1" w:hanging="1675" w:hangingChars="596"/>
        <w:rPr>
          <w:rFonts w:ascii="宋体"/>
          <w:b/>
          <w:color w:val="000000" w:themeColor="text1"/>
          <w:sz w:val="28"/>
          <w:szCs w:val="36"/>
          <w:highlight w:val="none"/>
          <w14:textFill>
            <w14:solidFill>
              <w14:schemeClr w14:val="tx1"/>
            </w14:solidFill>
          </w14:textFill>
        </w:rPr>
      </w:pPr>
      <w:r>
        <w:rPr>
          <w:rFonts w:hint="eastAsia" w:ascii="宋体"/>
          <w:b/>
          <w:color w:val="000000" w:themeColor="text1"/>
          <w:sz w:val="28"/>
          <w:szCs w:val="36"/>
          <w:highlight w:val="none"/>
          <w14:textFill>
            <w14:solidFill>
              <w14:schemeClr w14:val="tx1"/>
            </w14:solidFill>
          </w14:textFill>
        </w:rPr>
        <w:t>采购人：桂平工业园区管理委员会</w:t>
      </w:r>
    </w:p>
    <w:p w14:paraId="4AD9628B">
      <w:pPr>
        <w:ind w:left="1677" w:leftChars="1" w:hanging="1675" w:hangingChars="596"/>
        <w:rPr>
          <w:rFonts w:ascii="宋体"/>
          <w:b/>
          <w:color w:val="000000" w:themeColor="text1"/>
          <w:sz w:val="28"/>
          <w:szCs w:val="36"/>
          <w:highlight w:val="none"/>
          <w14:textFill>
            <w14:solidFill>
              <w14:schemeClr w14:val="tx1"/>
            </w14:solidFill>
          </w14:textFill>
        </w:rPr>
      </w:pPr>
      <w:r>
        <w:rPr>
          <w:rFonts w:hint="eastAsia" w:ascii="宋体"/>
          <w:b/>
          <w:color w:val="000000" w:themeColor="text1"/>
          <w:sz w:val="28"/>
          <w:szCs w:val="36"/>
          <w:highlight w:val="none"/>
          <w14:textFill>
            <w14:solidFill>
              <w14:schemeClr w14:val="tx1"/>
            </w14:solidFill>
          </w14:textFill>
        </w:rPr>
        <w:t>采购代理机构：广西国邦项目管理有限公司</w:t>
      </w:r>
    </w:p>
    <w:p w14:paraId="10A65BF8">
      <w:pPr>
        <w:ind w:firstLine="3848" w:firstLineChars="1369"/>
        <w:rPr>
          <w:rFonts w:ascii="宋体"/>
          <w:b/>
          <w:color w:val="000000" w:themeColor="text1"/>
          <w:sz w:val="28"/>
          <w:szCs w:val="36"/>
          <w:highlight w:val="none"/>
          <w14:textFill>
            <w14:solidFill>
              <w14:schemeClr w14:val="tx1"/>
            </w14:solidFill>
          </w14:textFill>
        </w:rPr>
      </w:pPr>
      <w:r>
        <w:rPr>
          <w:rFonts w:hint="eastAsia" w:ascii="宋体"/>
          <w:b/>
          <w:color w:val="000000" w:themeColor="text1"/>
          <w:sz w:val="28"/>
          <w:szCs w:val="36"/>
          <w:highlight w:val="none"/>
          <w14:textFill>
            <w14:solidFill>
              <w14:schemeClr w14:val="tx1"/>
            </w14:solidFill>
          </w14:textFill>
        </w:rPr>
        <w:t>2026年</w:t>
      </w:r>
      <w:r>
        <w:rPr>
          <w:rFonts w:hint="eastAsia" w:ascii="宋体"/>
          <w:b/>
          <w:color w:val="000000" w:themeColor="text1"/>
          <w:sz w:val="28"/>
          <w:szCs w:val="36"/>
          <w:highlight w:val="none"/>
          <w:lang w:val="en-US" w:eastAsia="zh-CN"/>
          <w14:textFill>
            <w14:solidFill>
              <w14:schemeClr w14:val="tx1"/>
            </w14:solidFill>
          </w14:textFill>
        </w:rPr>
        <w:t>3</w:t>
      </w:r>
      <w:r>
        <w:rPr>
          <w:rFonts w:hint="eastAsia" w:ascii="宋体"/>
          <w:b/>
          <w:color w:val="000000" w:themeColor="text1"/>
          <w:sz w:val="28"/>
          <w:szCs w:val="36"/>
          <w:highlight w:val="none"/>
          <w14:textFill>
            <w14:solidFill>
              <w14:schemeClr w14:val="tx1"/>
            </w14:solidFill>
          </w14:textFill>
        </w:rPr>
        <w:t>月</w:t>
      </w:r>
    </w:p>
    <w:p w14:paraId="5922FB08">
      <w:pPr>
        <w:widowControl/>
        <w:jc w:val="left"/>
        <w:rPr>
          <w:rFonts w:ascii="宋体"/>
          <w:b/>
          <w:color w:val="000000" w:themeColor="text1"/>
          <w:sz w:val="48"/>
          <w:szCs w:val="48"/>
          <w:highlight w:val="none"/>
          <w14:textFill>
            <w14:solidFill>
              <w14:schemeClr w14:val="tx1"/>
            </w14:solidFill>
          </w14:textFill>
        </w:rPr>
        <w:sectPr>
          <w:pgSz w:w="11906" w:h="16838"/>
          <w:pgMar w:top="1440" w:right="1800" w:bottom="1440" w:left="1800" w:header="720" w:footer="720" w:gutter="0"/>
          <w:pgNumType w:start="0"/>
          <w:cols w:space="720" w:num="1"/>
          <w:titlePg/>
          <w:docGrid w:type="lines" w:linePitch="331" w:charSpace="0"/>
        </w:sectPr>
      </w:pPr>
    </w:p>
    <w:p w14:paraId="2E0535C1">
      <w:pPr>
        <w:pStyle w:val="23"/>
        <w:jc w:val="center"/>
        <w:rPr>
          <w:b/>
          <w:color w:val="000000" w:themeColor="text1"/>
          <w:sz w:val="40"/>
          <w:szCs w:val="48"/>
          <w:highlight w:val="none"/>
          <w14:textFill>
            <w14:solidFill>
              <w14:schemeClr w14:val="tx1"/>
            </w14:solidFill>
          </w14:textFill>
        </w:rPr>
      </w:pPr>
    </w:p>
    <w:p w14:paraId="18EBEA68">
      <w:pPr>
        <w:pStyle w:val="23"/>
        <w:jc w:val="center"/>
        <w:rPr>
          <w:b/>
          <w:color w:val="000000" w:themeColor="text1"/>
          <w:sz w:val="44"/>
          <w:szCs w:val="48"/>
          <w:highlight w:val="none"/>
          <w14:textFill>
            <w14:solidFill>
              <w14:schemeClr w14:val="tx1"/>
            </w14:solidFill>
          </w14:textFill>
        </w:rPr>
      </w:pPr>
      <w:r>
        <w:rPr>
          <w:rFonts w:hint="eastAsia"/>
          <w:b/>
          <w:color w:val="000000" w:themeColor="text1"/>
          <w:sz w:val="44"/>
          <w:szCs w:val="48"/>
          <w:highlight w:val="none"/>
          <w14:textFill>
            <w14:solidFill>
              <w14:schemeClr w14:val="tx1"/>
            </w14:solidFill>
          </w14:textFill>
        </w:rPr>
        <w:t>目  录</w:t>
      </w:r>
      <w:bookmarkStart w:id="0" w:name="_Toc139966431"/>
      <w:bookmarkStart w:id="1" w:name="_Toc213325921"/>
      <w:bookmarkStart w:id="2" w:name="_Toc213206172"/>
      <w:bookmarkStart w:id="3" w:name="_Toc213326412"/>
      <w:bookmarkStart w:id="4" w:name="_Toc139967215"/>
      <w:bookmarkStart w:id="5" w:name="_Toc139966426"/>
      <w:bookmarkStart w:id="6" w:name="_Toc139967210"/>
    </w:p>
    <w:p w14:paraId="2D8C6196">
      <w:pPr>
        <w:pStyle w:val="23"/>
        <w:jc w:val="center"/>
        <w:rPr>
          <w:color w:val="000000" w:themeColor="text1"/>
          <w:sz w:val="16"/>
          <w:highlight w:val="none"/>
          <w:u w:val="single"/>
          <w14:textFill>
            <w14:solidFill>
              <w14:schemeClr w14:val="tx1"/>
            </w14:solidFill>
          </w14:textFill>
        </w:rPr>
      </w:pPr>
    </w:p>
    <w:p w14:paraId="7D888E1B">
      <w:pPr>
        <w:pStyle w:val="57"/>
        <w:tabs>
          <w:tab w:val="right" w:leader="dot" w:pos="8505"/>
        </w:tabs>
        <w:spacing w:before="0" w:after="0" w:line="480" w:lineRule="auto"/>
        <w:rPr>
          <w:rFonts w:ascii="宋体"/>
          <w:b w:val="0"/>
          <w:bCs w:val="0"/>
          <w:color w:val="000000" w:themeColor="text1"/>
          <w:sz w:val="28"/>
          <w:szCs w:val="28"/>
          <w:highlight w:val="none"/>
          <w14:textFill>
            <w14:solidFill>
              <w14:schemeClr w14:val="tx1"/>
            </w14:solidFill>
          </w14:textFill>
        </w:rPr>
      </w:pPr>
      <w:r>
        <w:rPr>
          <w:rFonts w:hint="eastAsia" w:ascii="宋体"/>
          <w:b w:val="0"/>
          <w:bCs w:val="0"/>
          <w:color w:val="000000" w:themeColor="text1"/>
          <w:sz w:val="28"/>
          <w:szCs w:val="28"/>
          <w:highlight w:val="none"/>
          <w14:textFill>
            <w14:solidFill>
              <w14:schemeClr w14:val="tx1"/>
            </w14:solidFill>
          </w14:textFill>
        </w:rPr>
        <w:fldChar w:fldCharType="begin"/>
      </w:r>
      <w:r>
        <w:rPr>
          <w:rFonts w:hint="eastAsia" w:ascii="宋体"/>
          <w:b w:val="0"/>
          <w:bCs w:val="0"/>
          <w:color w:val="000000" w:themeColor="text1"/>
          <w:sz w:val="28"/>
          <w:szCs w:val="28"/>
          <w:highlight w:val="none"/>
          <w14:textFill>
            <w14:solidFill>
              <w14:schemeClr w14:val="tx1"/>
            </w14:solidFill>
          </w14:textFill>
        </w:rPr>
        <w:instrText xml:space="preserve"> TOC \o "1-3" \h \z \u </w:instrText>
      </w:r>
      <w:r>
        <w:rPr>
          <w:rFonts w:hint="eastAsia" w:ascii="宋体"/>
          <w:b w:val="0"/>
          <w:bCs w:val="0"/>
          <w:color w:val="000000" w:themeColor="text1"/>
          <w:sz w:val="28"/>
          <w:szCs w:val="28"/>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"_Toc99823388" </w:instrText>
      </w:r>
      <w:r>
        <w:rPr>
          <w:color w:val="000000" w:themeColor="text1"/>
          <w:highlight w:val="none"/>
          <w14:textFill>
            <w14:solidFill>
              <w14:schemeClr w14:val="tx1"/>
            </w14:solidFill>
          </w14:textFill>
        </w:rPr>
        <w:fldChar w:fldCharType="separate"/>
      </w:r>
      <w:r>
        <w:rPr>
          <w:rFonts w:hint="eastAsia" w:ascii="宋体"/>
          <w:b w:val="0"/>
          <w:color w:val="000000" w:themeColor="text1"/>
          <w:sz w:val="28"/>
          <w:szCs w:val="28"/>
          <w:highlight w:val="none"/>
          <w14:textFill>
            <w14:solidFill>
              <w14:schemeClr w14:val="tx1"/>
            </w14:solidFill>
          </w14:textFill>
        </w:rPr>
        <w:t>第一章 竞争性磋商公告</w:t>
      </w:r>
      <w:bookmarkStart w:id="7" w:name="_Hlt99828372"/>
      <w:bookmarkStart w:id="8" w:name="_Hlt99828578"/>
      <w:r>
        <w:rPr>
          <w:rFonts w:hint="eastAsia" w:ascii="宋体"/>
          <w:b w:val="0"/>
          <w:color w:val="000000" w:themeColor="text1"/>
          <w:sz w:val="28"/>
          <w:szCs w:val="28"/>
          <w:highlight w:val="none"/>
          <w14:textFill>
            <w14:solidFill>
              <w14:schemeClr w14:val="tx1"/>
            </w14:solidFill>
          </w14:textFill>
        </w:rPr>
        <w:tab/>
      </w:r>
      <w:bookmarkEnd w:id="7"/>
      <w:bookmarkEnd w:id="8"/>
      <w:r>
        <w:rPr>
          <w:rFonts w:hint="eastAsia" w:ascii="宋体"/>
          <w:b w:val="0"/>
          <w:color w:val="000000" w:themeColor="text1"/>
          <w:sz w:val="28"/>
          <w:szCs w:val="28"/>
          <w:highlight w:val="none"/>
          <w14:textFill>
            <w14:solidFill>
              <w14:schemeClr w14:val="tx1"/>
            </w14:solidFill>
          </w14:textFill>
        </w:rPr>
        <w:fldChar w:fldCharType="begin"/>
      </w:r>
      <w:r>
        <w:rPr>
          <w:rFonts w:hint="eastAsia" w:ascii="宋体"/>
          <w:b w:val="0"/>
          <w:color w:val="000000" w:themeColor="text1"/>
          <w:sz w:val="28"/>
          <w:szCs w:val="28"/>
          <w:highlight w:val="none"/>
          <w14:textFill>
            <w14:solidFill>
              <w14:schemeClr w14:val="tx1"/>
            </w14:solidFill>
          </w14:textFill>
        </w:rPr>
        <w:instrText xml:space="preserve"> PAGEREF _Toc99823388 \h </w:instrText>
      </w:r>
      <w:r>
        <w:rPr>
          <w:rFonts w:hint="eastAsia" w:ascii="宋体"/>
          <w:b w:val="0"/>
          <w:color w:val="000000" w:themeColor="text1"/>
          <w:sz w:val="28"/>
          <w:szCs w:val="28"/>
          <w:highlight w:val="none"/>
          <w14:textFill>
            <w14:solidFill>
              <w14:schemeClr w14:val="tx1"/>
            </w14:solidFill>
          </w14:textFill>
        </w:rPr>
        <w:fldChar w:fldCharType="separate"/>
      </w:r>
      <w:r>
        <w:rPr>
          <w:rFonts w:hint="eastAsia" w:ascii="宋体"/>
          <w:b w:val="0"/>
          <w:color w:val="000000" w:themeColor="text1"/>
          <w:sz w:val="28"/>
          <w:szCs w:val="28"/>
          <w:highlight w:val="none"/>
          <w14:textFill>
            <w14:solidFill>
              <w14:schemeClr w14:val="tx1"/>
            </w14:solidFill>
          </w14:textFill>
        </w:rPr>
        <w:t>1</w:t>
      </w:r>
      <w:r>
        <w:rPr>
          <w:rFonts w:hint="eastAsia" w:ascii="宋体"/>
          <w:b w:val="0"/>
          <w:color w:val="000000" w:themeColor="text1"/>
          <w:sz w:val="28"/>
          <w:szCs w:val="28"/>
          <w:highlight w:val="none"/>
          <w14:textFill>
            <w14:solidFill>
              <w14:schemeClr w14:val="tx1"/>
            </w14:solidFill>
          </w14:textFill>
        </w:rPr>
        <w:fldChar w:fldCharType="end"/>
      </w:r>
      <w:r>
        <w:rPr>
          <w:rFonts w:hint="eastAsia" w:ascii="宋体"/>
          <w:b w:val="0"/>
          <w:color w:val="000000" w:themeColor="text1"/>
          <w:sz w:val="28"/>
          <w:szCs w:val="28"/>
          <w:highlight w:val="none"/>
          <w14:textFill>
            <w14:solidFill>
              <w14:schemeClr w14:val="tx1"/>
            </w14:solidFill>
          </w14:textFill>
        </w:rPr>
        <w:fldChar w:fldCharType="end"/>
      </w:r>
    </w:p>
    <w:p w14:paraId="7AC0A11C">
      <w:pPr>
        <w:pStyle w:val="57"/>
        <w:tabs>
          <w:tab w:val="right" w:leader="dot" w:pos="8505"/>
        </w:tabs>
        <w:spacing w:before="0" w:after="0" w:line="480" w:lineRule="auto"/>
        <w:rPr>
          <w:rFonts w:ascii="宋体"/>
          <w:b w:val="0"/>
          <w:bCs w:val="0"/>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"_Toc99823389" </w:instrText>
      </w:r>
      <w:r>
        <w:rPr>
          <w:color w:val="000000" w:themeColor="text1"/>
          <w:highlight w:val="none"/>
          <w14:textFill>
            <w14:solidFill>
              <w14:schemeClr w14:val="tx1"/>
            </w14:solidFill>
          </w14:textFill>
        </w:rPr>
        <w:fldChar w:fldCharType="separate"/>
      </w:r>
      <w:r>
        <w:rPr>
          <w:rFonts w:hint="eastAsia" w:ascii="宋体"/>
          <w:b w:val="0"/>
          <w:color w:val="000000" w:themeColor="text1"/>
          <w:sz w:val="28"/>
          <w:szCs w:val="28"/>
          <w:highlight w:val="none"/>
          <w14:textFill>
            <w14:solidFill>
              <w14:schemeClr w14:val="tx1"/>
            </w14:solidFill>
          </w14:textFill>
        </w:rPr>
        <w:t>第二章 供应商须知及前附表</w:t>
      </w:r>
      <w:bookmarkStart w:id="9" w:name="_Hlt99828375"/>
      <w:r>
        <w:rPr>
          <w:rFonts w:hint="eastAsia" w:ascii="宋体"/>
          <w:b w:val="0"/>
          <w:color w:val="000000" w:themeColor="text1"/>
          <w:sz w:val="28"/>
          <w:szCs w:val="28"/>
          <w:highlight w:val="none"/>
          <w14:textFill>
            <w14:solidFill>
              <w14:schemeClr w14:val="tx1"/>
            </w14:solidFill>
          </w14:textFill>
        </w:rPr>
        <w:tab/>
      </w:r>
      <w:bookmarkEnd w:id="9"/>
      <w:r>
        <w:rPr>
          <w:rFonts w:hint="eastAsia" w:ascii="宋体"/>
          <w:b w:val="0"/>
          <w:color w:val="000000" w:themeColor="text1"/>
          <w:sz w:val="28"/>
          <w:szCs w:val="28"/>
          <w:highlight w:val="none"/>
          <w14:textFill>
            <w14:solidFill>
              <w14:schemeClr w14:val="tx1"/>
            </w14:solidFill>
          </w14:textFill>
        </w:rPr>
        <w:fldChar w:fldCharType="begin"/>
      </w:r>
      <w:r>
        <w:rPr>
          <w:rFonts w:hint="eastAsia" w:ascii="宋体"/>
          <w:b w:val="0"/>
          <w:color w:val="000000" w:themeColor="text1"/>
          <w:sz w:val="28"/>
          <w:szCs w:val="28"/>
          <w:highlight w:val="none"/>
          <w14:textFill>
            <w14:solidFill>
              <w14:schemeClr w14:val="tx1"/>
            </w14:solidFill>
          </w14:textFill>
        </w:rPr>
        <w:instrText xml:space="preserve"> PAGEREF _Toc99823389 \h </w:instrText>
      </w:r>
      <w:r>
        <w:rPr>
          <w:rFonts w:hint="eastAsia" w:ascii="宋体"/>
          <w:b w:val="0"/>
          <w:color w:val="000000" w:themeColor="text1"/>
          <w:sz w:val="28"/>
          <w:szCs w:val="28"/>
          <w:highlight w:val="none"/>
          <w14:textFill>
            <w14:solidFill>
              <w14:schemeClr w14:val="tx1"/>
            </w14:solidFill>
          </w14:textFill>
        </w:rPr>
        <w:fldChar w:fldCharType="separate"/>
      </w:r>
      <w:r>
        <w:rPr>
          <w:rFonts w:hint="eastAsia" w:ascii="宋体"/>
          <w:b w:val="0"/>
          <w:color w:val="000000" w:themeColor="text1"/>
          <w:sz w:val="28"/>
          <w:szCs w:val="28"/>
          <w:highlight w:val="none"/>
          <w14:textFill>
            <w14:solidFill>
              <w14:schemeClr w14:val="tx1"/>
            </w14:solidFill>
          </w14:textFill>
        </w:rPr>
        <w:t>5</w:t>
      </w:r>
      <w:r>
        <w:rPr>
          <w:rFonts w:hint="eastAsia" w:ascii="宋体"/>
          <w:b w:val="0"/>
          <w:color w:val="000000" w:themeColor="text1"/>
          <w:sz w:val="28"/>
          <w:szCs w:val="28"/>
          <w:highlight w:val="none"/>
          <w14:textFill>
            <w14:solidFill>
              <w14:schemeClr w14:val="tx1"/>
            </w14:solidFill>
          </w14:textFill>
        </w:rPr>
        <w:fldChar w:fldCharType="end"/>
      </w:r>
      <w:r>
        <w:rPr>
          <w:rFonts w:hint="eastAsia" w:ascii="宋体"/>
          <w:b w:val="0"/>
          <w:color w:val="000000" w:themeColor="text1"/>
          <w:sz w:val="28"/>
          <w:szCs w:val="28"/>
          <w:highlight w:val="none"/>
          <w14:textFill>
            <w14:solidFill>
              <w14:schemeClr w14:val="tx1"/>
            </w14:solidFill>
          </w14:textFill>
        </w:rPr>
        <w:fldChar w:fldCharType="end"/>
      </w:r>
    </w:p>
    <w:p w14:paraId="4AF1A063">
      <w:pPr>
        <w:pStyle w:val="57"/>
        <w:tabs>
          <w:tab w:val="right" w:leader="dot" w:pos="8505"/>
        </w:tabs>
        <w:spacing w:before="0" w:after="0" w:line="480" w:lineRule="auto"/>
        <w:rPr>
          <w:rFonts w:ascii="宋体"/>
          <w:b w:val="0"/>
          <w:bCs w:val="0"/>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"_Toc99823390" </w:instrText>
      </w:r>
      <w:r>
        <w:rPr>
          <w:color w:val="000000" w:themeColor="text1"/>
          <w:highlight w:val="none"/>
          <w14:textFill>
            <w14:solidFill>
              <w14:schemeClr w14:val="tx1"/>
            </w14:solidFill>
          </w14:textFill>
        </w:rPr>
        <w:fldChar w:fldCharType="separate"/>
      </w:r>
      <w:r>
        <w:rPr>
          <w:rFonts w:hint="eastAsia" w:ascii="宋体"/>
          <w:b w:val="0"/>
          <w:color w:val="000000" w:themeColor="text1"/>
          <w:sz w:val="28"/>
          <w:szCs w:val="28"/>
          <w:highlight w:val="none"/>
          <w14:textFill>
            <w14:solidFill>
              <w14:schemeClr w14:val="tx1"/>
            </w14:solidFill>
          </w14:textFill>
        </w:rPr>
        <w:t>第三章 项目需求</w:t>
      </w:r>
      <w:bookmarkStart w:id="10" w:name="_Hlt99828397"/>
      <w:bookmarkStart w:id="11" w:name="_Hlt99827805"/>
      <w:bookmarkStart w:id="12" w:name="_Hlt99830946"/>
      <w:r>
        <w:rPr>
          <w:rFonts w:hint="eastAsia" w:ascii="宋体"/>
          <w:b w:val="0"/>
          <w:color w:val="000000" w:themeColor="text1"/>
          <w:sz w:val="28"/>
          <w:szCs w:val="28"/>
          <w:highlight w:val="none"/>
          <w14:textFill>
            <w14:solidFill>
              <w14:schemeClr w14:val="tx1"/>
            </w14:solidFill>
          </w14:textFill>
        </w:rPr>
        <w:tab/>
      </w:r>
      <w:bookmarkEnd w:id="10"/>
      <w:bookmarkEnd w:id="11"/>
      <w:bookmarkEnd w:id="12"/>
      <w:bookmarkStart w:id="13" w:name="_Hlt100180067"/>
      <w:bookmarkStart w:id="14" w:name="_Hlt100180066"/>
      <w:r>
        <w:rPr>
          <w:rFonts w:hint="eastAsia" w:ascii="宋体"/>
          <w:b w:val="0"/>
          <w:color w:val="000000" w:themeColor="text1"/>
          <w:sz w:val="28"/>
          <w:szCs w:val="28"/>
          <w:highlight w:val="none"/>
          <w14:textFill>
            <w14:solidFill>
              <w14:schemeClr w14:val="tx1"/>
            </w14:solidFill>
          </w14:textFill>
        </w:rPr>
        <w:fldChar w:fldCharType="begin"/>
      </w:r>
      <w:r>
        <w:rPr>
          <w:rFonts w:hint="eastAsia" w:ascii="宋体"/>
          <w:b w:val="0"/>
          <w:color w:val="000000" w:themeColor="text1"/>
          <w:sz w:val="28"/>
          <w:szCs w:val="28"/>
          <w:highlight w:val="none"/>
          <w14:textFill>
            <w14:solidFill>
              <w14:schemeClr w14:val="tx1"/>
            </w14:solidFill>
          </w14:textFill>
        </w:rPr>
        <w:instrText xml:space="preserve"> PAGEREF _Toc99823390 \h </w:instrText>
      </w:r>
      <w:r>
        <w:rPr>
          <w:rFonts w:hint="eastAsia" w:ascii="宋体"/>
          <w:b w:val="0"/>
          <w:color w:val="000000" w:themeColor="text1"/>
          <w:sz w:val="28"/>
          <w:szCs w:val="28"/>
          <w:highlight w:val="none"/>
          <w14:textFill>
            <w14:solidFill>
              <w14:schemeClr w14:val="tx1"/>
            </w14:solidFill>
          </w14:textFill>
        </w:rPr>
        <w:fldChar w:fldCharType="separate"/>
      </w:r>
      <w:r>
        <w:rPr>
          <w:rFonts w:hint="eastAsia" w:ascii="宋体"/>
          <w:b w:val="0"/>
          <w:color w:val="000000" w:themeColor="text1"/>
          <w:sz w:val="28"/>
          <w:szCs w:val="28"/>
          <w:highlight w:val="none"/>
          <w14:textFill>
            <w14:solidFill>
              <w14:schemeClr w14:val="tx1"/>
            </w14:solidFill>
          </w14:textFill>
        </w:rPr>
        <w:t>25</w:t>
      </w:r>
      <w:r>
        <w:rPr>
          <w:rFonts w:hint="eastAsia" w:ascii="宋体"/>
          <w:b w:val="0"/>
          <w:color w:val="000000" w:themeColor="text1"/>
          <w:sz w:val="28"/>
          <w:szCs w:val="28"/>
          <w:highlight w:val="none"/>
          <w14:textFill>
            <w14:solidFill>
              <w14:schemeClr w14:val="tx1"/>
            </w14:solidFill>
          </w14:textFill>
        </w:rPr>
        <w:fldChar w:fldCharType="end"/>
      </w:r>
      <w:bookmarkEnd w:id="13"/>
      <w:bookmarkEnd w:id="14"/>
      <w:r>
        <w:rPr>
          <w:rFonts w:hint="eastAsia" w:ascii="宋体"/>
          <w:b w:val="0"/>
          <w:color w:val="000000" w:themeColor="text1"/>
          <w:sz w:val="28"/>
          <w:szCs w:val="28"/>
          <w:highlight w:val="none"/>
          <w14:textFill>
            <w14:solidFill>
              <w14:schemeClr w14:val="tx1"/>
            </w14:solidFill>
          </w14:textFill>
        </w:rPr>
        <w:fldChar w:fldCharType="end"/>
      </w:r>
    </w:p>
    <w:p w14:paraId="32A2E17D">
      <w:pPr>
        <w:pStyle w:val="57"/>
        <w:tabs>
          <w:tab w:val="right" w:leader="dot" w:pos="8505"/>
        </w:tabs>
        <w:spacing w:before="0" w:after="0" w:line="480" w:lineRule="auto"/>
        <w:rPr>
          <w:rFonts w:ascii="宋体"/>
          <w:b w:val="0"/>
          <w:bCs w:val="0"/>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"_Toc99823391" </w:instrText>
      </w:r>
      <w:r>
        <w:rPr>
          <w:color w:val="000000" w:themeColor="text1"/>
          <w:highlight w:val="none"/>
          <w14:textFill>
            <w14:solidFill>
              <w14:schemeClr w14:val="tx1"/>
            </w14:solidFill>
          </w14:textFill>
        </w:rPr>
        <w:fldChar w:fldCharType="separate"/>
      </w:r>
      <w:r>
        <w:rPr>
          <w:rFonts w:hint="eastAsia" w:ascii="宋体"/>
          <w:b w:val="0"/>
          <w:color w:val="000000" w:themeColor="text1"/>
          <w:sz w:val="28"/>
          <w:szCs w:val="28"/>
          <w:highlight w:val="none"/>
          <w14:textFill>
            <w14:solidFill>
              <w14:schemeClr w14:val="tx1"/>
            </w14:solidFill>
          </w14:textFill>
        </w:rPr>
        <w:t>第四章 评审方法</w:t>
      </w:r>
      <w:bookmarkStart w:id="15" w:name="_Hlt99829921"/>
      <w:r>
        <w:rPr>
          <w:rFonts w:hint="eastAsia" w:ascii="宋体"/>
          <w:b w:val="0"/>
          <w:color w:val="000000" w:themeColor="text1"/>
          <w:sz w:val="28"/>
          <w:szCs w:val="28"/>
          <w:highlight w:val="none"/>
          <w14:textFill>
            <w14:solidFill>
              <w14:schemeClr w14:val="tx1"/>
            </w14:solidFill>
          </w14:textFill>
        </w:rPr>
        <w:tab/>
      </w:r>
      <w:bookmarkEnd w:id="15"/>
      <w:r>
        <w:rPr>
          <w:rFonts w:hint="eastAsia" w:ascii="宋体"/>
          <w:b w:val="0"/>
          <w:color w:val="000000" w:themeColor="text1"/>
          <w:sz w:val="28"/>
          <w:szCs w:val="28"/>
          <w:highlight w:val="none"/>
          <w14:textFill>
            <w14:solidFill>
              <w14:schemeClr w14:val="tx1"/>
            </w14:solidFill>
          </w14:textFill>
        </w:rPr>
        <w:fldChar w:fldCharType="begin"/>
      </w:r>
      <w:r>
        <w:rPr>
          <w:rFonts w:hint="eastAsia" w:ascii="宋体"/>
          <w:b w:val="0"/>
          <w:color w:val="000000" w:themeColor="text1"/>
          <w:sz w:val="28"/>
          <w:szCs w:val="28"/>
          <w:highlight w:val="none"/>
          <w14:textFill>
            <w14:solidFill>
              <w14:schemeClr w14:val="tx1"/>
            </w14:solidFill>
          </w14:textFill>
        </w:rPr>
        <w:instrText xml:space="preserve"> PAGEREF _Toc99823391 \h </w:instrText>
      </w:r>
      <w:r>
        <w:rPr>
          <w:rFonts w:hint="eastAsia" w:ascii="宋体"/>
          <w:b w:val="0"/>
          <w:color w:val="000000" w:themeColor="text1"/>
          <w:sz w:val="28"/>
          <w:szCs w:val="28"/>
          <w:highlight w:val="none"/>
          <w14:textFill>
            <w14:solidFill>
              <w14:schemeClr w14:val="tx1"/>
            </w14:solidFill>
          </w14:textFill>
        </w:rPr>
        <w:fldChar w:fldCharType="separate"/>
      </w:r>
      <w:r>
        <w:rPr>
          <w:rFonts w:hint="eastAsia" w:ascii="宋体"/>
          <w:b w:val="0"/>
          <w:color w:val="000000" w:themeColor="text1"/>
          <w:sz w:val="28"/>
          <w:szCs w:val="28"/>
          <w:highlight w:val="none"/>
          <w14:textFill>
            <w14:solidFill>
              <w14:schemeClr w14:val="tx1"/>
            </w14:solidFill>
          </w14:textFill>
        </w:rPr>
        <w:t>25</w:t>
      </w:r>
      <w:r>
        <w:rPr>
          <w:rFonts w:hint="eastAsia" w:ascii="宋体"/>
          <w:b w:val="0"/>
          <w:color w:val="000000" w:themeColor="text1"/>
          <w:sz w:val="28"/>
          <w:szCs w:val="28"/>
          <w:highlight w:val="none"/>
          <w14:textFill>
            <w14:solidFill>
              <w14:schemeClr w14:val="tx1"/>
            </w14:solidFill>
          </w14:textFill>
        </w:rPr>
        <w:fldChar w:fldCharType="end"/>
      </w:r>
      <w:r>
        <w:rPr>
          <w:rFonts w:hint="eastAsia" w:ascii="宋体"/>
          <w:b w:val="0"/>
          <w:color w:val="000000" w:themeColor="text1"/>
          <w:sz w:val="28"/>
          <w:szCs w:val="28"/>
          <w:highlight w:val="none"/>
          <w14:textFill>
            <w14:solidFill>
              <w14:schemeClr w14:val="tx1"/>
            </w14:solidFill>
          </w14:textFill>
        </w:rPr>
        <w:fldChar w:fldCharType="end"/>
      </w:r>
    </w:p>
    <w:p w14:paraId="2DB144FD">
      <w:pPr>
        <w:pStyle w:val="57"/>
        <w:tabs>
          <w:tab w:val="right" w:leader="dot" w:pos="8505"/>
        </w:tabs>
        <w:spacing w:before="0" w:after="0" w:line="480" w:lineRule="auto"/>
        <w:rPr>
          <w:rFonts w:ascii="宋体"/>
          <w:b w:val="0"/>
          <w:bCs w:val="0"/>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"_Toc99823392" </w:instrText>
      </w:r>
      <w:r>
        <w:rPr>
          <w:color w:val="000000" w:themeColor="text1"/>
          <w:highlight w:val="none"/>
          <w14:textFill>
            <w14:solidFill>
              <w14:schemeClr w14:val="tx1"/>
            </w14:solidFill>
          </w14:textFill>
        </w:rPr>
        <w:fldChar w:fldCharType="separate"/>
      </w:r>
      <w:r>
        <w:rPr>
          <w:rFonts w:hint="eastAsia" w:ascii="宋体"/>
          <w:b w:val="0"/>
          <w:color w:val="000000" w:themeColor="text1"/>
          <w:sz w:val="28"/>
          <w:szCs w:val="28"/>
          <w:highlight w:val="none"/>
          <w14:textFill>
            <w14:solidFill>
              <w14:schemeClr w14:val="tx1"/>
            </w14:solidFill>
          </w14:textFill>
        </w:rPr>
        <w:t>第五章 响应文件格式</w:t>
      </w:r>
      <w:r>
        <w:rPr>
          <w:rFonts w:hint="eastAsia" w:ascii="宋体"/>
          <w:b w:val="0"/>
          <w:color w:val="000000" w:themeColor="text1"/>
          <w:sz w:val="28"/>
          <w:szCs w:val="28"/>
          <w:highlight w:val="none"/>
          <w14:textFill>
            <w14:solidFill>
              <w14:schemeClr w14:val="tx1"/>
            </w14:solidFill>
          </w14:textFill>
        </w:rPr>
        <w:tab/>
      </w:r>
      <w:bookmarkStart w:id="16" w:name="_Hlt100416538"/>
      <w:bookmarkStart w:id="17" w:name="_Hlt100416539"/>
      <w:r>
        <w:rPr>
          <w:rFonts w:hint="eastAsia" w:ascii="宋体"/>
          <w:b w:val="0"/>
          <w:color w:val="000000" w:themeColor="text1"/>
          <w:sz w:val="28"/>
          <w:szCs w:val="28"/>
          <w:highlight w:val="none"/>
          <w14:textFill>
            <w14:solidFill>
              <w14:schemeClr w14:val="tx1"/>
            </w14:solidFill>
          </w14:textFill>
        </w:rPr>
        <w:fldChar w:fldCharType="begin"/>
      </w:r>
      <w:r>
        <w:rPr>
          <w:rFonts w:hint="eastAsia" w:ascii="宋体"/>
          <w:b w:val="0"/>
          <w:color w:val="000000" w:themeColor="text1"/>
          <w:sz w:val="28"/>
          <w:szCs w:val="28"/>
          <w:highlight w:val="none"/>
          <w14:textFill>
            <w14:solidFill>
              <w14:schemeClr w14:val="tx1"/>
            </w14:solidFill>
          </w14:textFill>
        </w:rPr>
        <w:instrText xml:space="preserve"> PAGEREF _Toc99823392 \h </w:instrText>
      </w:r>
      <w:r>
        <w:rPr>
          <w:rFonts w:hint="eastAsia" w:ascii="宋体"/>
          <w:b w:val="0"/>
          <w:color w:val="000000" w:themeColor="text1"/>
          <w:sz w:val="28"/>
          <w:szCs w:val="28"/>
          <w:highlight w:val="none"/>
          <w14:textFill>
            <w14:solidFill>
              <w14:schemeClr w14:val="tx1"/>
            </w14:solidFill>
          </w14:textFill>
        </w:rPr>
        <w:fldChar w:fldCharType="separate"/>
      </w:r>
      <w:r>
        <w:rPr>
          <w:rFonts w:hint="eastAsia" w:ascii="宋体"/>
          <w:b w:val="0"/>
          <w:color w:val="000000" w:themeColor="text1"/>
          <w:sz w:val="28"/>
          <w:szCs w:val="28"/>
          <w:highlight w:val="none"/>
          <w14:textFill>
            <w14:solidFill>
              <w14:schemeClr w14:val="tx1"/>
            </w14:solidFill>
          </w14:textFill>
        </w:rPr>
        <w:t>32</w:t>
      </w:r>
      <w:r>
        <w:rPr>
          <w:rFonts w:hint="eastAsia" w:ascii="宋体"/>
          <w:b w:val="0"/>
          <w:color w:val="000000" w:themeColor="text1"/>
          <w:sz w:val="28"/>
          <w:szCs w:val="28"/>
          <w:highlight w:val="none"/>
          <w14:textFill>
            <w14:solidFill>
              <w14:schemeClr w14:val="tx1"/>
            </w14:solidFill>
          </w14:textFill>
        </w:rPr>
        <w:fldChar w:fldCharType="end"/>
      </w:r>
      <w:bookmarkEnd w:id="16"/>
      <w:bookmarkEnd w:id="17"/>
      <w:r>
        <w:rPr>
          <w:rFonts w:hint="eastAsia" w:ascii="宋体"/>
          <w:b w:val="0"/>
          <w:color w:val="000000" w:themeColor="text1"/>
          <w:sz w:val="28"/>
          <w:szCs w:val="28"/>
          <w:highlight w:val="none"/>
          <w14:textFill>
            <w14:solidFill>
              <w14:schemeClr w14:val="tx1"/>
            </w14:solidFill>
          </w14:textFill>
        </w:rPr>
        <w:fldChar w:fldCharType="end"/>
      </w:r>
    </w:p>
    <w:p w14:paraId="04B069D1">
      <w:pPr>
        <w:pStyle w:val="57"/>
        <w:tabs>
          <w:tab w:val="right" w:leader="dot" w:pos="8505"/>
        </w:tabs>
        <w:spacing w:before="0" w:after="0" w:line="480" w:lineRule="auto"/>
        <w:rPr>
          <w:rFonts w:ascii="宋体"/>
          <w:b w:val="0"/>
          <w:bCs w:val="0"/>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"_Toc99823393" </w:instrText>
      </w:r>
      <w:r>
        <w:rPr>
          <w:color w:val="000000" w:themeColor="text1"/>
          <w:highlight w:val="none"/>
          <w14:textFill>
            <w14:solidFill>
              <w14:schemeClr w14:val="tx1"/>
            </w14:solidFill>
          </w14:textFill>
        </w:rPr>
        <w:fldChar w:fldCharType="separate"/>
      </w:r>
      <w:r>
        <w:rPr>
          <w:rFonts w:hint="eastAsia" w:ascii="宋体"/>
          <w:b w:val="0"/>
          <w:color w:val="000000" w:themeColor="text1"/>
          <w:sz w:val="28"/>
          <w:szCs w:val="28"/>
          <w:highlight w:val="none"/>
          <w14:textFill>
            <w14:solidFill>
              <w14:schemeClr w14:val="tx1"/>
            </w14:solidFill>
          </w14:textFill>
        </w:rPr>
        <w:t>第六章 采购合同条款格式</w:t>
      </w:r>
      <w:r>
        <w:rPr>
          <w:rFonts w:hint="eastAsia" w:ascii="宋体"/>
          <w:b w:val="0"/>
          <w:color w:val="000000" w:themeColor="text1"/>
          <w:sz w:val="28"/>
          <w:szCs w:val="28"/>
          <w:highlight w:val="none"/>
          <w14:textFill>
            <w14:solidFill>
              <w14:schemeClr w14:val="tx1"/>
            </w14:solidFill>
          </w14:textFill>
        </w:rPr>
        <w:tab/>
      </w:r>
      <w:r>
        <w:rPr>
          <w:rFonts w:hint="eastAsia" w:ascii="宋体"/>
          <w:b w:val="0"/>
          <w:color w:val="000000" w:themeColor="text1"/>
          <w:sz w:val="28"/>
          <w:szCs w:val="28"/>
          <w:highlight w:val="none"/>
          <w14:textFill>
            <w14:solidFill>
              <w14:schemeClr w14:val="tx1"/>
            </w14:solidFill>
          </w14:textFill>
        </w:rPr>
        <w:fldChar w:fldCharType="begin"/>
      </w:r>
      <w:r>
        <w:rPr>
          <w:rFonts w:hint="eastAsia" w:ascii="宋体"/>
          <w:b w:val="0"/>
          <w:color w:val="000000" w:themeColor="text1"/>
          <w:sz w:val="28"/>
          <w:szCs w:val="28"/>
          <w:highlight w:val="none"/>
          <w14:textFill>
            <w14:solidFill>
              <w14:schemeClr w14:val="tx1"/>
            </w14:solidFill>
          </w14:textFill>
        </w:rPr>
        <w:instrText xml:space="preserve"> PAGEREF _Toc99823393 \h </w:instrText>
      </w:r>
      <w:r>
        <w:rPr>
          <w:rFonts w:hint="eastAsia" w:ascii="宋体"/>
          <w:b w:val="0"/>
          <w:color w:val="000000" w:themeColor="text1"/>
          <w:sz w:val="28"/>
          <w:szCs w:val="28"/>
          <w:highlight w:val="none"/>
          <w14:textFill>
            <w14:solidFill>
              <w14:schemeClr w14:val="tx1"/>
            </w14:solidFill>
          </w14:textFill>
        </w:rPr>
        <w:fldChar w:fldCharType="separate"/>
      </w:r>
      <w:r>
        <w:rPr>
          <w:rFonts w:hint="eastAsia" w:ascii="宋体"/>
          <w:b w:val="0"/>
          <w:color w:val="000000" w:themeColor="text1"/>
          <w:sz w:val="28"/>
          <w:szCs w:val="28"/>
          <w:highlight w:val="none"/>
          <w14:textFill>
            <w14:solidFill>
              <w14:schemeClr w14:val="tx1"/>
            </w14:solidFill>
          </w14:textFill>
        </w:rPr>
        <w:t>46</w:t>
      </w:r>
      <w:r>
        <w:rPr>
          <w:rFonts w:hint="eastAsia" w:ascii="宋体"/>
          <w:b w:val="0"/>
          <w:color w:val="000000" w:themeColor="text1"/>
          <w:sz w:val="28"/>
          <w:szCs w:val="28"/>
          <w:highlight w:val="none"/>
          <w14:textFill>
            <w14:solidFill>
              <w14:schemeClr w14:val="tx1"/>
            </w14:solidFill>
          </w14:textFill>
        </w:rPr>
        <w:fldChar w:fldCharType="end"/>
      </w:r>
      <w:r>
        <w:rPr>
          <w:rFonts w:hint="eastAsia" w:ascii="宋体"/>
          <w:b w:val="0"/>
          <w:color w:val="000000" w:themeColor="text1"/>
          <w:sz w:val="28"/>
          <w:szCs w:val="28"/>
          <w:highlight w:val="none"/>
          <w14:textFill>
            <w14:solidFill>
              <w14:schemeClr w14:val="tx1"/>
            </w14:solidFill>
          </w14:textFill>
        </w:rPr>
        <w:fldChar w:fldCharType="end"/>
      </w:r>
    </w:p>
    <w:p w14:paraId="7ED82A79">
      <w:pPr>
        <w:spacing w:line="48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fldChar w:fldCharType="end"/>
      </w:r>
    </w:p>
    <w:p w14:paraId="45E262F6">
      <w:pPr>
        <w:pStyle w:val="57"/>
        <w:tabs>
          <w:tab w:val="right" w:leader="dot" w:pos="9628"/>
        </w:tabs>
        <w:rPr>
          <w:rStyle w:val="46"/>
          <w:rFonts w:ascii="宋体"/>
          <w:color w:val="000000" w:themeColor="text1"/>
          <w:highlight w:val="none"/>
          <w14:textFill>
            <w14:solidFill>
              <w14:schemeClr w14:val="tx1"/>
            </w14:solidFill>
          </w14:textFill>
        </w:rPr>
      </w:pPr>
    </w:p>
    <w:p w14:paraId="18FB4CB7">
      <w:pPr>
        <w:pStyle w:val="4"/>
        <w:spacing w:before="0"/>
        <w:ind w:left="0" w:firstLine="0"/>
        <w:jc w:val="center"/>
        <w:rPr>
          <w:rFonts w:ascii="宋体" w:eastAsia="宋体"/>
          <w:color w:val="000000" w:themeColor="text1"/>
          <w:sz w:val="36"/>
          <w:highlight w:val="none"/>
          <w14:textFill>
            <w14:solidFill>
              <w14:schemeClr w14:val="tx1"/>
            </w14:solidFill>
          </w14:textFill>
        </w:rPr>
        <w:sectPr>
          <w:pgSz w:w="11906" w:h="16838"/>
          <w:pgMar w:top="1304" w:right="1418" w:bottom="1304" w:left="1701" w:header="851" w:footer="992" w:gutter="170"/>
          <w:cols w:space="720" w:num="1"/>
          <w:docGrid w:type="lines" w:linePitch="312" w:charSpace="0"/>
        </w:sectPr>
      </w:pPr>
    </w:p>
    <w:p w14:paraId="7BBAB7AF">
      <w:pPr>
        <w:pStyle w:val="4"/>
        <w:spacing w:before="0"/>
        <w:ind w:left="0" w:firstLine="0"/>
        <w:jc w:val="center"/>
        <w:rPr>
          <w:rFonts w:ascii="宋体" w:eastAsia="宋体"/>
          <w:color w:val="000000" w:themeColor="text1"/>
          <w:sz w:val="36"/>
          <w:szCs w:val="36"/>
          <w:highlight w:val="none"/>
          <w14:textFill>
            <w14:solidFill>
              <w14:schemeClr w14:val="tx1"/>
            </w14:solidFill>
          </w14:textFill>
        </w:rPr>
      </w:pPr>
      <w:bookmarkStart w:id="18" w:name="_Toc99823388"/>
      <w:r>
        <w:rPr>
          <w:rFonts w:hint="eastAsia" w:ascii="宋体" w:eastAsia="宋体"/>
          <w:color w:val="000000" w:themeColor="text1"/>
          <w:sz w:val="36"/>
          <w:highlight w:val="none"/>
          <w14:textFill>
            <w14:solidFill>
              <w14:schemeClr w14:val="tx1"/>
            </w14:solidFill>
          </w14:textFill>
        </w:rPr>
        <w:t>第一章 竞争性磋商公告</w:t>
      </w:r>
      <w:bookmarkEnd w:id="18"/>
    </w:p>
    <w:p w14:paraId="45259F0C">
      <w:pPr>
        <w:pStyle w:val="23"/>
        <w:tabs>
          <w:tab w:val="left" w:pos="4062"/>
        </w:tabs>
        <w:spacing w:line="500" w:lineRule="exact"/>
        <w:jc w:val="center"/>
        <w:rPr>
          <w:b/>
          <w:color w:val="000000" w:themeColor="text1"/>
          <w:sz w:val="32"/>
          <w:szCs w:val="30"/>
          <w:highlight w:val="none"/>
          <w14:textFill>
            <w14:solidFill>
              <w14:schemeClr w14:val="tx1"/>
            </w14:solidFill>
          </w14:textFill>
        </w:rPr>
      </w:pPr>
      <w:r>
        <w:rPr>
          <w:rFonts w:hint="eastAsia"/>
          <w:b/>
          <w:color w:val="000000" w:themeColor="text1"/>
          <w:sz w:val="32"/>
          <w:szCs w:val="30"/>
          <w:highlight w:val="none"/>
          <w14:textFill>
            <w14:solidFill>
              <w14:schemeClr w14:val="tx1"/>
            </w14:solidFill>
          </w14:textFill>
        </w:rPr>
        <w:t>广西国邦项目管理有限公司关于桂平新材料产业园化工园区认定资料补充项目编制服务（项目编号：GGZC2026-C3-810009-GXGB）竞争性磋商公告</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2AFD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9" w:type="dxa"/>
          </w:tcPr>
          <w:p w14:paraId="4F536D8B">
            <w:pPr>
              <w:spacing w:line="360" w:lineRule="auto"/>
              <w:jc w:val="left"/>
              <w:rPr>
                <w:rFonts w:ascii="宋体"/>
                <w:color w:val="000000" w:themeColor="text1"/>
                <w:sz w:val="24"/>
                <w:szCs w:val="21"/>
                <w:highlight w:val="none"/>
                <w14:textFill>
                  <w14:solidFill>
                    <w14:schemeClr w14:val="tx1"/>
                  </w14:solidFill>
                </w14:textFill>
              </w:rPr>
            </w:pPr>
            <w:r>
              <w:rPr>
                <w:rFonts w:hint="eastAsia" w:ascii="宋体"/>
                <w:color w:val="000000" w:themeColor="text1"/>
                <w:sz w:val="24"/>
                <w:szCs w:val="21"/>
                <w:highlight w:val="none"/>
                <w14:textFill>
                  <w14:solidFill>
                    <w14:schemeClr w14:val="tx1"/>
                  </w14:solidFill>
                </w14:textFill>
              </w:rPr>
              <w:t>项目概况</w:t>
            </w:r>
          </w:p>
          <w:p w14:paraId="4E9E53B3">
            <w:pPr>
              <w:spacing w:line="360" w:lineRule="auto"/>
              <w:ind w:firstLine="480" w:firstLineChars="200"/>
              <w:rPr>
                <w:rFonts w:ascii="宋体"/>
                <w:color w:val="000000" w:themeColor="text1"/>
                <w:szCs w:val="21"/>
                <w:highlight w:val="none"/>
                <w14:textFill>
                  <w14:solidFill>
                    <w14:schemeClr w14:val="tx1"/>
                  </w14:solidFill>
                </w14:textFill>
              </w:rPr>
            </w:pPr>
            <w:r>
              <w:rPr>
                <w:rFonts w:hint="eastAsia" w:ascii="宋体"/>
                <w:color w:val="000000" w:themeColor="text1"/>
                <w:sz w:val="24"/>
                <w:szCs w:val="21"/>
                <w:highlight w:val="none"/>
                <w:u w:val="single"/>
                <w14:textFill>
                  <w14:solidFill>
                    <w14:schemeClr w14:val="tx1"/>
                  </w14:solidFill>
                </w14:textFill>
              </w:rPr>
              <w:t>桂平新材料产业园化工园区认定资料补充项目编制服务</w:t>
            </w:r>
            <w:r>
              <w:rPr>
                <w:rFonts w:hint="eastAsia" w:ascii="宋体"/>
                <w:color w:val="000000" w:themeColor="text1"/>
                <w:sz w:val="24"/>
                <w:szCs w:val="21"/>
                <w:highlight w:val="none"/>
                <w14:textFill>
                  <w14:solidFill>
                    <w14:schemeClr w14:val="tx1"/>
                  </w14:solidFill>
                </w14:textFill>
              </w:rPr>
              <w:t>的潜在供应商应在</w:t>
            </w:r>
            <w:bookmarkStart w:id="19" w:name="OLE_LINK1"/>
            <w:r>
              <w:rPr>
                <w:rFonts w:hint="eastAsia" w:ascii="宋体"/>
                <w:color w:val="000000" w:themeColor="text1"/>
                <w:sz w:val="24"/>
                <w:szCs w:val="21"/>
                <w:highlight w:val="none"/>
                <w14:textFill>
                  <w14:solidFill>
                    <w14:schemeClr w14:val="tx1"/>
                  </w14:solidFill>
                </w14:textFill>
              </w:rPr>
              <w:t>广西</w:t>
            </w:r>
            <w:r>
              <w:rPr>
                <w:rFonts w:hint="eastAsia" w:ascii="宋体"/>
                <w:b w:val="0"/>
                <w:bCs w:val="0"/>
                <w:color w:val="000000" w:themeColor="text1"/>
                <w:sz w:val="24"/>
                <w:szCs w:val="21"/>
                <w:highlight w:val="none"/>
                <w14:textFill>
                  <w14:solidFill>
                    <w14:schemeClr w14:val="tx1"/>
                  </w14:solidFill>
                </w14:textFill>
              </w:rPr>
              <w:t>政府采购云平台（</w:t>
            </w:r>
            <w:r>
              <w:rPr>
                <w:rFonts w:ascii="宋体"/>
                <w:b w:val="0"/>
                <w:bCs w:val="0"/>
                <w:color w:val="000000" w:themeColor="text1"/>
                <w:sz w:val="24"/>
                <w:szCs w:val="21"/>
                <w:highlight w:val="none"/>
                <w14:textFill>
                  <w14:solidFill>
                    <w14:schemeClr w14:val="tx1"/>
                  </w14:solidFill>
                </w14:textFill>
              </w:rPr>
              <w:t>https://www.gcy.zfcg.gxzf.gov.cn/）获取采购文件，并于</w:t>
            </w:r>
            <w:r>
              <w:rPr>
                <w:rFonts w:ascii="宋体"/>
                <w:b w:val="0"/>
                <w:bCs w:val="0"/>
                <w:color w:val="000000" w:themeColor="text1"/>
                <w:sz w:val="24"/>
                <w:szCs w:val="24"/>
                <w:highlight w:val="none"/>
                <w14:textFill>
                  <w14:solidFill>
                    <w14:schemeClr w14:val="tx1"/>
                  </w14:solidFill>
                </w14:textFill>
              </w:rPr>
              <w:t>2026年</w:t>
            </w:r>
            <w:r>
              <w:rPr>
                <w:rFonts w:hint="eastAsia" w:ascii="宋体"/>
                <w:b w:val="0"/>
                <w:bCs w:val="0"/>
                <w:color w:val="000000" w:themeColor="text1"/>
                <w:sz w:val="24"/>
                <w:szCs w:val="24"/>
                <w:highlight w:val="none"/>
                <w:lang w:val="en-US" w:eastAsia="zh-CN"/>
                <w14:textFill>
                  <w14:solidFill>
                    <w14:schemeClr w14:val="tx1"/>
                  </w14:solidFill>
                </w14:textFill>
              </w:rPr>
              <w:t>3</w:t>
            </w:r>
            <w:r>
              <w:rPr>
                <w:rFonts w:ascii="宋体"/>
                <w:b w:val="0"/>
                <w:bCs w:val="0"/>
                <w:color w:val="000000" w:themeColor="text1"/>
                <w:sz w:val="24"/>
                <w:szCs w:val="24"/>
                <w:highlight w:val="none"/>
                <w14:textFill>
                  <w14:solidFill>
                    <w14:schemeClr w14:val="tx1"/>
                  </w14:solidFill>
                </w14:textFill>
              </w:rPr>
              <w:t>月</w:t>
            </w:r>
            <w:bookmarkEnd w:id="19"/>
            <w:r>
              <w:rPr>
                <w:rFonts w:hint="eastAsia" w:ascii="宋体"/>
                <w:b w:val="0"/>
                <w:bCs w:val="0"/>
                <w:color w:val="000000" w:themeColor="text1"/>
                <w:sz w:val="24"/>
                <w:szCs w:val="24"/>
                <w:highlight w:val="none"/>
                <w:lang w:val="en-US" w:eastAsia="zh-CN"/>
                <w14:textFill>
                  <w14:solidFill>
                    <w14:schemeClr w14:val="tx1"/>
                  </w14:solidFill>
                </w14:textFill>
              </w:rPr>
              <w:t>23</w:t>
            </w:r>
            <w:r>
              <w:rPr>
                <w:rFonts w:hint="eastAsia" w:ascii="宋体"/>
                <w:b w:val="0"/>
                <w:bCs w:val="0"/>
                <w:color w:val="000000" w:themeColor="text1"/>
                <w:sz w:val="24"/>
                <w:szCs w:val="24"/>
                <w:highlight w:val="none"/>
                <w14:textFill>
                  <w14:solidFill>
                    <w14:schemeClr w14:val="tx1"/>
                  </w14:solidFill>
                </w14:textFill>
              </w:rPr>
              <w:t xml:space="preserve"> 日 </w:t>
            </w:r>
            <w:r>
              <w:rPr>
                <w:rFonts w:ascii="宋体"/>
                <w:b w:val="0"/>
                <w:bCs w:val="0"/>
                <w:color w:val="000000" w:themeColor="text1"/>
                <w:sz w:val="24"/>
                <w:szCs w:val="24"/>
                <w:highlight w:val="none"/>
                <w14:textFill>
                  <w14:solidFill>
                    <w14:schemeClr w14:val="tx1"/>
                  </w14:solidFill>
                </w14:textFill>
              </w:rPr>
              <w:t>9</w:t>
            </w:r>
            <w:r>
              <w:rPr>
                <w:rFonts w:hint="eastAsia" w:ascii="宋体"/>
                <w:b w:val="0"/>
                <w:bCs w:val="0"/>
                <w:color w:val="000000" w:themeColor="text1"/>
                <w:sz w:val="24"/>
                <w:szCs w:val="24"/>
                <w:highlight w:val="none"/>
                <w14:textFill>
                  <w14:solidFill>
                    <w14:schemeClr w14:val="tx1"/>
                  </w14:solidFill>
                </w14:textFill>
              </w:rPr>
              <w:t>时</w:t>
            </w:r>
            <w:r>
              <w:rPr>
                <w:rFonts w:ascii="宋体"/>
                <w:b w:val="0"/>
                <w:bCs w:val="0"/>
                <w:color w:val="000000" w:themeColor="text1"/>
                <w:sz w:val="24"/>
                <w:szCs w:val="24"/>
                <w:highlight w:val="none"/>
                <w14:textFill>
                  <w14:solidFill>
                    <w14:schemeClr w14:val="tx1"/>
                  </w14:solidFill>
                </w14:textFill>
              </w:rPr>
              <w:t>00</w:t>
            </w:r>
            <w:r>
              <w:rPr>
                <w:rFonts w:hint="eastAsia" w:ascii="宋体"/>
                <w:b w:val="0"/>
                <w:bCs w:val="0"/>
                <w:color w:val="000000" w:themeColor="text1"/>
                <w:sz w:val="24"/>
                <w:szCs w:val="24"/>
                <w:highlight w:val="none"/>
                <w14:textFill>
                  <w14:solidFill>
                    <w14:schemeClr w14:val="tx1"/>
                  </w14:solidFill>
                </w14:textFill>
              </w:rPr>
              <w:t xml:space="preserve">分 </w:t>
            </w:r>
            <w:r>
              <w:rPr>
                <w:rFonts w:hint="eastAsia" w:ascii="宋体"/>
                <w:b w:val="0"/>
                <w:bCs w:val="0"/>
                <w:color w:val="000000" w:themeColor="text1"/>
                <w:sz w:val="24"/>
                <w:szCs w:val="21"/>
                <w:highlight w:val="none"/>
                <w14:textFill>
                  <w14:solidFill>
                    <w14:schemeClr w14:val="tx1"/>
                  </w14:solidFill>
                </w14:textFill>
              </w:rPr>
              <w:t>（北京时间）前提交响应文件。</w:t>
            </w:r>
          </w:p>
        </w:tc>
      </w:tr>
    </w:tbl>
    <w:p w14:paraId="65514D5B">
      <w:pPr>
        <w:spacing w:line="360" w:lineRule="auto"/>
        <w:rPr>
          <w:rFonts w:ascii="宋体"/>
          <w:b/>
          <w:color w:val="000000" w:themeColor="text1"/>
          <w:sz w:val="24"/>
          <w:szCs w:val="24"/>
          <w:highlight w:val="none"/>
          <w14:textFill>
            <w14:solidFill>
              <w14:schemeClr w14:val="tx1"/>
            </w14:solidFill>
          </w14:textFill>
        </w:rPr>
      </w:pPr>
      <w:bookmarkStart w:id="20" w:name="_Toc8626"/>
      <w:bookmarkStart w:id="21" w:name="_Toc28359012"/>
      <w:bookmarkStart w:id="22" w:name="_Toc28359089"/>
      <w:bookmarkStart w:id="23" w:name="_Toc35393629"/>
      <w:bookmarkStart w:id="24" w:name="_Toc35393798"/>
      <w:r>
        <w:rPr>
          <w:rFonts w:hint="eastAsia" w:ascii="宋体"/>
          <w:b/>
          <w:color w:val="000000" w:themeColor="text1"/>
          <w:sz w:val="24"/>
          <w:szCs w:val="24"/>
          <w:highlight w:val="none"/>
          <w14:textFill>
            <w14:solidFill>
              <w14:schemeClr w14:val="tx1"/>
            </w14:solidFill>
          </w14:textFill>
        </w:rPr>
        <w:t>一、项目基本情况</w:t>
      </w:r>
      <w:bookmarkEnd w:id="20"/>
      <w:bookmarkEnd w:id="21"/>
      <w:bookmarkEnd w:id="22"/>
      <w:bookmarkEnd w:id="23"/>
      <w:bookmarkEnd w:id="24"/>
    </w:p>
    <w:p w14:paraId="7B1181BC">
      <w:pPr>
        <w:spacing w:line="360" w:lineRule="auto"/>
        <w:ind w:firstLine="480" w:firstLineChars="200"/>
        <w:rPr>
          <w:rFonts w:ascii="宋体" w:cs="仿宋"/>
          <w:color w:val="000000" w:themeColor="text1"/>
          <w:sz w:val="24"/>
          <w:szCs w:val="24"/>
          <w:highlight w:val="none"/>
          <w14:textFill>
            <w14:solidFill>
              <w14:schemeClr w14:val="tx1"/>
            </w14:solidFill>
          </w14:textFill>
        </w:rPr>
      </w:pPr>
      <w:r>
        <w:rPr>
          <w:rFonts w:hint="eastAsia" w:ascii="宋体" w:cs="仿宋"/>
          <w:color w:val="000000" w:themeColor="text1"/>
          <w:sz w:val="24"/>
          <w:szCs w:val="24"/>
          <w:highlight w:val="none"/>
          <w14:textFill>
            <w14:solidFill>
              <w14:schemeClr w14:val="tx1"/>
            </w14:solidFill>
          </w14:textFill>
        </w:rPr>
        <w:t>项目编号：GGZC2026-C3-810009-GXGB</w:t>
      </w:r>
    </w:p>
    <w:p w14:paraId="69AAF5CA">
      <w:pPr>
        <w:spacing w:line="360" w:lineRule="auto"/>
        <w:ind w:right="-227" w:rightChars="-108" w:firstLine="480" w:firstLineChars="200"/>
        <w:rPr>
          <w:rFonts w:ascii="宋体"/>
          <w:color w:val="000000" w:themeColor="text1"/>
          <w:sz w:val="24"/>
          <w:szCs w:val="24"/>
          <w:highlight w:val="none"/>
          <w:u w:val="single"/>
          <w14:textFill>
            <w14:solidFill>
              <w14:schemeClr w14:val="tx1"/>
            </w14:solidFill>
          </w14:textFill>
        </w:rPr>
      </w:pPr>
      <w:r>
        <w:rPr>
          <w:rFonts w:hint="eastAsia" w:ascii="宋体" w:cs="仿宋"/>
          <w:color w:val="000000" w:themeColor="text1"/>
          <w:sz w:val="24"/>
          <w:szCs w:val="24"/>
          <w:highlight w:val="none"/>
          <w14:textFill>
            <w14:solidFill>
              <w14:schemeClr w14:val="tx1"/>
            </w14:solidFill>
          </w14:textFill>
        </w:rPr>
        <w:t>项目名称：</w:t>
      </w:r>
      <w:bookmarkStart w:id="25" w:name="_Hlk75505568"/>
      <w:r>
        <w:rPr>
          <w:rFonts w:hint="eastAsia" w:ascii="宋体" w:cs="仿宋"/>
          <w:color w:val="000000" w:themeColor="text1"/>
          <w:sz w:val="24"/>
          <w:szCs w:val="24"/>
          <w:highlight w:val="none"/>
          <w14:textFill>
            <w14:solidFill>
              <w14:schemeClr w14:val="tx1"/>
            </w14:solidFill>
          </w14:textFill>
        </w:rPr>
        <w:t>桂平新材料产业园化工园区认定资料补充项目编制服务</w:t>
      </w:r>
    </w:p>
    <w:bookmarkEnd w:id="25"/>
    <w:p w14:paraId="5EA4472F">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s="仿宋"/>
          <w:color w:val="000000" w:themeColor="text1"/>
          <w:sz w:val="24"/>
          <w:szCs w:val="24"/>
          <w:highlight w:val="none"/>
          <w14:textFill>
            <w14:solidFill>
              <w14:schemeClr w14:val="tx1"/>
            </w14:solidFill>
          </w14:textFill>
        </w:rPr>
        <w:t>采购方式：</w:t>
      </w:r>
      <w:r>
        <w:rPr>
          <w:rFonts w:hint="eastAsia" w:ascii="宋体" w:cs="宋体"/>
          <w:color w:val="000000" w:themeColor="text1"/>
          <w:sz w:val="24"/>
          <w:szCs w:val="24"/>
          <w:highlight w:val="none"/>
          <w14:textFill>
            <w14:solidFill>
              <w14:schemeClr w14:val="tx1"/>
            </w14:solidFill>
          </w14:textFill>
        </w:rPr>
        <w:t>竞争性磋商</w:t>
      </w:r>
    </w:p>
    <w:p w14:paraId="5F4BB921">
      <w:pPr>
        <w:spacing w:line="360" w:lineRule="auto"/>
        <w:ind w:firstLine="480" w:firstLineChars="200"/>
        <w:rPr>
          <w:rFonts w:hint="eastAsia" w:ascii="宋体" w:eastAsia="宋体"/>
          <w:color w:val="000000" w:themeColor="text1"/>
          <w:sz w:val="24"/>
          <w:szCs w:val="24"/>
          <w:highlight w:val="none"/>
          <w:lang w:eastAsia="zh-CN"/>
          <w14:textFill>
            <w14:solidFill>
              <w14:schemeClr w14:val="tx1"/>
            </w14:solidFill>
          </w14:textFill>
        </w:rPr>
      </w:pPr>
      <w:r>
        <w:rPr>
          <w:rFonts w:hint="eastAsia" w:ascii="宋体" w:cs="仿宋"/>
          <w:color w:val="000000" w:themeColor="text1"/>
          <w:sz w:val="24"/>
          <w:szCs w:val="24"/>
          <w:highlight w:val="none"/>
          <w14:textFill>
            <w14:solidFill>
              <w14:schemeClr w14:val="tx1"/>
            </w14:solidFill>
          </w14:textFill>
        </w:rPr>
        <w:t>预算金额（元）：</w:t>
      </w:r>
      <w:r>
        <w:rPr>
          <w:rFonts w:hint="eastAsia" w:ascii="宋体" w:cs="仿宋"/>
          <w:color w:val="000000" w:themeColor="text1"/>
          <w:sz w:val="24"/>
          <w:szCs w:val="24"/>
          <w:highlight w:val="none"/>
          <w:lang w:eastAsia="zh-CN"/>
          <w14:textFill>
            <w14:solidFill>
              <w14:schemeClr w14:val="tx1"/>
            </w14:solidFill>
          </w14:textFill>
        </w:rPr>
        <w:t>1280000.00</w:t>
      </w:r>
    </w:p>
    <w:p w14:paraId="770A05C5">
      <w:pPr>
        <w:spacing w:line="360" w:lineRule="auto"/>
        <w:ind w:firstLine="480" w:firstLineChars="200"/>
        <w:rPr>
          <w:rFonts w:ascii="宋体" w:cs="仿宋"/>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采购需求： </w:t>
      </w:r>
      <w:bookmarkStart w:id="110" w:name="_GoBack"/>
      <w:bookmarkEnd w:id="110"/>
    </w:p>
    <w:p w14:paraId="568C4E27">
      <w:pPr>
        <w:spacing w:line="360" w:lineRule="auto"/>
        <w:ind w:right="-227" w:rightChars="-108" w:firstLine="480" w:firstLineChars="200"/>
        <w:rPr>
          <w:rFonts w:ascii="宋体" w:cs="仿宋"/>
          <w:color w:val="000000" w:themeColor="text1"/>
          <w:sz w:val="24"/>
          <w:szCs w:val="24"/>
          <w:highlight w:val="none"/>
          <w14:textFill>
            <w14:solidFill>
              <w14:schemeClr w14:val="tx1"/>
            </w14:solidFill>
          </w14:textFill>
        </w:rPr>
      </w:pPr>
      <w:r>
        <w:rPr>
          <w:rFonts w:ascii="宋体" w:cs="仿宋"/>
          <w:color w:val="000000" w:themeColor="text1"/>
          <w:sz w:val="24"/>
          <w:szCs w:val="24"/>
          <w:highlight w:val="none"/>
          <w14:textFill>
            <w14:solidFill>
              <w14:schemeClr w14:val="tx1"/>
            </w14:solidFill>
          </w14:textFill>
        </w:rPr>
        <w:t xml:space="preserve">标项名称: </w:t>
      </w:r>
      <w:r>
        <w:rPr>
          <w:rFonts w:hint="eastAsia" w:ascii="宋体" w:cs="仿宋"/>
          <w:color w:val="000000" w:themeColor="text1"/>
          <w:sz w:val="24"/>
          <w:szCs w:val="24"/>
          <w:highlight w:val="none"/>
          <w14:textFill>
            <w14:solidFill>
              <w14:schemeClr w14:val="tx1"/>
            </w14:solidFill>
          </w14:textFill>
        </w:rPr>
        <w:t>桂平新材料产业园化工园区认定资料补充项目编制服务</w:t>
      </w:r>
    </w:p>
    <w:p w14:paraId="5F9F041C">
      <w:pPr>
        <w:spacing w:line="360" w:lineRule="auto"/>
        <w:ind w:firstLine="480" w:firstLineChars="200"/>
        <w:rPr>
          <w:rFonts w:ascii="宋体" w:cs="仿宋"/>
          <w:color w:val="000000" w:themeColor="text1"/>
          <w:sz w:val="24"/>
          <w:szCs w:val="24"/>
          <w:highlight w:val="none"/>
          <w14:textFill>
            <w14:solidFill>
              <w14:schemeClr w14:val="tx1"/>
            </w14:solidFill>
          </w14:textFill>
        </w:rPr>
      </w:pPr>
      <w:r>
        <w:rPr>
          <w:rFonts w:ascii="宋体" w:cs="仿宋"/>
          <w:color w:val="000000" w:themeColor="text1"/>
          <w:sz w:val="24"/>
          <w:szCs w:val="24"/>
          <w:highlight w:val="none"/>
          <w14:textFill>
            <w14:solidFill>
              <w14:schemeClr w14:val="tx1"/>
            </w14:solidFill>
          </w14:textFill>
        </w:rPr>
        <w:t>数量:不限</w:t>
      </w:r>
    </w:p>
    <w:p w14:paraId="726D8D1F">
      <w:pPr>
        <w:spacing w:line="360" w:lineRule="auto"/>
        <w:ind w:firstLine="480" w:firstLineChars="200"/>
        <w:rPr>
          <w:rFonts w:hint="eastAsia" w:ascii="宋体" w:eastAsia="宋体" w:cs="仿宋"/>
          <w:color w:val="000000" w:themeColor="text1"/>
          <w:sz w:val="24"/>
          <w:szCs w:val="24"/>
          <w:highlight w:val="none"/>
          <w:lang w:eastAsia="zh-CN"/>
          <w14:textFill>
            <w14:solidFill>
              <w14:schemeClr w14:val="tx1"/>
            </w14:solidFill>
          </w14:textFill>
        </w:rPr>
      </w:pPr>
      <w:r>
        <w:rPr>
          <w:rFonts w:ascii="宋体" w:cs="仿宋"/>
          <w:color w:val="000000" w:themeColor="text1"/>
          <w:sz w:val="24"/>
          <w:szCs w:val="24"/>
          <w:highlight w:val="none"/>
          <w14:textFill>
            <w14:solidFill>
              <w14:schemeClr w14:val="tx1"/>
            </w14:solidFill>
          </w14:textFill>
        </w:rPr>
        <w:t>预算金额（元）:</w:t>
      </w:r>
      <w:r>
        <w:rPr>
          <w:rFonts w:hint="eastAsia" w:ascii="宋体" w:cs="仿宋"/>
          <w:color w:val="000000" w:themeColor="text1"/>
          <w:sz w:val="24"/>
          <w:szCs w:val="24"/>
          <w:highlight w:val="none"/>
          <w14:textFill>
            <w14:solidFill>
              <w14:schemeClr w14:val="tx1"/>
            </w14:solidFill>
          </w14:textFill>
        </w:rPr>
        <w:t xml:space="preserve"> </w:t>
      </w:r>
      <w:r>
        <w:rPr>
          <w:rFonts w:hint="eastAsia" w:ascii="宋体" w:cs="仿宋"/>
          <w:color w:val="000000" w:themeColor="text1"/>
          <w:sz w:val="24"/>
          <w:szCs w:val="24"/>
          <w:highlight w:val="none"/>
          <w:lang w:eastAsia="zh-CN"/>
          <w14:textFill>
            <w14:solidFill>
              <w14:schemeClr w14:val="tx1"/>
            </w14:solidFill>
          </w14:textFill>
        </w:rPr>
        <w:t>1280000.00</w:t>
      </w:r>
    </w:p>
    <w:p w14:paraId="6FCBCE21">
      <w:pPr>
        <w:spacing w:line="360" w:lineRule="auto"/>
        <w:ind w:firstLine="480" w:firstLineChars="200"/>
        <w:rPr>
          <w:rFonts w:ascii="宋体" w:cs="仿宋"/>
          <w:color w:val="000000" w:themeColor="text1"/>
          <w:sz w:val="24"/>
          <w:szCs w:val="24"/>
          <w:highlight w:val="none"/>
          <w14:textFill>
            <w14:solidFill>
              <w14:schemeClr w14:val="tx1"/>
            </w14:solidFill>
          </w14:textFill>
        </w:rPr>
      </w:pPr>
      <w:r>
        <w:rPr>
          <w:rFonts w:ascii="宋体" w:cs="仿宋"/>
          <w:color w:val="000000" w:themeColor="text1"/>
          <w:sz w:val="24"/>
          <w:szCs w:val="24"/>
          <w:highlight w:val="none"/>
          <w14:textFill>
            <w14:solidFill>
              <w14:schemeClr w14:val="tx1"/>
            </w14:solidFill>
          </w14:textFill>
        </w:rPr>
        <w:t>简要规格描述或项目基本概况介绍、用途：</w:t>
      </w:r>
      <w:r>
        <w:rPr>
          <w:rFonts w:hint="eastAsia" w:ascii="宋体" w:cs="仿宋"/>
          <w:color w:val="000000" w:themeColor="text1"/>
          <w:sz w:val="24"/>
          <w:szCs w:val="24"/>
          <w:highlight w:val="none"/>
          <w14:textFill>
            <w14:solidFill>
              <w14:schemeClr w14:val="tx1"/>
            </w14:solidFill>
          </w14:textFill>
        </w:rPr>
        <w:t>根据《广西化工园区建设标准和认定管理实施细则》及化工园区安全事故应急预案管理办法等要求，开展桂平新材料产业园化工园区认定工作，完成《危化品停车场建设需求论证报告》、《化工园区安全风险评估分级报告》等多项内容编制。</w:t>
      </w:r>
      <w:r>
        <w:rPr>
          <w:rFonts w:ascii="宋体" w:cs="仿宋"/>
          <w:color w:val="000000" w:themeColor="text1"/>
          <w:sz w:val="24"/>
          <w:szCs w:val="24"/>
          <w:highlight w:val="none"/>
          <w14:textFill>
            <w14:solidFill>
              <w14:schemeClr w14:val="tx1"/>
            </w14:solidFill>
          </w14:textFill>
        </w:rPr>
        <w:t>详见项目采购服务需求</w:t>
      </w:r>
      <w:r>
        <w:rPr>
          <w:rFonts w:hint="eastAsia" w:ascii="宋体" w:cs="仿宋"/>
          <w:color w:val="000000" w:themeColor="text1"/>
          <w:sz w:val="24"/>
          <w:szCs w:val="24"/>
          <w:highlight w:val="none"/>
          <w14:textFill>
            <w14:solidFill>
              <w14:schemeClr w14:val="tx1"/>
            </w14:solidFill>
          </w14:textFill>
        </w:rPr>
        <w:t>。</w:t>
      </w:r>
    </w:p>
    <w:p w14:paraId="78AFA92B">
      <w:pPr>
        <w:spacing w:line="360" w:lineRule="auto"/>
        <w:ind w:firstLine="480" w:firstLineChars="200"/>
        <w:rPr>
          <w:rFonts w:hint="eastAsia" w:ascii="宋体" w:eastAsia="宋体" w:cs="仿宋"/>
          <w:color w:val="000000" w:themeColor="text1"/>
          <w:sz w:val="24"/>
          <w:szCs w:val="24"/>
          <w:highlight w:val="none"/>
          <w:lang w:eastAsia="zh-CN"/>
          <w14:textFill>
            <w14:solidFill>
              <w14:schemeClr w14:val="tx1"/>
            </w14:solidFill>
          </w14:textFill>
        </w:rPr>
      </w:pPr>
      <w:r>
        <w:rPr>
          <w:rFonts w:ascii="宋体" w:cs="仿宋"/>
          <w:color w:val="000000" w:themeColor="text1"/>
          <w:sz w:val="24"/>
          <w:szCs w:val="24"/>
          <w:highlight w:val="none"/>
          <w14:textFill>
            <w14:solidFill>
              <w14:schemeClr w14:val="tx1"/>
            </w14:solidFill>
          </w14:textFill>
        </w:rPr>
        <w:t>最高限价（如有）：</w:t>
      </w:r>
      <w:r>
        <w:rPr>
          <w:rFonts w:hint="eastAsia" w:ascii="宋体" w:cs="仿宋"/>
          <w:color w:val="000000" w:themeColor="text1"/>
          <w:sz w:val="24"/>
          <w:szCs w:val="24"/>
          <w:highlight w:val="none"/>
          <w:lang w:eastAsia="zh-CN"/>
          <w14:textFill>
            <w14:solidFill>
              <w14:schemeClr w14:val="tx1"/>
            </w14:solidFill>
          </w14:textFill>
        </w:rPr>
        <w:t>1280000.00</w:t>
      </w:r>
    </w:p>
    <w:p w14:paraId="05F9C718">
      <w:pPr>
        <w:spacing w:line="360" w:lineRule="auto"/>
        <w:ind w:firstLine="480" w:firstLineChars="200"/>
        <w:rPr>
          <w:rFonts w:ascii="宋体" w:cs="仿宋"/>
          <w:color w:val="000000" w:themeColor="text1"/>
          <w:sz w:val="24"/>
          <w:szCs w:val="24"/>
          <w:highlight w:val="none"/>
          <w14:textFill>
            <w14:solidFill>
              <w14:schemeClr w14:val="tx1"/>
            </w14:solidFill>
          </w14:textFill>
        </w:rPr>
      </w:pPr>
      <w:r>
        <w:rPr>
          <w:rFonts w:ascii="宋体" w:cs="仿宋"/>
          <w:color w:val="000000" w:themeColor="text1"/>
          <w:sz w:val="24"/>
          <w:szCs w:val="24"/>
          <w:highlight w:val="none"/>
          <w14:textFill>
            <w14:solidFill>
              <w14:schemeClr w14:val="tx1"/>
            </w14:solidFill>
          </w14:textFill>
        </w:rPr>
        <w:t>合同履约期限：</w:t>
      </w:r>
      <w:r>
        <w:rPr>
          <w:rFonts w:hint="eastAsia" w:ascii="宋体" w:cs="仿宋"/>
          <w:color w:val="000000" w:themeColor="text1"/>
          <w:sz w:val="24"/>
          <w:szCs w:val="24"/>
          <w:highlight w:val="none"/>
          <w14:textFill>
            <w14:solidFill>
              <w14:schemeClr w14:val="tx1"/>
            </w14:solidFill>
          </w14:textFill>
        </w:rPr>
        <w:t>自合同签订生效之日起至桂平新材料产业园化工园区认定之日止</w:t>
      </w:r>
      <w:r>
        <w:rPr>
          <w:rFonts w:ascii="宋体" w:cs="仿宋"/>
          <w:color w:val="000000" w:themeColor="text1"/>
          <w:sz w:val="24"/>
          <w:szCs w:val="24"/>
          <w:highlight w:val="none"/>
          <w14:textFill>
            <w14:solidFill>
              <w14:schemeClr w14:val="tx1"/>
            </w14:solidFill>
          </w14:textFill>
        </w:rPr>
        <w:t>。</w:t>
      </w:r>
    </w:p>
    <w:p w14:paraId="5A57898E">
      <w:pPr>
        <w:spacing w:line="360" w:lineRule="auto"/>
        <w:ind w:left="479" w:leftChars="228"/>
        <w:rPr>
          <w:rFonts w:ascii="宋体" w:cs="仿宋"/>
          <w:color w:val="000000" w:themeColor="text1"/>
          <w:sz w:val="24"/>
          <w:szCs w:val="24"/>
          <w:highlight w:val="none"/>
          <w14:textFill>
            <w14:solidFill>
              <w14:schemeClr w14:val="tx1"/>
            </w14:solidFill>
          </w14:textFill>
        </w:rPr>
      </w:pPr>
      <w:r>
        <w:rPr>
          <w:rFonts w:ascii="宋体" w:cs="仿宋"/>
          <w:color w:val="000000" w:themeColor="text1"/>
          <w:sz w:val="24"/>
          <w:szCs w:val="24"/>
          <w:highlight w:val="none"/>
          <w14:textFill>
            <w14:solidFill>
              <w14:schemeClr w14:val="tx1"/>
            </w14:solidFill>
          </w14:textFill>
        </w:rPr>
        <w:t>本标项</w:t>
      </w:r>
      <w:r>
        <w:rPr>
          <w:rFonts w:hint="eastAsia" w:ascii="宋体" w:cs="仿宋"/>
          <w:color w:val="000000" w:themeColor="text1"/>
          <w:sz w:val="24"/>
          <w:szCs w:val="24"/>
          <w:highlight w:val="none"/>
          <w14:textFill>
            <w14:solidFill>
              <w14:schemeClr w14:val="tx1"/>
            </w14:solidFill>
          </w14:textFill>
        </w:rPr>
        <w:t>（否）</w:t>
      </w:r>
      <w:r>
        <w:rPr>
          <w:rFonts w:ascii="宋体" w:cs="仿宋"/>
          <w:color w:val="000000" w:themeColor="text1"/>
          <w:sz w:val="24"/>
          <w:szCs w:val="24"/>
          <w:highlight w:val="none"/>
          <w14:textFill>
            <w14:solidFill>
              <w14:schemeClr w14:val="tx1"/>
            </w14:solidFill>
          </w14:textFill>
        </w:rPr>
        <w:t>接受联合体投标</w:t>
      </w:r>
      <w:r>
        <w:rPr>
          <w:rFonts w:hint="eastAsia" w:ascii="宋体" w:cs="仿宋"/>
          <w:color w:val="000000" w:themeColor="text1"/>
          <w:sz w:val="24"/>
          <w:szCs w:val="24"/>
          <w:highlight w:val="none"/>
          <w14:textFill>
            <w14:solidFill>
              <w14:schemeClr w14:val="tx1"/>
            </w14:solidFill>
          </w14:textFill>
        </w:rPr>
        <w:t>。</w:t>
      </w:r>
    </w:p>
    <w:p w14:paraId="6B45025F">
      <w:pPr>
        <w:spacing w:line="360" w:lineRule="auto"/>
        <w:ind w:left="479" w:leftChars="228"/>
        <w:rPr>
          <w:color w:val="000000" w:themeColor="text1"/>
          <w:highlight w:val="none"/>
          <w14:textFill>
            <w14:solidFill>
              <w14:schemeClr w14:val="tx1"/>
            </w14:solidFill>
          </w14:textFill>
        </w:rPr>
      </w:pPr>
      <w:r>
        <w:rPr>
          <w:rFonts w:ascii="宋体" w:cs="仿宋"/>
          <w:color w:val="000000" w:themeColor="text1"/>
          <w:sz w:val="24"/>
          <w:szCs w:val="24"/>
          <w:highlight w:val="none"/>
          <w14:textFill>
            <w14:solidFill>
              <w14:schemeClr w14:val="tx1"/>
            </w14:solidFill>
          </w14:textFill>
        </w:rPr>
        <w:t>备注：</w:t>
      </w:r>
      <w:r>
        <w:rPr>
          <w:rFonts w:hint="eastAsia" w:ascii="宋体" w:cs="仿宋"/>
          <w:color w:val="000000" w:themeColor="text1"/>
          <w:sz w:val="24"/>
          <w:szCs w:val="24"/>
          <w:highlight w:val="none"/>
          <w14:textFill>
            <w14:solidFill>
              <w14:schemeClr w14:val="tx1"/>
            </w14:solidFill>
          </w14:textFill>
        </w:rPr>
        <w:t>/</w:t>
      </w:r>
    </w:p>
    <w:p w14:paraId="5178E508">
      <w:pPr>
        <w:pStyle w:val="27"/>
        <w:spacing w:before="240" w:line="360" w:lineRule="auto"/>
        <w:rPr>
          <w:rFonts w:ascii="宋体"/>
          <w:b/>
          <w:color w:val="000000" w:themeColor="text1"/>
          <w:sz w:val="24"/>
          <w:szCs w:val="24"/>
          <w:highlight w:val="none"/>
          <w14:textFill>
            <w14:solidFill>
              <w14:schemeClr w14:val="tx1"/>
            </w14:solidFill>
          </w14:textFill>
        </w:rPr>
      </w:pPr>
      <w:bookmarkStart w:id="26" w:name="_Toc8276"/>
      <w:bookmarkStart w:id="27" w:name="_Toc35393799"/>
      <w:bookmarkStart w:id="28" w:name="_Toc35393630"/>
      <w:bookmarkStart w:id="29" w:name="_Toc28359013"/>
      <w:bookmarkStart w:id="30" w:name="_Toc28359090"/>
      <w:r>
        <w:rPr>
          <w:rFonts w:hint="eastAsia" w:ascii="宋体"/>
          <w:b/>
          <w:color w:val="000000" w:themeColor="text1"/>
          <w:sz w:val="24"/>
          <w:szCs w:val="24"/>
          <w:highlight w:val="none"/>
          <w14:textFill>
            <w14:solidFill>
              <w14:schemeClr w14:val="tx1"/>
            </w14:solidFill>
          </w14:textFill>
        </w:rPr>
        <w:t>二、申请人的资格要求</w:t>
      </w:r>
      <w:bookmarkEnd w:id="26"/>
      <w:bookmarkEnd w:id="27"/>
      <w:bookmarkEnd w:id="28"/>
      <w:bookmarkEnd w:id="29"/>
      <w:bookmarkEnd w:id="30"/>
      <w:bookmarkStart w:id="31" w:name="_Toc30570"/>
      <w:bookmarkStart w:id="32" w:name="_Toc28359014"/>
      <w:bookmarkStart w:id="33" w:name="_Toc35393631"/>
      <w:bookmarkStart w:id="34" w:name="_Toc28359091"/>
      <w:bookmarkStart w:id="35" w:name="_Toc35393800"/>
    </w:p>
    <w:p w14:paraId="25F73AC0">
      <w:pPr>
        <w:spacing w:line="360" w:lineRule="auto"/>
        <w:ind w:firstLine="484" w:firstLineChars="202"/>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1.满足《中华人民共和国政府采购法》第二十二条规定；</w:t>
      </w:r>
    </w:p>
    <w:p w14:paraId="18959F3C">
      <w:pPr>
        <w:spacing w:line="360" w:lineRule="auto"/>
        <w:ind w:firstLine="484" w:firstLineChars="202"/>
        <w:rPr>
          <w:rFonts w:ascii="宋体"/>
          <w:b/>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2.落实政府采购政策需满足的资格要求：</w:t>
      </w:r>
      <w:r>
        <w:rPr>
          <w:rFonts w:hint="eastAsia" w:ascii="宋体"/>
          <w:b/>
          <w:color w:val="000000" w:themeColor="text1"/>
          <w:sz w:val="24"/>
          <w:szCs w:val="24"/>
          <w:highlight w:val="none"/>
          <w14:textFill>
            <w14:solidFill>
              <w14:schemeClr w14:val="tx1"/>
            </w14:solidFill>
          </w14:textFill>
        </w:rPr>
        <w:t>无</w:t>
      </w:r>
    </w:p>
    <w:p w14:paraId="3F0A7F36">
      <w:pPr>
        <w:spacing w:line="360" w:lineRule="auto"/>
        <w:ind w:firstLine="484" w:firstLineChars="202"/>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3.本项目的特定资格要求：</w:t>
      </w:r>
    </w:p>
    <w:p w14:paraId="10BF2039">
      <w:pPr>
        <w:spacing w:line="360" w:lineRule="auto"/>
        <w:ind w:firstLine="484" w:firstLineChars="202"/>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1"/>
          <w:highlight w:val="none"/>
          <w14:textFill>
            <w14:solidFill>
              <w14:schemeClr w14:val="tx1"/>
            </w14:solidFill>
          </w14:textFill>
        </w:rPr>
        <w:t>.1供应商应具备安全评价机构资质证书。</w:t>
      </w:r>
    </w:p>
    <w:p w14:paraId="0F43E9E0">
      <w:pPr>
        <w:spacing w:line="360" w:lineRule="auto"/>
        <w:ind w:firstLine="484" w:firstLineChars="202"/>
        <w:rPr>
          <w:rFonts w:ascii="宋体"/>
          <w:color w:val="000000" w:themeColor="text1"/>
          <w:sz w:val="32"/>
          <w:szCs w:val="24"/>
          <w:highlight w:val="none"/>
          <w14:textFill>
            <w14:solidFill>
              <w14:schemeClr w14:val="tx1"/>
            </w14:solidFill>
          </w14:textFill>
        </w:rPr>
      </w:pPr>
      <w:r>
        <w:rPr>
          <w:rFonts w:hint="eastAsia" w:ascii="宋体" w:hAnsi="宋体" w:eastAsia="宋体" w:cs="宋体"/>
          <w:color w:val="000000" w:themeColor="text1"/>
          <w:kern w:val="0"/>
          <w:sz w:val="24"/>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1"/>
          <w:highlight w:val="none"/>
          <w14:textFill>
            <w14:solidFill>
              <w14:schemeClr w14:val="tx1"/>
            </w14:solidFill>
          </w14:textFill>
        </w:rPr>
        <w:t>2拟</w:t>
      </w:r>
      <w:r>
        <w:rPr>
          <w:rFonts w:hint="eastAsia"/>
          <w:color w:val="000000" w:themeColor="text1"/>
          <w:kern w:val="0"/>
          <w:sz w:val="24"/>
          <w:szCs w:val="21"/>
          <w:highlight w:val="none"/>
          <w14:textFill>
            <w14:solidFill>
              <w14:schemeClr w14:val="tx1"/>
            </w14:solidFill>
          </w14:textFill>
        </w:rPr>
        <w:t>投入本项目的项目负责人须具备工程相关专业中级以上工程师职称。</w:t>
      </w:r>
    </w:p>
    <w:p w14:paraId="3B6FEE92">
      <w:pPr>
        <w:spacing w:line="360" w:lineRule="auto"/>
        <w:rPr>
          <w:rFonts w:ascii="宋体"/>
          <w:b/>
          <w:color w:val="000000" w:themeColor="text1"/>
          <w:sz w:val="24"/>
          <w:szCs w:val="24"/>
          <w:highlight w:val="none"/>
          <w14:textFill>
            <w14:solidFill>
              <w14:schemeClr w14:val="tx1"/>
            </w14:solidFill>
          </w14:textFill>
        </w:rPr>
      </w:pPr>
      <w:r>
        <w:rPr>
          <w:rFonts w:hint="eastAsia" w:ascii="宋体"/>
          <w:b/>
          <w:color w:val="000000" w:themeColor="text1"/>
          <w:sz w:val="24"/>
          <w:szCs w:val="24"/>
          <w:highlight w:val="none"/>
          <w14:textFill>
            <w14:solidFill>
              <w14:schemeClr w14:val="tx1"/>
            </w14:solidFill>
          </w14:textFill>
        </w:rPr>
        <w:t>三、获取采购文件</w:t>
      </w:r>
      <w:bookmarkEnd w:id="31"/>
      <w:bookmarkEnd w:id="32"/>
      <w:bookmarkEnd w:id="33"/>
      <w:bookmarkEnd w:id="34"/>
      <w:bookmarkEnd w:id="35"/>
    </w:p>
    <w:p w14:paraId="502039B8">
      <w:pPr>
        <w:spacing w:line="360" w:lineRule="auto"/>
        <w:ind w:firstLine="480" w:firstLineChars="200"/>
        <w:rPr>
          <w:rFonts w:ascii="宋体"/>
          <w:color w:val="000000" w:themeColor="text1"/>
          <w:sz w:val="24"/>
          <w:szCs w:val="24"/>
          <w:highlight w:val="none"/>
          <w14:textFill>
            <w14:solidFill>
              <w14:schemeClr w14:val="tx1"/>
            </w14:solidFill>
          </w14:textFill>
        </w:rPr>
      </w:pPr>
      <w:bookmarkStart w:id="36" w:name="_Toc35393801"/>
      <w:bookmarkStart w:id="37" w:name="_Toc15585"/>
      <w:bookmarkStart w:id="38" w:name="_Toc28359015"/>
      <w:bookmarkStart w:id="39" w:name="_Toc35393632"/>
      <w:bookmarkStart w:id="40" w:name="_Toc28359092"/>
      <w:r>
        <w:rPr>
          <w:rFonts w:hint="eastAsia" w:ascii="宋体"/>
          <w:color w:val="000000" w:themeColor="text1"/>
          <w:sz w:val="24"/>
          <w:szCs w:val="24"/>
          <w:highlight w:val="none"/>
          <w14:textFill>
            <w14:solidFill>
              <w14:schemeClr w14:val="tx1"/>
            </w14:solidFill>
          </w14:textFill>
        </w:rPr>
        <w:t>时间：</w:t>
      </w:r>
      <w:r>
        <w:rPr>
          <w:rFonts w:hint="eastAsia" w:ascii="宋体"/>
          <w:color w:val="000000" w:themeColor="text1"/>
          <w:sz w:val="24"/>
          <w:szCs w:val="24"/>
          <w:highlight w:val="none"/>
          <w:u w:val="single"/>
          <w14:textFill>
            <w14:solidFill>
              <w14:schemeClr w14:val="tx1"/>
            </w14:solidFill>
          </w14:textFill>
        </w:rPr>
        <w:t xml:space="preserve">2026年 </w:t>
      </w:r>
      <w:r>
        <w:rPr>
          <w:rFonts w:hint="eastAsia" w:ascii="宋体"/>
          <w:color w:val="000000" w:themeColor="text1"/>
          <w:sz w:val="24"/>
          <w:szCs w:val="24"/>
          <w:highlight w:val="none"/>
          <w:u w:val="single"/>
          <w:lang w:val="en-US" w:eastAsia="zh-CN"/>
          <w14:textFill>
            <w14:solidFill>
              <w14:schemeClr w14:val="tx1"/>
            </w14:solidFill>
          </w14:textFill>
        </w:rPr>
        <w:t>3</w:t>
      </w:r>
      <w:r>
        <w:rPr>
          <w:rFonts w:hint="eastAsia" w:ascii="宋体"/>
          <w:color w:val="000000" w:themeColor="text1"/>
          <w:sz w:val="24"/>
          <w:szCs w:val="24"/>
          <w:highlight w:val="none"/>
          <w:u w:val="single"/>
          <w14:textFill>
            <w14:solidFill>
              <w14:schemeClr w14:val="tx1"/>
            </w14:solidFill>
          </w14:textFill>
        </w:rPr>
        <w:t xml:space="preserve">月 </w:t>
      </w:r>
      <w:r>
        <w:rPr>
          <w:rFonts w:hint="eastAsia" w:ascii="宋体"/>
          <w:color w:val="000000" w:themeColor="text1"/>
          <w:sz w:val="24"/>
          <w:szCs w:val="24"/>
          <w:highlight w:val="none"/>
          <w:u w:val="single"/>
          <w:lang w:val="en-US" w:eastAsia="zh-CN"/>
          <w14:textFill>
            <w14:solidFill>
              <w14:schemeClr w14:val="tx1"/>
            </w14:solidFill>
          </w14:textFill>
        </w:rPr>
        <w:t>4</w:t>
      </w:r>
      <w:r>
        <w:rPr>
          <w:rFonts w:hint="eastAsia" w:ascii="宋体"/>
          <w:color w:val="000000" w:themeColor="text1"/>
          <w:sz w:val="24"/>
          <w:szCs w:val="24"/>
          <w:highlight w:val="none"/>
          <w:u w:val="single"/>
          <w14:textFill>
            <w14:solidFill>
              <w14:schemeClr w14:val="tx1"/>
            </w14:solidFill>
          </w14:textFill>
        </w:rPr>
        <w:t xml:space="preserve"> 日至2026年 </w:t>
      </w:r>
      <w:r>
        <w:rPr>
          <w:rFonts w:hint="eastAsia" w:ascii="宋体"/>
          <w:color w:val="000000" w:themeColor="text1"/>
          <w:sz w:val="24"/>
          <w:szCs w:val="24"/>
          <w:highlight w:val="none"/>
          <w:u w:val="single"/>
          <w:lang w:val="en-US" w:eastAsia="zh-CN"/>
          <w14:textFill>
            <w14:solidFill>
              <w14:schemeClr w14:val="tx1"/>
            </w14:solidFill>
          </w14:textFill>
        </w:rPr>
        <w:t>3</w:t>
      </w:r>
      <w:r>
        <w:rPr>
          <w:rFonts w:hint="eastAsia" w:ascii="宋体"/>
          <w:color w:val="000000" w:themeColor="text1"/>
          <w:sz w:val="24"/>
          <w:szCs w:val="24"/>
          <w:highlight w:val="none"/>
          <w:u w:val="single"/>
          <w14:textFill>
            <w14:solidFill>
              <w14:schemeClr w14:val="tx1"/>
            </w14:solidFill>
          </w14:textFill>
        </w:rPr>
        <w:t xml:space="preserve">月 </w:t>
      </w:r>
      <w:r>
        <w:rPr>
          <w:rFonts w:hint="eastAsia" w:ascii="宋体"/>
          <w:color w:val="000000" w:themeColor="text1"/>
          <w:sz w:val="24"/>
          <w:szCs w:val="24"/>
          <w:highlight w:val="none"/>
          <w:u w:val="single"/>
          <w:lang w:val="en-US" w:eastAsia="zh-CN"/>
          <w14:textFill>
            <w14:solidFill>
              <w14:schemeClr w14:val="tx1"/>
            </w14:solidFill>
          </w14:textFill>
        </w:rPr>
        <w:t>11</w:t>
      </w:r>
      <w:r>
        <w:rPr>
          <w:rFonts w:hint="eastAsia" w:ascii="宋体"/>
          <w:color w:val="000000" w:themeColor="text1"/>
          <w:sz w:val="24"/>
          <w:szCs w:val="24"/>
          <w:highlight w:val="none"/>
          <w:u w:val="single"/>
          <w14:textFill>
            <w14:solidFill>
              <w14:schemeClr w14:val="tx1"/>
            </w14:solidFill>
          </w14:textFill>
        </w:rPr>
        <w:t xml:space="preserve"> 日</w:t>
      </w:r>
      <w:r>
        <w:rPr>
          <w:rFonts w:hint="eastAsia" w:ascii="宋体"/>
          <w:color w:val="000000" w:themeColor="text1"/>
          <w:sz w:val="24"/>
          <w:szCs w:val="24"/>
          <w:highlight w:val="none"/>
          <w14:textFill>
            <w14:solidFill>
              <w14:schemeClr w14:val="tx1"/>
            </w14:solidFill>
          </w14:textFill>
        </w:rPr>
        <w:t>，每天上午00:00至12:00，下午12:00至23:59（北京时间，法定节假日除外）</w:t>
      </w:r>
    </w:p>
    <w:p w14:paraId="7F532A25">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地点（网址）：广西政府采购云平台（https://www.gcy.zfcg.gxzf.gov.cn/）。</w:t>
      </w:r>
    </w:p>
    <w:p w14:paraId="3484D9A2">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方式：网上下载。本项目不发放纸质文件，潜在供应商可自行在广西政府采购云平台（https://www.gcy.zfcg.gxzf.gov.cn/）下载采购文件（操作路径：登录广西政府采购云平台-项目采购-获取采购文件-找到本项目-点击“申请获取采购文件”），电子投标文件制作需要基于广西政府采购云平台获取的采购文件编制。</w:t>
      </w:r>
    </w:p>
    <w:p w14:paraId="679DEFFE">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售价（元）：0 </w:t>
      </w:r>
    </w:p>
    <w:p w14:paraId="310CE2CD">
      <w:pPr>
        <w:spacing w:line="360" w:lineRule="auto"/>
        <w:rPr>
          <w:rFonts w:ascii="宋体"/>
          <w:b/>
          <w:color w:val="000000" w:themeColor="text1"/>
          <w:sz w:val="24"/>
          <w:szCs w:val="24"/>
          <w:highlight w:val="none"/>
          <w14:textFill>
            <w14:solidFill>
              <w14:schemeClr w14:val="tx1"/>
            </w14:solidFill>
          </w14:textFill>
        </w:rPr>
      </w:pPr>
      <w:r>
        <w:rPr>
          <w:rFonts w:hint="eastAsia" w:ascii="宋体"/>
          <w:b/>
          <w:color w:val="000000" w:themeColor="text1"/>
          <w:sz w:val="24"/>
          <w:szCs w:val="24"/>
          <w:highlight w:val="none"/>
          <w14:textFill>
            <w14:solidFill>
              <w14:schemeClr w14:val="tx1"/>
            </w14:solidFill>
          </w14:textFill>
        </w:rPr>
        <w:t>四、响应文件提交</w:t>
      </w:r>
      <w:bookmarkEnd w:id="36"/>
      <w:bookmarkEnd w:id="37"/>
      <w:bookmarkEnd w:id="38"/>
      <w:bookmarkEnd w:id="39"/>
      <w:bookmarkEnd w:id="40"/>
    </w:p>
    <w:p w14:paraId="5665B228">
      <w:pPr>
        <w:spacing w:line="360" w:lineRule="auto"/>
        <w:ind w:firstLine="480" w:firstLineChars="200"/>
        <w:rPr>
          <w:rFonts w:ascii="宋体"/>
          <w:color w:val="000000" w:themeColor="text1"/>
          <w:sz w:val="24"/>
          <w:szCs w:val="24"/>
          <w:highlight w:val="none"/>
          <w:u w:val="single"/>
          <w14:textFill>
            <w14:solidFill>
              <w14:schemeClr w14:val="tx1"/>
            </w14:solidFill>
          </w14:textFill>
        </w:rPr>
      </w:pPr>
      <w:r>
        <w:rPr>
          <w:rFonts w:hint="eastAsia" w:ascii="宋体" w:cs="仿宋"/>
          <w:color w:val="000000" w:themeColor="text1"/>
          <w:sz w:val="24"/>
          <w:szCs w:val="24"/>
          <w:highlight w:val="none"/>
          <w14:textFill>
            <w14:solidFill>
              <w14:schemeClr w14:val="tx1"/>
            </w14:solidFill>
          </w14:textFill>
        </w:rPr>
        <w:t>截止时间：</w:t>
      </w:r>
      <w:r>
        <w:rPr>
          <w:rFonts w:hint="eastAsia" w:ascii="宋体"/>
          <w:color w:val="000000" w:themeColor="text1"/>
          <w:sz w:val="24"/>
          <w:szCs w:val="24"/>
          <w:highlight w:val="none"/>
          <w:u w:val="single"/>
          <w14:textFill>
            <w14:solidFill>
              <w14:schemeClr w14:val="tx1"/>
            </w14:solidFill>
          </w14:textFill>
        </w:rPr>
        <w:t xml:space="preserve">2026年 </w:t>
      </w:r>
      <w:r>
        <w:rPr>
          <w:rFonts w:hint="eastAsia" w:ascii="宋体"/>
          <w:color w:val="000000" w:themeColor="text1"/>
          <w:sz w:val="24"/>
          <w:szCs w:val="24"/>
          <w:highlight w:val="none"/>
          <w:u w:val="single"/>
          <w:lang w:val="en-US" w:eastAsia="zh-CN"/>
          <w14:textFill>
            <w14:solidFill>
              <w14:schemeClr w14:val="tx1"/>
            </w14:solidFill>
          </w14:textFill>
        </w:rPr>
        <w:t>3</w:t>
      </w:r>
      <w:r>
        <w:rPr>
          <w:rFonts w:hint="eastAsia" w:ascii="宋体"/>
          <w:color w:val="000000" w:themeColor="text1"/>
          <w:sz w:val="24"/>
          <w:szCs w:val="24"/>
          <w:highlight w:val="none"/>
          <w:u w:val="single"/>
          <w14:textFill>
            <w14:solidFill>
              <w14:schemeClr w14:val="tx1"/>
            </w14:solidFill>
          </w14:textFill>
        </w:rPr>
        <w:t xml:space="preserve">月 </w:t>
      </w:r>
      <w:r>
        <w:rPr>
          <w:rFonts w:hint="eastAsia" w:ascii="宋体"/>
          <w:color w:val="000000" w:themeColor="text1"/>
          <w:sz w:val="24"/>
          <w:szCs w:val="24"/>
          <w:highlight w:val="none"/>
          <w:u w:val="single"/>
          <w:lang w:val="en-US" w:eastAsia="zh-CN"/>
          <w14:textFill>
            <w14:solidFill>
              <w14:schemeClr w14:val="tx1"/>
            </w14:solidFill>
          </w14:textFill>
        </w:rPr>
        <w:t>23</w:t>
      </w:r>
      <w:r>
        <w:rPr>
          <w:rFonts w:hint="eastAsia" w:ascii="宋体"/>
          <w:color w:val="000000" w:themeColor="text1"/>
          <w:sz w:val="24"/>
          <w:szCs w:val="24"/>
          <w:highlight w:val="none"/>
          <w:u w:val="single"/>
          <w14:textFill>
            <w14:solidFill>
              <w14:schemeClr w14:val="tx1"/>
            </w14:solidFill>
          </w14:textFill>
        </w:rPr>
        <w:t xml:space="preserve"> 日9时00分</w:t>
      </w:r>
      <w:r>
        <w:rPr>
          <w:rFonts w:hint="eastAsia" w:ascii="宋体" w:cs="仿宋"/>
          <w:color w:val="000000" w:themeColor="text1"/>
          <w:sz w:val="24"/>
          <w:szCs w:val="24"/>
          <w:highlight w:val="none"/>
          <w14:textFill>
            <w14:solidFill>
              <w14:schemeClr w14:val="tx1"/>
            </w14:solidFill>
          </w14:textFill>
        </w:rPr>
        <w:t>（北京时间）</w:t>
      </w:r>
    </w:p>
    <w:p w14:paraId="167080A6">
      <w:pPr>
        <w:spacing w:line="360" w:lineRule="auto"/>
        <w:ind w:firstLine="480" w:firstLineChars="200"/>
        <w:rPr>
          <w:rFonts w:ascii="宋体"/>
          <w:color w:val="000000" w:themeColor="text1"/>
          <w:sz w:val="24"/>
          <w:szCs w:val="24"/>
          <w:highlight w:val="none"/>
          <w:u w:val="single"/>
          <w14:textFill>
            <w14:solidFill>
              <w14:schemeClr w14:val="tx1"/>
            </w14:solidFill>
          </w14:textFill>
        </w:rPr>
      </w:pPr>
      <w:r>
        <w:rPr>
          <w:rFonts w:hint="eastAsia" w:ascii="宋体" w:cs="仿宋"/>
          <w:color w:val="000000" w:themeColor="text1"/>
          <w:sz w:val="24"/>
          <w:szCs w:val="24"/>
          <w:highlight w:val="none"/>
          <w14:textFill>
            <w14:solidFill>
              <w14:schemeClr w14:val="tx1"/>
            </w14:solidFill>
          </w14:textFill>
        </w:rPr>
        <w:t>地点：通过广西政府采购云平台实行在线投标响应。</w:t>
      </w:r>
    </w:p>
    <w:p w14:paraId="75042B28">
      <w:pPr>
        <w:spacing w:line="360" w:lineRule="auto"/>
        <w:rPr>
          <w:rFonts w:ascii="宋体"/>
          <w:b/>
          <w:color w:val="000000" w:themeColor="text1"/>
          <w:sz w:val="24"/>
          <w:szCs w:val="24"/>
          <w:highlight w:val="none"/>
          <w14:textFill>
            <w14:solidFill>
              <w14:schemeClr w14:val="tx1"/>
            </w14:solidFill>
          </w14:textFill>
        </w:rPr>
      </w:pPr>
      <w:bookmarkStart w:id="41" w:name="_Toc28359093"/>
      <w:bookmarkStart w:id="42" w:name="_Toc28359016"/>
      <w:bookmarkStart w:id="43" w:name="_Toc35393802"/>
      <w:bookmarkStart w:id="44" w:name="_Toc35393633"/>
      <w:bookmarkStart w:id="45" w:name="_Toc324"/>
      <w:r>
        <w:rPr>
          <w:rFonts w:hint="eastAsia" w:ascii="宋体"/>
          <w:b/>
          <w:color w:val="000000" w:themeColor="text1"/>
          <w:sz w:val="24"/>
          <w:szCs w:val="24"/>
          <w:highlight w:val="none"/>
          <w14:textFill>
            <w14:solidFill>
              <w14:schemeClr w14:val="tx1"/>
            </w14:solidFill>
          </w14:textFill>
        </w:rPr>
        <w:t>五、响应文件开启</w:t>
      </w:r>
      <w:bookmarkEnd w:id="41"/>
      <w:bookmarkEnd w:id="42"/>
      <w:bookmarkEnd w:id="43"/>
      <w:bookmarkEnd w:id="44"/>
      <w:bookmarkEnd w:id="45"/>
    </w:p>
    <w:p w14:paraId="3BF888FB">
      <w:pPr>
        <w:spacing w:line="360" w:lineRule="auto"/>
        <w:ind w:firstLine="480" w:firstLineChars="200"/>
        <w:rPr>
          <w:rFonts w:ascii="宋体"/>
          <w:color w:val="000000" w:themeColor="text1"/>
          <w:sz w:val="24"/>
          <w:szCs w:val="24"/>
          <w:highlight w:val="none"/>
          <w:u w:val="single"/>
          <w14:textFill>
            <w14:solidFill>
              <w14:schemeClr w14:val="tx1"/>
            </w14:solidFill>
          </w14:textFill>
        </w:rPr>
      </w:pPr>
      <w:r>
        <w:rPr>
          <w:rFonts w:hint="eastAsia" w:ascii="宋体" w:cs="仿宋"/>
          <w:color w:val="000000" w:themeColor="text1"/>
          <w:sz w:val="24"/>
          <w:szCs w:val="24"/>
          <w:highlight w:val="none"/>
          <w14:textFill>
            <w14:solidFill>
              <w14:schemeClr w14:val="tx1"/>
            </w14:solidFill>
          </w14:textFill>
        </w:rPr>
        <w:t>时间：</w:t>
      </w:r>
      <w:r>
        <w:rPr>
          <w:rFonts w:hint="eastAsia" w:ascii="宋体"/>
          <w:color w:val="000000" w:themeColor="text1"/>
          <w:sz w:val="24"/>
          <w:szCs w:val="24"/>
          <w:highlight w:val="none"/>
          <w:u w:val="single"/>
          <w14:textFill>
            <w14:solidFill>
              <w14:schemeClr w14:val="tx1"/>
            </w14:solidFill>
          </w14:textFill>
        </w:rPr>
        <w:t>2026年</w:t>
      </w:r>
      <w:r>
        <w:rPr>
          <w:rFonts w:hint="eastAsia" w:ascii="宋体"/>
          <w:color w:val="000000" w:themeColor="text1"/>
          <w:sz w:val="24"/>
          <w:szCs w:val="24"/>
          <w:highlight w:val="none"/>
          <w:u w:val="single"/>
          <w:lang w:val="en-US" w:eastAsia="zh-CN"/>
          <w14:textFill>
            <w14:solidFill>
              <w14:schemeClr w14:val="tx1"/>
            </w14:solidFill>
          </w14:textFill>
        </w:rPr>
        <w:t>3</w:t>
      </w:r>
      <w:r>
        <w:rPr>
          <w:rFonts w:hint="eastAsia" w:ascii="宋体"/>
          <w:color w:val="000000" w:themeColor="text1"/>
          <w:sz w:val="24"/>
          <w:szCs w:val="24"/>
          <w:highlight w:val="none"/>
          <w:u w:val="single"/>
          <w14:textFill>
            <w14:solidFill>
              <w14:schemeClr w14:val="tx1"/>
            </w14:solidFill>
          </w14:textFill>
        </w:rPr>
        <w:t xml:space="preserve">月 </w:t>
      </w:r>
      <w:r>
        <w:rPr>
          <w:rFonts w:hint="eastAsia" w:ascii="宋体"/>
          <w:color w:val="000000" w:themeColor="text1"/>
          <w:sz w:val="24"/>
          <w:szCs w:val="24"/>
          <w:highlight w:val="none"/>
          <w:u w:val="single"/>
          <w:lang w:val="en-US" w:eastAsia="zh-CN"/>
          <w14:textFill>
            <w14:solidFill>
              <w14:schemeClr w14:val="tx1"/>
            </w14:solidFill>
          </w14:textFill>
        </w:rPr>
        <w:t>23</w:t>
      </w:r>
      <w:r>
        <w:rPr>
          <w:rFonts w:hint="eastAsia" w:ascii="宋体"/>
          <w:color w:val="000000" w:themeColor="text1"/>
          <w:sz w:val="24"/>
          <w:szCs w:val="24"/>
          <w:highlight w:val="none"/>
          <w:u w:val="single"/>
          <w14:textFill>
            <w14:solidFill>
              <w14:schemeClr w14:val="tx1"/>
            </w14:solidFill>
          </w14:textFill>
        </w:rPr>
        <w:t xml:space="preserve"> 日9时00分</w:t>
      </w:r>
      <w:r>
        <w:rPr>
          <w:rFonts w:hint="eastAsia" w:ascii="宋体" w:cs="仿宋"/>
          <w:color w:val="000000" w:themeColor="text1"/>
          <w:sz w:val="24"/>
          <w:szCs w:val="24"/>
          <w:highlight w:val="none"/>
          <w14:textFill>
            <w14:solidFill>
              <w14:schemeClr w14:val="tx1"/>
            </w14:solidFill>
          </w14:textFill>
        </w:rPr>
        <w:t>（北京时间）</w:t>
      </w:r>
    </w:p>
    <w:p w14:paraId="48ABCAF1">
      <w:pPr>
        <w:spacing w:line="360" w:lineRule="auto"/>
        <w:ind w:firstLine="480" w:firstLineChars="200"/>
        <w:rPr>
          <w:rFonts w:ascii="宋体"/>
          <w:color w:val="000000" w:themeColor="text1"/>
          <w:sz w:val="24"/>
          <w:szCs w:val="24"/>
          <w:highlight w:val="none"/>
          <w:u w:val="single"/>
          <w14:textFill>
            <w14:solidFill>
              <w14:schemeClr w14:val="tx1"/>
            </w14:solidFill>
          </w14:textFill>
        </w:rPr>
      </w:pPr>
      <w:r>
        <w:rPr>
          <w:rFonts w:hint="eastAsia" w:ascii="宋体" w:cs="仿宋"/>
          <w:color w:val="000000" w:themeColor="text1"/>
          <w:sz w:val="24"/>
          <w:szCs w:val="24"/>
          <w:highlight w:val="none"/>
          <w14:textFill>
            <w14:solidFill>
              <w14:schemeClr w14:val="tx1"/>
            </w14:solidFill>
          </w14:textFill>
        </w:rPr>
        <w:t>地点：通过</w:t>
      </w:r>
      <w:r>
        <w:rPr>
          <w:rFonts w:hint="eastAsia" w:ascii="宋体"/>
          <w:color w:val="000000" w:themeColor="text1"/>
          <w:sz w:val="24"/>
          <w:szCs w:val="24"/>
          <w:highlight w:val="none"/>
          <w14:textFill>
            <w14:solidFill>
              <w14:schemeClr w14:val="tx1"/>
            </w14:solidFill>
          </w14:textFill>
        </w:rPr>
        <w:t>广西政府采购云平台</w:t>
      </w:r>
      <w:r>
        <w:rPr>
          <w:rFonts w:hint="eastAsia" w:ascii="宋体" w:cs="仿宋"/>
          <w:color w:val="000000" w:themeColor="text1"/>
          <w:sz w:val="24"/>
          <w:szCs w:val="24"/>
          <w:highlight w:val="none"/>
          <w14:textFill>
            <w14:solidFill>
              <w14:schemeClr w14:val="tx1"/>
            </w14:solidFill>
          </w14:textFill>
        </w:rPr>
        <w:t>实行在线解密开启后评审。</w:t>
      </w:r>
    </w:p>
    <w:p w14:paraId="01955D84">
      <w:pPr>
        <w:spacing w:line="360" w:lineRule="auto"/>
        <w:rPr>
          <w:rFonts w:ascii="宋体"/>
          <w:b/>
          <w:color w:val="000000" w:themeColor="text1"/>
          <w:sz w:val="24"/>
          <w:szCs w:val="24"/>
          <w:highlight w:val="none"/>
          <w14:textFill>
            <w14:solidFill>
              <w14:schemeClr w14:val="tx1"/>
            </w14:solidFill>
          </w14:textFill>
        </w:rPr>
      </w:pPr>
      <w:bookmarkStart w:id="46" w:name="_Toc28359094"/>
      <w:bookmarkStart w:id="47" w:name="_Toc35393634"/>
      <w:bookmarkStart w:id="48" w:name="_Toc28359017"/>
      <w:bookmarkStart w:id="49" w:name="_Toc22263"/>
      <w:bookmarkStart w:id="50" w:name="_Toc35393803"/>
      <w:r>
        <w:rPr>
          <w:rFonts w:hint="eastAsia" w:ascii="宋体"/>
          <w:b/>
          <w:color w:val="000000" w:themeColor="text1"/>
          <w:sz w:val="24"/>
          <w:szCs w:val="24"/>
          <w:highlight w:val="none"/>
          <w14:textFill>
            <w14:solidFill>
              <w14:schemeClr w14:val="tx1"/>
            </w14:solidFill>
          </w14:textFill>
        </w:rPr>
        <w:t>六、公告期限</w:t>
      </w:r>
      <w:bookmarkEnd w:id="46"/>
      <w:bookmarkEnd w:id="47"/>
      <w:bookmarkEnd w:id="48"/>
      <w:bookmarkEnd w:id="49"/>
      <w:bookmarkEnd w:id="50"/>
    </w:p>
    <w:p w14:paraId="5A313BE3">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自本公告发布之日起</w:t>
      </w:r>
      <w:r>
        <w:rPr>
          <w:rFonts w:hint="eastAsia" w:ascii="宋体"/>
          <w:color w:val="000000" w:themeColor="text1"/>
          <w:sz w:val="24"/>
          <w:szCs w:val="24"/>
          <w:highlight w:val="none"/>
          <w:lang w:val="en-US" w:eastAsia="zh-CN"/>
          <w14:textFill>
            <w14:solidFill>
              <w14:schemeClr w14:val="tx1"/>
            </w14:solidFill>
          </w14:textFill>
        </w:rPr>
        <w:t>5</w:t>
      </w:r>
      <w:r>
        <w:rPr>
          <w:rFonts w:hint="eastAsia" w:ascii="宋体"/>
          <w:color w:val="000000" w:themeColor="text1"/>
          <w:sz w:val="24"/>
          <w:szCs w:val="24"/>
          <w:highlight w:val="none"/>
          <w14:textFill>
            <w14:solidFill>
              <w14:schemeClr w14:val="tx1"/>
            </w14:solidFill>
          </w14:textFill>
        </w:rPr>
        <w:t>个工作日。</w:t>
      </w:r>
    </w:p>
    <w:p w14:paraId="2DD35061">
      <w:pPr>
        <w:spacing w:line="360" w:lineRule="auto"/>
        <w:rPr>
          <w:rFonts w:ascii="宋体"/>
          <w:b/>
          <w:color w:val="000000" w:themeColor="text1"/>
          <w:sz w:val="24"/>
          <w:szCs w:val="24"/>
          <w:highlight w:val="none"/>
          <w14:textFill>
            <w14:solidFill>
              <w14:schemeClr w14:val="tx1"/>
            </w14:solidFill>
          </w14:textFill>
        </w:rPr>
      </w:pPr>
      <w:bookmarkStart w:id="51" w:name="_Toc35393635"/>
      <w:bookmarkStart w:id="52" w:name="_Toc2488"/>
      <w:bookmarkStart w:id="53" w:name="_Toc35393804"/>
      <w:r>
        <w:rPr>
          <w:rFonts w:hint="eastAsia" w:ascii="宋体"/>
          <w:b/>
          <w:color w:val="000000" w:themeColor="text1"/>
          <w:sz w:val="24"/>
          <w:szCs w:val="24"/>
          <w:highlight w:val="none"/>
          <w14:textFill>
            <w14:solidFill>
              <w14:schemeClr w14:val="tx1"/>
            </w14:solidFill>
          </w14:textFill>
        </w:rPr>
        <w:t>七、其他补充事宜</w:t>
      </w:r>
      <w:bookmarkEnd w:id="51"/>
      <w:bookmarkEnd w:id="52"/>
      <w:bookmarkEnd w:id="53"/>
    </w:p>
    <w:p w14:paraId="1EBF612C">
      <w:pPr>
        <w:spacing w:line="360" w:lineRule="auto"/>
        <w:ind w:left="-283" w:leftChars="-135" w:right="-334" w:rightChars="-159" w:firstLine="708" w:firstLineChars="295"/>
        <w:rPr>
          <w:rFonts w:hint="eastAsia" w:ascii="宋体" w:hAnsi="宋体" w:cs="宋体"/>
          <w:bCs/>
          <w:color w:val="000000" w:themeColor="text1"/>
          <w:sz w:val="24"/>
          <w:szCs w:val="24"/>
          <w:highlight w:val="none"/>
          <w14:textFill>
            <w14:solidFill>
              <w14:schemeClr w14:val="tx1"/>
            </w14:solidFill>
          </w14:textFill>
        </w:rPr>
      </w:pPr>
      <w:bookmarkStart w:id="54" w:name="_Toc28359095"/>
      <w:bookmarkStart w:id="55" w:name="_Toc28359018"/>
      <w:bookmarkStart w:id="56" w:name="_Toc16534"/>
      <w:bookmarkStart w:id="57" w:name="_Toc35393805"/>
      <w:bookmarkStart w:id="58" w:name="_Toc35393636"/>
      <w:r>
        <w:rPr>
          <w:rFonts w:hint="eastAsia" w:ascii="宋体" w:hAnsi="宋体" w:cs="宋体"/>
          <w:bCs/>
          <w:color w:val="000000" w:themeColor="text1"/>
          <w:sz w:val="24"/>
          <w:szCs w:val="24"/>
          <w:highlight w:val="none"/>
          <w14:textFill>
            <w14:solidFill>
              <w14:schemeClr w14:val="tx1"/>
            </w14:solidFill>
          </w14:textFill>
        </w:rPr>
        <w:t>（一）本项目需要落实的政府采购政策：</w:t>
      </w:r>
    </w:p>
    <w:p w14:paraId="2EFF96D9">
      <w:pPr>
        <w:spacing w:line="360" w:lineRule="auto"/>
        <w:ind w:left="-283" w:leftChars="-135" w:right="-334" w:rightChars="-159" w:firstLine="708" w:firstLineChars="295"/>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①《政府采购促进中小企业发展管理办法》（财库〔2020〕46号）</w:t>
      </w:r>
    </w:p>
    <w:p w14:paraId="1E4ACFB6">
      <w:pPr>
        <w:spacing w:line="360" w:lineRule="auto"/>
        <w:ind w:left="-283" w:leftChars="-135" w:right="-334" w:rightChars="-159" w:firstLine="708" w:firstLineChars="295"/>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②《关于政府采购支持监狱企业发展有关问题的通知》（财库[2014]68号）</w:t>
      </w:r>
    </w:p>
    <w:p w14:paraId="370F3A88">
      <w:pPr>
        <w:spacing w:line="360" w:lineRule="auto"/>
        <w:ind w:left="-283" w:leftChars="-135" w:right="-334" w:rightChars="-159" w:firstLine="708" w:firstLineChars="295"/>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③《关于我区政府采购支持监狱企业发展有关问题的通知》（桂财采[2015]24号）</w:t>
      </w:r>
    </w:p>
    <w:p w14:paraId="5E453CD6">
      <w:pPr>
        <w:spacing w:line="360" w:lineRule="auto"/>
        <w:ind w:left="-283" w:leftChars="-135" w:right="-334" w:rightChars="-159" w:firstLine="708" w:firstLineChars="295"/>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④《三部门联合发布关于促进残疾人就业政府采购政策的通知》（财库[2017]141号）</w:t>
      </w:r>
    </w:p>
    <w:p w14:paraId="213BB7E2">
      <w:pPr>
        <w:spacing w:line="360" w:lineRule="auto"/>
        <w:ind w:left="-283" w:leftChars="-135" w:right="-334" w:rightChars="-159" w:firstLine="708" w:firstLineChars="295"/>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⑤强制采购、优先采购节能产品、环境标志产品等政府采购相关政策。</w:t>
      </w:r>
    </w:p>
    <w:p w14:paraId="0B0A2049">
      <w:pPr>
        <w:spacing w:line="360" w:lineRule="auto"/>
        <w:ind w:left="-283" w:leftChars="-135" w:right="-334" w:rightChars="-159" w:firstLine="708" w:firstLineChars="295"/>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（二）投标保证金(人民币)：本项目免收投标保证金。</w:t>
      </w:r>
    </w:p>
    <w:p w14:paraId="1E85596D">
      <w:pPr>
        <w:spacing w:line="360" w:lineRule="auto"/>
        <w:ind w:left="-283" w:leftChars="-135" w:right="-334" w:rightChars="-159" w:firstLine="708" w:firstLineChars="295"/>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（三）公告查询地址：</w:t>
      </w:r>
    </w:p>
    <w:p w14:paraId="7CC47A51">
      <w:pPr>
        <w:spacing w:line="360" w:lineRule="auto"/>
        <w:ind w:left="-283" w:leftChars="-135" w:right="-334" w:rightChars="-159" w:firstLine="708" w:firstLineChars="295"/>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http://www.ccgp.gov.cn（中国政府采购网）、</w:t>
      </w:r>
    </w:p>
    <w:p w14:paraId="18957FD2">
      <w:pPr>
        <w:spacing w:line="360" w:lineRule="auto"/>
        <w:ind w:left="-283" w:leftChars="-135" w:right="-334" w:rightChars="-159" w:firstLine="708" w:firstLineChars="295"/>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http://zfcg.gxzf.gov.cn/（广西壮族自治区政府采购网）、</w:t>
      </w:r>
    </w:p>
    <w:p w14:paraId="3A5561A6">
      <w:pPr>
        <w:spacing w:line="360" w:lineRule="auto"/>
        <w:ind w:left="-283" w:leftChars="-135" w:right="-334" w:rightChars="-159" w:firstLine="708" w:firstLineChars="295"/>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http://zfcg.czj.gxgg.gov.cn（贵港市政府采购网）、</w:t>
      </w:r>
    </w:p>
    <w:p w14:paraId="788FE648">
      <w:pPr>
        <w:spacing w:line="360" w:lineRule="auto"/>
        <w:ind w:left="-283" w:leftChars="-135" w:right="-334" w:rightChars="-159" w:firstLine="708" w:firstLineChars="295"/>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http://ggzy.jgswj.gxzf.gov.cn/ggggzy/[全国公共资源交易平台（广西•贵港）]。</w:t>
      </w:r>
    </w:p>
    <w:p w14:paraId="43825536">
      <w:pPr>
        <w:spacing w:line="360" w:lineRule="auto"/>
        <w:ind w:left="-283" w:leftChars="-135" w:right="-334" w:rightChars="-159" w:firstLine="708" w:firstLineChars="295"/>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（四）在线投标（电子投标）说明</w:t>
      </w:r>
    </w:p>
    <w:p w14:paraId="7A0BD899">
      <w:pPr>
        <w:spacing w:line="360" w:lineRule="auto"/>
        <w:ind w:firstLine="708" w:firstLineChars="295"/>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ab/>
      </w:r>
      <w:r>
        <w:rPr>
          <w:rFonts w:hint="eastAsia" w:ascii="宋体" w:hAnsi="宋体" w:cs="宋体"/>
          <w:bCs/>
          <w:color w:val="000000" w:themeColor="text1"/>
          <w:sz w:val="24"/>
          <w:szCs w:val="24"/>
          <w:highlight w:val="none"/>
          <w14:textFill>
            <w14:solidFill>
              <w14:schemeClr w14:val="tx1"/>
            </w14:solidFill>
          </w14:textFill>
        </w:rPr>
        <w:t>1.投标文件提交方式：本项目为全流程电子化项目，通过广西政府采购云平台（https://www.gcy.zfcg.gxzf.gov.cn/）实行在线电子投标，供应商应先安装广西政府采购云平台新版客户端（新版客户端下载路径：广西政府采购网（访问地址http://zfcg.gxzf.gov.cn/）—办事服务—下载专区），并按照本项目采购文件和广西政府采购云平台的要求编制、加密后在投标截止时间前通过网络上传至广西政府采购云平台，投标人在广西政府采购云平台提交电子版投标文件时，请填写参加远程开标活动经办人联系方式。</w:t>
      </w:r>
      <w:r>
        <w:rPr>
          <w:rFonts w:hint="eastAsia" w:ascii="宋体" w:hAnsi="宋体" w:cs="宋体"/>
          <w:bCs/>
          <w:color w:val="000000" w:themeColor="text1"/>
          <w:sz w:val="24"/>
          <w:szCs w:val="24"/>
          <w:highlight w:val="none"/>
          <w14:textFill>
            <w14:solidFill>
              <w14:schemeClr w14:val="tx1"/>
            </w14:solidFill>
          </w14:textFill>
        </w:rPr>
        <w:br w:type="textWrapping"/>
      </w:r>
      <w:r>
        <w:rPr>
          <w:rFonts w:hint="eastAsia" w:ascii="宋体" w:hAnsi="宋体" w:cs="宋体"/>
          <w:bCs/>
          <w:color w:val="000000" w:themeColor="text1"/>
          <w:sz w:val="24"/>
          <w:szCs w:val="24"/>
          <w:highlight w:val="none"/>
          <w14:textFill>
            <w14:solidFill>
              <w14:schemeClr w14:val="tx1"/>
            </w14:solidFill>
          </w14:textFill>
        </w:rPr>
        <w:t xml:space="preserve">  　 2.未进行网上注册并办理数字证书（CA认证）的供应商将无法参与本项目政府采购活动，潜在投标人应当在投标截止时间前，完成电子交易平台上的CA数字证书办理及投标文件的提交。</w:t>
      </w:r>
      <w:r>
        <w:rPr>
          <w:rFonts w:hint="eastAsia" w:ascii="宋体" w:hAnsi="宋体" w:cs="宋体"/>
          <w:bCs/>
          <w:color w:val="000000" w:themeColor="text1"/>
          <w:sz w:val="24"/>
          <w:szCs w:val="24"/>
          <w:highlight w:val="none"/>
          <w14:textFill>
            <w14:solidFill>
              <w14:schemeClr w14:val="tx1"/>
            </w14:solidFill>
          </w14:textFill>
        </w:rPr>
        <w:br w:type="textWrapping"/>
      </w:r>
      <w:r>
        <w:rPr>
          <w:rFonts w:hint="eastAsia" w:ascii="宋体" w:hAnsi="宋体" w:cs="宋体"/>
          <w:bCs/>
          <w:color w:val="000000" w:themeColor="text1"/>
          <w:sz w:val="24"/>
          <w:szCs w:val="24"/>
          <w:highlight w:val="none"/>
          <w14:textFill>
            <w14:solidFill>
              <w14:schemeClr w14:val="tx1"/>
            </w14:solidFill>
          </w14:textFill>
        </w:rPr>
        <w:t xml:space="preserve">  　 3.为确保网上操作合法、有效和安全，请投标人确保在电子投标过程中能够对相关数据电文进行加密和使用电子签章，妥善保管CA数字证书并使用有效的CA数字证书参与整个采购活动。</w:t>
      </w:r>
      <w:r>
        <w:rPr>
          <w:rFonts w:hint="eastAsia" w:ascii="宋体" w:hAnsi="宋体" w:cs="宋体"/>
          <w:bCs/>
          <w:color w:val="000000" w:themeColor="text1"/>
          <w:sz w:val="24"/>
          <w:szCs w:val="24"/>
          <w:highlight w:val="none"/>
          <w14:textFill>
            <w14:solidFill>
              <w14:schemeClr w14:val="tx1"/>
            </w14:solidFill>
          </w14:textFill>
        </w:rPr>
        <w:br w:type="textWrapping"/>
      </w:r>
      <w:r>
        <w:rPr>
          <w:rFonts w:hint="eastAsia" w:ascii="宋体" w:hAnsi="宋体" w:cs="宋体"/>
          <w:bCs/>
          <w:color w:val="000000" w:themeColor="text1"/>
          <w:sz w:val="24"/>
          <w:szCs w:val="24"/>
          <w:highlight w:val="none"/>
          <w14:textFill>
            <w14:solidFill>
              <w14:schemeClr w14:val="tx1"/>
            </w14:solidFill>
          </w14:textFill>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r>
        <w:rPr>
          <w:rFonts w:hint="eastAsia" w:ascii="宋体" w:hAnsi="宋体" w:cs="宋体"/>
          <w:bCs/>
          <w:color w:val="000000" w:themeColor="text1"/>
          <w:sz w:val="24"/>
          <w:szCs w:val="24"/>
          <w:highlight w:val="none"/>
          <w14:textFill>
            <w14:solidFill>
              <w14:schemeClr w14:val="tx1"/>
            </w14:solidFill>
          </w14:textFill>
        </w:rPr>
        <w:br w:type="textWrapping"/>
      </w:r>
      <w:r>
        <w:rPr>
          <w:rFonts w:hint="eastAsia" w:ascii="宋体" w:hAnsi="宋体" w:cs="宋体"/>
          <w:bCs/>
          <w:color w:val="000000" w:themeColor="text1"/>
          <w:sz w:val="24"/>
          <w:szCs w:val="24"/>
          <w:highlight w:val="none"/>
          <w14:textFill>
            <w14:solidFill>
              <w14:schemeClr w14:val="tx1"/>
            </w14:solidFill>
          </w14:textFill>
        </w:rPr>
        <w:t xml:space="preserve">   　4.CA证书在线解密：投标人投标时，需携带制作投标文件时用来加密的有效数字证书（CA认证）登录广西政府采购云平台电子开标大厅现场按规定时间对加密的投标文件进行解密。</w:t>
      </w:r>
      <w:r>
        <w:rPr>
          <w:rFonts w:hint="eastAsia" w:ascii="宋体" w:hAnsi="宋体" w:cs="宋体"/>
          <w:bCs/>
          <w:color w:val="000000" w:themeColor="text1"/>
          <w:sz w:val="24"/>
          <w:szCs w:val="24"/>
          <w:highlight w:val="none"/>
          <w14:textFill>
            <w14:solidFill>
              <w14:schemeClr w14:val="tx1"/>
            </w14:solidFill>
          </w14:textFill>
        </w:rPr>
        <w:br w:type="textWrapping"/>
      </w:r>
      <w:r>
        <w:rPr>
          <w:rFonts w:hint="eastAsia" w:ascii="宋体" w:hAnsi="宋体" w:cs="宋体"/>
          <w:bCs/>
          <w:color w:val="000000" w:themeColor="text1"/>
          <w:sz w:val="24"/>
          <w:szCs w:val="24"/>
          <w:highlight w:val="none"/>
          <w14:textFill>
            <w14:solidFill>
              <w14:schemeClr w14:val="tx1"/>
            </w14:solidFill>
          </w14:textFill>
        </w:rPr>
        <w:t xml:space="preserve">  　5.若对项目采购电子交易系统操作有疑问，可登录广西政府采购云平台（https://www.gcy.zfcg.gxzf.gov.cn/），点击右侧咨询小采，获取采小蜜智能服务管家帮助，或拨打广西政府采购云平台服务热线95763获取热线服务帮助。</w:t>
      </w:r>
    </w:p>
    <w:p w14:paraId="33815992">
      <w:pPr>
        <w:spacing w:line="360" w:lineRule="auto"/>
        <w:ind w:firstLine="566" w:firstLineChars="236"/>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（五）监督部门：桂平市财政局政府采购监督管理股 联系电话：0775-3380263</w:t>
      </w:r>
    </w:p>
    <w:p w14:paraId="045616C7">
      <w:pPr>
        <w:pStyle w:val="3"/>
        <w:spacing w:after="0" w:line="360" w:lineRule="auto"/>
        <w:ind w:firstLine="482" w:firstLineChars="200"/>
        <w:rPr>
          <w:rFonts w:hint="eastAsia" w:ascii="宋体" w:hAnsi="宋体" w:cs="宋体"/>
          <w:b/>
          <w:color w:val="000000" w:themeColor="text1"/>
          <w:kern w:val="2"/>
          <w:sz w:val="24"/>
          <w:szCs w:val="24"/>
          <w:highlight w:val="none"/>
          <w14:textFill>
            <w14:solidFill>
              <w14:schemeClr w14:val="tx1"/>
            </w14:solidFill>
          </w14:textFill>
        </w:rPr>
      </w:pPr>
      <w:r>
        <w:rPr>
          <w:rFonts w:hint="eastAsia" w:ascii="宋体" w:hAnsi="宋体" w:cs="宋体"/>
          <w:b/>
          <w:color w:val="000000" w:themeColor="text1"/>
          <w:kern w:val="2"/>
          <w:sz w:val="24"/>
          <w:szCs w:val="24"/>
          <w:highlight w:val="none"/>
          <w14:textFill>
            <w14:solidFill>
              <w14:schemeClr w14:val="tx1"/>
            </w14:solidFill>
          </w14:textFill>
        </w:rPr>
        <w:t>(六)评标说明：本项目不采用远程异地评标。</w:t>
      </w:r>
    </w:p>
    <w:p w14:paraId="75B47082">
      <w:pPr>
        <w:spacing w:line="360" w:lineRule="auto"/>
        <w:rPr>
          <w:rFonts w:ascii="宋体"/>
          <w:b/>
          <w:color w:val="000000" w:themeColor="text1"/>
          <w:sz w:val="24"/>
          <w:szCs w:val="24"/>
          <w:highlight w:val="none"/>
          <w14:textFill>
            <w14:solidFill>
              <w14:schemeClr w14:val="tx1"/>
            </w14:solidFill>
          </w14:textFill>
        </w:rPr>
      </w:pPr>
      <w:r>
        <w:rPr>
          <w:rFonts w:hint="eastAsia" w:ascii="宋体"/>
          <w:b/>
          <w:color w:val="000000" w:themeColor="text1"/>
          <w:sz w:val="24"/>
          <w:szCs w:val="24"/>
          <w:highlight w:val="none"/>
          <w14:textFill>
            <w14:solidFill>
              <w14:schemeClr w14:val="tx1"/>
            </w14:solidFill>
          </w14:textFill>
        </w:rPr>
        <w:t>八、凡对本次采购提出询问，请按以下方式联系</w:t>
      </w:r>
      <w:bookmarkEnd w:id="54"/>
      <w:bookmarkEnd w:id="55"/>
      <w:bookmarkEnd w:id="56"/>
      <w:bookmarkEnd w:id="57"/>
      <w:bookmarkEnd w:id="58"/>
    </w:p>
    <w:p w14:paraId="264D2F7A">
      <w:pPr>
        <w:spacing w:line="360" w:lineRule="auto"/>
        <w:ind w:firstLine="480" w:firstLineChars="200"/>
        <w:rPr>
          <w:rFonts w:ascii="宋体"/>
          <w:b/>
          <w:bCs/>
          <w:color w:val="000000" w:themeColor="text1"/>
          <w:sz w:val="24"/>
          <w:szCs w:val="24"/>
          <w:highlight w:val="none"/>
          <w14:textFill>
            <w14:solidFill>
              <w14:schemeClr w14:val="tx1"/>
            </w14:solidFill>
          </w14:textFill>
        </w:rPr>
      </w:pPr>
      <w:bookmarkStart w:id="59" w:name="_Toc35393637"/>
      <w:bookmarkStart w:id="60" w:name="_Toc28359096"/>
      <w:bookmarkStart w:id="61" w:name="_Toc35393806"/>
      <w:bookmarkStart w:id="62" w:name="_Toc28359019"/>
      <w:r>
        <w:rPr>
          <w:rFonts w:hint="eastAsia" w:ascii="宋体"/>
          <w:color w:val="000000" w:themeColor="text1"/>
          <w:sz w:val="24"/>
          <w:szCs w:val="24"/>
          <w:highlight w:val="none"/>
          <w14:textFill>
            <w14:solidFill>
              <w14:schemeClr w14:val="tx1"/>
            </w14:solidFill>
          </w14:textFill>
        </w:rPr>
        <w:t>1.采购人信息</w:t>
      </w:r>
      <w:bookmarkEnd w:id="59"/>
      <w:bookmarkEnd w:id="60"/>
      <w:bookmarkEnd w:id="61"/>
      <w:bookmarkEnd w:id="62"/>
    </w:p>
    <w:p w14:paraId="7A2325B9">
      <w:pPr>
        <w:spacing w:line="360" w:lineRule="auto"/>
        <w:ind w:firstLine="480" w:firstLineChars="200"/>
        <w:jc w:val="left"/>
        <w:rPr>
          <w:rFonts w:ascii="宋体" w:cs="仿宋"/>
          <w:color w:val="000000" w:themeColor="text1"/>
          <w:sz w:val="24"/>
          <w:szCs w:val="24"/>
          <w:highlight w:val="none"/>
          <w14:textFill>
            <w14:solidFill>
              <w14:schemeClr w14:val="tx1"/>
            </w14:solidFill>
          </w14:textFill>
        </w:rPr>
      </w:pPr>
      <w:bookmarkStart w:id="63" w:name="_Toc35393807"/>
      <w:bookmarkStart w:id="64" w:name="_Toc35393638"/>
      <w:bookmarkStart w:id="65" w:name="_Toc28359097"/>
      <w:bookmarkStart w:id="66" w:name="_Toc28359020"/>
      <w:r>
        <w:rPr>
          <w:rFonts w:hint="eastAsia" w:ascii="宋体" w:cs="仿宋"/>
          <w:color w:val="000000" w:themeColor="text1"/>
          <w:sz w:val="24"/>
          <w:szCs w:val="24"/>
          <w:highlight w:val="none"/>
          <w14:textFill>
            <w14:solidFill>
              <w14:schemeClr w14:val="tx1"/>
            </w14:solidFill>
          </w14:textFill>
        </w:rPr>
        <w:t>名称：桂平工业园区管理委员会</w:t>
      </w:r>
    </w:p>
    <w:p w14:paraId="316B1235">
      <w:pPr>
        <w:spacing w:line="360" w:lineRule="auto"/>
        <w:ind w:firstLine="480" w:firstLineChars="200"/>
        <w:jc w:val="left"/>
        <w:rPr>
          <w:rFonts w:ascii="宋体" w:cs="仿宋"/>
          <w:color w:val="000000" w:themeColor="text1"/>
          <w:sz w:val="24"/>
          <w:szCs w:val="24"/>
          <w:highlight w:val="none"/>
          <w14:textFill>
            <w14:solidFill>
              <w14:schemeClr w14:val="tx1"/>
            </w14:solidFill>
          </w14:textFill>
        </w:rPr>
      </w:pPr>
      <w:r>
        <w:rPr>
          <w:rFonts w:hint="eastAsia" w:ascii="宋体" w:cs="仿宋"/>
          <w:color w:val="000000" w:themeColor="text1"/>
          <w:sz w:val="24"/>
          <w:szCs w:val="24"/>
          <w:highlight w:val="none"/>
          <w14:textFill>
            <w14:solidFill>
              <w14:schemeClr w14:val="tx1"/>
            </w14:solidFill>
          </w14:textFill>
        </w:rPr>
        <w:t xml:space="preserve">地址：广西桂平市西山镇郁江东路84号   </w:t>
      </w:r>
    </w:p>
    <w:p w14:paraId="73A65996">
      <w:pPr>
        <w:spacing w:line="360" w:lineRule="auto"/>
        <w:ind w:firstLine="480" w:firstLineChars="200"/>
        <w:jc w:val="left"/>
        <w:rPr>
          <w:rFonts w:ascii="宋体" w:cs="仿宋"/>
          <w:color w:val="000000" w:themeColor="text1"/>
          <w:sz w:val="24"/>
          <w:szCs w:val="24"/>
          <w:highlight w:val="none"/>
          <w14:textFill>
            <w14:solidFill>
              <w14:schemeClr w14:val="tx1"/>
            </w14:solidFill>
          </w14:textFill>
        </w:rPr>
      </w:pPr>
      <w:r>
        <w:rPr>
          <w:rFonts w:hint="eastAsia" w:ascii="宋体" w:cs="仿宋"/>
          <w:color w:val="000000" w:themeColor="text1"/>
          <w:sz w:val="24"/>
          <w:szCs w:val="24"/>
          <w:highlight w:val="none"/>
          <w14:textFill>
            <w14:solidFill>
              <w14:schemeClr w14:val="tx1"/>
            </w14:solidFill>
          </w14:textFill>
        </w:rPr>
        <w:t xml:space="preserve">项目联系人：        </w:t>
      </w:r>
    </w:p>
    <w:p w14:paraId="4FC7C3A1">
      <w:pPr>
        <w:spacing w:line="360" w:lineRule="auto"/>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s="仿宋"/>
          <w:color w:val="000000" w:themeColor="text1"/>
          <w:sz w:val="24"/>
          <w:szCs w:val="24"/>
          <w:highlight w:val="none"/>
          <w14:textFill>
            <w14:solidFill>
              <w14:schemeClr w14:val="tx1"/>
            </w14:solidFill>
          </w14:textFill>
        </w:rPr>
        <w:t xml:space="preserve">项目联系方式： </w:t>
      </w:r>
      <w:r>
        <w:rPr>
          <w:rFonts w:hint="eastAsia" w:ascii="宋体"/>
          <w:color w:val="000000" w:themeColor="text1"/>
          <w:sz w:val="24"/>
          <w:szCs w:val="24"/>
          <w:highlight w:val="none"/>
          <w14:textFill>
            <w14:solidFill>
              <w14:schemeClr w14:val="tx1"/>
            </w14:solidFill>
          </w14:textFill>
        </w:rPr>
        <w:t xml:space="preserve"> </w:t>
      </w:r>
    </w:p>
    <w:p w14:paraId="3DA8E64F">
      <w:pPr>
        <w:spacing w:line="360" w:lineRule="auto"/>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w:t>
      </w:r>
      <w:bookmarkEnd w:id="63"/>
      <w:bookmarkEnd w:id="64"/>
      <w:bookmarkEnd w:id="65"/>
      <w:bookmarkEnd w:id="66"/>
      <w:r>
        <w:rPr>
          <w:rFonts w:hint="eastAsia" w:ascii="宋体"/>
          <w:color w:val="000000" w:themeColor="text1"/>
          <w:sz w:val="24"/>
          <w:szCs w:val="24"/>
          <w:highlight w:val="none"/>
          <w14:textFill>
            <w14:solidFill>
              <w14:schemeClr w14:val="tx1"/>
            </w14:solidFill>
          </w14:textFill>
        </w:rPr>
        <w:t xml:space="preserve"> 采购代理机构信息</w:t>
      </w:r>
    </w:p>
    <w:p w14:paraId="139830FB">
      <w:pPr>
        <w:spacing w:line="360" w:lineRule="auto"/>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名称：广西国邦项目管理有限公司　　</w:t>
      </w:r>
    </w:p>
    <w:p w14:paraId="509BBD36">
      <w:pPr>
        <w:spacing w:line="360" w:lineRule="auto"/>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地址：</w:t>
      </w:r>
      <w:r>
        <w:rPr>
          <w:rFonts w:hint="eastAsia" w:ascii="宋体" w:hAnsi="宋体"/>
          <w:color w:val="000000" w:themeColor="text1"/>
          <w:sz w:val="24"/>
          <w:szCs w:val="24"/>
          <w:highlight w:val="none"/>
          <w14:textFill>
            <w14:solidFill>
              <w14:schemeClr w14:val="tx1"/>
            </w14:solidFill>
          </w14:textFill>
        </w:rPr>
        <w:t>广西桂平市西山镇新岗村3队政务中心对面禄棠街西</w:t>
      </w:r>
    </w:p>
    <w:p w14:paraId="01B6AB05">
      <w:pPr>
        <w:spacing w:line="360" w:lineRule="auto"/>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项目联系人：黎工</w:t>
      </w:r>
    </w:p>
    <w:p w14:paraId="57CB8F98">
      <w:pPr>
        <w:spacing w:line="360" w:lineRule="auto"/>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项目联系方式：</w:t>
      </w:r>
      <w:r>
        <w:rPr>
          <w:rFonts w:hint="eastAsia" w:ascii="宋体" w:hAnsi="宋体"/>
          <w:color w:val="000000" w:themeColor="text1"/>
          <w:sz w:val="24"/>
          <w:szCs w:val="24"/>
          <w:highlight w:val="none"/>
          <w14:textFill>
            <w14:solidFill>
              <w14:schemeClr w14:val="tx1"/>
            </w14:solidFill>
          </w14:textFill>
        </w:rPr>
        <w:t>0775-3359686</w:t>
      </w:r>
    </w:p>
    <w:p w14:paraId="37509D94">
      <w:pPr>
        <w:spacing w:line="360" w:lineRule="auto"/>
        <w:ind w:firstLine="480" w:firstLineChars="200"/>
        <w:jc w:val="left"/>
        <w:rPr>
          <w:rFonts w:ascii="宋体"/>
          <w:color w:val="000000" w:themeColor="text1"/>
          <w:sz w:val="24"/>
          <w:szCs w:val="24"/>
          <w:highlight w:val="none"/>
          <w14:textFill>
            <w14:solidFill>
              <w14:schemeClr w14:val="tx1"/>
            </w14:solidFill>
          </w14:textFill>
        </w:rPr>
      </w:pPr>
    </w:p>
    <w:p w14:paraId="2AB9FBB4">
      <w:pPr>
        <w:spacing w:line="360" w:lineRule="auto"/>
        <w:ind w:firstLine="420" w:firstLineChars="2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BF9E010">
      <w:pPr>
        <w:pStyle w:val="4"/>
        <w:spacing w:before="0"/>
        <w:ind w:left="0" w:firstLine="0"/>
        <w:jc w:val="center"/>
        <w:rPr>
          <w:rFonts w:ascii="宋体" w:eastAsia="宋体"/>
          <w:color w:val="000000" w:themeColor="text1"/>
          <w:sz w:val="36"/>
          <w:highlight w:val="none"/>
          <w14:textFill>
            <w14:solidFill>
              <w14:schemeClr w14:val="tx1"/>
            </w14:solidFill>
          </w14:textFill>
        </w:rPr>
      </w:pPr>
      <w:bookmarkStart w:id="67" w:name="_Toc99823389"/>
      <w:r>
        <w:rPr>
          <w:rFonts w:hint="eastAsia" w:ascii="宋体" w:eastAsia="宋体"/>
          <w:color w:val="000000" w:themeColor="text1"/>
          <w:sz w:val="36"/>
          <w:highlight w:val="none"/>
          <w14:textFill>
            <w14:solidFill>
              <w14:schemeClr w14:val="tx1"/>
            </w14:solidFill>
          </w14:textFill>
        </w:rPr>
        <w:t>第二章 供应商须知</w:t>
      </w:r>
      <w:bookmarkEnd w:id="67"/>
      <w:bookmarkStart w:id="68" w:name="_Toc213326415"/>
      <w:r>
        <w:rPr>
          <w:rFonts w:hint="eastAsia" w:ascii="宋体" w:eastAsia="宋体"/>
          <w:color w:val="000000" w:themeColor="text1"/>
          <w:sz w:val="36"/>
          <w:highlight w:val="none"/>
          <w14:textFill>
            <w14:solidFill>
              <w14:schemeClr w14:val="tx1"/>
            </w14:solidFill>
          </w14:textFill>
        </w:rPr>
        <w:t>及前附表</w:t>
      </w:r>
    </w:p>
    <w:p w14:paraId="7C159E13">
      <w:pPr>
        <w:jc w:val="center"/>
        <w:rPr>
          <w:b/>
          <w:color w:val="000000" w:themeColor="text1"/>
          <w:sz w:val="28"/>
          <w:highlight w:val="none"/>
          <w14:textFill>
            <w14:solidFill>
              <w14:schemeClr w14:val="tx1"/>
            </w14:solidFill>
          </w14:textFill>
        </w:rPr>
      </w:pPr>
      <w:r>
        <w:rPr>
          <w:rFonts w:hint="eastAsia"/>
          <w:b/>
          <w:color w:val="000000" w:themeColor="text1"/>
          <w:sz w:val="28"/>
          <w:highlight w:val="none"/>
          <w14:textFill>
            <w14:solidFill>
              <w14:schemeClr w14:val="tx1"/>
            </w14:solidFill>
          </w14:textFill>
        </w:rPr>
        <w:t>供应商须知前附表</w:t>
      </w:r>
      <w:bookmarkEnd w:id="68"/>
    </w:p>
    <w:p w14:paraId="645E3E0E">
      <w:pPr>
        <w:pStyle w:val="23"/>
        <w:spacing w:line="360" w:lineRule="auto"/>
        <w:ind w:firstLine="420"/>
        <w:rPr>
          <w:color w:val="000000" w:themeColor="text1"/>
          <w:sz w:val="28"/>
          <w:highlight w:val="none"/>
          <w14:textFill>
            <w14:solidFill>
              <w14:schemeClr w14:val="tx1"/>
            </w14:solidFill>
          </w14:textFill>
        </w:rPr>
      </w:pPr>
      <w:r>
        <w:rPr>
          <w:rFonts w:hint="eastAsia"/>
          <w:color w:val="000000" w:themeColor="text1"/>
          <w:sz w:val="28"/>
          <w:highlight w:val="none"/>
          <w14:textFill>
            <w14:solidFill>
              <w14:schemeClr w14:val="tx1"/>
            </w14:solidFill>
          </w14:textFill>
        </w:rPr>
        <w:t>本表是关于本次采购项目的具体资料，是对后列条款的具体补充和修改。所有与本次采购有关的事宜，以本表规定的为准。</w:t>
      </w:r>
    </w:p>
    <w:tbl>
      <w:tblPr>
        <w:tblStyle w:val="36"/>
        <w:tblW w:w="9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10"/>
        <w:gridCol w:w="6742"/>
      </w:tblGrid>
      <w:tr w14:paraId="1C0A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14:paraId="0E7F825F">
            <w:pPr>
              <w:pStyle w:val="23"/>
              <w:spacing w:line="360" w:lineRule="auto"/>
              <w:jc w:val="center"/>
              <w:rPr>
                <w:b/>
                <w:color w:val="000000" w:themeColor="text1"/>
                <w:kern w:val="2"/>
                <w:sz w:val="24"/>
                <w:szCs w:val="24"/>
                <w:highlight w:val="none"/>
                <w14:textFill>
                  <w14:solidFill>
                    <w14:schemeClr w14:val="tx1"/>
                  </w14:solidFill>
                </w14:textFill>
              </w:rPr>
            </w:pPr>
            <w:r>
              <w:rPr>
                <w:rFonts w:hint="eastAsia"/>
                <w:b/>
                <w:color w:val="000000" w:themeColor="text1"/>
                <w:kern w:val="2"/>
                <w:sz w:val="24"/>
                <w:szCs w:val="24"/>
                <w:highlight w:val="none"/>
                <w14:textFill>
                  <w14:solidFill>
                    <w14:schemeClr w14:val="tx1"/>
                  </w14:solidFill>
                </w14:textFill>
              </w:rPr>
              <w:t>序号</w:t>
            </w:r>
          </w:p>
        </w:tc>
        <w:tc>
          <w:tcPr>
            <w:tcW w:w="1810" w:type="dxa"/>
            <w:tcBorders>
              <w:top w:val="single" w:color="auto" w:sz="4" w:space="0"/>
              <w:left w:val="single" w:color="auto" w:sz="4" w:space="0"/>
              <w:bottom w:val="single" w:color="auto" w:sz="4" w:space="0"/>
              <w:right w:val="single" w:color="auto" w:sz="4" w:space="0"/>
            </w:tcBorders>
            <w:vAlign w:val="center"/>
          </w:tcPr>
          <w:p w14:paraId="4CB91D79">
            <w:pPr>
              <w:pStyle w:val="23"/>
              <w:spacing w:line="360" w:lineRule="auto"/>
              <w:jc w:val="center"/>
              <w:rPr>
                <w:b/>
                <w:color w:val="000000" w:themeColor="text1"/>
                <w:kern w:val="2"/>
                <w:sz w:val="24"/>
                <w:szCs w:val="24"/>
                <w:highlight w:val="none"/>
                <w14:textFill>
                  <w14:solidFill>
                    <w14:schemeClr w14:val="tx1"/>
                  </w14:solidFill>
                </w14:textFill>
              </w:rPr>
            </w:pPr>
            <w:r>
              <w:rPr>
                <w:rFonts w:hint="eastAsia"/>
                <w:b/>
                <w:color w:val="000000" w:themeColor="text1"/>
                <w:kern w:val="2"/>
                <w:sz w:val="24"/>
                <w:szCs w:val="24"/>
                <w:highlight w:val="none"/>
                <w14:textFill>
                  <w14:solidFill>
                    <w14:schemeClr w14:val="tx1"/>
                  </w14:solidFill>
                </w14:textFill>
              </w:rPr>
              <w:t>条款名称</w:t>
            </w:r>
          </w:p>
        </w:tc>
        <w:tc>
          <w:tcPr>
            <w:tcW w:w="6742" w:type="dxa"/>
            <w:tcBorders>
              <w:top w:val="single" w:color="auto" w:sz="4" w:space="0"/>
              <w:left w:val="single" w:color="auto" w:sz="4" w:space="0"/>
              <w:bottom w:val="single" w:color="auto" w:sz="4" w:space="0"/>
              <w:right w:val="single" w:color="auto" w:sz="4" w:space="0"/>
            </w:tcBorders>
            <w:vAlign w:val="center"/>
          </w:tcPr>
          <w:p w14:paraId="74AC962D">
            <w:pPr>
              <w:pStyle w:val="23"/>
              <w:spacing w:line="360" w:lineRule="auto"/>
              <w:jc w:val="center"/>
              <w:rPr>
                <w:b/>
                <w:color w:val="000000" w:themeColor="text1"/>
                <w:kern w:val="2"/>
                <w:sz w:val="24"/>
                <w:szCs w:val="24"/>
                <w:highlight w:val="none"/>
                <w14:textFill>
                  <w14:solidFill>
                    <w14:schemeClr w14:val="tx1"/>
                  </w14:solidFill>
                </w14:textFill>
              </w:rPr>
            </w:pPr>
            <w:r>
              <w:rPr>
                <w:rFonts w:hint="eastAsia"/>
                <w:b/>
                <w:color w:val="000000" w:themeColor="text1"/>
                <w:kern w:val="2"/>
                <w:sz w:val="24"/>
                <w:szCs w:val="24"/>
                <w:highlight w:val="none"/>
                <w14:textFill>
                  <w14:solidFill>
                    <w14:schemeClr w14:val="tx1"/>
                  </w14:solidFill>
                </w14:textFill>
              </w:rPr>
              <w:t>详细内容</w:t>
            </w:r>
          </w:p>
        </w:tc>
      </w:tr>
      <w:tr w14:paraId="4485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14:paraId="4F5763D4">
            <w:pPr>
              <w:pStyle w:val="23"/>
              <w:numPr>
                <w:ilvl w:val="0"/>
                <w:numId w:val="5"/>
              </w:numPr>
              <w:spacing w:line="360" w:lineRule="auto"/>
              <w:jc w:val="center"/>
              <w:rPr>
                <w:color w:val="000000" w:themeColor="text1"/>
                <w:kern w:val="2"/>
                <w:sz w:val="24"/>
                <w:szCs w:val="24"/>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14:paraId="669DA25E">
            <w:pPr>
              <w:pStyle w:val="23"/>
              <w:spacing w:line="360" w:lineRule="auto"/>
              <w:jc w:val="center"/>
              <w:rPr>
                <w:color w:val="000000" w:themeColor="text1"/>
                <w:kern w:val="2"/>
                <w:sz w:val="24"/>
                <w:szCs w:val="24"/>
                <w:highlight w:val="none"/>
                <w14:textFill>
                  <w14:solidFill>
                    <w14:schemeClr w14:val="tx1"/>
                  </w14:solidFill>
                </w14:textFill>
              </w:rPr>
            </w:pPr>
            <w:r>
              <w:rPr>
                <w:rFonts w:hint="eastAsia"/>
                <w:color w:val="000000" w:themeColor="text1"/>
                <w:kern w:val="2"/>
                <w:sz w:val="24"/>
                <w:szCs w:val="24"/>
                <w:highlight w:val="none"/>
                <w14:textFill>
                  <w14:solidFill>
                    <w14:schemeClr w14:val="tx1"/>
                  </w14:solidFill>
                </w14:textFill>
              </w:rPr>
              <w:t>政府采购编号</w:t>
            </w:r>
          </w:p>
        </w:tc>
        <w:tc>
          <w:tcPr>
            <w:tcW w:w="6742" w:type="dxa"/>
            <w:tcBorders>
              <w:top w:val="single" w:color="auto" w:sz="4" w:space="0"/>
              <w:left w:val="single" w:color="auto" w:sz="4" w:space="0"/>
              <w:bottom w:val="single" w:color="auto" w:sz="4" w:space="0"/>
              <w:right w:val="single" w:color="auto" w:sz="4" w:space="0"/>
            </w:tcBorders>
            <w:vAlign w:val="center"/>
          </w:tcPr>
          <w:p w14:paraId="486ACEA2">
            <w:pPr>
              <w:pStyle w:val="23"/>
              <w:spacing w:line="360" w:lineRule="auto"/>
              <w:rPr>
                <w:color w:val="000000" w:themeColor="text1"/>
                <w:kern w:val="2"/>
                <w:sz w:val="24"/>
                <w:szCs w:val="24"/>
                <w:highlight w:val="none"/>
                <w14:textFill>
                  <w14:solidFill>
                    <w14:schemeClr w14:val="tx1"/>
                  </w14:solidFill>
                </w14:textFill>
              </w:rPr>
            </w:pPr>
            <w:r>
              <w:rPr>
                <w:color w:val="000000" w:themeColor="text1"/>
                <w:kern w:val="2"/>
                <w:sz w:val="24"/>
                <w:szCs w:val="24"/>
                <w:highlight w:val="none"/>
                <w14:textFill>
                  <w14:solidFill>
                    <w14:schemeClr w14:val="tx1"/>
                  </w14:solidFill>
                </w14:textFill>
              </w:rPr>
              <w:t>GPZC20</w:t>
            </w:r>
            <w:r>
              <w:rPr>
                <w:rFonts w:hint="eastAsia"/>
                <w:color w:val="000000" w:themeColor="text1"/>
                <w:kern w:val="2"/>
                <w:sz w:val="24"/>
                <w:szCs w:val="24"/>
                <w:highlight w:val="none"/>
                <w14:textFill>
                  <w14:solidFill>
                    <w14:schemeClr w14:val="tx1"/>
                  </w14:solidFill>
                </w14:textFill>
              </w:rPr>
              <w:t>26</w:t>
            </w:r>
            <w:r>
              <w:rPr>
                <w:color w:val="000000" w:themeColor="text1"/>
                <w:kern w:val="2"/>
                <w:sz w:val="24"/>
                <w:szCs w:val="24"/>
                <w:highlight w:val="none"/>
                <w14:textFill>
                  <w14:solidFill>
                    <w14:schemeClr w14:val="tx1"/>
                  </w14:solidFill>
                </w14:textFill>
              </w:rPr>
              <w:t>-C3-</w:t>
            </w:r>
            <w:r>
              <w:rPr>
                <w:rFonts w:hint="eastAsia"/>
                <w:color w:val="000000" w:themeColor="text1"/>
                <w:kern w:val="2"/>
                <w:sz w:val="24"/>
                <w:szCs w:val="24"/>
                <w:highlight w:val="none"/>
                <w14:textFill>
                  <w14:solidFill>
                    <w14:schemeClr w14:val="tx1"/>
                  </w14:solidFill>
                </w14:textFill>
              </w:rPr>
              <w:t>00109</w:t>
            </w:r>
          </w:p>
        </w:tc>
      </w:tr>
      <w:tr w14:paraId="6448F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14:paraId="629D92BD">
            <w:pPr>
              <w:pStyle w:val="23"/>
              <w:numPr>
                <w:ilvl w:val="0"/>
                <w:numId w:val="5"/>
              </w:numPr>
              <w:spacing w:line="360" w:lineRule="auto"/>
              <w:jc w:val="center"/>
              <w:rPr>
                <w:color w:val="000000" w:themeColor="text1"/>
                <w:kern w:val="2"/>
                <w:sz w:val="24"/>
                <w:szCs w:val="24"/>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14:paraId="5213421D">
            <w:pPr>
              <w:pStyle w:val="23"/>
              <w:spacing w:line="360" w:lineRule="auto"/>
              <w:jc w:val="center"/>
              <w:rPr>
                <w:color w:val="000000" w:themeColor="text1"/>
                <w:kern w:val="2"/>
                <w:sz w:val="24"/>
                <w:szCs w:val="24"/>
                <w:highlight w:val="none"/>
                <w14:textFill>
                  <w14:solidFill>
                    <w14:schemeClr w14:val="tx1"/>
                  </w14:solidFill>
                </w14:textFill>
              </w:rPr>
            </w:pPr>
            <w:r>
              <w:rPr>
                <w:rFonts w:hint="eastAsia"/>
                <w:bCs/>
                <w:color w:val="000000" w:themeColor="text1"/>
                <w:kern w:val="2"/>
                <w:sz w:val="24"/>
                <w:szCs w:val="24"/>
                <w:highlight w:val="none"/>
                <w14:textFill>
                  <w14:solidFill>
                    <w14:schemeClr w14:val="tx1"/>
                  </w14:solidFill>
                </w14:textFill>
              </w:rPr>
              <w:t>预留采购份额</w:t>
            </w:r>
          </w:p>
        </w:tc>
        <w:tc>
          <w:tcPr>
            <w:tcW w:w="6742" w:type="dxa"/>
            <w:tcBorders>
              <w:top w:val="single" w:color="auto" w:sz="4" w:space="0"/>
              <w:left w:val="single" w:color="auto" w:sz="4" w:space="0"/>
              <w:bottom w:val="single" w:color="auto" w:sz="4" w:space="0"/>
              <w:right w:val="single" w:color="auto" w:sz="4" w:space="0"/>
            </w:tcBorders>
            <w:vAlign w:val="center"/>
          </w:tcPr>
          <w:p w14:paraId="47DC2A20">
            <w:pPr>
              <w:pStyle w:val="23"/>
              <w:spacing w:line="360" w:lineRule="auto"/>
              <w:rPr>
                <w:color w:val="000000" w:themeColor="text1"/>
                <w:kern w:val="2"/>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无。</w:t>
            </w:r>
          </w:p>
        </w:tc>
      </w:tr>
      <w:tr w14:paraId="220B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14:paraId="5DD5DB87">
            <w:pPr>
              <w:pStyle w:val="23"/>
              <w:numPr>
                <w:ilvl w:val="0"/>
                <w:numId w:val="5"/>
              </w:numPr>
              <w:spacing w:line="360" w:lineRule="auto"/>
              <w:jc w:val="center"/>
              <w:rPr>
                <w:color w:val="000000" w:themeColor="text1"/>
                <w:kern w:val="2"/>
                <w:sz w:val="24"/>
                <w:szCs w:val="24"/>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14:paraId="7053B364">
            <w:pPr>
              <w:pStyle w:val="23"/>
              <w:spacing w:line="360" w:lineRule="auto"/>
              <w:jc w:val="center"/>
              <w:rPr>
                <w:color w:val="000000" w:themeColor="text1"/>
                <w:kern w:val="2"/>
                <w:sz w:val="24"/>
                <w:szCs w:val="24"/>
                <w:highlight w:val="none"/>
                <w14:textFill>
                  <w14:solidFill>
                    <w14:schemeClr w14:val="tx1"/>
                  </w14:solidFill>
                </w14:textFill>
              </w:rPr>
            </w:pPr>
            <w:r>
              <w:rPr>
                <w:rFonts w:hint="eastAsia"/>
                <w:color w:val="000000" w:themeColor="text1"/>
                <w:kern w:val="2"/>
                <w:sz w:val="24"/>
                <w:szCs w:val="24"/>
                <w:highlight w:val="none"/>
                <w14:textFill>
                  <w14:solidFill>
                    <w14:schemeClr w14:val="tx1"/>
                  </w14:solidFill>
                </w14:textFill>
              </w:rPr>
              <w:t>采购标的所属行业</w:t>
            </w:r>
          </w:p>
        </w:tc>
        <w:tc>
          <w:tcPr>
            <w:tcW w:w="6742" w:type="dxa"/>
            <w:tcBorders>
              <w:top w:val="single" w:color="auto" w:sz="4" w:space="0"/>
              <w:left w:val="single" w:color="auto" w:sz="4" w:space="0"/>
              <w:bottom w:val="single" w:color="auto" w:sz="4" w:space="0"/>
              <w:right w:val="single" w:color="auto" w:sz="4" w:space="0"/>
            </w:tcBorders>
            <w:vAlign w:val="center"/>
          </w:tcPr>
          <w:p w14:paraId="5615EC00">
            <w:pPr>
              <w:pStyle w:val="23"/>
              <w:spacing w:line="360" w:lineRule="auto"/>
              <w:rPr>
                <w:color w:val="000000" w:themeColor="text1"/>
                <w:kern w:val="2"/>
                <w:sz w:val="24"/>
                <w:szCs w:val="24"/>
                <w:highlight w:val="none"/>
                <w14:textFill>
                  <w14:solidFill>
                    <w14:schemeClr w14:val="tx1"/>
                  </w14:solidFill>
                </w14:textFill>
              </w:rPr>
            </w:pPr>
            <w:r>
              <w:rPr>
                <w:rFonts w:hint="eastAsia"/>
                <w:color w:val="000000" w:themeColor="text1"/>
                <w:kern w:val="2"/>
                <w:sz w:val="24"/>
                <w:szCs w:val="24"/>
                <w:highlight w:val="none"/>
                <w14:textFill>
                  <w14:solidFill>
                    <w14:schemeClr w14:val="tx1"/>
                  </w14:solidFill>
                </w14:textFill>
              </w:rPr>
              <w:t>采购标的对应的所属行业为：</w:t>
            </w:r>
            <w:r>
              <w:rPr>
                <w:rFonts w:hint="eastAsia"/>
                <w:b/>
                <w:bCs/>
                <w:color w:val="000000" w:themeColor="text1"/>
                <w:kern w:val="2"/>
                <w:sz w:val="24"/>
                <w:szCs w:val="24"/>
                <w:highlight w:val="none"/>
                <w14:textFill>
                  <w14:solidFill>
                    <w14:schemeClr w14:val="tx1"/>
                  </w14:solidFill>
                </w14:textFill>
              </w:rPr>
              <w:t>其他未列明行业</w:t>
            </w:r>
          </w:p>
        </w:tc>
      </w:tr>
      <w:tr w14:paraId="5EEB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14:paraId="35D5B8DC">
            <w:pPr>
              <w:pStyle w:val="23"/>
              <w:numPr>
                <w:ilvl w:val="0"/>
                <w:numId w:val="5"/>
              </w:numPr>
              <w:spacing w:line="360" w:lineRule="auto"/>
              <w:jc w:val="center"/>
              <w:rPr>
                <w:color w:val="000000" w:themeColor="text1"/>
                <w:kern w:val="2"/>
                <w:sz w:val="24"/>
                <w:szCs w:val="24"/>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14:paraId="6321977A">
            <w:pPr>
              <w:pStyle w:val="23"/>
              <w:spacing w:line="360" w:lineRule="auto"/>
              <w:jc w:val="center"/>
              <w:rPr>
                <w:color w:val="000000" w:themeColor="text1"/>
                <w:kern w:val="2"/>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信用查询</w:t>
            </w:r>
          </w:p>
        </w:tc>
        <w:tc>
          <w:tcPr>
            <w:tcW w:w="6742" w:type="dxa"/>
            <w:tcBorders>
              <w:top w:val="single" w:color="auto" w:sz="4" w:space="0"/>
              <w:left w:val="single" w:color="auto" w:sz="4" w:space="0"/>
              <w:bottom w:val="single" w:color="auto" w:sz="4" w:space="0"/>
              <w:right w:val="single" w:color="auto" w:sz="4" w:space="0"/>
            </w:tcBorders>
            <w:vAlign w:val="center"/>
          </w:tcPr>
          <w:p w14:paraId="1ABD0F12">
            <w:pPr>
              <w:spacing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在对供应商资格审查时进行信用查询的渠道：</w:t>
            </w:r>
          </w:p>
          <w:p w14:paraId="61F7E0A8">
            <w:pPr>
              <w:spacing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“信用中国”网站(www.creditchina.gov.cn)、</w:t>
            </w:r>
          </w:p>
          <w:p w14:paraId="7D7272EE">
            <w:pPr>
              <w:spacing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中国政府采购网(www.ccgp.gov.cn)等。</w:t>
            </w:r>
          </w:p>
          <w:p w14:paraId="2AB015DD">
            <w:pPr>
              <w:spacing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查询网页截图时间：自本项目发布公告之日至响应文件提交截止时间；</w:t>
            </w:r>
          </w:p>
          <w:p w14:paraId="40438D70">
            <w:pPr>
              <w:spacing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查询记录和证据留存方式：在查询网站中直接打印查询记录，打印材料作为评审资料保存；</w:t>
            </w:r>
          </w:p>
          <w:p w14:paraId="7A95C678">
            <w:pPr>
              <w:pStyle w:val="23"/>
              <w:spacing w:line="360" w:lineRule="auto"/>
              <w:rPr>
                <w:color w:val="000000" w:themeColor="text1"/>
                <w:kern w:val="2"/>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资格审查不通过，不得参与本次采购活动。</w:t>
            </w:r>
          </w:p>
        </w:tc>
      </w:tr>
      <w:tr w14:paraId="0AE8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14:paraId="19FF59AC">
            <w:pPr>
              <w:pStyle w:val="23"/>
              <w:numPr>
                <w:ilvl w:val="0"/>
                <w:numId w:val="5"/>
              </w:numPr>
              <w:spacing w:line="360" w:lineRule="auto"/>
              <w:jc w:val="center"/>
              <w:rPr>
                <w:color w:val="000000" w:themeColor="text1"/>
                <w:kern w:val="2"/>
                <w:sz w:val="24"/>
                <w:szCs w:val="24"/>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14:paraId="741FD421">
            <w:pPr>
              <w:pStyle w:val="23"/>
              <w:spacing w:line="360" w:lineRule="auto"/>
              <w:jc w:val="left"/>
              <w:rPr>
                <w:color w:val="000000" w:themeColor="text1"/>
                <w:kern w:val="2"/>
                <w:sz w:val="24"/>
                <w:szCs w:val="24"/>
                <w:highlight w:val="none"/>
                <w14:textFill>
                  <w14:solidFill>
                    <w14:schemeClr w14:val="tx1"/>
                  </w14:solidFill>
                </w14:textFill>
              </w:rPr>
            </w:pPr>
          </w:p>
        </w:tc>
        <w:tc>
          <w:tcPr>
            <w:tcW w:w="6742" w:type="dxa"/>
            <w:tcBorders>
              <w:top w:val="single" w:color="auto" w:sz="4" w:space="0"/>
              <w:left w:val="single" w:color="auto" w:sz="4" w:space="0"/>
              <w:bottom w:val="single" w:color="auto" w:sz="4" w:space="0"/>
              <w:right w:val="single" w:color="auto" w:sz="4" w:space="0"/>
            </w:tcBorders>
            <w:vAlign w:val="center"/>
          </w:tcPr>
          <w:p w14:paraId="0419DC1F">
            <w:pPr>
              <w:spacing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报价及费用：</w:t>
            </w:r>
          </w:p>
          <w:p w14:paraId="6F1E348D">
            <w:pPr>
              <w:spacing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1.供应商须就第三章 项目需求中的全部服务要求作完整唯一报价。</w:t>
            </w:r>
          </w:p>
          <w:p w14:paraId="74D2F443">
            <w:pPr>
              <w:spacing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2.本项目磋商供应商应以人民币报价，报价应含</w:t>
            </w:r>
            <w:r>
              <w:rPr>
                <w:rFonts w:hint="eastAsia" w:hAnsi="宋体"/>
                <w:color w:val="000000" w:themeColor="text1"/>
                <w:sz w:val="24"/>
                <w:szCs w:val="24"/>
                <w:highlight w:val="none"/>
                <w14:textFill>
                  <w14:solidFill>
                    <w14:schemeClr w14:val="tx1"/>
                  </w14:solidFill>
                </w14:textFill>
              </w:rPr>
              <w:t>货物、货物运抵指定交货地点的各种费用和验收、售后服务、税金及其他所有成本费用的总和</w:t>
            </w:r>
            <w:r>
              <w:rPr>
                <w:rFonts w:hint="eastAsia" w:ascii="宋体"/>
                <w:color w:val="000000" w:themeColor="text1"/>
                <w:sz w:val="24"/>
                <w:szCs w:val="24"/>
                <w:highlight w:val="none"/>
                <w14:textFill>
                  <w14:solidFill>
                    <w14:schemeClr w14:val="tx1"/>
                  </w14:solidFill>
                </w14:textFill>
              </w:rPr>
              <w:t>。在合同实施期间，磋商供应商填写的报价将不予调整。磋商供应商应在报价时充分考虑各方面因素、各种风险和自己的承受能力。</w:t>
            </w:r>
          </w:p>
          <w:p w14:paraId="5BF1B609">
            <w:pPr>
              <w:spacing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3.磋商小组认为供应商的报价明显低于其他通过符合性审查供应商的报价，有可能影响服务质量或不能诚信履约的，应当要求其通过广西政府采购云平台在评标现场合理的时间内提供说明，必要时提交相关证明材料；供应商不能证明其报价合理性的，磋商小组应当将其作为无效投标处理。</w:t>
            </w:r>
          </w:p>
          <w:p w14:paraId="62E14F4F">
            <w:pPr>
              <w:spacing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4.不论磋商结果如何，供应商均应自行承担所有与磋商有关的全部费用；</w:t>
            </w:r>
          </w:p>
          <w:p w14:paraId="78AC73F2">
            <w:pPr>
              <w:pStyle w:val="23"/>
              <w:spacing w:line="360" w:lineRule="auto"/>
              <w:jc w:val="left"/>
              <w:rPr>
                <w:color w:val="000000" w:themeColor="text1"/>
                <w:kern w:val="2"/>
                <w:sz w:val="24"/>
                <w:szCs w:val="24"/>
                <w:highlight w:val="none"/>
                <w14:textFill>
                  <w14:solidFill>
                    <w14:schemeClr w14:val="tx1"/>
                  </w14:solidFill>
                </w14:textFill>
              </w:rPr>
            </w:pPr>
            <w:r>
              <w:rPr>
                <w:rFonts w:hint="eastAsia"/>
                <w:color w:val="000000" w:themeColor="text1"/>
                <w:kern w:val="2"/>
                <w:sz w:val="24"/>
                <w:szCs w:val="24"/>
                <w:highlight w:val="none"/>
                <w14:textFill>
                  <w14:solidFill>
                    <w14:schemeClr w14:val="tx1"/>
                  </w14:solidFill>
                </w14:textFill>
              </w:rPr>
              <w:t>5.</w:t>
            </w:r>
            <w:r>
              <w:rPr>
                <w:color w:val="000000" w:themeColor="text1"/>
                <w:kern w:val="2"/>
                <w:sz w:val="24"/>
                <w:szCs w:val="24"/>
                <w:highlight w:val="none"/>
                <w14:textFill>
                  <w14:solidFill>
                    <w14:schemeClr w14:val="tx1"/>
                  </w14:solidFill>
                </w14:textFill>
              </w:rPr>
              <w:t>代理费</w:t>
            </w:r>
            <w:r>
              <w:rPr>
                <w:rFonts w:hint="eastAsia"/>
                <w:color w:val="000000" w:themeColor="text1"/>
                <w:kern w:val="2"/>
                <w:sz w:val="24"/>
                <w:szCs w:val="24"/>
                <w:highlight w:val="none"/>
                <w14:textFill>
                  <w14:solidFill>
                    <w14:schemeClr w14:val="tx1"/>
                  </w14:solidFill>
                </w14:textFill>
              </w:rPr>
              <w:t>用</w:t>
            </w:r>
            <w:r>
              <w:rPr>
                <w:color w:val="000000" w:themeColor="text1"/>
                <w:kern w:val="2"/>
                <w:sz w:val="24"/>
                <w:szCs w:val="24"/>
                <w:highlight w:val="none"/>
                <w14:textFill>
                  <w14:solidFill>
                    <w14:schemeClr w14:val="tx1"/>
                  </w14:solidFill>
                </w14:textFill>
              </w:rPr>
              <w:t>：</w:t>
            </w:r>
            <w:r>
              <w:rPr>
                <w:rFonts w:hint="eastAsia"/>
                <w:color w:val="000000" w:themeColor="text1"/>
                <w:kern w:val="2"/>
                <w:sz w:val="24"/>
                <w:szCs w:val="24"/>
                <w:highlight w:val="none"/>
                <w14:textFill>
                  <w14:solidFill>
                    <w14:schemeClr w14:val="tx1"/>
                  </w14:solidFill>
                </w14:textFill>
              </w:rPr>
              <w:t>参照发改价格〔2015〕299号文件规定收取，费用</w:t>
            </w:r>
            <w:r>
              <w:rPr>
                <w:color w:val="000000" w:themeColor="text1"/>
                <w:kern w:val="2"/>
                <w:sz w:val="24"/>
                <w:szCs w:val="24"/>
                <w:highlight w:val="none"/>
                <w14:textFill>
                  <w14:solidFill>
                    <w14:schemeClr w14:val="tx1"/>
                  </w14:solidFill>
                </w14:textFill>
              </w:rPr>
              <w:t>为：</w:t>
            </w:r>
            <w:r>
              <w:rPr>
                <w:rFonts w:hint="eastAsia"/>
                <w:color w:val="000000" w:themeColor="text1"/>
                <w:kern w:val="2"/>
                <w:sz w:val="24"/>
                <w:szCs w:val="24"/>
                <w:highlight w:val="none"/>
                <w14:textFill>
                  <w14:solidFill>
                    <w14:schemeClr w14:val="tx1"/>
                  </w14:solidFill>
                </w14:textFill>
              </w:rPr>
              <w:t>人民币壹万柒仟捌佰元整（¥178</w:t>
            </w:r>
            <w:r>
              <w:rPr>
                <w:color w:val="000000" w:themeColor="text1"/>
                <w:kern w:val="2"/>
                <w:sz w:val="24"/>
                <w:szCs w:val="24"/>
                <w:highlight w:val="none"/>
                <w14:textFill>
                  <w14:solidFill>
                    <w14:schemeClr w14:val="tx1"/>
                  </w14:solidFill>
                </w14:textFill>
              </w:rPr>
              <w:t>00</w:t>
            </w:r>
            <w:r>
              <w:rPr>
                <w:rFonts w:hint="eastAsia"/>
                <w:color w:val="000000" w:themeColor="text1"/>
                <w:kern w:val="2"/>
                <w:sz w:val="24"/>
                <w:szCs w:val="24"/>
                <w:highlight w:val="none"/>
                <w14:textFill>
                  <w14:solidFill>
                    <w14:schemeClr w14:val="tx1"/>
                  </w14:solidFill>
                </w14:textFill>
              </w:rPr>
              <w:t>.00），</w:t>
            </w:r>
            <w:r>
              <w:rPr>
                <w:color w:val="000000" w:themeColor="text1"/>
                <w:kern w:val="2"/>
                <w:sz w:val="24"/>
                <w:szCs w:val="24"/>
                <w:highlight w:val="none"/>
                <w14:textFill>
                  <w14:solidFill>
                    <w14:schemeClr w14:val="tx1"/>
                  </w14:solidFill>
                </w14:textFill>
              </w:rPr>
              <w:t>由</w:t>
            </w:r>
            <w:r>
              <w:rPr>
                <w:rFonts w:hint="eastAsia"/>
                <w:color w:val="000000" w:themeColor="text1"/>
                <w:kern w:val="2"/>
                <w:sz w:val="24"/>
                <w:szCs w:val="24"/>
                <w:highlight w:val="none"/>
                <w14:textFill>
                  <w14:solidFill>
                    <w14:schemeClr w14:val="tx1"/>
                  </w14:solidFill>
                </w14:textFill>
              </w:rPr>
              <w:t>成交供应商</w:t>
            </w:r>
            <w:r>
              <w:rPr>
                <w:color w:val="000000" w:themeColor="text1"/>
                <w:kern w:val="2"/>
                <w:sz w:val="24"/>
                <w:szCs w:val="24"/>
                <w:highlight w:val="none"/>
                <w14:textFill>
                  <w14:solidFill>
                    <w14:schemeClr w14:val="tx1"/>
                  </w14:solidFill>
                </w14:textFill>
              </w:rPr>
              <w:t>支付</w:t>
            </w:r>
            <w:r>
              <w:rPr>
                <w:rFonts w:hint="eastAsia"/>
                <w:color w:val="000000" w:themeColor="text1"/>
                <w:kern w:val="2"/>
                <w:sz w:val="24"/>
                <w:szCs w:val="24"/>
                <w:highlight w:val="none"/>
                <w14:textFill>
                  <w14:solidFill>
                    <w14:schemeClr w14:val="tx1"/>
                  </w14:solidFill>
                </w14:textFill>
              </w:rPr>
              <w:t>。</w:t>
            </w:r>
          </w:p>
        </w:tc>
      </w:tr>
      <w:tr w14:paraId="059C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14:paraId="26DE2C5B">
            <w:pPr>
              <w:pStyle w:val="23"/>
              <w:numPr>
                <w:ilvl w:val="0"/>
                <w:numId w:val="5"/>
              </w:numPr>
              <w:spacing w:line="360" w:lineRule="auto"/>
              <w:jc w:val="center"/>
              <w:rPr>
                <w:color w:val="000000" w:themeColor="text1"/>
                <w:kern w:val="2"/>
                <w:sz w:val="24"/>
                <w:szCs w:val="24"/>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14:paraId="34587993">
            <w:pPr>
              <w:pStyle w:val="23"/>
              <w:spacing w:line="360" w:lineRule="auto"/>
              <w:jc w:val="center"/>
              <w:rPr>
                <w:color w:val="000000" w:themeColor="text1"/>
                <w:kern w:val="2"/>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有效期</w:t>
            </w:r>
          </w:p>
        </w:tc>
        <w:tc>
          <w:tcPr>
            <w:tcW w:w="6742" w:type="dxa"/>
            <w:tcBorders>
              <w:top w:val="single" w:color="auto" w:sz="4" w:space="0"/>
              <w:left w:val="single" w:color="auto" w:sz="4" w:space="0"/>
              <w:bottom w:val="single" w:color="auto" w:sz="4" w:space="0"/>
              <w:right w:val="single" w:color="auto" w:sz="4" w:space="0"/>
            </w:tcBorders>
            <w:vAlign w:val="center"/>
          </w:tcPr>
          <w:p w14:paraId="413CC010">
            <w:pPr>
              <w:spacing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自递交响应文件截止时间起60天。</w:t>
            </w:r>
          </w:p>
          <w:p w14:paraId="52A1007A">
            <w:pPr>
              <w:spacing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响应有效期不足的响应文件将被否决。</w:t>
            </w:r>
          </w:p>
        </w:tc>
      </w:tr>
      <w:tr w14:paraId="1165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14:paraId="509B1ECB">
            <w:pPr>
              <w:pStyle w:val="23"/>
              <w:numPr>
                <w:ilvl w:val="0"/>
                <w:numId w:val="5"/>
              </w:numPr>
              <w:spacing w:line="360" w:lineRule="auto"/>
              <w:jc w:val="center"/>
              <w:rPr>
                <w:color w:val="000000" w:themeColor="text1"/>
                <w:kern w:val="2"/>
                <w:sz w:val="24"/>
                <w:szCs w:val="24"/>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14:paraId="69F92417">
            <w:pPr>
              <w:pStyle w:val="113"/>
              <w:kinsoku w:val="0"/>
              <w:overflowPunct w:val="0"/>
              <w:spacing w:line="360" w:lineRule="auto"/>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磋商前准备</w:t>
            </w:r>
          </w:p>
        </w:tc>
        <w:tc>
          <w:tcPr>
            <w:tcW w:w="6742" w:type="dxa"/>
            <w:tcBorders>
              <w:top w:val="single" w:color="auto" w:sz="4" w:space="0"/>
              <w:left w:val="single" w:color="auto" w:sz="4" w:space="0"/>
              <w:bottom w:val="single" w:color="auto" w:sz="4" w:space="0"/>
              <w:right w:val="single" w:color="auto" w:sz="4" w:space="0"/>
            </w:tcBorders>
            <w:vAlign w:val="center"/>
          </w:tcPr>
          <w:p w14:paraId="15EA7819">
            <w:pPr>
              <w:widowControl/>
              <w:spacing w:line="360" w:lineRule="auto"/>
              <w:jc w:val="left"/>
              <w:rPr>
                <w:rFonts w:ascii="宋体" w:cs="宋体"/>
                <w:color w:val="000000" w:themeColor="text1"/>
                <w:kern w:val="0"/>
                <w:sz w:val="24"/>
                <w:szCs w:val="24"/>
                <w:highlight w:val="none"/>
                <w14:textFill>
                  <w14:solidFill>
                    <w14:schemeClr w14:val="tx1"/>
                  </w14:solidFill>
                </w14:textFill>
              </w:rPr>
            </w:pPr>
            <w:r>
              <w:rPr>
                <w:rFonts w:hint="eastAsia" w:ascii="宋体" w:cs="宋体"/>
                <w:color w:val="000000" w:themeColor="text1"/>
                <w:kern w:val="0"/>
                <w:sz w:val="24"/>
                <w:szCs w:val="24"/>
                <w:highlight w:val="none"/>
                <w14:textFill>
                  <w14:solidFill>
                    <w14:schemeClr w14:val="tx1"/>
                  </w14:solidFill>
                </w14:textFill>
              </w:rPr>
              <w:t>1.本项目实行网上开标，采用电子磋商响应文件。</w:t>
            </w:r>
          </w:p>
          <w:p w14:paraId="5F0E2694">
            <w:pPr>
              <w:widowControl/>
              <w:spacing w:line="360" w:lineRule="auto"/>
              <w:jc w:val="left"/>
              <w:rPr>
                <w:rFonts w:ascii="宋体" w:cs="宋体"/>
                <w:color w:val="000000" w:themeColor="text1"/>
                <w:kern w:val="0"/>
                <w:sz w:val="24"/>
                <w:szCs w:val="24"/>
                <w:highlight w:val="none"/>
                <w14:textFill>
                  <w14:solidFill>
                    <w14:schemeClr w14:val="tx1"/>
                  </w14:solidFill>
                </w14:textFill>
              </w:rPr>
            </w:pPr>
            <w:r>
              <w:rPr>
                <w:rFonts w:hint="eastAsia" w:ascii="宋体" w:cs="宋体"/>
                <w:color w:val="000000" w:themeColor="text1"/>
                <w:kern w:val="0"/>
                <w:sz w:val="24"/>
                <w:szCs w:val="24"/>
                <w:highlight w:val="none"/>
                <w14:textFill>
                  <w14:solidFill>
                    <w14:schemeClr w14:val="tx1"/>
                  </w14:solidFill>
                </w14:textFill>
              </w:rPr>
              <w:t>2.各供应商应在</w:t>
            </w:r>
            <w:r>
              <w:rPr>
                <w:rFonts w:hint="eastAsia" w:ascii="宋体" w:cs="仿宋"/>
                <w:color w:val="000000" w:themeColor="text1"/>
                <w:sz w:val="24"/>
                <w:szCs w:val="24"/>
                <w:highlight w:val="none"/>
                <w14:textFill>
                  <w14:solidFill>
                    <w14:schemeClr w14:val="tx1"/>
                  </w14:solidFill>
                </w14:textFill>
              </w:rPr>
              <w:t>截止时间</w:t>
            </w:r>
            <w:r>
              <w:rPr>
                <w:rFonts w:hint="eastAsia" w:ascii="宋体" w:cs="宋体"/>
                <w:color w:val="000000" w:themeColor="text1"/>
                <w:kern w:val="0"/>
                <w:sz w:val="24"/>
                <w:szCs w:val="24"/>
                <w:highlight w:val="none"/>
                <w14:textFill>
                  <w14:solidFill>
                    <w14:schemeClr w14:val="tx1"/>
                  </w14:solidFill>
                </w14:textFill>
              </w:rPr>
              <w:t>前应确保成为广西政府采购云平台正式注册入库供应商，并完成CA数字证书申领。如因未注册入库、未办理CA数字证书等原因造成无法磋商或磋商失败等后果由供应商自行承担。</w:t>
            </w:r>
          </w:p>
          <w:p w14:paraId="3CEAF141">
            <w:pPr>
              <w:spacing w:line="360" w:lineRule="auto"/>
              <w:jc w:val="left"/>
              <w:rPr>
                <w:rFonts w:ascii="宋体" w:cs="宋体"/>
                <w:color w:val="000000" w:themeColor="text1"/>
                <w:kern w:val="0"/>
                <w:sz w:val="24"/>
                <w:szCs w:val="24"/>
                <w:highlight w:val="none"/>
                <w14:textFill>
                  <w14:solidFill>
                    <w14:schemeClr w14:val="tx1"/>
                  </w14:solidFill>
                </w14:textFill>
              </w:rPr>
            </w:pPr>
            <w:r>
              <w:rPr>
                <w:rFonts w:hint="eastAsia" w:ascii="宋体" w:cs="宋体"/>
                <w:color w:val="000000" w:themeColor="text1"/>
                <w:kern w:val="0"/>
                <w:sz w:val="24"/>
                <w:szCs w:val="24"/>
                <w:highlight w:val="none"/>
                <w14:textFill>
                  <w14:solidFill>
                    <w14:schemeClr w14:val="tx1"/>
                  </w14:solidFill>
                </w14:textFill>
              </w:rPr>
              <w:t>3.供应商将广西政府采购云平台投标客户端下载、安装完成后，可通过账号密码或CA登录客户端进行响应文件制作。客户端请至网站下载专区查看，如有问题可拨打广西政府采购云平台客户服务热线：95763进行咨询。</w:t>
            </w:r>
          </w:p>
          <w:p w14:paraId="1C361D43">
            <w:pPr>
              <w:spacing w:line="360" w:lineRule="auto"/>
              <w:jc w:val="left"/>
              <w:rPr>
                <w:rFonts w:ascii="宋体" w:cs="宋体"/>
                <w:b/>
                <w:bCs/>
                <w:color w:val="000000" w:themeColor="text1"/>
                <w:sz w:val="24"/>
                <w:szCs w:val="24"/>
                <w:highlight w:val="none"/>
                <w14:textFill>
                  <w14:solidFill>
                    <w14:schemeClr w14:val="tx1"/>
                  </w14:solidFill>
                </w14:textFill>
              </w:rPr>
            </w:pPr>
            <w:r>
              <w:rPr>
                <w:rFonts w:hint="eastAsia" w:ascii="宋体" w:cs="宋体"/>
                <w:b/>
                <w:bCs/>
                <w:color w:val="000000" w:themeColor="text1"/>
                <w:sz w:val="24"/>
                <w:szCs w:val="24"/>
                <w:highlight w:val="none"/>
                <w14:textFill>
                  <w14:solidFill>
                    <w14:schemeClr w14:val="tx1"/>
                  </w14:solidFill>
                </w14:textFill>
              </w:rPr>
              <w:t>磋商响应文件解密时间：</w:t>
            </w:r>
          </w:p>
          <w:p w14:paraId="630D543A">
            <w:pPr>
              <w:pStyle w:val="113"/>
              <w:kinsoku w:val="0"/>
              <w:overflowPunct w:val="0"/>
              <w:spacing w:line="360" w:lineRule="auto"/>
              <w:ind w:right="2"/>
              <w:rPr>
                <w:rFonts w:ascii="宋体" w:cs="宋体"/>
                <w:color w:val="000000" w:themeColor="text1"/>
                <w:spacing w:val="-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响应文件提交</w:t>
            </w:r>
            <w:r>
              <w:rPr>
                <w:rFonts w:hint="eastAsia" w:ascii="宋体" w:cs="仿宋"/>
                <w:color w:val="000000" w:themeColor="text1"/>
                <w:sz w:val="24"/>
                <w:szCs w:val="24"/>
                <w:highlight w:val="none"/>
                <w14:textFill>
                  <w14:solidFill>
                    <w14:schemeClr w14:val="tx1"/>
                  </w14:solidFill>
                </w14:textFill>
              </w:rPr>
              <w:t>截止时间</w:t>
            </w:r>
            <w:r>
              <w:rPr>
                <w:rFonts w:hint="eastAsia" w:ascii="宋体" w:cs="宋体"/>
                <w:color w:val="000000" w:themeColor="text1"/>
                <w:sz w:val="24"/>
                <w:szCs w:val="24"/>
                <w:highlight w:val="none"/>
                <w14:textFill>
                  <w14:solidFill>
                    <w14:schemeClr w14:val="tx1"/>
                  </w14:solidFill>
                </w14:textFill>
              </w:rPr>
              <w:t>后30分钟内供应商可以登录广西政府采购云平台，用“项目采购-开标评标”功能进行解密响应文件。若供应商在规定时间内无法解密或解密失败，可以以提交的电子备份磋商响应文件作为依据，如若电子备份磋商响应文件与广西政府采购云平台上传的电子磋商响应文件被识别为不一致的，以电子备份响应文件作为评审依据；供应商按时在线解密响应文件的，以在线解密的响应文件作为评审依据。若供应商在规定时间内无法解密或解密失败且未提供电子备份磋商响应文件的，视为响应文件撤回。</w:t>
            </w:r>
          </w:p>
        </w:tc>
      </w:tr>
      <w:tr w14:paraId="23CF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14:paraId="6EB47E66">
            <w:pPr>
              <w:pStyle w:val="23"/>
              <w:numPr>
                <w:ilvl w:val="0"/>
                <w:numId w:val="5"/>
              </w:numPr>
              <w:spacing w:line="360" w:lineRule="auto"/>
              <w:jc w:val="center"/>
              <w:rPr>
                <w:color w:val="000000" w:themeColor="text1"/>
                <w:kern w:val="2"/>
                <w:sz w:val="24"/>
                <w:szCs w:val="24"/>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14:paraId="1D61F9FB">
            <w:pPr>
              <w:pStyle w:val="23"/>
              <w:spacing w:line="360" w:lineRule="auto"/>
              <w:jc w:val="center"/>
              <w:rPr>
                <w:color w:val="000000" w:themeColor="text1"/>
                <w:kern w:val="2"/>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中止电子交易活动的</w:t>
            </w:r>
            <w:r>
              <w:rPr>
                <w:bCs/>
                <w:color w:val="000000" w:themeColor="text1"/>
                <w:sz w:val="24"/>
                <w:szCs w:val="24"/>
                <w:highlight w:val="none"/>
                <w14:textFill>
                  <w14:solidFill>
                    <w14:schemeClr w14:val="tx1"/>
                  </w14:solidFill>
                </w14:textFill>
              </w:rPr>
              <w:t>情形</w:t>
            </w:r>
          </w:p>
        </w:tc>
        <w:tc>
          <w:tcPr>
            <w:tcW w:w="6742" w:type="dxa"/>
            <w:tcBorders>
              <w:top w:val="single" w:color="auto" w:sz="4" w:space="0"/>
              <w:left w:val="single" w:color="auto" w:sz="4" w:space="0"/>
              <w:bottom w:val="single" w:color="auto" w:sz="4" w:space="0"/>
              <w:right w:val="single" w:color="auto" w:sz="4" w:space="0"/>
            </w:tcBorders>
            <w:vAlign w:val="center"/>
          </w:tcPr>
          <w:p w14:paraId="52BFCD73">
            <w:pPr>
              <w:snapToGrid w:val="0"/>
              <w:spacing w:line="360" w:lineRule="auto"/>
              <w:rPr>
                <w:rFonts w:ascii="宋体" w:cs="宋体"/>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 xml:space="preserve"> </w:t>
            </w:r>
            <w:r>
              <w:rPr>
                <w:rFonts w:hint="eastAsia" w:ascii="宋体" w:cs="宋体"/>
                <w:color w:val="000000" w:themeColor="text1"/>
                <w:sz w:val="24"/>
                <w:szCs w:val="24"/>
                <w:highlight w:val="none"/>
                <w14:textFill>
                  <w14:solidFill>
                    <w14:schemeClr w14:val="tx1"/>
                  </w14:solidFill>
                </w14:textFill>
              </w:rPr>
              <w:t xml:space="preserve">   采购过程中出现以下情形，导致电子交易平台无法正常运行，或者无法保证电子交易的公平、公正和安全时，采购代理机构可中止电子交易活动：</w:t>
            </w:r>
          </w:p>
          <w:p w14:paraId="2339A89E">
            <w:pPr>
              <w:snapToGrid w:val="0"/>
              <w:spacing w:line="360" w:lineRule="auto"/>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 xml:space="preserve">1.电子交易平台发生故障而无法登录访问的； </w:t>
            </w:r>
          </w:p>
          <w:p w14:paraId="76068831">
            <w:pPr>
              <w:snapToGrid w:val="0"/>
              <w:spacing w:line="360" w:lineRule="auto"/>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2.电子交易平台应用或数据库出现错误，不能进行正常操作的；</w:t>
            </w:r>
          </w:p>
          <w:p w14:paraId="73A3B4FC">
            <w:pPr>
              <w:snapToGrid w:val="0"/>
              <w:spacing w:line="360" w:lineRule="auto"/>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3.电子交易平台发现严重安全漏洞，有潜在泄密危险的；</w:t>
            </w:r>
          </w:p>
          <w:p w14:paraId="6A632B0B">
            <w:pPr>
              <w:snapToGrid w:val="0"/>
              <w:spacing w:line="360" w:lineRule="auto"/>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 xml:space="preserve">4.病毒发作导致不能进行正常操作的； </w:t>
            </w:r>
          </w:p>
          <w:p w14:paraId="79773CCE">
            <w:pPr>
              <w:snapToGrid w:val="0"/>
              <w:spacing w:line="360" w:lineRule="auto"/>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5.其他无法保证电子交易的公平、公正和安全的情况。</w:t>
            </w:r>
          </w:p>
          <w:p w14:paraId="6E6495AE">
            <w:pPr>
              <w:snapToGrid w:val="0"/>
              <w:spacing w:line="360" w:lineRule="auto"/>
              <w:rPr>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6.出现前款规定情形，不影响采购公平、公正性的，采购组织机构可以待上述情形消除后继续组织电子交易活动，也可以决定某些环节以纸质形式进行；影响或可能影响采购公平、公正性的，应当重新采购。</w:t>
            </w:r>
          </w:p>
        </w:tc>
      </w:tr>
      <w:tr w14:paraId="4616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14:paraId="5F3D16B3">
            <w:pPr>
              <w:pStyle w:val="23"/>
              <w:numPr>
                <w:ilvl w:val="0"/>
                <w:numId w:val="5"/>
              </w:numPr>
              <w:spacing w:line="360" w:lineRule="auto"/>
              <w:jc w:val="center"/>
              <w:rPr>
                <w:color w:val="000000" w:themeColor="text1"/>
                <w:kern w:val="2"/>
                <w:sz w:val="24"/>
                <w:szCs w:val="24"/>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14:paraId="459CCCA9">
            <w:pPr>
              <w:autoSpaceDE w:val="0"/>
              <w:autoSpaceDN w:val="0"/>
              <w:spacing w:line="360" w:lineRule="auto"/>
              <w:jc w:val="center"/>
              <w:rPr>
                <w:rFonts w:ascii="宋体"/>
                <w:color w:val="000000" w:themeColor="text1"/>
                <w:sz w:val="24"/>
                <w:szCs w:val="24"/>
                <w:highlight w:val="none"/>
                <w14:textFill>
                  <w14:solidFill>
                    <w14:schemeClr w14:val="tx1"/>
                  </w14:solidFill>
                </w14:textFill>
              </w:rPr>
            </w:pPr>
          </w:p>
        </w:tc>
        <w:tc>
          <w:tcPr>
            <w:tcW w:w="6742" w:type="dxa"/>
            <w:tcBorders>
              <w:top w:val="single" w:color="auto" w:sz="4" w:space="0"/>
              <w:left w:val="single" w:color="auto" w:sz="4" w:space="0"/>
              <w:bottom w:val="single" w:color="auto" w:sz="4" w:space="0"/>
              <w:right w:val="single" w:color="auto" w:sz="4" w:space="0"/>
            </w:tcBorders>
            <w:vAlign w:val="center"/>
          </w:tcPr>
          <w:p w14:paraId="2B643DFF">
            <w:pPr>
              <w:snapToGrid w:val="0"/>
              <w:spacing w:line="360" w:lineRule="auto"/>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磋商主要内容及程序：</w:t>
            </w:r>
          </w:p>
          <w:p w14:paraId="3FAB27DE">
            <w:pPr>
              <w:snapToGrid w:val="0"/>
              <w:spacing w:line="360" w:lineRule="auto"/>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 xml:space="preserve">1.技术要求、服务要求以及合同草案条款，其中供应商资格条件和标注★号的条款除外； </w:t>
            </w:r>
          </w:p>
          <w:p w14:paraId="24254D63">
            <w:pPr>
              <w:snapToGrid w:val="0"/>
              <w:spacing w:line="360" w:lineRule="auto"/>
              <w:rPr>
                <w:rFonts w:ascii="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2.实质性变动的内容，须经采购人确认。</w:t>
            </w:r>
          </w:p>
        </w:tc>
      </w:tr>
      <w:tr w14:paraId="1A94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14:paraId="69ED0B55">
            <w:pPr>
              <w:pStyle w:val="23"/>
              <w:numPr>
                <w:ilvl w:val="0"/>
                <w:numId w:val="5"/>
              </w:numPr>
              <w:spacing w:line="360" w:lineRule="auto"/>
              <w:jc w:val="center"/>
              <w:rPr>
                <w:color w:val="000000" w:themeColor="text1"/>
                <w:kern w:val="2"/>
                <w:sz w:val="24"/>
                <w:szCs w:val="24"/>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14:paraId="45D89D96">
            <w:pPr>
              <w:autoSpaceDE w:val="0"/>
              <w:autoSpaceDN w:val="0"/>
              <w:spacing w:line="360" w:lineRule="auto"/>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签订合同时间</w:t>
            </w:r>
          </w:p>
        </w:tc>
        <w:tc>
          <w:tcPr>
            <w:tcW w:w="6742" w:type="dxa"/>
            <w:tcBorders>
              <w:top w:val="single" w:color="auto" w:sz="4" w:space="0"/>
              <w:left w:val="single" w:color="auto" w:sz="4" w:space="0"/>
              <w:bottom w:val="single" w:color="auto" w:sz="4" w:space="0"/>
              <w:right w:val="single" w:color="auto" w:sz="4" w:space="0"/>
            </w:tcBorders>
            <w:vAlign w:val="center"/>
          </w:tcPr>
          <w:p w14:paraId="222257F0">
            <w:pPr>
              <w:pStyle w:val="23"/>
              <w:spacing w:line="360" w:lineRule="auto"/>
              <w:rPr>
                <w:color w:val="000000" w:themeColor="text1"/>
                <w:kern w:val="2"/>
                <w:sz w:val="24"/>
                <w:szCs w:val="24"/>
                <w:highlight w:val="none"/>
                <w14:textFill>
                  <w14:solidFill>
                    <w14:schemeClr w14:val="tx1"/>
                  </w14:solidFill>
                </w14:textFill>
              </w:rPr>
            </w:pPr>
            <w:r>
              <w:rPr>
                <w:rFonts w:hint="eastAsia"/>
                <w:color w:val="000000" w:themeColor="text1"/>
                <w:kern w:val="2"/>
                <w:sz w:val="24"/>
                <w:szCs w:val="24"/>
                <w:highlight w:val="none"/>
                <w14:textFill>
                  <w14:solidFill>
                    <w14:schemeClr w14:val="tx1"/>
                  </w14:solidFill>
                </w14:textFill>
              </w:rPr>
              <w:t>成交通知书发出后</w:t>
            </w:r>
            <w:r>
              <w:rPr>
                <w:color w:val="000000" w:themeColor="text1"/>
                <w:kern w:val="2"/>
                <w:sz w:val="24"/>
                <w:szCs w:val="24"/>
                <w:highlight w:val="none"/>
                <w14:textFill>
                  <w14:solidFill>
                    <w14:schemeClr w14:val="tx1"/>
                  </w14:solidFill>
                </w14:textFill>
              </w:rPr>
              <w:t>20</w:t>
            </w:r>
            <w:r>
              <w:rPr>
                <w:rFonts w:hint="eastAsia"/>
                <w:color w:val="000000" w:themeColor="text1"/>
                <w:kern w:val="2"/>
                <w:sz w:val="24"/>
                <w:szCs w:val="24"/>
                <w:highlight w:val="none"/>
                <w14:textFill>
                  <w14:solidFill>
                    <w14:schemeClr w14:val="tx1"/>
                  </w14:solidFill>
                </w14:textFill>
              </w:rPr>
              <w:t>日内。</w:t>
            </w:r>
          </w:p>
        </w:tc>
      </w:tr>
      <w:tr w14:paraId="5BB9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14:paraId="4954CD7C">
            <w:pPr>
              <w:pStyle w:val="23"/>
              <w:numPr>
                <w:ilvl w:val="0"/>
                <w:numId w:val="5"/>
              </w:numPr>
              <w:spacing w:line="360" w:lineRule="auto"/>
              <w:jc w:val="center"/>
              <w:rPr>
                <w:color w:val="000000" w:themeColor="text1"/>
                <w:kern w:val="2"/>
                <w:sz w:val="24"/>
                <w:szCs w:val="24"/>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14:paraId="555BE7A9">
            <w:pPr>
              <w:autoSpaceDE w:val="0"/>
              <w:autoSpaceDN w:val="0"/>
              <w:spacing w:line="360" w:lineRule="auto"/>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履约保证金</w:t>
            </w:r>
          </w:p>
        </w:tc>
        <w:tc>
          <w:tcPr>
            <w:tcW w:w="6742" w:type="dxa"/>
            <w:tcBorders>
              <w:top w:val="single" w:color="auto" w:sz="4" w:space="0"/>
              <w:left w:val="single" w:color="auto" w:sz="4" w:space="0"/>
              <w:bottom w:val="single" w:color="auto" w:sz="4" w:space="0"/>
              <w:right w:val="single" w:color="auto" w:sz="4" w:space="0"/>
            </w:tcBorders>
            <w:vAlign w:val="center"/>
          </w:tcPr>
          <w:p w14:paraId="41D32186">
            <w:pPr>
              <w:pStyle w:val="23"/>
              <w:spacing w:line="360" w:lineRule="auto"/>
              <w:rPr>
                <w:color w:val="000000" w:themeColor="text1"/>
                <w:kern w:val="2"/>
                <w:sz w:val="24"/>
                <w:szCs w:val="24"/>
                <w:highlight w:val="none"/>
                <w14:textFill>
                  <w14:solidFill>
                    <w14:schemeClr w14:val="tx1"/>
                  </w14:solidFill>
                </w14:textFill>
              </w:rPr>
            </w:pPr>
            <w:r>
              <w:rPr>
                <w:rFonts w:hint="eastAsia"/>
                <w:color w:val="000000" w:themeColor="text1"/>
                <w:kern w:val="2"/>
                <w:sz w:val="24"/>
                <w:szCs w:val="24"/>
                <w:highlight w:val="none"/>
                <w14:textFill>
                  <w14:solidFill>
                    <w14:schemeClr w14:val="tx1"/>
                  </w14:solidFill>
                </w14:textFill>
              </w:rPr>
              <w:t>无</w:t>
            </w:r>
          </w:p>
        </w:tc>
      </w:tr>
      <w:tr w14:paraId="2140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14:paraId="08562A6E">
            <w:pPr>
              <w:pStyle w:val="23"/>
              <w:numPr>
                <w:ilvl w:val="0"/>
                <w:numId w:val="5"/>
              </w:numPr>
              <w:spacing w:line="360" w:lineRule="auto"/>
              <w:jc w:val="center"/>
              <w:rPr>
                <w:color w:val="000000" w:themeColor="text1"/>
                <w:kern w:val="2"/>
                <w:sz w:val="24"/>
                <w:szCs w:val="24"/>
                <w:highlight w:val="none"/>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14:paraId="6CA66DEA">
            <w:pPr>
              <w:autoSpaceDE w:val="0"/>
              <w:autoSpaceDN w:val="0"/>
              <w:spacing w:line="360" w:lineRule="auto"/>
              <w:jc w:val="center"/>
              <w:rPr>
                <w:rFonts w:ascii="宋体"/>
                <w:color w:val="000000" w:themeColor="text1"/>
                <w:sz w:val="24"/>
                <w:szCs w:val="24"/>
                <w:highlight w:val="none"/>
                <w14:textFill>
                  <w14:solidFill>
                    <w14:schemeClr w14:val="tx1"/>
                  </w14:solidFill>
                </w14:textFill>
              </w:rPr>
            </w:pPr>
            <w:r>
              <w:rPr>
                <w:rFonts w:hint="eastAsia" w:ascii="宋体"/>
                <w:b/>
                <w:color w:val="000000" w:themeColor="text1"/>
                <w:spacing w:val="2"/>
                <w:sz w:val="24"/>
                <w:szCs w:val="24"/>
                <w:highlight w:val="none"/>
                <w14:textFill>
                  <w14:solidFill>
                    <w14:schemeClr w14:val="tx1"/>
                  </w14:solidFill>
                </w14:textFill>
              </w:rPr>
              <w:t>▲</w:t>
            </w:r>
            <w:r>
              <w:rPr>
                <w:rFonts w:hint="eastAsia" w:ascii="宋体"/>
                <w:b/>
                <w:color w:val="000000" w:themeColor="text1"/>
                <w:kern w:val="0"/>
                <w:sz w:val="24"/>
                <w:szCs w:val="24"/>
                <w:highlight w:val="none"/>
                <w14:textFill>
                  <w14:solidFill>
                    <w14:schemeClr w14:val="tx1"/>
                  </w14:solidFill>
                </w14:textFill>
              </w:rPr>
              <w:t>需要补充的其他内容</w:t>
            </w:r>
          </w:p>
        </w:tc>
        <w:tc>
          <w:tcPr>
            <w:tcW w:w="6742" w:type="dxa"/>
            <w:tcBorders>
              <w:top w:val="single" w:color="auto" w:sz="4" w:space="0"/>
              <w:left w:val="single" w:color="auto" w:sz="4" w:space="0"/>
              <w:bottom w:val="single" w:color="auto" w:sz="4" w:space="0"/>
              <w:right w:val="single" w:color="auto" w:sz="4" w:space="0"/>
            </w:tcBorders>
            <w:vAlign w:val="center"/>
          </w:tcPr>
          <w:p w14:paraId="47D38D70">
            <w:pPr>
              <w:spacing w:line="360" w:lineRule="auto"/>
              <w:rPr>
                <w:rFonts w:ascii="宋体"/>
                <w:b/>
                <w:color w:val="000000" w:themeColor="text1"/>
                <w:sz w:val="24"/>
                <w:szCs w:val="24"/>
                <w:highlight w:val="none"/>
                <w14:textFill>
                  <w14:solidFill>
                    <w14:schemeClr w14:val="tx1"/>
                  </w14:solidFill>
                </w14:textFill>
              </w:rPr>
            </w:pPr>
            <w:r>
              <w:rPr>
                <w:rFonts w:hint="eastAsia" w:ascii="宋体"/>
                <w:b/>
                <w:color w:val="000000" w:themeColor="text1"/>
                <w:sz w:val="24"/>
                <w:szCs w:val="24"/>
                <w:highlight w:val="none"/>
                <w14:textFill>
                  <w14:solidFill>
                    <w14:schemeClr w14:val="tx1"/>
                  </w14:solidFill>
                </w14:textFill>
              </w:rPr>
              <w:t xml:space="preserve">    1.本文件中描述供应商的“公章”是指根据我国对公章的管理规定，用供应商法定主体行为名称制作的印章，除本文件有特殊规定外，供应商的财务章、部门章、分公司章、工会章、合同章、投标专用章、业务专用章及银行的转账章、现金收讫章、现金付讫章等其它形式印章均不能代替公章。</w:t>
            </w:r>
          </w:p>
          <w:p w14:paraId="19E5DD07">
            <w:pPr>
              <w:spacing w:line="360" w:lineRule="auto"/>
              <w:ind w:firstLine="481"/>
              <w:rPr>
                <w:rFonts w:ascii="宋体"/>
                <w:b/>
                <w:color w:val="000000" w:themeColor="text1"/>
                <w:sz w:val="24"/>
                <w:szCs w:val="24"/>
                <w:highlight w:val="none"/>
                <w14:textFill>
                  <w14:solidFill>
                    <w14:schemeClr w14:val="tx1"/>
                  </w14:solidFill>
                </w14:textFill>
              </w:rPr>
            </w:pPr>
            <w:r>
              <w:rPr>
                <w:rFonts w:hint="eastAsia" w:ascii="宋体"/>
                <w:b/>
                <w:color w:val="000000" w:themeColor="text1"/>
                <w:sz w:val="24"/>
                <w:szCs w:val="24"/>
                <w:highlight w:val="none"/>
                <w14:textFill>
                  <w14:solidFill>
                    <w14:schemeClr w14:val="tx1"/>
                  </w14:solidFill>
                </w14:textFill>
              </w:rPr>
              <w:t>2.电子响应文件中所须加盖公章部分均采用CA签章。</w:t>
            </w:r>
          </w:p>
          <w:p w14:paraId="225D1921">
            <w:pPr>
              <w:spacing w:line="360" w:lineRule="auto"/>
              <w:ind w:firstLine="481"/>
              <w:rPr>
                <w:rFonts w:ascii="宋体"/>
                <w:b/>
                <w:color w:val="000000" w:themeColor="text1"/>
                <w:sz w:val="24"/>
                <w:szCs w:val="24"/>
                <w:highlight w:val="none"/>
                <w14:textFill>
                  <w14:solidFill>
                    <w14:schemeClr w14:val="tx1"/>
                  </w14:solidFill>
                </w14:textFill>
              </w:rPr>
            </w:pPr>
            <w:r>
              <w:rPr>
                <w:rFonts w:hint="eastAsia" w:ascii="宋体"/>
                <w:b/>
                <w:color w:val="000000" w:themeColor="text1"/>
                <w:sz w:val="24"/>
                <w:szCs w:val="24"/>
                <w:highlight w:val="none"/>
                <w14:textFill>
                  <w14:solidFill>
                    <w14:schemeClr w14:val="tx1"/>
                  </w14:solidFill>
                </w14:textFill>
              </w:rPr>
              <w:t>3.本文件中描述供应商的“签字”是指供应商的法定代表人或被授权人亲自在磋商文件规定签署处亲笔写上个人的名字的行为，私章、签字章、印鉴、影印等其它形式均不能代替亲笔签字。</w:t>
            </w:r>
          </w:p>
          <w:p w14:paraId="6899DAAE">
            <w:pPr>
              <w:tabs>
                <w:tab w:val="left" w:pos="826"/>
              </w:tabs>
              <w:autoSpaceDE w:val="0"/>
              <w:autoSpaceDN w:val="0"/>
              <w:adjustRightInd w:val="0"/>
              <w:snapToGrid w:val="0"/>
              <w:spacing w:line="360" w:lineRule="auto"/>
              <w:ind w:firstLine="482" w:firstLineChars="200"/>
              <w:jc w:val="left"/>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4.电子投标文件由投标人在磋商文件规定的投标文件相关位置加盖投标人公章。投标文件未经投标人加盖公章的，作否决投标处理。</w:t>
            </w:r>
          </w:p>
          <w:p w14:paraId="7167414A">
            <w:pPr>
              <w:snapToGrid w:val="0"/>
              <w:spacing w:line="360" w:lineRule="auto"/>
              <w:ind w:firstLine="482" w:firstLineChars="200"/>
              <w:rPr>
                <w:rFonts w:asci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若采购文件前后规定有不同之处，都应按此处执行。</w:t>
            </w:r>
          </w:p>
        </w:tc>
      </w:tr>
    </w:tbl>
    <w:p w14:paraId="491E8F30">
      <w:pPr>
        <w:jc w:val="center"/>
        <w:rPr>
          <w:rFonts w:ascii="宋体"/>
          <w:b/>
          <w:color w:val="000000" w:themeColor="text1"/>
          <w:sz w:val="24"/>
          <w:szCs w:val="28"/>
          <w:highlight w:val="none"/>
          <w14:textFill>
            <w14:solidFill>
              <w14:schemeClr w14:val="tx1"/>
            </w14:solidFill>
          </w14:textFill>
        </w:rPr>
      </w:pPr>
      <w:r>
        <w:rPr>
          <w:rFonts w:hint="eastAsia" w:ascii="宋体"/>
          <w:color w:val="000000" w:themeColor="text1"/>
          <w:szCs w:val="28"/>
          <w:highlight w:val="none"/>
          <w14:textFill>
            <w14:solidFill>
              <w14:schemeClr w14:val="tx1"/>
            </w14:solidFill>
          </w14:textFill>
        </w:rPr>
        <w:br w:type="page"/>
      </w:r>
      <w:bookmarkStart w:id="69" w:name="_Toc213326416"/>
      <w:r>
        <w:rPr>
          <w:rFonts w:hint="eastAsia"/>
          <w:b/>
          <w:color w:val="000000" w:themeColor="text1"/>
          <w:sz w:val="36"/>
          <w:highlight w:val="none"/>
          <w14:textFill>
            <w14:solidFill>
              <w14:schemeClr w14:val="tx1"/>
            </w14:solidFill>
          </w14:textFill>
        </w:rPr>
        <w:t>供应商须知</w:t>
      </w:r>
    </w:p>
    <w:p w14:paraId="34680B64">
      <w:pPr>
        <w:spacing w:before="240" w:line="360" w:lineRule="auto"/>
        <w:jc w:val="center"/>
        <w:rPr>
          <w:b/>
          <w:color w:val="000000" w:themeColor="text1"/>
          <w:sz w:val="24"/>
          <w:szCs w:val="24"/>
          <w:highlight w:val="none"/>
          <w14:textFill>
            <w14:solidFill>
              <w14:schemeClr w14:val="tx1"/>
            </w14:solidFill>
          </w14:textFill>
        </w:rPr>
      </w:pPr>
      <w:r>
        <w:rPr>
          <w:rFonts w:hint="eastAsia"/>
          <w:b/>
          <w:color w:val="000000" w:themeColor="text1"/>
          <w:sz w:val="28"/>
          <w:szCs w:val="24"/>
          <w:highlight w:val="none"/>
          <w14:textFill>
            <w14:solidFill>
              <w14:schemeClr w14:val="tx1"/>
            </w14:solidFill>
          </w14:textFill>
        </w:rPr>
        <w:t>一</w:t>
      </w:r>
      <w:bookmarkEnd w:id="69"/>
      <w:r>
        <w:rPr>
          <w:rFonts w:hint="eastAsia"/>
          <w:b/>
          <w:color w:val="000000" w:themeColor="text1"/>
          <w:sz w:val="28"/>
          <w:szCs w:val="24"/>
          <w:highlight w:val="none"/>
          <w14:textFill>
            <w14:solidFill>
              <w14:schemeClr w14:val="tx1"/>
            </w14:solidFill>
          </w14:textFill>
        </w:rPr>
        <w:t>、说明</w:t>
      </w:r>
    </w:p>
    <w:p w14:paraId="1689C4D6">
      <w:pPr>
        <w:autoSpaceDE w:val="0"/>
        <w:autoSpaceDN w:val="0"/>
        <w:adjustRightInd w:val="0"/>
        <w:spacing w:line="360" w:lineRule="auto"/>
        <w:jc w:val="left"/>
        <w:rPr>
          <w:rFonts w:hint="eastAsia" w:ascii="宋体" w:hAnsi="宋体"/>
          <w:b/>
          <w:color w:val="000000" w:themeColor="text1"/>
          <w:kern w:val="0"/>
          <w:szCs w:val="21"/>
          <w:highlight w:val="none"/>
          <w14:textFill>
            <w14:solidFill>
              <w14:schemeClr w14:val="tx1"/>
            </w14:solidFill>
          </w14:textFill>
        </w:rPr>
      </w:pPr>
      <w:r>
        <w:rPr>
          <w:rFonts w:hint="eastAsia" w:ascii="宋体" w:hAnsi="宋体"/>
          <w:b/>
          <w:color w:val="000000" w:themeColor="text1"/>
          <w:kern w:val="0"/>
          <w:szCs w:val="21"/>
          <w:highlight w:val="none"/>
          <w14:textFill>
            <w14:solidFill>
              <w14:schemeClr w14:val="tx1"/>
            </w14:solidFill>
          </w14:textFill>
        </w:rPr>
        <w:t>1.适用范围</w:t>
      </w:r>
    </w:p>
    <w:p w14:paraId="3E51007D">
      <w:pPr>
        <w:autoSpaceDE w:val="0"/>
        <w:autoSpaceDN w:val="0"/>
        <w:adjustRightInd w:val="0"/>
        <w:spacing w:line="360" w:lineRule="auto"/>
        <w:ind w:firstLine="367" w:firstLineChars="175"/>
        <w:jc w:val="left"/>
        <w:rPr>
          <w:rFonts w:hint="eastAsia"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1.1本竞争性磋商采购文件根据《中华人民共和国政府采购法》《中华人民共和国政府采购法政府采购法实施条例》、《政府采购竞争性磋商采购方式管理暂行办法》（财库〔2014〕214号）及相关法律法规编制，仅适用于本文件中所叙述的工程、货物或服务类采购项目。</w:t>
      </w:r>
    </w:p>
    <w:p w14:paraId="448C7E79">
      <w:pPr>
        <w:autoSpaceDE w:val="0"/>
        <w:autoSpaceDN w:val="0"/>
        <w:adjustRightInd w:val="0"/>
        <w:spacing w:line="360" w:lineRule="auto"/>
        <w:jc w:val="left"/>
        <w:rPr>
          <w:rFonts w:hint="eastAsia" w:ascii="宋体" w:hAnsi="宋体" w:cs="Arial"/>
          <w:b/>
          <w:bCs/>
          <w:color w:val="000000" w:themeColor="text1"/>
          <w:kern w:val="0"/>
          <w:szCs w:val="21"/>
          <w:highlight w:val="none"/>
          <w14:textFill>
            <w14:solidFill>
              <w14:schemeClr w14:val="tx1"/>
            </w14:solidFill>
          </w14:textFill>
        </w:rPr>
      </w:pPr>
      <w:r>
        <w:rPr>
          <w:rFonts w:hint="eastAsia" w:ascii="宋体" w:hAnsi="宋体" w:cs="Arial"/>
          <w:b/>
          <w:bCs/>
          <w:color w:val="000000" w:themeColor="text1"/>
          <w:kern w:val="0"/>
          <w:szCs w:val="21"/>
          <w:highlight w:val="none"/>
          <w14:textFill>
            <w14:solidFill>
              <w14:schemeClr w14:val="tx1"/>
            </w14:solidFill>
          </w14:textFill>
        </w:rPr>
        <w:t>2.定义</w:t>
      </w:r>
    </w:p>
    <w:p w14:paraId="5CDCB13C">
      <w:pPr>
        <w:autoSpaceDE w:val="0"/>
        <w:autoSpaceDN w:val="0"/>
        <w:adjustRightInd w:val="0"/>
        <w:spacing w:line="360" w:lineRule="auto"/>
        <w:ind w:firstLine="367" w:firstLineChars="175"/>
        <w:jc w:val="left"/>
        <w:rPr>
          <w:rFonts w:hint="eastAsia"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2.1采购人：是指获得资金、贷款的国家机关、企事业单位或者其他社会组织。本项目采购人特指：桂平工业园区管理委员会。</w:t>
      </w:r>
    </w:p>
    <w:p w14:paraId="19883D5D">
      <w:pPr>
        <w:autoSpaceDE w:val="0"/>
        <w:autoSpaceDN w:val="0"/>
        <w:adjustRightInd w:val="0"/>
        <w:spacing w:line="360" w:lineRule="auto"/>
        <w:ind w:firstLine="367" w:firstLineChars="175"/>
        <w:jc w:val="left"/>
        <w:rPr>
          <w:rFonts w:hint="eastAsia"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2.2采购代理机构：采购代理机构是指依法取得采购代理资格、从事采购代理业务并提供相关服务的专门机构。本竞争性磋商文件的采购代理机构特指：广西国邦项目管理有限公司。</w:t>
      </w:r>
    </w:p>
    <w:p w14:paraId="1AA6E836">
      <w:pPr>
        <w:autoSpaceDE w:val="0"/>
        <w:autoSpaceDN w:val="0"/>
        <w:adjustRightInd w:val="0"/>
        <w:spacing w:line="360" w:lineRule="auto"/>
        <w:ind w:firstLine="367" w:firstLineChars="175"/>
        <w:jc w:val="left"/>
        <w:rPr>
          <w:rFonts w:hint="eastAsia"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2.3 供应商：指已经报名，且响应本竞争性磋商文件要求、能提供本次服务所必需的设施、人员和专业技术能力的单位或其他组织。</w:t>
      </w:r>
    </w:p>
    <w:p w14:paraId="102727C7">
      <w:pPr>
        <w:autoSpaceDE w:val="0"/>
        <w:autoSpaceDN w:val="0"/>
        <w:adjustRightInd w:val="0"/>
        <w:spacing w:line="360" w:lineRule="auto"/>
        <w:ind w:firstLine="367" w:firstLineChars="175"/>
        <w:jc w:val="left"/>
        <w:rPr>
          <w:rFonts w:hint="eastAsia"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2.4 竞争性磋商响应文件， 简称“响应文件”，是指：供应商根据本竞争性磋商文件要求，编制包含报价、技术和服务等所有内容的文件。</w:t>
      </w:r>
    </w:p>
    <w:p w14:paraId="492DADB2">
      <w:pPr>
        <w:autoSpaceDE w:val="0"/>
        <w:autoSpaceDN w:val="0"/>
        <w:adjustRightInd w:val="0"/>
        <w:spacing w:line="360" w:lineRule="auto"/>
        <w:ind w:firstLine="367" w:firstLineChars="175"/>
        <w:jc w:val="left"/>
        <w:rPr>
          <w:rFonts w:hint="eastAsia"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2.5 日期：如无特别说明，均指公历日。</w:t>
      </w:r>
    </w:p>
    <w:p w14:paraId="786D6C8A">
      <w:pPr>
        <w:autoSpaceDE w:val="0"/>
        <w:autoSpaceDN w:val="0"/>
        <w:adjustRightInd w:val="0"/>
        <w:spacing w:line="360" w:lineRule="auto"/>
        <w:ind w:firstLine="367" w:firstLineChars="175"/>
        <w:jc w:val="left"/>
        <w:rPr>
          <w:rFonts w:hint="eastAsia"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2.6 合同：指采购人与成交供应商双方按合同格式签署的书面协议，包括所有的附件、附录及双方认可的其它相关书面文件。</w:t>
      </w:r>
    </w:p>
    <w:p w14:paraId="18E9D309">
      <w:pPr>
        <w:autoSpaceDE w:val="0"/>
        <w:autoSpaceDN w:val="0"/>
        <w:adjustRightInd w:val="0"/>
        <w:spacing w:line="360" w:lineRule="auto"/>
        <w:ind w:firstLine="367" w:firstLineChars="175"/>
        <w:jc w:val="left"/>
        <w:rPr>
          <w:rFonts w:hint="eastAsia"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2.7 政府采购信息发布媒体：</w:t>
      </w:r>
    </w:p>
    <w:p w14:paraId="5D51BF22">
      <w:pPr>
        <w:autoSpaceDE w:val="0"/>
        <w:autoSpaceDN w:val="0"/>
        <w:adjustRightInd w:val="0"/>
        <w:spacing w:line="360" w:lineRule="auto"/>
        <w:ind w:firstLine="367" w:firstLineChars="175"/>
        <w:jc w:val="left"/>
        <w:rPr>
          <w:rFonts w:hint="eastAsia"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与本项目相关的政府采购业务信息（包括竞争性磋商采购公告、成交公告及其更正事项等）将在以下媒体上发布：</w:t>
      </w:r>
    </w:p>
    <w:p w14:paraId="241E6467">
      <w:pPr>
        <w:autoSpaceDE w:val="0"/>
        <w:autoSpaceDN w:val="0"/>
        <w:adjustRightInd w:val="0"/>
        <w:spacing w:line="360" w:lineRule="auto"/>
        <w:ind w:firstLine="367" w:firstLineChars="175"/>
        <w:jc w:val="left"/>
        <w:rPr>
          <w:rFonts w:hint="eastAsia"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①中国政府采购网http://www.ccgp.gov.cn；</w:t>
      </w:r>
    </w:p>
    <w:p w14:paraId="3CFE9038">
      <w:pPr>
        <w:autoSpaceDE w:val="0"/>
        <w:autoSpaceDN w:val="0"/>
        <w:adjustRightInd w:val="0"/>
        <w:spacing w:line="360" w:lineRule="auto"/>
        <w:ind w:firstLine="367" w:firstLineChars="175"/>
        <w:jc w:val="left"/>
        <w:rPr>
          <w:rFonts w:hint="eastAsia"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②广西壮族自治区政府采购网http://zfcg.gxzf.gov.cn/；</w:t>
      </w:r>
    </w:p>
    <w:p w14:paraId="0CEF9528">
      <w:pPr>
        <w:autoSpaceDE w:val="0"/>
        <w:autoSpaceDN w:val="0"/>
        <w:adjustRightInd w:val="0"/>
        <w:spacing w:line="360" w:lineRule="auto"/>
        <w:ind w:firstLine="367" w:firstLineChars="175"/>
        <w:jc w:val="left"/>
        <w:rPr>
          <w:rFonts w:hint="eastAsia"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③贵港市政府采购网http://zfcg.czj.gxgg.gov.cn/；</w:t>
      </w:r>
    </w:p>
    <w:p w14:paraId="5E39C6B8">
      <w:pPr>
        <w:autoSpaceDE w:val="0"/>
        <w:autoSpaceDN w:val="0"/>
        <w:adjustRightInd w:val="0"/>
        <w:spacing w:line="360" w:lineRule="auto"/>
        <w:ind w:firstLine="367" w:firstLineChars="175"/>
        <w:jc w:val="left"/>
        <w:rPr>
          <w:rFonts w:hint="eastAsia"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④全国公共资源交易平台(广西.贵港) http://ggzy.jgswj.gxzf.gov.cn/ggggzy/。</w:t>
      </w:r>
    </w:p>
    <w:p w14:paraId="69895A9B">
      <w:pPr>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2.8供应商基本资格要求</w:t>
      </w:r>
    </w:p>
    <w:p w14:paraId="5565DD60">
      <w:pPr>
        <w:spacing w:line="360" w:lineRule="auto"/>
        <w:ind w:firstLine="412" w:firstLineChars="200"/>
        <w:rPr>
          <w:rFonts w:hint="eastAsia" w:ascii="宋体" w:hAnsi="宋体" w:cs="Microsoft JhengHei Light"/>
          <w:bCs/>
          <w:color w:val="000000" w:themeColor="text1"/>
          <w:spacing w:val="-2"/>
          <w:szCs w:val="21"/>
          <w:highlight w:val="none"/>
          <w14:textFill>
            <w14:solidFill>
              <w14:schemeClr w14:val="tx1"/>
            </w14:solidFill>
          </w14:textFill>
        </w:rPr>
      </w:pPr>
      <w:r>
        <w:rPr>
          <w:rFonts w:ascii="宋体" w:hAnsi="宋体" w:cs="Microsoft JhengHei Light"/>
          <w:bCs/>
          <w:color w:val="000000" w:themeColor="text1"/>
          <w:spacing w:val="-2"/>
          <w:szCs w:val="21"/>
          <w:highlight w:val="none"/>
          <w14:textFill>
            <w14:solidFill>
              <w14:schemeClr w14:val="tx1"/>
            </w14:solidFill>
          </w14:textFill>
        </w:rPr>
        <w:t>2.8.1</w:t>
      </w:r>
      <w:r>
        <w:rPr>
          <w:rFonts w:hint="eastAsia" w:ascii="宋体" w:hAnsi="宋体" w:cs="Microsoft JhengHei Light"/>
          <w:bCs/>
          <w:color w:val="000000" w:themeColor="text1"/>
          <w:spacing w:val="-2"/>
          <w:szCs w:val="21"/>
          <w:highlight w:val="none"/>
          <w14:textFill>
            <w14:solidFill>
              <w14:schemeClr w14:val="tx1"/>
            </w14:solidFill>
          </w14:textFill>
        </w:rPr>
        <w:t>满足《中华人民共和国政府采购法》第二十二条规定；</w:t>
      </w:r>
    </w:p>
    <w:p w14:paraId="3FEA8963">
      <w:pPr>
        <w:spacing w:line="360" w:lineRule="auto"/>
        <w:ind w:firstLine="412" w:firstLineChars="200"/>
        <w:rPr>
          <w:rFonts w:hint="eastAsia" w:ascii="宋体" w:hAnsi="宋体"/>
          <w:color w:val="000000" w:themeColor="text1"/>
          <w:szCs w:val="21"/>
          <w:highlight w:val="none"/>
          <w14:textFill>
            <w14:solidFill>
              <w14:schemeClr w14:val="tx1"/>
            </w14:solidFill>
          </w14:textFill>
        </w:rPr>
      </w:pPr>
      <w:r>
        <w:rPr>
          <w:rFonts w:ascii="宋体" w:hAnsi="宋体" w:cs="Microsoft JhengHei Light"/>
          <w:bCs/>
          <w:color w:val="000000" w:themeColor="text1"/>
          <w:spacing w:val="-2"/>
          <w:szCs w:val="21"/>
          <w:highlight w:val="none"/>
          <w14:textFill>
            <w14:solidFill>
              <w14:schemeClr w14:val="tx1"/>
            </w14:solidFill>
          </w14:textFill>
        </w:rPr>
        <w:t>2.8.2</w:t>
      </w: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3A568D1">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2.8.3</w:t>
      </w:r>
      <w:r>
        <w:rPr>
          <w:rFonts w:hint="eastAsia" w:ascii="宋体" w:hAnsi="宋体"/>
          <w:color w:val="000000" w:themeColor="text1"/>
          <w:szCs w:val="21"/>
          <w:highlight w:val="none"/>
          <w14:textFill>
            <w14:solidFill>
              <w14:schemeClr w14:val="tx1"/>
            </w14:solidFill>
          </w14:textFill>
        </w:rPr>
        <w:t>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14:paraId="1BB2E934">
      <w:pPr>
        <w:autoSpaceDE w:val="0"/>
        <w:autoSpaceDN w:val="0"/>
        <w:adjustRightInd w:val="0"/>
        <w:spacing w:line="360" w:lineRule="auto"/>
        <w:jc w:val="left"/>
        <w:rPr>
          <w:rFonts w:ascii="宋体" w:hAnsi="宋体"/>
          <w:bCs/>
          <w:color w:val="000000" w:themeColor="text1"/>
          <w:kern w:val="0"/>
          <w:szCs w:val="21"/>
          <w:highlight w:val="none"/>
          <w14:textFill>
            <w14:solidFill>
              <w14:schemeClr w14:val="tx1"/>
            </w14:solidFill>
          </w14:textFill>
        </w:rPr>
      </w:pPr>
      <w:r>
        <w:rPr>
          <w:rFonts w:hint="eastAsia" w:ascii="宋体" w:hAnsi="宋体" w:cs="Arial"/>
          <w:b/>
          <w:bCs/>
          <w:color w:val="000000" w:themeColor="text1"/>
          <w:kern w:val="0"/>
          <w:szCs w:val="21"/>
          <w:highlight w:val="none"/>
          <w14:textFill>
            <w14:solidFill>
              <w14:schemeClr w14:val="tx1"/>
            </w14:solidFill>
          </w14:textFill>
        </w:rPr>
        <w:t>3.竞争性磋商费用</w:t>
      </w:r>
    </w:p>
    <w:p w14:paraId="39A92A1C">
      <w:pPr>
        <w:autoSpaceDE w:val="0"/>
        <w:autoSpaceDN w:val="0"/>
        <w:adjustRightInd w:val="0"/>
        <w:spacing w:line="360" w:lineRule="auto"/>
        <w:ind w:firstLine="411" w:firstLineChars="196"/>
        <w:jc w:val="left"/>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3.1 供应商自行承担本项目竞争性磋商采购期间所有相关费用。</w:t>
      </w:r>
    </w:p>
    <w:p w14:paraId="29C1532F">
      <w:pPr>
        <w:autoSpaceDE w:val="0"/>
        <w:autoSpaceDN w:val="0"/>
        <w:adjustRightInd w:val="0"/>
        <w:spacing w:line="360" w:lineRule="auto"/>
        <w:ind w:firstLine="411" w:firstLineChars="196"/>
        <w:jc w:val="left"/>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3.2 本项目代理费用：由</w:t>
      </w:r>
      <w:r>
        <w:rPr>
          <w:rFonts w:hint="eastAsia" w:ascii="宋体" w:hAnsi="宋体" w:cs="宋体"/>
          <w:color w:val="000000" w:themeColor="text1"/>
          <w:kern w:val="0"/>
          <w:szCs w:val="21"/>
          <w:highlight w:val="none"/>
          <w14:textFill>
            <w14:solidFill>
              <w14:schemeClr w14:val="tx1"/>
            </w14:solidFill>
          </w14:textFill>
        </w:rPr>
        <w:t>成交供应商</w:t>
      </w:r>
      <w:r>
        <w:rPr>
          <w:rFonts w:hint="eastAsia" w:ascii="宋体" w:hAnsi="宋体"/>
          <w:bCs/>
          <w:color w:val="000000" w:themeColor="text1"/>
          <w:kern w:val="0"/>
          <w:szCs w:val="21"/>
          <w:highlight w:val="none"/>
          <w14:textFill>
            <w14:solidFill>
              <w14:schemeClr w14:val="tx1"/>
            </w14:solidFill>
          </w14:textFill>
        </w:rPr>
        <w:t>支付。</w:t>
      </w:r>
      <w:bookmarkStart w:id="70" w:name="_Toc213326417"/>
    </w:p>
    <w:p w14:paraId="78A0F1D6">
      <w:pPr>
        <w:autoSpaceDE w:val="0"/>
        <w:autoSpaceDN w:val="0"/>
        <w:adjustRightInd w:val="0"/>
        <w:spacing w:before="240" w:line="360" w:lineRule="auto"/>
        <w:ind w:firstLine="413" w:firstLineChars="196"/>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二、竞争性磋商</w:t>
      </w:r>
      <w:bookmarkEnd w:id="70"/>
      <w:r>
        <w:rPr>
          <w:rFonts w:hint="eastAsia" w:ascii="宋体" w:hAnsi="宋体"/>
          <w:b/>
          <w:color w:val="000000" w:themeColor="text1"/>
          <w:szCs w:val="21"/>
          <w:highlight w:val="none"/>
          <w14:textFill>
            <w14:solidFill>
              <w14:schemeClr w14:val="tx1"/>
            </w14:solidFill>
          </w14:textFill>
        </w:rPr>
        <w:t>文件</w:t>
      </w:r>
    </w:p>
    <w:p w14:paraId="516A8EAF">
      <w:pPr>
        <w:pStyle w:val="23"/>
        <w:tabs>
          <w:tab w:val="left" w:pos="420"/>
        </w:tabs>
        <w:spacing w:line="360" w:lineRule="auto"/>
        <w:jc w:val="left"/>
        <w:rPr>
          <w:rFonts w:hAnsi="宋体"/>
          <w:b/>
          <w:bCs/>
          <w:color w:val="000000" w:themeColor="text1"/>
          <w:sz w:val="21"/>
          <w:highlight w:val="none"/>
          <w14:textFill>
            <w14:solidFill>
              <w14:schemeClr w14:val="tx1"/>
            </w14:solidFill>
          </w14:textFill>
        </w:rPr>
      </w:pPr>
      <w:r>
        <w:rPr>
          <w:rFonts w:hAnsi="宋体"/>
          <w:b/>
          <w:bCs/>
          <w:color w:val="000000" w:themeColor="text1"/>
          <w:sz w:val="21"/>
          <w:highlight w:val="none"/>
          <w14:textFill>
            <w14:solidFill>
              <w14:schemeClr w14:val="tx1"/>
            </w14:solidFill>
          </w14:textFill>
        </w:rPr>
        <w:t>4</w:t>
      </w:r>
      <w:r>
        <w:rPr>
          <w:rFonts w:hint="eastAsia" w:hAnsi="宋体"/>
          <w:b/>
          <w:bCs/>
          <w:color w:val="000000" w:themeColor="text1"/>
          <w:sz w:val="21"/>
          <w:highlight w:val="none"/>
          <w14:textFill>
            <w14:solidFill>
              <w14:schemeClr w14:val="tx1"/>
            </w14:solidFill>
          </w14:textFill>
        </w:rPr>
        <w:t>.竞争性磋商文件的组成</w:t>
      </w:r>
    </w:p>
    <w:p w14:paraId="7FF0B7CC">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4</w:t>
      </w:r>
      <w:r>
        <w:rPr>
          <w:rFonts w:hint="eastAsia" w:hAnsi="宋体"/>
          <w:color w:val="000000" w:themeColor="text1"/>
          <w:sz w:val="21"/>
          <w:highlight w:val="none"/>
          <w14:textFill>
            <w14:solidFill>
              <w14:schemeClr w14:val="tx1"/>
            </w14:solidFill>
          </w14:textFill>
        </w:rPr>
        <w:t>.1本竞争性磋商文件用以阐明竞争性磋商采购需求、竞争性磋商采购程序和合同条款等内容。本</w:t>
      </w:r>
      <w:r>
        <w:rPr>
          <w:rFonts w:hint="eastAsia" w:hAnsi="宋体"/>
          <w:bCs/>
          <w:color w:val="000000" w:themeColor="text1"/>
          <w:sz w:val="21"/>
          <w:highlight w:val="none"/>
          <w14:textFill>
            <w14:solidFill>
              <w14:schemeClr w14:val="tx1"/>
            </w14:solidFill>
          </w14:textFill>
        </w:rPr>
        <w:t>竞争性磋商文件</w:t>
      </w:r>
      <w:r>
        <w:rPr>
          <w:rFonts w:hint="eastAsia" w:hAnsi="宋体"/>
          <w:color w:val="000000" w:themeColor="text1"/>
          <w:sz w:val="21"/>
          <w:highlight w:val="none"/>
          <w14:textFill>
            <w14:solidFill>
              <w14:schemeClr w14:val="tx1"/>
            </w14:solidFill>
          </w14:textFill>
        </w:rPr>
        <w:t>包括六个章节，各章的内容如下：</w:t>
      </w:r>
    </w:p>
    <w:p w14:paraId="50C80059">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第一章  竞争性磋商公告</w:t>
      </w:r>
    </w:p>
    <w:p w14:paraId="23C23E42">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 xml:space="preserve">第二章  </w:t>
      </w:r>
      <w:r>
        <w:rPr>
          <w:rFonts w:hint="eastAsia" w:hAnsi="宋体"/>
          <w:bCs/>
          <w:color w:val="000000" w:themeColor="text1"/>
          <w:sz w:val="21"/>
          <w:highlight w:val="none"/>
          <w14:textFill>
            <w14:solidFill>
              <w14:schemeClr w14:val="tx1"/>
            </w14:solidFill>
          </w14:textFill>
        </w:rPr>
        <w:t>供应商须知及前附表</w:t>
      </w:r>
    </w:p>
    <w:p w14:paraId="6DDB4157">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第三章  项目需求</w:t>
      </w:r>
    </w:p>
    <w:p w14:paraId="0F669EDE">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第四章  评审方法</w:t>
      </w:r>
    </w:p>
    <w:p w14:paraId="6EE972A7">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第五章  响应文件格式</w:t>
      </w:r>
    </w:p>
    <w:p w14:paraId="0CE05FDD">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第六章  采购合同条款格式</w:t>
      </w:r>
    </w:p>
    <w:p w14:paraId="16CA6A0B">
      <w:pPr>
        <w:pStyle w:val="23"/>
        <w:spacing w:line="360" w:lineRule="auto"/>
        <w:ind w:firstLine="422" w:firstLineChars="200"/>
        <w:rPr>
          <w:rFonts w:hAnsi="宋体"/>
          <w:color w:val="000000" w:themeColor="text1"/>
          <w:sz w:val="21"/>
          <w:highlight w:val="none"/>
          <w14:textFill>
            <w14:solidFill>
              <w14:schemeClr w14:val="tx1"/>
            </w14:solidFill>
          </w14:textFill>
        </w:rPr>
      </w:pPr>
      <w:r>
        <w:rPr>
          <w:rFonts w:hAnsi="宋体" w:cs="Arial"/>
          <w:b/>
          <w:bCs/>
          <w:color w:val="000000" w:themeColor="text1"/>
          <w:sz w:val="21"/>
          <w:highlight w:val="none"/>
          <w14:textFill>
            <w14:solidFill>
              <w14:schemeClr w14:val="tx1"/>
            </w14:solidFill>
          </w14:textFill>
        </w:rPr>
        <w:t>5.</w:t>
      </w:r>
      <w:r>
        <w:rPr>
          <w:rFonts w:hint="eastAsia" w:hAnsi="宋体" w:cs="Arial"/>
          <w:b/>
          <w:bCs/>
          <w:color w:val="000000" w:themeColor="text1"/>
          <w:sz w:val="21"/>
          <w:highlight w:val="none"/>
          <w14:textFill>
            <w14:solidFill>
              <w14:schemeClr w14:val="tx1"/>
            </w14:solidFill>
          </w14:textFill>
        </w:rPr>
        <w:t>供应商应仔细阅读竞争性磋商文件的所有内容，按竞争性磋商文件的要求提供响应文件，并保证所提供的全部资料的真实性，以使其响应文件对竞争性磋商文件做出实质性响应，否则，其竞争性磋商将被拒绝。</w:t>
      </w:r>
    </w:p>
    <w:p w14:paraId="6E52E9C8">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6</w:t>
      </w: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根据本章第7.1项的规定对竞争性磋商文件所做的澄清、修改，构成竞争性磋商文件的组成部分。当竞争性磋商文件与竞争性磋商文件的澄清和修改就同一内容的表述不一致时，以最后发出的书面文件为准。</w:t>
      </w:r>
    </w:p>
    <w:p w14:paraId="7DDF89ED">
      <w:pPr>
        <w:pStyle w:val="23"/>
        <w:tabs>
          <w:tab w:val="left" w:pos="420"/>
        </w:tabs>
        <w:spacing w:line="360" w:lineRule="auto"/>
        <w:jc w:val="left"/>
        <w:rPr>
          <w:rFonts w:hAnsi="宋体"/>
          <w:b/>
          <w:bCs/>
          <w:color w:val="000000" w:themeColor="text1"/>
          <w:sz w:val="21"/>
          <w:highlight w:val="none"/>
          <w14:textFill>
            <w14:solidFill>
              <w14:schemeClr w14:val="tx1"/>
            </w14:solidFill>
          </w14:textFill>
        </w:rPr>
      </w:pPr>
      <w:r>
        <w:rPr>
          <w:rFonts w:hint="eastAsia" w:hAnsi="宋体"/>
          <w:b/>
          <w:bCs/>
          <w:color w:val="000000" w:themeColor="text1"/>
          <w:sz w:val="21"/>
          <w:highlight w:val="none"/>
          <w14:textFill>
            <w14:solidFill>
              <w14:schemeClr w14:val="tx1"/>
            </w14:solidFill>
          </w14:textFill>
        </w:rPr>
        <w:t>7.竞争性磋商文件的澄清和修改</w:t>
      </w:r>
    </w:p>
    <w:p w14:paraId="03BB3513">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7</w:t>
      </w:r>
      <w:r>
        <w:rPr>
          <w:rFonts w:hint="eastAsia" w:hAnsi="宋体"/>
          <w:color w:val="000000" w:themeColor="text1"/>
          <w:sz w:val="21"/>
          <w:highlight w:val="none"/>
          <w14:textFill>
            <w14:solidFill>
              <w14:schemeClr w14:val="tx1"/>
            </w14:solidFill>
          </w14:textFill>
        </w:rPr>
        <w:t>.1 供应商获取竞争性磋商文件后，应仔细阅读竞争性磋商文件的全部内容，若发现竞争性磋商文件缺页或附件不全以及有违反国家法律、法规、规章的条款，应及时向采购人、采购代理机构提出。若对竞争性磋商文件有疑问需要澄清，应当在本竞争性磋商文件规定的提交响应文件截止时间5天（日历天）前以书面形式递交给采购人、采购代理机构。采购人、采购代理机构将在竞争性磋商文件规定的提交响应文件截止时间3天（日历天）前，将需澄清内容以公告形式在政府采购信息发布媒体上发布，但不指明澄清问题的来源。澄清文件自发布之日起，视为供应商已收到该澄清。供应商未及时关注采购代理机构在政府采购信息发布媒体上发布的澄清文件而造成的损失，由供应商自行负责。</w:t>
      </w:r>
    </w:p>
    <w:p w14:paraId="3FEFC3A3">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7</w:t>
      </w:r>
      <w:r>
        <w:rPr>
          <w:rFonts w:hint="eastAsia" w:hAnsi="宋体"/>
          <w:color w:val="000000" w:themeColor="text1"/>
          <w:sz w:val="21"/>
          <w:highlight w:val="none"/>
          <w14:textFill>
            <w14:solidFill>
              <w14:schemeClr w14:val="tx1"/>
            </w14:solidFill>
          </w14:textFill>
        </w:rPr>
        <w:t>.2 澄清或者修改的内容可能影响响应文件编制的，采购人、采购代理机构应当在提交首次响应文件截止时间至少5天（日历天）前，以公告形式在政府采购信息发布媒体上发布；不足5天（日历天）的，采购人、采购代理机构应当顺延提交首次响应文件截止时间。</w:t>
      </w:r>
    </w:p>
    <w:p w14:paraId="6C3124B8">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7.</w:t>
      </w:r>
      <w:r>
        <w:rPr>
          <w:rFonts w:hAnsi="宋体"/>
          <w:color w:val="000000" w:themeColor="text1"/>
          <w:sz w:val="21"/>
          <w:highlight w:val="none"/>
          <w14:textFill>
            <w14:solidFill>
              <w14:schemeClr w14:val="tx1"/>
            </w14:solidFill>
          </w14:textFill>
        </w:rPr>
        <w:t>3</w:t>
      </w:r>
      <w:r>
        <w:rPr>
          <w:rFonts w:hint="eastAsia" w:hAnsi="宋体"/>
          <w:color w:val="000000" w:themeColor="text1"/>
          <w:sz w:val="21"/>
          <w:highlight w:val="none"/>
          <w14:textFill>
            <w14:solidFill>
              <w14:schemeClr w14:val="tx1"/>
            </w14:solidFill>
          </w14:textFill>
        </w:rPr>
        <w:t xml:space="preserve"> 在竞争性磋商响应文件提交截止时间前，采购人可对文件中认为表述不清的内容或对供应商所提问题进行澄清，届时可对竞争性磋商文件用补充文件或更正文件的方式进行修改。</w:t>
      </w:r>
    </w:p>
    <w:p w14:paraId="345AA540">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7.</w:t>
      </w:r>
      <w:r>
        <w:rPr>
          <w:rFonts w:hAnsi="宋体"/>
          <w:color w:val="000000" w:themeColor="text1"/>
          <w:sz w:val="21"/>
          <w:highlight w:val="none"/>
          <w14:textFill>
            <w14:solidFill>
              <w14:schemeClr w14:val="tx1"/>
            </w14:solidFill>
          </w14:textFill>
        </w:rPr>
        <w:t>4</w:t>
      </w:r>
      <w:r>
        <w:rPr>
          <w:rFonts w:hint="eastAsia" w:hAnsi="宋体"/>
          <w:color w:val="000000" w:themeColor="text1"/>
          <w:sz w:val="21"/>
          <w:highlight w:val="none"/>
          <w14:textFill>
            <w14:solidFill>
              <w14:schemeClr w14:val="tx1"/>
            </w14:solidFill>
          </w14:textFill>
        </w:rPr>
        <w:t xml:space="preserve"> 对竞争性磋商文件的澄清或者修改，将在政府采购信息发布媒体上发布更正公告。竞争性磋商文件的补充、修改和澄清都将作为竞争性磋商文件的组成部分，对所有供应商均有约束力。</w:t>
      </w:r>
    </w:p>
    <w:p w14:paraId="65B283CA">
      <w:pPr>
        <w:spacing w:before="240"/>
        <w:jc w:val="center"/>
        <w:rPr>
          <w:rFonts w:ascii="宋体" w:hAnsi="宋体"/>
          <w:b/>
          <w:color w:val="000000" w:themeColor="text1"/>
          <w:szCs w:val="21"/>
          <w:highlight w:val="none"/>
          <w14:textFill>
            <w14:solidFill>
              <w14:schemeClr w14:val="tx1"/>
            </w14:solidFill>
          </w14:textFill>
        </w:rPr>
      </w:pPr>
      <w:bookmarkStart w:id="71" w:name="_Toc213326418"/>
      <w:r>
        <w:rPr>
          <w:rFonts w:hint="eastAsia" w:ascii="宋体" w:hAnsi="宋体"/>
          <w:b/>
          <w:color w:val="000000" w:themeColor="text1"/>
          <w:szCs w:val="21"/>
          <w:highlight w:val="none"/>
          <w14:textFill>
            <w14:solidFill>
              <w14:schemeClr w14:val="tx1"/>
            </w14:solidFill>
          </w14:textFill>
        </w:rPr>
        <w:t>三</w:t>
      </w:r>
      <w:bookmarkEnd w:id="71"/>
      <w:r>
        <w:rPr>
          <w:rFonts w:hint="eastAsia" w:ascii="宋体" w:hAnsi="宋体"/>
          <w:b/>
          <w:color w:val="000000" w:themeColor="text1"/>
          <w:szCs w:val="21"/>
          <w:highlight w:val="none"/>
          <w14:textFill>
            <w14:solidFill>
              <w14:schemeClr w14:val="tx1"/>
            </w14:solidFill>
          </w14:textFill>
        </w:rPr>
        <w:t xml:space="preserve">   响应文件编制说明</w:t>
      </w:r>
    </w:p>
    <w:p w14:paraId="0C76C3DD">
      <w:pPr>
        <w:pStyle w:val="23"/>
        <w:tabs>
          <w:tab w:val="left" w:pos="420"/>
        </w:tabs>
        <w:spacing w:line="360" w:lineRule="auto"/>
        <w:jc w:val="left"/>
        <w:rPr>
          <w:rFonts w:hAnsi="宋体"/>
          <w:b/>
          <w:bCs/>
          <w:color w:val="000000" w:themeColor="text1"/>
          <w:sz w:val="21"/>
          <w:highlight w:val="none"/>
          <w14:textFill>
            <w14:solidFill>
              <w14:schemeClr w14:val="tx1"/>
            </w14:solidFill>
          </w14:textFill>
        </w:rPr>
      </w:pPr>
      <w:r>
        <w:rPr>
          <w:rFonts w:hint="eastAsia" w:hAnsi="宋体"/>
          <w:b/>
          <w:bCs/>
          <w:color w:val="000000" w:themeColor="text1"/>
          <w:sz w:val="21"/>
          <w:highlight w:val="none"/>
          <w14:textFill>
            <w14:solidFill>
              <w14:schemeClr w14:val="tx1"/>
            </w14:solidFill>
          </w14:textFill>
        </w:rPr>
        <w:t>8.响应文件的编制</w:t>
      </w:r>
    </w:p>
    <w:p w14:paraId="4344A2D7">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8.1供应商</w:t>
      </w:r>
      <w:r>
        <w:rPr>
          <w:rFonts w:hint="eastAsia" w:hAnsi="宋体" w:cs="Arial"/>
          <w:bCs/>
          <w:color w:val="000000" w:themeColor="text1"/>
          <w:sz w:val="21"/>
          <w:highlight w:val="none"/>
          <w14:textFill>
            <w14:solidFill>
              <w14:schemeClr w14:val="tx1"/>
            </w14:solidFill>
          </w14:textFill>
        </w:rPr>
        <w:t>应仔细阅读本竞争性磋商文件的</w:t>
      </w:r>
      <w:r>
        <w:rPr>
          <w:rFonts w:hint="eastAsia" w:hAnsi="宋体"/>
          <w:color w:val="000000" w:themeColor="text1"/>
          <w:sz w:val="21"/>
          <w:highlight w:val="none"/>
          <w14:textFill>
            <w14:solidFill>
              <w14:schemeClr w14:val="tx1"/>
            </w14:solidFill>
          </w14:textFill>
        </w:rPr>
        <w:t>全部</w:t>
      </w:r>
      <w:r>
        <w:rPr>
          <w:rFonts w:hint="eastAsia" w:hAnsi="宋体" w:cs="Arial"/>
          <w:bCs/>
          <w:color w:val="000000" w:themeColor="text1"/>
          <w:sz w:val="21"/>
          <w:highlight w:val="none"/>
          <w14:textFill>
            <w14:solidFill>
              <w14:schemeClr w14:val="tx1"/>
            </w14:solidFill>
          </w14:textFill>
        </w:rPr>
        <w:t>内容，</w:t>
      </w:r>
      <w:r>
        <w:rPr>
          <w:rFonts w:hint="eastAsia" w:hAnsi="宋体"/>
          <w:color w:val="000000" w:themeColor="text1"/>
          <w:sz w:val="21"/>
          <w:highlight w:val="none"/>
          <w14:textFill>
            <w14:solidFill>
              <w14:schemeClr w14:val="tx1"/>
            </w14:solidFill>
          </w14:textFill>
        </w:rPr>
        <w:t>并充分理解本文件的全部内容（包括所有的补充、修改内容、</w:t>
      </w:r>
      <w:r>
        <w:rPr>
          <w:rFonts w:hint="eastAsia" w:hAnsi="宋体" w:cs="Arial"/>
          <w:bCs/>
          <w:color w:val="000000" w:themeColor="text1"/>
          <w:sz w:val="21"/>
          <w:highlight w:val="none"/>
          <w14:textFill>
            <w14:solidFill>
              <w14:schemeClr w14:val="tx1"/>
            </w14:solidFill>
          </w14:textFill>
        </w:rPr>
        <w:t>技术要求和商务条款以及实质性要求和条件</w:t>
      </w:r>
      <w:r>
        <w:rPr>
          <w:rFonts w:hint="eastAsia" w:hAnsi="宋体"/>
          <w:color w:val="000000" w:themeColor="text1"/>
          <w:sz w:val="21"/>
          <w:highlight w:val="none"/>
          <w14:textFill>
            <w14:solidFill>
              <w14:schemeClr w14:val="tx1"/>
            </w14:solidFill>
          </w14:textFill>
        </w:rPr>
        <w:t>），承诺并履行</w:t>
      </w:r>
      <w:r>
        <w:rPr>
          <w:rFonts w:hint="eastAsia" w:hAnsi="宋体" w:cs="Arial"/>
          <w:bCs/>
          <w:color w:val="000000" w:themeColor="text1"/>
          <w:sz w:val="21"/>
          <w:highlight w:val="none"/>
          <w14:textFill>
            <w14:solidFill>
              <w14:schemeClr w14:val="tx1"/>
            </w14:solidFill>
          </w14:textFill>
        </w:rPr>
        <w:t>本竞争性磋商文件</w:t>
      </w:r>
      <w:r>
        <w:rPr>
          <w:rFonts w:hint="eastAsia" w:hAnsi="宋体"/>
          <w:color w:val="000000" w:themeColor="text1"/>
          <w:sz w:val="21"/>
          <w:highlight w:val="none"/>
          <w14:textFill>
            <w14:solidFill>
              <w14:schemeClr w14:val="tx1"/>
            </w14:solidFill>
          </w14:textFill>
        </w:rPr>
        <w:t>中各项条款规定及要求。</w:t>
      </w:r>
      <w:r>
        <w:rPr>
          <w:rFonts w:hint="eastAsia" w:hAnsi="宋体" w:cs="Arial"/>
          <w:bCs/>
          <w:color w:val="000000" w:themeColor="text1"/>
          <w:sz w:val="21"/>
          <w:highlight w:val="none"/>
          <w14:textFill>
            <w14:solidFill>
              <w14:schemeClr w14:val="tx1"/>
            </w14:solidFill>
          </w14:textFill>
        </w:rPr>
        <w:t>并按本竞争性磋商文件的要求编制响应文件和提交。</w:t>
      </w:r>
    </w:p>
    <w:p w14:paraId="3B27FCBB">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8.2对竞争性磋商采购文件的实质性要求和条件做出响应是指供应商必须对竞争性磋商采购文件成交注为实质性要求和条件的技术要求、商务条款及其它内容做出满足或者优于原要求和条件的承诺。本竞争性磋商采购文件注★号的内容为实质性要求和条件，不允许偏离。</w:t>
      </w:r>
    </w:p>
    <w:p w14:paraId="0817579F">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8.3响应文件必须按本竞争性磋商采购文件的全部内容，包括所有的补充通知及附件进行编制，但表格可以按同样格式扩展。供应商如因只填写和提供了本文件要求的部分内容和附件，而给评审造成困难，其可能导致的结果和责任由供应商自行承担。</w:t>
      </w:r>
    </w:p>
    <w:p w14:paraId="02891F65">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8.4响应文件中所须加盖公章位置均采用CA签章。若竞争性磋商采购文件中有专门标注的某关联点，并要求供应商在电子投标系统中做出响应的，如供应商未对关联点进行响应或者在响应文件其它内容进行描述，造成电子评审不能查询的责任由供应商自行承担。</w:t>
      </w:r>
    </w:p>
    <w:p w14:paraId="618614BF">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8.5响应文件应保证其清楚、工整，相关证明材料的复印件应清晰可辨认且均需加盖单位公章，响应文件字迹潦草、表达不清、模糊无法辨认而导致非唯一理解是供应商可能存在的风险，很可能导致其响应文件无效。</w:t>
      </w:r>
    </w:p>
    <w:p w14:paraId="6FD6BFEC">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8.6竞争性磋商采购文件要求“必须提供”的证明等材料，供应商必须全部提供，缺一不可，否则其响应文件无效。</w:t>
      </w:r>
    </w:p>
    <w:p w14:paraId="1C8DBE18">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8.7竞争性磋商采购文件要求法定代表人或委托代理人签字及加盖公章的部分必须签字并加盖公章后然后扫描或者拍照做成pdf格式上传，无签字或盖章的视为无效响应。</w:t>
      </w:r>
    </w:p>
    <w:p w14:paraId="04C24DDA">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8.8第五章“响应文件格式”中规定了响应文件格式的，应按相应格式要求编写。</w:t>
      </w:r>
    </w:p>
    <w:p w14:paraId="2D316157">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8.9响应文件应由供应商的法定代表人或其委托代理人在凡规定签章处逐一签字或盖章并加盖单位公章。响应文件应尽量避免涂改、行间插字或删除。如果出现上述情况，改动之处应加盖单位公章或由供应商的法定代表人或其委托代理人签字或盖章确认。</w:t>
      </w:r>
    </w:p>
    <w:p w14:paraId="5A700279">
      <w:pPr>
        <w:pStyle w:val="23"/>
        <w:spacing w:line="360" w:lineRule="auto"/>
        <w:ind w:firstLine="420" w:firstLineChars="200"/>
        <w:jc w:val="lef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8.10响应文件应编制目录，且页码清晰准确。</w:t>
      </w:r>
    </w:p>
    <w:p w14:paraId="161BBAD2">
      <w:pPr>
        <w:pStyle w:val="23"/>
        <w:spacing w:line="360" w:lineRule="auto"/>
        <w:ind w:firstLine="420" w:firstLineChars="200"/>
        <w:jc w:val="lef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8.11本项目实行电子投标，供应商应准备电子响应文件。电子响应文件按广西政府采购云平台要求及本竞争性磋商文件要求制作、加密并递交。具体操作流程可参考《政府采购项目电子交易管理操作指南-供应商》，指南可在“http://www.ccgp-guangxi.gov.cn/PurchaseAdvisory/ImportantNotice/2866753.html”下载。</w:t>
      </w:r>
    </w:p>
    <w:p w14:paraId="40DABC1E">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8.12响应文件启用顺序和效力：响应文件的启用，按先后顺位分别为电子响应文件、电子备份响应文件。若供应商在规定时间内无法解密或解密失败，可以以电子备份响应文件作为依据，若电子备份响应文件与广西政府采购云平台上传的电子响应文件被识别为不一致的，以电子备份响应文件作为评审依据；供应商按时在线解密响应文件的，以在线解密的响应文件作为评审依据。若磋商供应商在规定时间内无法解密或解密失败且未提供电子备份响应文件的，视为响应文件撤回。</w:t>
      </w:r>
    </w:p>
    <w:p w14:paraId="226F9CB9">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8.</w:t>
      </w:r>
      <w:r>
        <w:rPr>
          <w:rFonts w:hAnsi="宋体"/>
          <w:color w:val="000000" w:themeColor="text1"/>
          <w:sz w:val="21"/>
          <w:highlight w:val="none"/>
          <w14:textFill>
            <w14:solidFill>
              <w14:schemeClr w14:val="tx1"/>
            </w14:solidFill>
          </w14:textFill>
        </w:rPr>
        <w:t>1</w:t>
      </w:r>
      <w:r>
        <w:rPr>
          <w:rFonts w:hint="eastAsia" w:hAnsi="宋体"/>
          <w:color w:val="000000" w:themeColor="text1"/>
          <w:sz w:val="21"/>
          <w:highlight w:val="none"/>
          <w14:textFill>
            <w14:solidFill>
              <w14:schemeClr w14:val="tx1"/>
            </w14:solidFill>
          </w14:textFill>
        </w:rPr>
        <w:t>3电报、电话、传真、邮寄形式的响应文件概不接受。</w:t>
      </w:r>
    </w:p>
    <w:p w14:paraId="2EDC262C">
      <w:pPr>
        <w:pStyle w:val="23"/>
        <w:spacing w:line="360" w:lineRule="auto"/>
        <w:rPr>
          <w:rFonts w:hAnsi="宋体"/>
          <w:b/>
          <w:bCs/>
          <w:color w:val="000000" w:themeColor="text1"/>
          <w:sz w:val="21"/>
          <w:highlight w:val="none"/>
          <w14:textFill>
            <w14:solidFill>
              <w14:schemeClr w14:val="tx1"/>
            </w14:solidFill>
          </w14:textFill>
        </w:rPr>
      </w:pPr>
      <w:r>
        <w:rPr>
          <w:rFonts w:hint="eastAsia" w:hAnsi="宋体"/>
          <w:b/>
          <w:bCs/>
          <w:color w:val="000000" w:themeColor="text1"/>
          <w:sz w:val="21"/>
          <w:highlight w:val="none"/>
          <w14:textFill>
            <w14:solidFill>
              <w14:schemeClr w14:val="tx1"/>
            </w14:solidFill>
          </w14:textFill>
        </w:rPr>
        <w:t>9.响应语言文字及计量单位</w:t>
      </w:r>
    </w:p>
    <w:p w14:paraId="4EB12BF8">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9.1供应商的响应文件以及供应商与采购人、采购代理机构就有关磋商的所有往来函电统一使用中文（特别规定除外）。供应商随响应文件或往来函电所提交的相关证明材料等可以使用其他语言，</w:t>
      </w:r>
      <w:r>
        <w:rPr>
          <w:rFonts w:hint="eastAsia" w:hAnsi="宋体" w:cs="Arial"/>
          <w:color w:val="000000" w:themeColor="text1"/>
          <w:sz w:val="21"/>
          <w:highlight w:val="none"/>
          <w14:textFill>
            <w14:solidFill>
              <w14:schemeClr w14:val="tx1"/>
            </w14:solidFill>
          </w14:textFill>
        </w:rPr>
        <w:t>但其相应内容</w:t>
      </w:r>
      <w:r>
        <w:rPr>
          <w:rFonts w:hint="eastAsia" w:hAnsi="宋体"/>
          <w:color w:val="000000" w:themeColor="text1"/>
          <w:sz w:val="21"/>
          <w:highlight w:val="none"/>
          <w14:textFill>
            <w14:solidFill>
              <w14:schemeClr w14:val="tx1"/>
            </w14:solidFill>
          </w14:textFill>
        </w:rPr>
        <w:t>必须同时提供由专业翻译机构出具的或经公证的中文译文，否则视同未提供该项证明材料。</w:t>
      </w:r>
    </w:p>
    <w:p w14:paraId="7DF09598">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9.2对不同文字文本响应文件的解释发生异议的，以中文文本为准。</w:t>
      </w:r>
    </w:p>
    <w:p w14:paraId="11A7D385">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9.3响应文件使用的计量单位除竞争性磋商文件中有特殊规定外，一律使用中华人民共和国法定计量单位。</w:t>
      </w:r>
    </w:p>
    <w:p w14:paraId="6E6A4CFC">
      <w:pPr>
        <w:pStyle w:val="23"/>
        <w:tabs>
          <w:tab w:val="left" w:pos="420"/>
        </w:tabs>
        <w:spacing w:line="360" w:lineRule="auto"/>
        <w:jc w:val="left"/>
        <w:rPr>
          <w:rFonts w:hAnsi="宋体"/>
          <w:b/>
          <w:bCs/>
          <w:color w:val="000000" w:themeColor="text1"/>
          <w:sz w:val="21"/>
          <w:highlight w:val="none"/>
          <w14:textFill>
            <w14:solidFill>
              <w14:schemeClr w14:val="tx1"/>
            </w14:solidFill>
          </w14:textFill>
        </w:rPr>
      </w:pPr>
      <w:r>
        <w:rPr>
          <w:rFonts w:hint="eastAsia" w:hAnsi="宋体"/>
          <w:b/>
          <w:bCs/>
          <w:color w:val="000000" w:themeColor="text1"/>
          <w:sz w:val="21"/>
          <w:highlight w:val="none"/>
          <w14:textFill>
            <w14:solidFill>
              <w14:schemeClr w14:val="tx1"/>
            </w14:solidFill>
          </w14:textFill>
        </w:rPr>
        <w:t>10.响应文件的组成</w:t>
      </w:r>
    </w:p>
    <w:p w14:paraId="7F185E2C">
      <w:pPr>
        <w:autoSpaceDE w:val="0"/>
        <w:autoSpaceDN w:val="0"/>
        <w:spacing w:line="360" w:lineRule="auto"/>
        <w:ind w:firstLine="422" w:firstLineChars="200"/>
        <w:jc w:val="lef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10.1 竞争性磋商响应文件组成</w:t>
      </w:r>
    </w:p>
    <w:p w14:paraId="64E1BD49">
      <w:pPr>
        <w:pStyle w:val="23"/>
        <w:spacing w:line="360" w:lineRule="auto"/>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竞争性</w:t>
      </w:r>
      <w:r>
        <w:rPr>
          <w:rFonts w:hint="eastAsia" w:hAnsi="宋体" w:cs="宋体"/>
          <w:bCs/>
          <w:color w:val="000000" w:themeColor="text1"/>
          <w:sz w:val="21"/>
          <w:highlight w:val="none"/>
          <w14:textFill>
            <w14:solidFill>
              <w14:schemeClr w14:val="tx1"/>
            </w14:solidFill>
          </w14:textFill>
        </w:rPr>
        <w:t>磋商</w:t>
      </w:r>
      <w:r>
        <w:rPr>
          <w:rFonts w:hint="eastAsia" w:hAnsi="宋体" w:cs="宋体"/>
          <w:color w:val="000000" w:themeColor="text1"/>
          <w:sz w:val="21"/>
          <w:highlight w:val="none"/>
          <w14:textFill>
            <w14:solidFill>
              <w14:schemeClr w14:val="tx1"/>
            </w14:solidFill>
          </w14:textFill>
        </w:rPr>
        <w:t>响应文件的组成：分为</w:t>
      </w:r>
      <w:r>
        <w:rPr>
          <w:rFonts w:hint="eastAsia" w:hAnsi="宋体"/>
          <w:color w:val="000000" w:themeColor="text1"/>
          <w:sz w:val="21"/>
          <w:highlight w:val="none"/>
          <w14:textFill>
            <w14:solidFill>
              <w14:schemeClr w14:val="tx1"/>
            </w14:solidFill>
          </w14:textFill>
        </w:rPr>
        <w:t>报价响应文件、资格文件、商务文件、技术文件四个部分组成。供应商应仔细阅读竞争性磋商采购文件的所有内容，按竞争性磋商采购文件的要求，详细编制竞争性磋</w:t>
      </w:r>
      <w:r>
        <w:rPr>
          <w:rFonts w:hint="eastAsia" w:hAnsi="宋体" w:cs="宋体"/>
          <w:bCs/>
          <w:color w:val="000000" w:themeColor="text1"/>
          <w:sz w:val="21"/>
          <w:highlight w:val="none"/>
          <w14:textFill>
            <w14:solidFill>
              <w14:schemeClr w14:val="tx1"/>
            </w14:solidFill>
          </w14:textFill>
        </w:rPr>
        <w:t>商</w:t>
      </w:r>
      <w:r>
        <w:rPr>
          <w:rFonts w:hint="eastAsia" w:hAnsi="宋体" w:cs="宋体"/>
          <w:color w:val="000000" w:themeColor="text1"/>
          <w:sz w:val="21"/>
          <w:highlight w:val="none"/>
          <w14:textFill>
            <w14:solidFill>
              <w14:schemeClr w14:val="tx1"/>
            </w14:solidFill>
          </w14:textFill>
        </w:rPr>
        <w:t>响应文件。</w:t>
      </w:r>
    </w:p>
    <w:p w14:paraId="43278ABC">
      <w:pPr>
        <w:pStyle w:val="23"/>
        <w:spacing w:line="360" w:lineRule="auto"/>
        <w:ind w:firstLine="422" w:firstLineChars="200"/>
        <w:rPr>
          <w:rFonts w:hAnsi="宋体" w:cs="宋体"/>
          <w:b/>
          <w:bCs/>
          <w:color w:val="000000" w:themeColor="text1"/>
          <w:sz w:val="21"/>
          <w:highlight w:val="none"/>
          <w14:textFill>
            <w14:solidFill>
              <w14:schemeClr w14:val="tx1"/>
            </w14:solidFill>
          </w14:textFill>
        </w:rPr>
      </w:pPr>
      <w:r>
        <w:rPr>
          <w:rFonts w:hint="eastAsia" w:hAnsi="宋体" w:cs="宋体"/>
          <w:b/>
          <w:bCs/>
          <w:color w:val="000000" w:themeColor="text1"/>
          <w:sz w:val="21"/>
          <w:highlight w:val="none"/>
          <w14:textFill>
            <w14:solidFill>
              <w14:schemeClr w14:val="tx1"/>
            </w14:solidFill>
          </w14:textFill>
        </w:rPr>
        <w:t>10.1.2报价响应文件，包括：</w:t>
      </w:r>
    </w:p>
    <w:p w14:paraId="5F0239BE">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（1）磋商函（必须提供，加盖供应商单位公章）；</w:t>
      </w:r>
    </w:p>
    <w:p w14:paraId="736E19FE">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（2）磋商报价表（必须提供，加盖供应商单位公章）；</w:t>
      </w:r>
    </w:p>
    <w:p w14:paraId="61E81BA9">
      <w:pPr>
        <w:pStyle w:val="23"/>
        <w:spacing w:line="360" w:lineRule="auto"/>
        <w:ind w:firstLine="420" w:firstLineChars="200"/>
        <w:rPr>
          <w:rFonts w:hAnsi="宋体" w:cs="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（3）中小企业声明函（如有请提供）；</w:t>
      </w:r>
    </w:p>
    <w:p w14:paraId="2079FBF0">
      <w:pPr>
        <w:pStyle w:val="23"/>
        <w:spacing w:line="360" w:lineRule="auto"/>
        <w:ind w:firstLine="422" w:firstLineChars="200"/>
        <w:rPr>
          <w:rFonts w:hAnsi="宋体" w:cs="宋体"/>
          <w:b/>
          <w:bCs/>
          <w:color w:val="000000" w:themeColor="text1"/>
          <w:sz w:val="21"/>
          <w:highlight w:val="none"/>
          <w14:textFill>
            <w14:solidFill>
              <w14:schemeClr w14:val="tx1"/>
            </w14:solidFill>
          </w14:textFill>
        </w:rPr>
      </w:pPr>
      <w:r>
        <w:rPr>
          <w:rFonts w:hint="eastAsia" w:hAnsi="宋体" w:cs="宋体"/>
          <w:b/>
          <w:bCs/>
          <w:color w:val="000000" w:themeColor="text1"/>
          <w:sz w:val="21"/>
          <w:highlight w:val="none"/>
          <w14:textFill>
            <w14:solidFill>
              <w14:schemeClr w14:val="tx1"/>
            </w14:solidFill>
          </w14:textFill>
        </w:rPr>
        <w:t xml:space="preserve">10.1.3资格文件，包括： </w:t>
      </w:r>
    </w:p>
    <w:p w14:paraId="02C2DBFD">
      <w:pPr>
        <w:spacing w:line="360" w:lineRule="auto"/>
        <w:ind w:firstLine="489" w:firstLineChars="2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（1）营业执照正本或副本扫描件（必须提供，加盖供应商单位公章）；</w:t>
      </w:r>
    </w:p>
    <w:p w14:paraId="087E3C6D">
      <w:pPr>
        <w:spacing w:line="360" w:lineRule="auto"/>
        <w:ind w:firstLine="489" w:firstLineChars="2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（2）桂平市政府采购项目投标资格承诺函（必须提供，加盖供应商单位公章）；</w:t>
      </w:r>
    </w:p>
    <w:p w14:paraId="6DE0C7F6">
      <w:pPr>
        <w:spacing w:line="360" w:lineRule="auto"/>
        <w:ind w:firstLine="371" w:firstLineChars="17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（3）特定资格要求的证明文件（必须提供，加盖供应商单位公章）。</w:t>
      </w:r>
    </w:p>
    <w:p w14:paraId="63641933">
      <w:pPr>
        <w:autoSpaceDE w:val="0"/>
        <w:autoSpaceDN w:val="0"/>
        <w:adjustRightInd w:val="0"/>
        <w:spacing w:line="400" w:lineRule="exact"/>
        <w:ind w:firstLine="480"/>
        <w:rPr>
          <w:rFonts w:ascii="宋体" w:hAnsi="宋体"/>
          <w:color w:val="000000" w:themeColor="text1"/>
          <w:kern w:val="0"/>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10.1.</w:t>
      </w:r>
      <w:r>
        <w:rPr>
          <w:rFonts w:ascii="宋体" w:hAnsi="宋体"/>
          <w:b/>
          <w:color w:val="000000" w:themeColor="text1"/>
          <w:szCs w:val="21"/>
          <w:highlight w:val="none"/>
          <w14:textFill>
            <w14:solidFill>
              <w14:schemeClr w14:val="tx1"/>
            </w14:solidFill>
          </w14:textFill>
        </w:rPr>
        <w:t>4</w:t>
      </w:r>
      <w:r>
        <w:rPr>
          <w:rFonts w:hint="eastAsia" w:ascii="宋体" w:hAnsi="宋体"/>
          <w:b/>
          <w:color w:val="000000" w:themeColor="text1"/>
          <w:szCs w:val="21"/>
          <w:highlight w:val="none"/>
          <w14:textFill>
            <w14:solidFill>
              <w14:schemeClr w14:val="tx1"/>
            </w14:solidFill>
          </w14:textFill>
        </w:rPr>
        <w:t>商务文件，包括：</w:t>
      </w:r>
    </w:p>
    <w:p w14:paraId="1227995D">
      <w:pPr>
        <w:spacing w:line="360" w:lineRule="auto"/>
        <w:ind w:firstLine="489" w:firstLineChars="2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（1）法定代表人正反面身份证复印件，要求证件有效并与营业执照中的法定代表人相符（必须提供，加盖供应商单位公章）；</w:t>
      </w:r>
    </w:p>
    <w:p w14:paraId="1433447A">
      <w:pPr>
        <w:spacing w:line="360" w:lineRule="auto"/>
        <w:ind w:firstLine="489" w:firstLineChars="2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（2）法定代表人授权委托书和委托代理人身份证正反面复印件（委托代理时必须提供，加盖供应商单位公章）；</w:t>
      </w:r>
    </w:p>
    <w:p w14:paraId="0DD6BEEF">
      <w:pPr>
        <w:spacing w:line="360" w:lineRule="auto"/>
        <w:ind w:firstLine="489" w:firstLineChars="2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（3）服务条款偏离表（必须提供，加盖供应商单位公章）；</w:t>
      </w:r>
    </w:p>
    <w:p w14:paraId="02679CA9">
      <w:pPr>
        <w:spacing w:line="360" w:lineRule="auto"/>
        <w:ind w:firstLine="489" w:firstLineChars="2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）供应商认为有必要提供的其它文件及资料。</w:t>
      </w:r>
    </w:p>
    <w:p w14:paraId="5BF1BDF5">
      <w:pPr>
        <w:pStyle w:val="23"/>
        <w:spacing w:line="360" w:lineRule="auto"/>
        <w:ind w:firstLine="422" w:firstLineChars="200"/>
        <w:rPr>
          <w:rFonts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10.1.</w:t>
      </w:r>
      <w:r>
        <w:rPr>
          <w:rFonts w:hAnsi="宋体"/>
          <w:b/>
          <w:color w:val="000000" w:themeColor="text1"/>
          <w:sz w:val="21"/>
          <w:highlight w:val="none"/>
          <w14:textFill>
            <w14:solidFill>
              <w14:schemeClr w14:val="tx1"/>
            </w14:solidFill>
          </w14:textFill>
        </w:rPr>
        <w:t>5</w:t>
      </w:r>
      <w:r>
        <w:rPr>
          <w:rFonts w:hint="eastAsia" w:hAnsi="宋体"/>
          <w:b/>
          <w:color w:val="000000" w:themeColor="text1"/>
          <w:sz w:val="21"/>
          <w:highlight w:val="none"/>
          <w14:textFill>
            <w14:solidFill>
              <w14:schemeClr w14:val="tx1"/>
            </w14:solidFill>
          </w14:textFill>
        </w:rPr>
        <w:t>技术文件，包括：</w:t>
      </w:r>
    </w:p>
    <w:p w14:paraId="6411538B">
      <w:pPr>
        <w:pStyle w:val="23"/>
        <w:spacing w:line="360" w:lineRule="auto"/>
        <w:ind w:left="472"/>
        <w:rPr>
          <w:rFonts w:hint="eastAsia" w:hAnsi="宋体" w:cs="宋体"/>
          <w:color w:val="000000" w:themeColor="text1"/>
          <w:spacing w:val="-2"/>
          <w:sz w:val="21"/>
          <w:highlight w:val="none"/>
          <w14:textFill>
            <w14:solidFill>
              <w14:schemeClr w14:val="tx1"/>
            </w14:solidFill>
          </w14:textFill>
        </w:rPr>
      </w:pPr>
      <w:r>
        <w:rPr>
          <w:rFonts w:hint="eastAsia" w:hAnsi="宋体" w:cs="宋体"/>
          <w:color w:val="000000" w:themeColor="text1"/>
          <w:spacing w:val="-2"/>
          <w:sz w:val="21"/>
          <w:highlight w:val="none"/>
          <w14:textFill>
            <w14:solidFill>
              <w14:schemeClr w14:val="tx1"/>
            </w14:solidFill>
          </w14:textFill>
        </w:rPr>
        <w:t>（1）服务方案（格式自拟）；</w:t>
      </w:r>
    </w:p>
    <w:p w14:paraId="07BEEFC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（2）项目实施人员配备；</w:t>
      </w:r>
    </w:p>
    <w:p w14:paraId="4301C843">
      <w:pPr>
        <w:pStyle w:val="23"/>
        <w:spacing w:line="360" w:lineRule="auto"/>
        <w:ind w:firstLine="412" w:firstLineChars="200"/>
        <w:rPr>
          <w:rFonts w:hint="eastAsia" w:hAnsi="宋体" w:cs="宋体"/>
          <w:color w:val="000000" w:themeColor="text1"/>
          <w:spacing w:val="-2"/>
          <w:sz w:val="21"/>
          <w:highlight w:val="none"/>
          <w14:textFill>
            <w14:solidFill>
              <w14:schemeClr w14:val="tx1"/>
            </w14:solidFill>
          </w14:textFill>
        </w:rPr>
      </w:pPr>
      <w:r>
        <w:rPr>
          <w:rFonts w:hint="eastAsia" w:hAnsi="宋体" w:cs="宋体"/>
          <w:color w:val="000000" w:themeColor="text1"/>
          <w:spacing w:val="-2"/>
          <w:sz w:val="21"/>
          <w:highlight w:val="none"/>
          <w14:textFill>
            <w14:solidFill>
              <w14:schemeClr w14:val="tx1"/>
            </w14:solidFill>
          </w14:textFill>
        </w:rPr>
        <w:t>（3）供应商认为有必要提供的其他文件及资料；</w:t>
      </w:r>
    </w:p>
    <w:p w14:paraId="366C8ECD">
      <w:pPr>
        <w:autoSpaceDE w:val="0"/>
        <w:autoSpaceDN w:val="0"/>
        <w:adjustRightInd w:val="0"/>
        <w:spacing w:line="360" w:lineRule="auto"/>
        <w:ind w:firstLine="215" w:firstLineChars="100"/>
        <w:jc w:val="left"/>
        <w:rPr>
          <w:rFonts w:ascii="宋体" w:hAnsi="宋体"/>
          <w:b/>
          <w:color w:val="000000" w:themeColor="text1"/>
          <w:spacing w:val="2"/>
          <w:kern w:val="0"/>
          <w:szCs w:val="21"/>
          <w:highlight w:val="none"/>
          <w14:textFill>
            <w14:solidFill>
              <w14:schemeClr w14:val="tx1"/>
            </w14:solidFill>
          </w14:textFill>
        </w:rPr>
      </w:pPr>
      <w:r>
        <w:rPr>
          <w:rFonts w:hint="eastAsia" w:ascii="宋体" w:hAnsi="宋体"/>
          <w:b/>
          <w:color w:val="000000" w:themeColor="text1"/>
          <w:spacing w:val="2"/>
          <w:kern w:val="0"/>
          <w:szCs w:val="21"/>
          <w:highlight w:val="none"/>
          <w14:textFill>
            <w14:solidFill>
              <w14:schemeClr w14:val="tx1"/>
            </w14:solidFill>
          </w14:textFill>
        </w:rPr>
        <w:t>※特别说明：</w:t>
      </w:r>
    </w:p>
    <w:p w14:paraId="7DAF2DDA">
      <w:pPr>
        <w:autoSpaceDE w:val="0"/>
        <w:autoSpaceDN w:val="0"/>
        <w:adjustRightInd w:val="0"/>
        <w:spacing w:line="360" w:lineRule="auto"/>
        <w:ind w:firstLine="214" w:firstLineChars="100"/>
        <w:jc w:val="left"/>
        <w:rPr>
          <w:rFonts w:ascii="宋体" w:hAnsi="宋体"/>
          <w:color w:val="000000" w:themeColor="text1"/>
          <w:spacing w:val="2"/>
          <w:kern w:val="0"/>
          <w:szCs w:val="21"/>
          <w:highlight w:val="none"/>
          <w14:textFill>
            <w14:solidFill>
              <w14:schemeClr w14:val="tx1"/>
            </w14:solidFill>
          </w14:textFill>
        </w:rPr>
      </w:pPr>
      <w:r>
        <w:rPr>
          <w:rFonts w:hint="eastAsia" w:ascii="宋体" w:hAnsi="宋体"/>
          <w:color w:val="000000" w:themeColor="text1"/>
          <w:spacing w:val="2"/>
          <w:kern w:val="0"/>
          <w:szCs w:val="21"/>
          <w:highlight w:val="none"/>
          <w14:textFill>
            <w14:solidFill>
              <w14:schemeClr w14:val="tx1"/>
            </w14:solidFill>
          </w14:textFill>
        </w:rPr>
        <w:t>（1）电子响应文件中所须加盖公章部分均采用CA签章。</w:t>
      </w:r>
    </w:p>
    <w:p w14:paraId="447F0D2A">
      <w:pPr>
        <w:autoSpaceDE w:val="0"/>
        <w:autoSpaceDN w:val="0"/>
        <w:adjustRightInd w:val="0"/>
        <w:spacing w:line="360" w:lineRule="auto"/>
        <w:ind w:firstLine="214" w:firstLineChars="100"/>
        <w:jc w:val="left"/>
        <w:rPr>
          <w:rFonts w:ascii="宋体" w:hAnsi="宋体"/>
          <w:color w:val="000000" w:themeColor="text1"/>
          <w:spacing w:val="2"/>
          <w:kern w:val="0"/>
          <w:szCs w:val="21"/>
          <w:highlight w:val="none"/>
          <w14:textFill>
            <w14:solidFill>
              <w14:schemeClr w14:val="tx1"/>
            </w14:solidFill>
          </w14:textFill>
        </w:rPr>
      </w:pPr>
      <w:r>
        <w:rPr>
          <w:rFonts w:hint="eastAsia" w:ascii="宋体" w:hAnsi="宋体"/>
          <w:color w:val="000000" w:themeColor="text1"/>
          <w:spacing w:val="2"/>
          <w:kern w:val="0"/>
          <w:szCs w:val="21"/>
          <w:highlight w:val="none"/>
          <w14:textFill>
            <w14:solidFill>
              <w14:schemeClr w14:val="tx1"/>
            </w14:solidFill>
          </w14:textFill>
        </w:rPr>
        <w:t>（2）竞争性磋商文件要求“必须提供”的证明等材料，</w:t>
      </w:r>
      <w:r>
        <w:rPr>
          <w:rFonts w:hint="eastAsia" w:ascii="宋体" w:hAnsi="宋体"/>
          <w:color w:val="000000" w:themeColor="text1"/>
          <w:kern w:val="0"/>
          <w:szCs w:val="21"/>
          <w:highlight w:val="none"/>
          <w14:textFill>
            <w14:solidFill>
              <w14:schemeClr w14:val="tx1"/>
            </w14:solidFill>
          </w14:textFill>
        </w:rPr>
        <w:t>相关证明材料的复印件应清晰可辨认且均需</w:t>
      </w:r>
      <w:r>
        <w:rPr>
          <w:rFonts w:hint="eastAsia" w:ascii="宋体" w:hAnsi="宋体"/>
          <w:color w:val="000000" w:themeColor="text1"/>
          <w:spacing w:val="2"/>
          <w:kern w:val="0"/>
          <w:szCs w:val="21"/>
          <w:highlight w:val="none"/>
          <w14:textFill>
            <w14:solidFill>
              <w14:schemeClr w14:val="tx1"/>
            </w14:solidFill>
          </w14:textFill>
        </w:rPr>
        <w:t>加盖供应商CA签章，否则其响应文件无效。</w:t>
      </w:r>
    </w:p>
    <w:p w14:paraId="5928DF98">
      <w:pPr>
        <w:pStyle w:val="23"/>
        <w:tabs>
          <w:tab w:val="left" w:pos="420"/>
        </w:tabs>
        <w:spacing w:line="360" w:lineRule="auto"/>
        <w:jc w:val="left"/>
        <w:rPr>
          <w:rFonts w:hAnsi="宋体"/>
          <w:b/>
          <w:bCs/>
          <w:color w:val="000000" w:themeColor="text1"/>
          <w:sz w:val="21"/>
          <w:highlight w:val="none"/>
          <w14:textFill>
            <w14:solidFill>
              <w14:schemeClr w14:val="tx1"/>
            </w14:solidFill>
          </w14:textFill>
        </w:rPr>
      </w:pPr>
      <w:r>
        <w:rPr>
          <w:rFonts w:hint="eastAsia" w:hAnsi="宋体"/>
          <w:b/>
          <w:bCs/>
          <w:color w:val="000000" w:themeColor="text1"/>
          <w:sz w:val="21"/>
          <w:highlight w:val="none"/>
          <w14:textFill>
            <w14:solidFill>
              <w14:schemeClr w14:val="tx1"/>
            </w14:solidFill>
          </w14:textFill>
        </w:rPr>
        <w:t>11.响应报价</w:t>
      </w:r>
    </w:p>
    <w:p w14:paraId="1016B42C">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11.1供应商应以人民币报价。</w:t>
      </w:r>
    </w:p>
    <w:p w14:paraId="520AA951">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11.2供应商可</w:t>
      </w:r>
      <w:r>
        <w:rPr>
          <w:rFonts w:hint="eastAsia" w:hAnsi="宋体"/>
          <w:color w:val="000000" w:themeColor="text1"/>
          <w:spacing w:val="2"/>
          <w:sz w:val="21"/>
          <w:highlight w:val="none"/>
          <w14:textFill>
            <w14:solidFill>
              <w14:schemeClr w14:val="tx1"/>
            </w14:solidFill>
          </w14:textFill>
        </w:rPr>
        <w:t>就第三章“项目需求”中服务内容出</w:t>
      </w:r>
      <w:r>
        <w:rPr>
          <w:rFonts w:hint="eastAsia" w:hAnsi="宋体"/>
          <w:color w:val="000000" w:themeColor="text1"/>
          <w:sz w:val="21"/>
          <w:highlight w:val="none"/>
          <w14:textFill>
            <w14:solidFill>
              <w14:schemeClr w14:val="tx1"/>
            </w14:solidFill>
          </w14:textFill>
        </w:rPr>
        <w:t>完整且唯一报价，</w:t>
      </w:r>
      <w:r>
        <w:rPr>
          <w:rFonts w:hAnsi="宋体"/>
          <w:color w:val="000000" w:themeColor="text1"/>
          <w:sz w:val="21"/>
          <w:highlight w:val="none"/>
          <w14:textFill>
            <w14:solidFill>
              <w14:schemeClr w14:val="tx1"/>
            </w14:solidFill>
          </w14:textFill>
        </w:rPr>
        <w:t>总报价超出政府采购预算的均做无效</w:t>
      </w:r>
      <w:r>
        <w:rPr>
          <w:rFonts w:hint="eastAsia" w:hAnsi="宋体"/>
          <w:color w:val="000000" w:themeColor="text1"/>
          <w:sz w:val="21"/>
          <w:highlight w:val="none"/>
          <w14:textFill>
            <w14:solidFill>
              <w14:schemeClr w14:val="tx1"/>
            </w14:solidFill>
          </w14:textFill>
        </w:rPr>
        <w:t>响应</w:t>
      </w:r>
      <w:r>
        <w:rPr>
          <w:rFonts w:hAnsi="宋体"/>
          <w:color w:val="000000" w:themeColor="text1"/>
          <w:sz w:val="21"/>
          <w:highlight w:val="none"/>
          <w14:textFill>
            <w14:solidFill>
              <w14:schemeClr w14:val="tx1"/>
            </w14:solidFill>
          </w14:textFill>
        </w:rPr>
        <w:t>处理</w:t>
      </w:r>
      <w:r>
        <w:rPr>
          <w:rFonts w:hint="eastAsia" w:hAnsi="宋体"/>
          <w:color w:val="000000" w:themeColor="text1"/>
          <w:sz w:val="21"/>
          <w:highlight w:val="none"/>
          <w14:textFill>
            <w14:solidFill>
              <w14:schemeClr w14:val="tx1"/>
            </w14:solidFill>
          </w14:textFill>
        </w:rPr>
        <w:t>。</w:t>
      </w:r>
    </w:p>
    <w:p w14:paraId="7E0E5E24">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11.3 报价的确定原则：</w:t>
      </w:r>
    </w:p>
    <w:p w14:paraId="083E837E">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w:t>
      </w:r>
      <w:r>
        <w:rPr>
          <w:rFonts w:hAnsi="宋体"/>
          <w:color w:val="000000" w:themeColor="text1"/>
          <w:sz w:val="21"/>
          <w:highlight w:val="none"/>
          <w14:textFill>
            <w14:solidFill>
              <w14:schemeClr w14:val="tx1"/>
            </w14:solidFill>
          </w14:textFill>
        </w:rPr>
        <w:t>1</w:t>
      </w:r>
      <w:r>
        <w:rPr>
          <w:rFonts w:hint="eastAsia" w:hAnsi="宋体"/>
          <w:color w:val="000000" w:themeColor="text1"/>
          <w:sz w:val="21"/>
          <w:highlight w:val="none"/>
          <w14:textFill>
            <w14:solidFill>
              <w14:schemeClr w14:val="tx1"/>
            </w14:solidFill>
          </w14:textFill>
        </w:rPr>
        <w:t>.3.1 响应文件的大写金额和小写金额不一致的，以大写金额为准。</w:t>
      </w:r>
    </w:p>
    <w:p w14:paraId="6147285A">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w:t>
      </w:r>
      <w:r>
        <w:rPr>
          <w:rFonts w:hAnsi="宋体"/>
          <w:color w:val="000000" w:themeColor="text1"/>
          <w:sz w:val="21"/>
          <w:highlight w:val="none"/>
          <w14:textFill>
            <w14:solidFill>
              <w14:schemeClr w14:val="tx1"/>
            </w14:solidFill>
          </w14:textFill>
        </w:rPr>
        <w:t>1</w:t>
      </w:r>
      <w:r>
        <w:rPr>
          <w:rFonts w:hint="eastAsia" w:hAnsi="宋体"/>
          <w:color w:val="000000" w:themeColor="text1"/>
          <w:sz w:val="21"/>
          <w:highlight w:val="none"/>
          <w14:textFill>
            <w14:solidFill>
              <w14:schemeClr w14:val="tx1"/>
            </w14:solidFill>
          </w14:textFill>
        </w:rPr>
        <w:t>.3.2 对不同文字文本响应文件的解释发生异议的，以中文文本为准。</w:t>
      </w:r>
    </w:p>
    <w:p w14:paraId="1A28E3F8">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w:t>
      </w:r>
      <w:r>
        <w:rPr>
          <w:rFonts w:hAnsi="宋体"/>
          <w:color w:val="000000" w:themeColor="text1"/>
          <w:sz w:val="21"/>
          <w:highlight w:val="none"/>
          <w14:textFill>
            <w14:solidFill>
              <w14:schemeClr w14:val="tx1"/>
            </w14:solidFill>
          </w14:textFill>
        </w:rPr>
        <w:t>1</w:t>
      </w:r>
      <w:r>
        <w:rPr>
          <w:rFonts w:hint="eastAsia" w:hAnsi="宋体"/>
          <w:color w:val="000000" w:themeColor="text1"/>
          <w:sz w:val="21"/>
          <w:highlight w:val="none"/>
          <w14:textFill>
            <w14:solidFill>
              <w14:schemeClr w14:val="tx1"/>
            </w14:solidFill>
          </w14:textFill>
        </w:rPr>
        <w:t>.4异常低价审查</w:t>
      </w:r>
    </w:p>
    <w:p w14:paraId="2DBE5791">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11.4.1根据《关于推动解决政府采购异常低价问题的通知》财库〔2026〕2号文件，政府采购评审中出现下列情形之一的，磋商小组应当启动异常低价投标（响应）审查程序：</w:t>
      </w:r>
    </w:p>
    <w:p w14:paraId="7A323189">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（1）投标（响应）报价低于全部通过符合性审查供应商投标（响应）报价平均值65%的，即投标（响应）报价&lt;全部通过符合性审查供应商投标（响应）报价平均值×65%；</w:t>
      </w:r>
    </w:p>
    <w:p w14:paraId="72A34921">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（2）投标（响应）报价低于通过符合性审查的次低报价供应商投标（响应）报价65%的，即投标（响应）报价&lt;通过符合性审查的次低报价供应商投标（响应）报价×65%；</w:t>
      </w:r>
    </w:p>
    <w:p w14:paraId="7D397AA2">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（3）投标（响应）报价低于采购项目最高限价65%的，即投标（响应）报价&lt;采购项目最高限价×65%；</w:t>
      </w:r>
    </w:p>
    <w:p w14:paraId="21229E9A">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（4）磋商小组基于专业判断，认为供应商报价过低，有可能影响产品质量或者不能诚信履约的其他情形。</w:t>
      </w:r>
    </w:p>
    <w:p w14:paraId="482B3643">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11.4.2</w:t>
      </w:r>
      <w:r>
        <w:rPr>
          <w:rFonts w:hint="eastAsia" w:hAnsi="宋体"/>
          <w:color w:val="000000" w:themeColor="text1"/>
          <w:sz w:val="21"/>
          <w:highlight w:val="none"/>
          <w14:textFill>
            <w14:solidFill>
              <w14:schemeClr w14:val="tx1"/>
            </w14:solidFill>
          </w14:textFill>
        </w:rPr>
        <w:t>磋商小组启动异常低价投标（响应）审查后，属于11.4.1中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CCD8AA5">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11.4.3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344CC1C5">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11.5报价为在采购人指定地点提交服务所需的全部费用，其组成部分详见第三章“项目需求”。采购人不再向成交供应商支付其报价之外的任何费用。</w:t>
      </w:r>
    </w:p>
    <w:p w14:paraId="7FB276A2">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11.</w:t>
      </w:r>
      <w:r>
        <w:rPr>
          <w:rFonts w:hAnsi="宋体"/>
          <w:color w:val="000000" w:themeColor="text1"/>
          <w:sz w:val="21"/>
          <w:highlight w:val="none"/>
          <w14:textFill>
            <w14:solidFill>
              <w14:schemeClr w14:val="tx1"/>
            </w14:solidFill>
          </w14:textFill>
        </w:rPr>
        <w:t>6</w:t>
      </w:r>
      <w:r>
        <w:rPr>
          <w:rFonts w:hint="eastAsia" w:hAnsi="宋体"/>
          <w:color w:val="000000" w:themeColor="text1"/>
          <w:sz w:val="21"/>
          <w:highlight w:val="none"/>
          <w14:textFill>
            <w14:solidFill>
              <w14:schemeClr w14:val="tx1"/>
            </w14:solidFill>
          </w14:textFill>
        </w:rPr>
        <w:t>本项目的采购代理服务费，见供应商须知前附表。</w:t>
      </w:r>
    </w:p>
    <w:p w14:paraId="7D9186C2">
      <w:pPr>
        <w:pStyle w:val="23"/>
        <w:spacing w:line="360" w:lineRule="auto"/>
        <w:ind w:firstLine="420" w:firstLineChars="200"/>
        <w:rPr>
          <w:rFonts w:hAnsi="宋体"/>
          <w:bCs/>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11.</w:t>
      </w:r>
      <w:r>
        <w:rPr>
          <w:rFonts w:hAnsi="宋体"/>
          <w:color w:val="000000" w:themeColor="text1"/>
          <w:sz w:val="21"/>
          <w:highlight w:val="none"/>
          <w14:textFill>
            <w14:solidFill>
              <w14:schemeClr w14:val="tx1"/>
            </w14:solidFill>
          </w14:textFill>
        </w:rPr>
        <w:t>7</w:t>
      </w:r>
      <w:r>
        <w:rPr>
          <w:rFonts w:hint="eastAsia" w:hAnsi="宋体"/>
          <w:color w:val="000000" w:themeColor="text1"/>
          <w:sz w:val="21"/>
          <w:highlight w:val="none"/>
          <w14:textFill>
            <w14:solidFill>
              <w14:schemeClr w14:val="tx1"/>
            </w14:solidFill>
          </w14:textFill>
        </w:rPr>
        <w:t>不论磋商结果如何，供应商均应自行承担与编制和递交响应文件有关的全部费用。</w:t>
      </w:r>
    </w:p>
    <w:p w14:paraId="52EBCD6A">
      <w:pPr>
        <w:pStyle w:val="23"/>
        <w:tabs>
          <w:tab w:val="left" w:pos="420"/>
        </w:tabs>
        <w:spacing w:line="360" w:lineRule="auto"/>
        <w:jc w:val="left"/>
        <w:rPr>
          <w:rFonts w:hAnsi="宋体"/>
          <w:b/>
          <w:bCs/>
          <w:color w:val="000000" w:themeColor="text1"/>
          <w:sz w:val="21"/>
          <w:highlight w:val="none"/>
          <w14:textFill>
            <w14:solidFill>
              <w14:schemeClr w14:val="tx1"/>
            </w14:solidFill>
          </w14:textFill>
        </w:rPr>
      </w:pPr>
      <w:r>
        <w:rPr>
          <w:rFonts w:hint="eastAsia" w:hAnsi="宋体"/>
          <w:b/>
          <w:bCs/>
          <w:color w:val="000000" w:themeColor="text1"/>
          <w:sz w:val="21"/>
          <w:highlight w:val="none"/>
          <w14:textFill>
            <w14:solidFill>
              <w14:schemeClr w14:val="tx1"/>
            </w14:solidFill>
          </w14:textFill>
        </w:rPr>
        <w:t>12.磋商有效期</w:t>
      </w:r>
    </w:p>
    <w:p w14:paraId="3B344EF9">
      <w:pPr>
        <w:pStyle w:val="23"/>
        <w:spacing w:line="360" w:lineRule="auto"/>
        <w:ind w:firstLine="420" w:firstLineChars="200"/>
        <w:rPr>
          <w:rFonts w:hAnsi="宋体"/>
          <w:bCs/>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12.1在供应商须知前附表规定的有效期内，供应商不得要求撤销或修改其响应文件。</w:t>
      </w:r>
    </w:p>
    <w:p w14:paraId="60C67CC6">
      <w:pPr>
        <w:pStyle w:val="23"/>
        <w:spacing w:line="360" w:lineRule="auto"/>
        <w:ind w:firstLine="420" w:firstLineChars="200"/>
        <w:rPr>
          <w:rFonts w:hAnsi="宋体"/>
          <w:bCs/>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12.2在特殊情况下，采购人或采购代理机构可与供应商协商延长磋商有效期，这种要求与答复均通过广西政府采购云平台进行。供应商同意延长的，不得要求或被允许修改或撤销其响应文件；供应商拒绝延长的，其磋商失效。</w:t>
      </w:r>
    </w:p>
    <w:p w14:paraId="39AD9B5C">
      <w:pPr>
        <w:pStyle w:val="23"/>
        <w:tabs>
          <w:tab w:val="left" w:pos="420"/>
        </w:tabs>
        <w:spacing w:line="360" w:lineRule="auto"/>
        <w:jc w:val="left"/>
        <w:rPr>
          <w:rFonts w:hAnsi="宋体"/>
          <w:b/>
          <w:bCs/>
          <w:color w:val="000000" w:themeColor="text1"/>
          <w:sz w:val="21"/>
          <w:highlight w:val="none"/>
          <w14:textFill>
            <w14:solidFill>
              <w14:schemeClr w14:val="tx1"/>
            </w14:solidFill>
          </w14:textFill>
        </w:rPr>
      </w:pPr>
      <w:r>
        <w:rPr>
          <w:rFonts w:hint="eastAsia" w:hAnsi="宋体"/>
          <w:b/>
          <w:bCs/>
          <w:color w:val="000000" w:themeColor="text1"/>
          <w:sz w:val="21"/>
          <w:highlight w:val="none"/>
          <w14:textFill>
            <w14:solidFill>
              <w14:schemeClr w14:val="tx1"/>
            </w14:solidFill>
          </w14:textFill>
        </w:rPr>
        <w:t>13.保证金</w:t>
      </w:r>
      <w:bookmarkStart w:id="72" w:name="_Toc213326419"/>
      <w:r>
        <w:rPr>
          <w:rFonts w:hint="eastAsia" w:hAnsi="宋体"/>
          <w:b/>
          <w:bCs/>
          <w:color w:val="000000" w:themeColor="text1"/>
          <w:sz w:val="21"/>
          <w:highlight w:val="none"/>
          <w14:textFill>
            <w14:solidFill>
              <w14:schemeClr w14:val="tx1"/>
            </w14:solidFill>
          </w14:textFill>
        </w:rPr>
        <w:t>：无。</w:t>
      </w:r>
    </w:p>
    <w:p w14:paraId="542DF3AF">
      <w:pPr>
        <w:pStyle w:val="23"/>
        <w:tabs>
          <w:tab w:val="left" w:pos="420"/>
        </w:tabs>
        <w:spacing w:before="240" w:line="360" w:lineRule="auto"/>
        <w:jc w:val="center"/>
        <w:rPr>
          <w:rFonts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四</w:t>
      </w:r>
      <w:bookmarkEnd w:id="72"/>
      <w:r>
        <w:rPr>
          <w:rFonts w:hint="eastAsia" w:hAnsi="宋体"/>
          <w:b/>
          <w:color w:val="000000" w:themeColor="text1"/>
          <w:sz w:val="21"/>
          <w:highlight w:val="none"/>
          <w14:textFill>
            <w14:solidFill>
              <w14:schemeClr w14:val="tx1"/>
            </w14:solidFill>
          </w14:textFill>
        </w:rPr>
        <w:t>、磋商响应</w:t>
      </w:r>
    </w:p>
    <w:p w14:paraId="01EA638F">
      <w:pPr>
        <w:pStyle w:val="23"/>
        <w:tabs>
          <w:tab w:val="left" w:pos="420"/>
        </w:tabs>
        <w:spacing w:line="360" w:lineRule="auto"/>
        <w:jc w:val="left"/>
        <w:rPr>
          <w:rFonts w:hAnsi="宋体"/>
          <w:b/>
          <w:bCs/>
          <w:color w:val="000000" w:themeColor="text1"/>
          <w:sz w:val="21"/>
          <w:highlight w:val="none"/>
          <w14:textFill>
            <w14:solidFill>
              <w14:schemeClr w14:val="tx1"/>
            </w14:solidFill>
          </w14:textFill>
        </w:rPr>
      </w:pPr>
      <w:r>
        <w:rPr>
          <w:rFonts w:hint="eastAsia" w:hAnsi="宋体"/>
          <w:b/>
          <w:bCs/>
          <w:color w:val="000000" w:themeColor="text1"/>
          <w:sz w:val="21"/>
          <w:highlight w:val="none"/>
          <w14:textFill>
            <w14:solidFill>
              <w14:schemeClr w14:val="tx1"/>
            </w14:solidFill>
          </w14:textFill>
        </w:rPr>
        <w:t>14.响应文件的签章</w:t>
      </w:r>
    </w:p>
    <w:p w14:paraId="17FA1668">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14.1 竞争性磋商响应文件的签章</w:t>
      </w:r>
    </w:p>
    <w:p w14:paraId="703A42C3">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14.1.1 电子磋商响应文件中须加盖供应商公章位置均采用CA签章，并根据“政府采购项目电子交易管理操作指南-供应商”及本竞争性磋商采购文件规定的格式和顺序编制电子磋商响应文件并进行关联定位，以便评委在评标时，点击评分项可直接定位到该评分项内容。如对竞争性磋商采购文件的某项要求，供应商的电子磋商响应文件未能关联定位提供相应的内容与其对应，则评委在评审时如做出对供应商不利的评审由供应商自行承担。电子磋商响应文件如内容不完整、编排混乱导致响应文件被误读、 漏读，或者在按采购文件规定的部位查找不到相关内容的，由供应商自行承担。</w:t>
      </w:r>
    </w:p>
    <w:p w14:paraId="06201F6A">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14.1.2 CA签章上目前没有法人或授权代表签字信息，供应商在磋商响应文件中涉及到签字的位置线下签好字然后扫描或者拍照做成PDF的格式即可。</w:t>
      </w:r>
    </w:p>
    <w:p w14:paraId="1961E0A1">
      <w:pPr>
        <w:pStyle w:val="23"/>
        <w:spacing w:line="360" w:lineRule="auto"/>
        <w:ind w:firstLine="420" w:firstLineChars="200"/>
        <w:rPr>
          <w:rFonts w:hAnsi="宋体"/>
          <w:bCs/>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14.1.3 磋商响应文件不得涂改，若有修改错漏处，须法定代表人或授权委托人签字。磋商响应文件因字迹潦草或表达不清所引起的后果由供应商负责。</w:t>
      </w:r>
    </w:p>
    <w:p w14:paraId="5AF34007">
      <w:pPr>
        <w:pStyle w:val="23"/>
        <w:tabs>
          <w:tab w:val="left" w:pos="420"/>
        </w:tabs>
        <w:spacing w:line="360" w:lineRule="auto"/>
        <w:jc w:val="left"/>
        <w:rPr>
          <w:rFonts w:hAnsi="宋体"/>
          <w:b/>
          <w:bCs/>
          <w:color w:val="000000" w:themeColor="text1"/>
          <w:sz w:val="21"/>
          <w:highlight w:val="none"/>
          <w14:textFill>
            <w14:solidFill>
              <w14:schemeClr w14:val="tx1"/>
            </w14:solidFill>
          </w14:textFill>
        </w:rPr>
      </w:pPr>
      <w:r>
        <w:rPr>
          <w:rFonts w:hint="eastAsia" w:hAnsi="宋体"/>
          <w:b/>
          <w:bCs/>
          <w:color w:val="000000" w:themeColor="text1"/>
          <w:sz w:val="21"/>
          <w:highlight w:val="none"/>
          <w14:textFill>
            <w14:solidFill>
              <w14:schemeClr w14:val="tx1"/>
            </w14:solidFill>
          </w14:textFill>
        </w:rPr>
        <w:t>15.响应文件及样品的递交</w:t>
      </w:r>
    </w:p>
    <w:p w14:paraId="40EC2795">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15.1供应商上传响应文件截止时间：竞争性磋商公告。</w:t>
      </w:r>
    </w:p>
    <w:p w14:paraId="3EB74D34">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15.2供应商上传响应文件地点：竞争性磋商公告。</w:t>
      </w:r>
    </w:p>
    <w:p w14:paraId="1919A813">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15.3供应商递交投标样品截止时间：竞争性磋商公告。</w:t>
      </w:r>
    </w:p>
    <w:p w14:paraId="08518EC3">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16.电子响应文件的相关说明：</w:t>
      </w:r>
    </w:p>
    <w:p w14:paraId="3BDE889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w:t>
      </w:r>
      <w:r>
        <w:rPr>
          <w:rFonts w:hint="eastAsia" w:ascii="宋体" w:hAnsi="宋体"/>
          <w:bCs/>
          <w:color w:val="000000" w:themeColor="text1"/>
          <w:szCs w:val="21"/>
          <w:highlight w:val="none"/>
          <w14:textFill>
            <w14:solidFill>
              <w14:schemeClr w14:val="tx1"/>
            </w14:solidFill>
          </w14:textFill>
        </w:rPr>
        <w:t>竞争性磋商响应文件份数：电子版一份。</w:t>
      </w:r>
    </w:p>
    <w:p w14:paraId="632BA43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 供应商进行电子投标应安装客户端软件，并按照采购文件和电子交易平台的要求编制并加密磋商响应文件。供应商未按规定加密的磋商响应文件，电子交易平台将拒收。供应商应当在开标截止时间前完成磋商响应文件的传输递交，并可以补充、修改或者撤回响应文件。补充或者修改响应文件的，应当先行撤回原文件，补充、修改后重新传输递交。开标截止时间前未完成传输的，视为撤回响应文件。开标截止时间后递交的磋商响应文件，电子交易平台将拒收。</w:t>
      </w:r>
    </w:p>
    <w:p w14:paraId="1C486A4A">
      <w:pPr>
        <w:pStyle w:val="23"/>
        <w:spacing w:line="360" w:lineRule="auto"/>
        <w:ind w:firstLine="420" w:firstLineChars="200"/>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16.</w:t>
      </w:r>
      <w:r>
        <w:rPr>
          <w:rFonts w:hAnsi="宋体" w:cs="宋体"/>
          <w:color w:val="000000" w:themeColor="text1"/>
          <w:kern w:val="2"/>
          <w:sz w:val="21"/>
          <w:highlight w:val="none"/>
          <w14:textFill>
            <w14:solidFill>
              <w14:schemeClr w14:val="tx1"/>
            </w14:solidFill>
          </w14:textFill>
        </w:rPr>
        <w:t>3</w:t>
      </w:r>
      <w:r>
        <w:rPr>
          <w:rFonts w:hint="eastAsia" w:hAnsi="宋体" w:cs="宋体"/>
          <w:color w:val="000000" w:themeColor="text1"/>
          <w:kern w:val="2"/>
          <w:sz w:val="21"/>
          <w:highlight w:val="none"/>
          <w14:textFill>
            <w14:solidFill>
              <w14:schemeClr w14:val="tx1"/>
            </w14:solidFill>
          </w14:textFill>
        </w:rPr>
        <w:t>如有特殊情况，采购代理机构延长截止时间和开标时间，采购代理机构和供应商的权利和义务将受到新的截止时间和开标时间的约束。</w:t>
      </w:r>
    </w:p>
    <w:p w14:paraId="21226037">
      <w:pPr>
        <w:autoSpaceDE w:val="0"/>
        <w:autoSpaceDN w:val="0"/>
        <w:adjustRightInd w:val="0"/>
        <w:spacing w:line="360" w:lineRule="auto"/>
        <w:rPr>
          <w:rFonts w:ascii="宋体" w:hAnsi="宋体" w:cs="Arial"/>
          <w:b/>
          <w:bCs/>
          <w:color w:val="000000" w:themeColor="text1"/>
          <w:kern w:val="0"/>
          <w:szCs w:val="21"/>
          <w:highlight w:val="none"/>
          <w14:textFill>
            <w14:solidFill>
              <w14:schemeClr w14:val="tx1"/>
            </w14:solidFill>
          </w14:textFill>
        </w:rPr>
      </w:pPr>
      <w:r>
        <w:rPr>
          <w:rFonts w:hint="eastAsia" w:ascii="宋体" w:hAnsi="宋体" w:cs="Arial"/>
          <w:b/>
          <w:bCs/>
          <w:color w:val="000000" w:themeColor="text1"/>
          <w:kern w:val="0"/>
          <w:szCs w:val="21"/>
          <w:highlight w:val="none"/>
          <w14:textFill>
            <w14:solidFill>
              <w14:schemeClr w14:val="tx1"/>
            </w14:solidFill>
          </w14:textFill>
        </w:rPr>
        <w:t>17.响应文件的修改、澄清和撤回</w:t>
      </w:r>
    </w:p>
    <w:p w14:paraId="3ED1F4D3">
      <w:pPr>
        <w:autoSpaceDE w:val="0"/>
        <w:autoSpaceDN w:val="0"/>
        <w:adjustRightInd w:val="0"/>
        <w:spacing w:line="360" w:lineRule="auto"/>
        <w:ind w:firstLine="420" w:firstLineChars="200"/>
        <w:rPr>
          <w:rFonts w:ascii="宋体" w:hAns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17.1 供应商按规定的时间、地点提交响应文件后，实需对其响应文件进行修改、澄清或撤回的，可以在响应文件提交截止时间前补充、修改或者撤回响应文件。</w:t>
      </w:r>
    </w:p>
    <w:p w14:paraId="17AA0A23">
      <w:pPr>
        <w:autoSpaceDE w:val="0"/>
        <w:autoSpaceDN w:val="0"/>
        <w:adjustRightInd w:val="0"/>
        <w:spacing w:line="360" w:lineRule="auto"/>
        <w:ind w:firstLine="420" w:firstLineChars="200"/>
        <w:rPr>
          <w:rFonts w:ascii="宋体" w:hAns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17.2供应商补充或者修改磋商响应文件的，应当先行撤回原文件，补充、修改后重新传输递交。在响应文件提交截止时间前未完成传输的，视为撤回响应文件。响应文件提交截止时间后递交的响应文件，电子交易平台将拒收。</w:t>
      </w:r>
    </w:p>
    <w:p w14:paraId="71539F21">
      <w:pPr>
        <w:autoSpaceDE w:val="0"/>
        <w:autoSpaceDN w:val="0"/>
        <w:adjustRightInd w:val="0"/>
        <w:spacing w:line="360" w:lineRule="auto"/>
        <w:ind w:firstLine="420" w:firstLineChars="200"/>
        <w:rPr>
          <w:rFonts w:ascii="宋体" w:hAns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17.3响应文件提交截止时间以后，在评审过程中，磋商小组可以在广西政府采购云平台上以通知形式要求供应商对所提交的响应文件中不明确的内容通过广西政府采购云平台进行澄清、说明或补正。磋商小组对供应商提出的澄清、说明或补正有疑问的，可以要求供应商进一步澄清、说明或补正。供应商的澄清、说明或补正将作为响应文件的组成部份。磋商小组不接受供应商主动提出来的澄清、说明或补正。</w:t>
      </w:r>
    </w:p>
    <w:p w14:paraId="300C9A98">
      <w:pPr>
        <w:autoSpaceDE w:val="0"/>
        <w:autoSpaceDN w:val="0"/>
        <w:adjustRightInd w:val="0"/>
        <w:spacing w:line="360" w:lineRule="auto"/>
        <w:ind w:firstLine="420" w:firstLineChars="200"/>
        <w:jc w:val="left"/>
        <w:rPr>
          <w:rFonts w:ascii="宋体" w:hAns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17.4 供应商不得在响应文件有效期期满前撤回响应文件。</w:t>
      </w:r>
    </w:p>
    <w:p w14:paraId="6E937861">
      <w:pPr>
        <w:autoSpaceDE w:val="0"/>
        <w:autoSpaceDN w:val="0"/>
        <w:adjustRightInd w:val="0"/>
        <w:spacing w:line="360" w:lineRule="auto"/>
        <w:jc w:val="left"/>
        <w:rPr>
          <w:rFonts w:ascii="宋体" w:hAnsi="宋体"/>
          <w:b/>
          <w:bCs/>
          <w:color w:val="000000" w:themeColor="text1"/>
          <w:kern w:val="0"/>
          <w:szCs w:val="21"/>
          <w:highlight w:val="none"/>
          <w14:textFill>
            <w14:solidFill>
              <w14:schemeClr w14:val="tx1"/>
            </w14:solidFill>
          </w14:textFill>
        </w:rPr>
      </w:pPr>
      <w:r>
        <w:rPr>
          <w:rFonts w:hint="eastAsia" w:ascii="宋体" w:hAnsi="宋体" w:cs="Arial"/>
          <w:b/>
          <w:color w:val="000000" w:themeColor="text1"/>
          <w:kern w:val="0"/>
          <w:szCs w:val="21"/>
          <w:highlight w:val="none"/>
          <w14:textFill>
            <w14:solidFill>
              <w14:schemeClr w14:val="tx1"/>
            </w14:solidFill>
          </w14:textFill>
        </w:rPr>
        <w:t xml:space="preserve">    ※响应文件的补充、修改和澄清等均需加盖单位公章（CA签章），并作为响应文件的组成部分，具有法律效力。</w:t>
      </w:r>
    </w:p>
    <w:p w14:paraId="2A7E262A">
      <w:pPr>
        <w:rPr>
          <w:rFonts w:ascii="宋体" w:hAnsi="宋体"/>
          <w:color w:val="000000" w:themeColor="text1"/>
          <w:szCs w:val="21"/>
          <w:highlight w:val="none"/>
          <w14:textFill>
            <w14:solidFill>
              <w14:schemeClr w14:val="tx1"/>
            </w14:solidFill>
          </w14:textFill>
        </w:rPr>
      </w:pPr>
    </w:p>
    <w:p w14:paraId="448AD5BA">
      <w:pPr>
        <w:jc w:val="center"/>
        <w:rPr>
          <w:rFonts w:ascii="宋体" w:hAnsi="宋体"/>
          <w:b/>
          <w:color w:val="000000" w:themeColor="text1"/>
          <w:szCs w:val="21"/>
          <w:highlight w:val="none"/>
          <w14:textFill>
            <w14:solidFill>
              <w14:schemeClr w14:val="tx1"/>
            </w14:solidFill>
          </w14:textFill>
        </w:rPr>
      </w:pPr>
      <w:bookmarkStart w:id="73" w:name="_Toc213326420"/>
      <w:r>
        <w:rPr>
          <w:rFonts w:hint="eastAsia" w:ascii="宋体" w:hAnsi="宋体"/>
          <w:b/>
          <w:color w:val="000000" w:themeColor="text1"/>
          <w:szCs w:val="21"/>
          <w:highlight w:val="none"/>
          <w14:textFill>
            <w14:solidFill>
              <w14:schemeClr w14:val="tx1"/>
            </w14:solidFill>
          </w14:textFill>
        </w:rPr>
        <w:t>五</w:t>
      </w:r>
      <w:bookmarkEnd w:id="73"/>
      <w:r>
        <w:rPr>
          <w:rFonts w:hint="eastAsia" w:ascii="宋体" w:hAnsi="宋体"/>
          <w:b/>
          <w:color w:val="000000" w:themeColor="text1"/>
          <w:szCs w:val="21"/>
          <w:highlight w:val="none"/>
          <w14:textFill>
            <w14:solidFill>
              <w14:schemeClr w14:val="tx1"/>
            </w14:solidFill>
          </w14:textFill>
        </w:rPr>
        <w:t>、评审与磋商</w:t>
      </w:r>
    </w:p>
    <w:p w14:paraId="1D360A74">
      <w:pPr>
        <w:pStyle w:val="23"/>
        <w:tabs>
          <w:tab w:val="left" w:pos="420"/>
        </w:tabs>
        <w:spacing w:line="360" w:lineRule="auto"/>
        <w:jc w:val="left"/>
        <w:rPr>
          <w:rFonts w:hAnsi="宋体"/>
          <w:b/>
          <w:bCs/>
          <w:color w:val="000000" w:themeColor="text1"/>
          <w:sz w:val="21"/>
          <w:highlight w:val="none"/>
          <w14:textFill>
            <w14:solidFill>
              <w14:schemeClr w14:val="tx1"/>
            </w14:solidFill>
          </w14:textFill>
        </w:rPr>
      </w:pPr>
      <w:r>
        <w:rPr>
          <w:rFonts w:hint="eastAsia" w:hAnsi="宋体"/>
          <w:b/>
          <w:bCs/>
          <w:color w:val="000000" w:themeColor="text1"/>
          <w:sz w:val="21"/>
          <w:highlight w:val="none"/>
          <w14:textFill>
            <w14:solidFill>
              <w14:schemeClr w14:val="tx1"/>
            </w14:solidFill>
          </w14:textFill>
        </w:rPr>
        <w:t>1</w:t>
      </w:r>
      <w:r>
        <w:rPr>
          <w:rFonts w:hAnsi="宋体"/>
          <w:b/>
          <w:bCs/>
          <w:color w:val="000000" w:themeColor="text1"/>
          <w:sz w:val="21"/>
          <w:highlight w:val="none"/>
          <w14:textFill>
            <w14:solidFill>
              <w14:schemeClr w14:val="tx1"/>
            </w14:solidFill>
          </w14:textFill>
        </w:rPr>
        <w:t>8</w:t>
      </w:r>
      <w:r>
        <w:rPr>
          <w:rFonts w:hint="eastAsia" w:hAnsi="宋体"/>
          <w:b/>
          <w:bCs/>
          <w:color w:val="000000" w:themeColor="text1"/>
          <w:sz w:val="21"/>
          <w:highlight w:val="none"/>
          <w14:textFill>
            <w14:solidFill>
              <w14:schemeClr w14:val="tx1"/>
            </w14:solidFill>
          </w14:textFill>
        </w:rPr>
        <w:t>.上传时间</w:t>
      </w:r>
      <w:r>
        <w:rPr>
          <w:rFonts w:hAnsi="宋体"/>
          <w:b/>
          <w:bCs/>
          <w:color w:val="000000" w:themeColor="text1"/>
          <w:sz w:val="21"/>
          <w:highlight w:val="none"/>
          <w14:textFill>
            <w14:solidFill>
              <w14:schemeClr w14:val="tx1"/>
            </w14:solidFill>
          </w14:textFill>
        </w:rPr>
        <w:t>要求</w:t>
      </w:r>
    </w:p>
    <w:p w14:paraId="3D3BBB5D">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供应商应在采购公告规定的</w:t>
      </w:r>
      <w:r>
        <w:rPr>
          <w:rFonts w:hint="eastAsia" w:hAnsi="宋体" w:cs="黑体"/>
          <w:color w:val="000000" w:themeColor="text1"/>
          <w:sz w:val="21"/>
          <w:highlight w:val="none"/>
          <w14:textFill>
            <w14:solidFill>
              <w14:schemeClr w14:val="tx1"/>
            </w14:solidFill>
          </w14:textFill>
        </w:rPr>
        <w:t>响应文件提交</w:t>
      </w:r>
      <w:r>
        <w:rPr>
          <w:rFonts w:hint="eastAsia" w:hAnsi="宋体" w:cs="仿宋"/>
          <w:color w:val="000000" w:themeColor="text1"/>
          <w:sz w:val="21"/>
          <w:highlight w:val="none"/>
          <w14:textFill>
            <w14:solidFill>
              <w14:schemeClr w14:val="tx1"/>
            </w14:solidFill>
          </w14:textFill>
        </w:rPr>
        <w:t>截止</w:t>
      </w:r>
      <w:r>
        <w:rPr>
          <w:rFonts w:hint="eastAsia" w:hAnsi="宋体"/>
          <w:color w:val="000000" w:themeColor="text1"/>
          <w:sz w:val="21"/>
          <w:highlight w:val="none"/>
          <w14:textFill>
            <w14:solidFill>
              <w14:schemeClr w14:val="tx1"/>
            </w14:solidFill>
          </w14:textFill>
        </w:rPr>
        <w:t>时间之前将响应文件上传提交至广西政府采购云平台系统。如未按时上传，由此产生的后果由供应商自行负责。</w:t>
      </w:r>
    </w:p>
    <w:p w14:paraId="378FB39B">
      <w:pPr>
        <w:pStyle w:val="23"/>
        <w:tabs>
          <w:tab w:val="left" w:pos="420"/>
        </w:tabs>
        <w:spacing w:line="360" w:lineRule="auto"/>
        <w:jc w:val="left"/>
        <w:rPr>
          <w:rFonts w:hAnsi="宋体"/>
          <w:b/>
          <w:bCs/>
          <w:color w:val="000000" w:themeColor="text1"/>
          <w:sz w:val="21"/>
          <w:highlight w:val="none"/>
          <w14:textFill>
            <w14:solidFill>
              <w14:schemeClr w14:val="tx1"/>
            </w14:solidFill>
          </w14:textFill>
        </w:rPr>
      </w:pPr>
      <w:r>
        <w:rPr>
          <w:rFonts w:hint="eastAsia" w:hAnsi="宋体"/>
          <w:b/>
          <w:bCs/>
          <w:color w:val="000000" w:themeColor="text1"/>
          <w:sz w:val="21"/>
          <w:highlight w:val="none"/>
          <w14:textFill>
            <w14:solidFill>
              <w14:schemeClr w14:val="tx1"/>
            </w14:solidFill>
          </w14:textFill>
        </w:rPr>
        <w:t>1</w:t>
      </w:r>
      <w:r>
        <w:rPr>
          <w:rFonts w:hAnsi="宋体"/>
          <w:b/>
          <w:bCs/>
          <w:color w:val="000000" w:themeColor="text1"/>
          <w:sz w:val="21"/>
          <w:highlight w:val="none"/>
          <w14:textFill>
            <w14:solidFill>
              <w14:schemeClr w14:val="tx1"/>
            </w14:solidFill>
          </w14:textFill>
        </w:rPr>
        <w:t>9</w:t>
      </w:r>
      <w:r>
        <w:rPr>
          <w:rFonts w:hint="eastAsia" w:hAnsi="宋体"/>
          <w:b/>
          <w:bCs/>
          <w:color w:val="000000" w:themeColor="text1"/>
          <w:sz w:val="21"/>
          <w:highlight w:val="none"/>
          <w14:textFill>
            <w14:solidFill>
              <w14:schemeClr w14:val="tx1"/>
            </w14:solidFill>
          </w14:textFill>
        </w:rPr>
        <w:t>.网上开标、电子评标</w:t>
      </w:r>
    </w:p>
    <w:p w14:paraId="1EEA0C77">
      <w:pPr>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19.1供应商根据采购文件要求，登录“广西政府采购云平台”平台，在指定时间内将电子响应文件通过 CA 加密后上传完成投标。开标实行网上不见面开标。</w:t>
      </w:r>
      <w:r>
        <w:rPr>
          <w:rFonts w:hint="eastAsia" w:ascii="宋体" w:hAnsi="宋体" w:cs="黑体"/>
          <w:color w:val="000000" w:themeColor="text1"/>
          <w:szCs w:val="21"/>
          <w:highlight w:val="none"/>
          <w14:textFill>
            <w14:solidFill>
              <w14:schemeClr w14:val="tx1"/>
            </w14:solidFill>
          </w14:textFill>
        </w:rPr>
        <w:t>响应文件提交</w:t>
      </w:r>
      <w:r>
        <w:rPr>
          <w:rFonts w:hint="eastAsia" w:ascii="宋体" w:hAnsi="宋体" w:cs="仿宋"/>
          <w:color w:val="000000" w:themeColor="text1"/>
          <w:szCs w:val="21"/>
          <w:highlight w:val="none"/>
          <w14:textFill>
            <w14:solidFill>
              <w14:schemeClr w14:val="tx1"/>
            </w14:solidFill>
          </w14:textFill>
        </w:rPr>
        <w:t>截止</w:t>
      </w:r>
      <w:r>
        <w:rPr>
          <w:rFonts w:hint="eastAsia" w:ascii="宋体" w:hAnsi="宋体"/>
          <w:color w:val="000000" w:themeColor="text1"/>
          <w:szCs w:val="21"/>
          <w:highlight w:val="none"/>
          <w14:textFill>
            <w14:solidFill>
              <w14:schemeClr w14:val="tx1"/>
            </w14:solidFill>
          </w14:textFill>
        </w:rPr>
        <w:t>时间</w:t>
      </w:r>
      <w:r>
        <w:rPr>
          <w:rFonts w:hint="eastAsia" w:ascii="宋体" w:hAnsi="宋体" w:cs="宋体"/>
          <w:color w:val="000000" w:themeColor="text1"/>
          <w:szCs w:val="21"/>
          <w:highlight w:val="none"/>
          <w14:textFill>
            <w14:solidFill>
              <w14:schemeClr w14:val="tx1"/>
            </w14:solidFill>
          </w14:textFill>
        </w:rPr>
        <w:t>后，政府采购代理机构工作人员在“广西政府采购云平台”平台开始网上开标，供应商在指定标书解密时间内各自远程登录“广西政府采购云平台”平台对响应文件进行解密，供应商全部解密完成或解密时间结束后政府采购代理机构工作人员开启评标程序，供应商可在个人电脑上查看到相关信息，并等待专家评委评审，评审结束后系统中将显示评标结果。</w:t>
      </w:r>
    </w:p>
    <w:p w14:paraId="13ECEBD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19.2开标程序</w:t>
      </w:r>
    </w:p>
    <w:p w14:paraId="031FD925">
      <w:pPr>
        <w:autoSpaceDE w:val="0"/>
        <w:autoSpaceDN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在响应文件提交截止时间后，由采购代理机构签收、供应商解密后，磋商小组接收所有的响应文件开始评审。</w:t>
      </w:r>
    </w:p>
    <w:p w14:paraId="77DA0B99">
      <w:pPr>
        <w:pStyle w:val="23"/>
        <w:tabs>
          <w:tab w:val="left" w:pos="420"/>
        </w:tabs>
        <w:spacing w:line="360" w:lineRule="auto"/>
        <w:jc w:val="left"/>
        <w:rPr>
          <w:rFonts w:hAnsi="宋体" w:cs="Arial"/>
          <w:color w:val="000000" w:themeColor="text1"/>
          <w:sz w:val="21"/>
          <w:highlight w:val="none"/>
          <w14:textFill>
            <w14:solidFill>
              <w14:schemeClr w14:val="tx1"/>
            </w14:solidFill>
          </w14:textFill>
        </w:rPr>
      </w:pPr>
      <w:r>
        <w:rPr>
          <w:rFonts w:hint="eastAsia" w:hAnsi="宋体" w:cs="Arial"/>
          <w:color w:val="000000" w:themeColor="text1"/>
          <w:sz w:val="21"/>
          <w:highlight w:val="none"/>
          <w14:textFill>
            <w14:solidFill>
              <w14:schemeClr w14:val="tx1"/>
            </w14:solidFill>
          </w14:textFill>
        </w:rPr>
        <w:t xml:space="preserve">     在响应文件提交截止时间后30分钟内，供应商可以登录广西政府采购云平台，用“项目采购-开标评标”功能进行解密响应文件。若供应商在规定时间内无法解密或解密失败，可以以电子备份响应文件作为依据。若电子备份响应文件与广西政府采购云平台上传的电子响应文件被识别为不一致的，以电子备份响应文件作为评审依据；供应商按时在线解密响应文件的，以在线解密的响应文件作为评审依据。若供应商在规定时间内无法解密或解密失败且未提供电子备份响应文件的，视为响应文件撤回。</w:t>
      </w:r>
    </w:p>
    <w:p w14:paraId="02FBDE68">
      <w:pPr>
        <w:pStyle w:val="23"/>
        <w:tabs>
          <w:tab w:val="left" w:pos="420"/>
        </w:tabs>
        <w:spacing w:line="360" w:lineRule="auto"/>
        <w:jc w:val="left"/>
        <w:rPr>
          <w:rFonts w:hAnsi="宋体"/>
          <w:b/>
          <w:bCs/>
          <w:color w:val="000000" w:themeColor="text1"/>
          <w:sz w:val="21"/>
          <w:highlight w:val="none"/>
          <w14:textFill>
            <w14:solidFill>
              <w14:schemeClr w14:val="tx1"/>
            </w14:solidFill>
          </w14:textFill>
        </w:rPr>
      </w:pPr>
      <w:r>
        <w:rPr>
          <w:rFonts w:hAnsi="宋体"/>
          <w:b/>
          <w:bCs/>
          <w:color w:val="000000" w:themeColor="text1"/>
          <w:sz w:val="21"/>
          <w:highlight w:val="none"/>
          <w14:textFill>
            <w14:solidFill>
              <w14:schemeClr w14:val="tx1"/>
            </w14:solidFill>
          </w14:textFill>
        </w:rPr>
        <w:t>20</w:t>
      </w:r>
      <w:r>
        <w:rPr>
          <w:rFonts w:hint="eastAsia" w:hAnsi="宋体"/>
          <w:b/>
          <w:bCs/>
          <w:color w:val="000000" w:themeColor="text1"/>
          <w:sz w:val="21"/>
          <w:highlight w:val="none"/>
          <w14:textFill>
            <w14:solidFill>
              <w14:schemeClr w14:val="tx1"/>
            </w14:solidFill>
          </w14:textFill>
        </w:rPr>
        <w:t>.评审与磋商</w:t>
      </w:r>
    </w:p>
    <w:p w14:paraId="138FDC87">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20</w:t>
      </w:r>
      <w:r>
        <w:rPr>
          <w:rFonts w:hint="eastAsia" w:hAnsi="宋体"/>
          <w:color w:val="000000" w:themeColor="text1"/>
          <w:sz w:val="21"/>
          <w:highlight w:val="none"/>
          <w14:textFill>
            <w14:solidFill>
              <w14:schemeClr w14:val="tx1"/>
            </w14:solidFill>
          </w14:textFill>
        </w:rPr>
        <w:t>.1</w:t>
      </w:r>
      <w:r>
        <w:rPr>
          <w:rFonts w:hint="eastAsia" w:hAnsi="宋体" w:cs="Arial"/>
          <w:color w:val="000000" w:themeColor="text1"/>
          <w:kern w:val="2"/>
          <w:sz w:val="21"/>
          <w:highlight w:val="none"/>
          <w14:textFill>
            <w14:solidFill>
              <w14:schemeClr w14:val="tx1"/>
            </w14:solidFill>
          </w14:textFill>
        </w:rPr>
        <w:t>磋商小组由</w:t>
      </w:r>
      <w:r>
        <w:rPr>
          <w:rFonts w:hint="eastAsia" w:hAnsi="宋体"/>
          <w:bCs/>
          <w:color w:val="000000" w:themeColor="text1"/>
          <w:sz w:val="21"/>
          <w:highlight w:val="none"/>
          <w14:textFill>
            <w14:solidFill>
              <w14:schemeClr w14:val="tx1"/>
            </w14:solidFill>
          </w14:textFill>
        </w:rPr>
        <w:t>有关技术、经济等方面的专家和</w:t>
      </w:r>
      <w:r>
        <w:rPr>
          <w:rFonts w:hAnsi="宋体"/>
          <w:bCs/>
          <w:color w:val="000000" w:themeColor="text1"/>
          <w:sz w:val="21"/>
          <w:highlight w:val="none"/>
          <w14:textFill>
            <w14:solidFill>
              <w14:schemeClr w14:val="tx1"/>
            </w14:solidFill>
          </w14:textFill>
        </w:rPr>
        <w:t>采购人代表</w:t>
      </w:r>
      <w:r>
        <w:rPr>
          <w:rFonts w:hint="eastAsia" w:hAnsi="宋体" w:cs="Arial"/>
          <w:color w:val="000000" w:themeColor="text1"/>
          <w:kern w:val="2"/>
          <w:sz w:val="21"/>
          <w:highlight w:val="none"/>
          <w14:textFill>
            <w14:solidFill>
              <w14:schemeClr w14:val="tx1"/>
            </w14:solidFill>
          </w14:textFill>
        </w:rPr>
        <w:t>共3人以上单数组成，其中评审专家人数不得少于磋商小组成员总数的三分之二。磋商</w:t>
      </w:r>
      <w:r>
        <w:rPr>
          <w:rFonts w:hAnsi="宋体" w:cs="Arial"/>
          <w:color w:val="000000" w:themeColor="text1"/>
          <w:kern w:val="2"/>
          <w:sz w:val="21"/>
          <w:highlight w:val="none"/>
          <w14:textFill>
            <w14:solidFill>
              <w14:schemeClr w14:val="tx1"/>
            </w14:solidFill>
          </w14:textFill>
        </w:rPr>
        <w:t>小组负责对</w:t>
      </w:r>
      <w:r>
        <w:rPr>
          <w:rFonts w:hint="eastAsia" w:hAnsi="宋体" w:cs="Arial"/>
          <w:color w:val="000000" w:themeColor="text1"/>
          <w:kern w:val="2"/>
          <w:sz w:val="21"/>
          <w:highlight w:val="none"/>
          <w14:textFill>
            <w14:solidFill>
              <w14:schemeClr w14:val="tx1"/>
            </w14:solidFill>
          </w14:textFill>
        </w:rPr>
        <w:t>竞争性磋商文件进行确认、</w:t>
      </w:r>
      <w:r>
        <w:rPr>
          <w:rFonts w:hAnsi="宋体" w:cs="Arial"/>
          <w:color w:val="000000" w:themeColor="text1"/>
          <w:kern w:val="2"/>
          <w:sz w:val="21"/>
          <w:highlight w:val="none"/>
          <w14:textFill>
            <w14:solidFill>
              <w14:schemeClr w14:val="tx1"/>
            </w14:solidFill>
          </w14:textFill>
        </w:rPr>
        <w:t>对全部磋商</w:t>
      </w:r>
      <w:r>
        <w:rPr>
          <w:rFonts w:hint="eastAsia" w:hAnsi="宋体" w:cs="Arial"/>
          <w:color w:val="000000" w:themeColor="text1"/>
          <w:kern w:val="2"/>
          <w:sz w:val="21"/>
          <w:highlight w:val="none"/>
          <w14:textFill>
            <w14:solidFill>
              <w14:schemeClr w14:val="tx1"/>
            </w14:solidFill>
          </w14:textFill>
        </w:rPr>
        <w:t>响应</w:t>
      </w:r>
      <w:r>
        <w:rPr>
          <w:rFonts w:hAnsi="宋体" w:cs="Arial"/>
          <w:color w:val="000000" w:themeColor="text1"/>
          <w:kern w:val="2"/>
          <w:sz w:val="21"/>
          <w:highlight w:val="none"/>
          <w14:textFill>
            <w14:solidFill>
              <w14:schemeClr w14:val="tx1"/>
            </w14:solidFill>
          </w14:textFill>
        </w:rPr>
        <w:t>文件</w:t>
      </w:r>
      <w:r>
        <w:rPr>
          <w:rFonts w:hint="eastAsia" w:hAnsi="宋体" w:cs="Arial"/>
          <w:color w:val="000000" w:themeColor="text1"/>
          <w:kern w:val="2"/>
          <w:sz w:val="21"/>
          <w:highlight w:val="none"/>
          <w14:textFill>
            <w14:solidFill>
              <w14:schemeClr w14:val="tx1"/>
            </w14:solidFill>
          </w14:textFill>
        </w:rPr>
        <w:t>进行</w:t>
      </w:r>
      <w:r>
        <w:rPr>
          <w:rFonts w:hAnsi="宋体" w:cs="Arial"/>
          <w:color w:val="000000" w:themeColor="text1"/>
          <w:kern w:val="2"/>
          <w:sz w:val="21"/>
          <w:highlight w:val="none"/>
          <w14:textFill>
            <w14:solidFill>
              <w14:schemeClr w14:val="tx1"/>
            </w14:solidFill>
          </w14:textFill>
        </w:rPr>
        <w:t>审查、和</w:t>
      </w:r>
      <w:r>
        <w:rPr>
          <w:rFonts w:hint="eastAsia" w:hAnsi="宋体" w:cs="Arial"/>
          <w:color w:val="000000" w:themeColor="text1"/>
          <w:kern w:val="2"/>
          <w:sz w:val="21"/>
          <w:highlight w:val="none"/>
          <w14:textFill>
            <w14:solidFill>
              <w14:schemeClr w14:val="tx1"/>
            </w14:solidFill>
          </w14:textFill>
        </w:rPr>
        <w:t>供应商进行</w:t>
      </w:r>
      <w:r>
        <w:rPr>
          <w:rFonts w:hAnsi="宋体" w:cs="Arial"/>
          <w:color w:val="000000" w:themeColor="text1"/>
          <w:kern w:val="2"/>
          <w:sz w:val="21"/>
          <w:highlight w:val="none"/>
          <w14:textFill>
            <w14:solidFill>
              <w14:schemeClr w14:val="tx1"/>
            </w14:solidFill>
          </w14:textFill>
        </w:rPr>
        <w:t>磋商</w:t>
      </w:r>
      <w:r>
        <w:rPr>
          <w:rFonts w:hint="eastAsia" w:hAnsi="宋体" w:cs="Arial"/>
          <w:color w:val="000000" w:themeColor="text1"/>
          <w:kern w:val="2"/>
          <w:sz w:val="21"/>
          <w:highlight w:val="none"/>
          <w14:textFill>
            <w14:solidFill>
              <w14:schemeClr w14:val="tx1"/>
            </w14:solidFill>
          </w14:textFill>
        </w:rPr>
        <w:t>及</w:t>
      </w:r>
      <w:r>
        <w:rPr>
          <w:rFonts w:hAnsi="宋体" w:cs="Arial"/>
          <w:color w:val="000000" w:themeColor="text1"/>
          <w:kern w:val="2"/>
          <w:sz w:val="21"/>
          <w:highlight w:val="none"/>
          <w14:textFill>
            <w14:solidFill>
              <w14:schemeClr w14:val="tx1"/>
            </w14:solidFill>
          </w14:textFill>
        </w:rPr>
        <w:t>评审工作。</w:t>
      </w:r>
    </w:p>
    <w:p w14:paraId="110BE8FC">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20</w:t>
      </w:r>
      <w:r>
        <w:rPr>
          <w:rFonts w:hint="eastAsia" w:hAnsi="宋体"/>
          <w:color w:val="000000" w:themeColor="text1"/>
          <w:sz w:val="21"/>
          <w:highlight w:val="none"/>
          <w14:textFill>
            <w14:solidFill>
              <w14:schemeClr w14:val="tx1"/>
            </w14:solidFill>
          </w14:textFill>
        </w:rPr>
        <w:t>.2评审原则：评审活动遵循公平、公正、科学和择优的原则。</w:t>
      </w:r>
    </w:p>
    <w:p w14:paraId="10F5D009">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20</w:t>
      </w:r>
      <w:r>
        <w:rPr>
          <w:rFonts w:hint="eastAsia" w:hAnsi="宋体"/>
          <w:color w:val="000000" w:themeColor="text1"/>
          <w:sz w:val="21"/>
          <w:highlight w:val="none"/>
          <w14:textFill>
            <w14:solidFill>
              <w14:schemeClr w14:val="tx1"/>
            </w14:solidFill>
          </w14:textFill>
        </w:rPr>
        <w:t>.3评审方法：</w:t>
      </w:r>
      <w:r>
        <w:rPr>
          <w:rFonts w:hint="eastAsia" w:hAnsi="宋体" w:cs="Arial"/>
          <w:color w:val="000000" w:themeColor="text1"/>
          <w:kern w:val="2"/>
          <w:sz w:val="21"/>
          <w:highlight w:val="none"/>
          <w14:textFill>
            <w14:solidFill>
              <w14:schemeClr w14:val="tx1"/>
            </w14:solidFill>
          </w14:textFill>
        </w:rPr>
        <w:t>磋商</w:t>
      </w:r>
      <w:r>
        <w:rPr>
          <w:rFonts w:hAnsi="宋体" w:cs="Arial"/>
          <w:color w:val="000000" w:themeColor="text1"/>
          <w:kern w:val="2"/>
          <w:sz w:val="21"/>
          <w:highlight w:val="none"/>
          <w14:textFill>
            <w14:solidFill>
              <w14:schemeClr w14:val="tx1"/>
            </w14:solidFill>
          </w14:textFill>
        </w:rPr>
        <w:t>小组</w:t>
      </w:r>
      <w:r>
        <w:rPr>
          <w:rFonts w:hint="eastAsia" w:hAnsi="宋体" w:cs="Arial"/>
          <w:color w:val="000000" w:themeColor="text1"/>
          <w:kern w:val="2"/>
          <w:sz w:val="21"/>
          <w:highlight w:val="none"/>
          <w14:textFill>
            <w14:solidFill>
              <w14:schemeClr w14:val="tx1"/>
            </w14:solidFill>
          </w14:textFill>
        </w:rPr>
        <w:t>通过广西政府采购云平台实行在线评审响应文件。</w:t>
      </w:r>
      <w:r>
        <w:rPr>
          <w:rFonts w:hint="eastAsia" w:hAnsi="宋体"/>
          <w:color w:val="000000" w:themeColor="text1"/>
          <w:sz w:val="21"/>
          <w:highlight w:val="none"/>
          <w14:textFill>
            <w14:solidFill>
              <w14:schemeClr w14:val="tx1"/>
            </w14:solidFill>
          </w14:textFill>
        </w:rPr>
        <w:t>磋商小组按照供应商须知前附表和第四章“评审方法”规定的方法、评审因素和标准对响应文件进行评审。在评审中，不得改变第四章“评审方法”规定的方法、评审因素和标准；第四章“评审方法”没有规定的方法、评审因素和标准，不作为评审依据。</w:t>
      </w:r>
    </w:p>
    <w:p w14:paraId="413A9D7F">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20</w:t>
      </w:r>
      <w:r>
        <w:rPr>
          <w:rFonts w:hint="eastAsia" w:hAnsi="宋体"/>
          <w:color w:val="000000" w:themeColor="text1"/>
          <w:sz w:val="21"/>
          <w:highlight w:val="none"/>
          <w14:textFill>
            <w14:solidFill>
              <w14:schemeClr w14:val="tx1"/>
            </w14:solidFill>
          </w14:textFill>
        </w:rPr>
        <w:t>.4</w:t>
      </w:r>
      <w:r>
        <w:rPr>
          <w:rFonts w:hint="eastAsia" w:hAnsi="宋体"/>
          <w:bCs/>
          <w:color w:val="000000" w:themeColor="text1"/>
          <w:sz w:val="21"/>
          <w:highlight w:val="none"/>
          <w14:textFill>
            <w14:solidFill>
              <w14:schemeClr w14:val="tx1"/>
            </w14:solidFill>
          </w14:textFill>
        </w:rPr>
        <w:t>评审程序：</w:t>
      </w:r>
    </w:p>
    <w:p w14:paraId="00B8DBC5">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20</w:t>
      </w:r>
      <w:r>
        <w:rPr>
          <w:rFonts w:hint="eastAsia" w:hAnsi="宋体"/>
          <w:color w:val="000000" w:themeColor="text1"/>
          <w:sz w:val="21"/>
          <w:highlight w:val="none"/>
          <w14:textFill>
            <w14:solidFill>
              <w14:schemeClr w14:val="tx1"/>
            </w14:solidFill>
          </w14:textFill>
        </w:rPr>
        <w:t>.4.1</w:t>
      </w:r>
      <w:r>
        <w:rPr>
          <w:rFonts w:hint="eastAsia" w:hAnsi="宋体"/>
          <w:bCs/>
          <w:color w:val="000000" w:themeColor="text1"/>
          <w:sz w:val="21"/>
          <w:highlight w:val="none"/>
          <w14:textFill>
            <w14:solidFill>
              <w14:schemeClr w14:val="tx1"/>
            </w14:solidFill>
          </w14:textFill>
        </w:rPr>
        <w:t>采购代理机构项目负责人宣读评审会场纪律要求，集中管理通讯工具，询问在场人员是否申请回避。</w:t>
      </w:r>
    </w:p>
    <w:p w14:paraId="4ED3C4BF">
      <w:pPr>
        <w:pStyle w:val="23"/>
        <w:spacing w:line="360" w:lineRule="auto"/>
        <w:ind w:firstLine="420" w:firstLineChars="200"/>
        <w:rPr>
          <w:rFonts w:hAnsi="宋体"/>
          <w:bCs/>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20</w:t>
      </w:r>
      <w:r>
        <w:rPr>
          <w:rFonts w:hint="eastAsia" w:hAnsi="宋体"/>
          <w:color w:val="000000" w:themeColor="text1"/>
          <w:sz w:val="21"/>
          <w:highlight w:val="none"/>
          <w14:textFill>
            <w14:solidFill>
              <w14:schemeClr w14:val="tx1"/>
            </w14:solidFill>
          </w14:textFill>
        </w:rPr>
        <w:t>.4.2</w:t>
      </w:r>
      <w:r>
        <w:rPr>
          <w:rFonts w:hint="eastAsia" w:hAnsi="宋体"/>
          <w:bCs/>
          <w:color w:val="000000" w:themeColor="text1"/>
          <w:sz w:val="21"/>
          <w:highlight w:val="none"/>
          <w14:textFill>
            <w14:solidFill>
              <w14:schemeClr w14:val="tx1"/>
            </w14:solidFill>
          </w14:textFill>
        </w:rPr>
        <w:t>采购代理机构项目负责人介绍项目概况及磋商小组组成情况（但不得发表影响评审的倾向性、歧视性言论），推选磋商小组组长（原则上采购人不得担任磋商小组组长）。</w:t>
      </w:r>
    </w:p>
    <w:p w14:paraId="2D2FA55C">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20</w:t>
      </w:r>
      <w:r>
        <w:rPr>
          <w:rFonts w:hint="eastAsia" w:hAnsi="宋体"/>
          <w:color w:val="000000" w:themeColor="text1"/>
          <w:sz w:val="21"/>
          <w:highlight w:val="none"/>
          <w14:textFill>
            <w14:solidFill>
              <w14:schemeClr w14:val="tx1"/>
            </w14:solidFill>
          </w14:textFill>
        </w:rPr>
        <w:t>.4.3响应文件初审：初审分为资格性检查和符合性检查。</w:t>
      </w:r>
    </w:p>
    <w:p w14:paraId="17E794CA">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（1）资格性检查：依据法律法规和磋商文件的规定，对响应文件中的资格证明等进行审查，以确定供应商是否具备磋商资格。</w:t>
      </w:r>
    </w:p>
    <w:p w14:paraId="2A43BF1C">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（2）符合性检查：依据磋商文件的规定，从响应文件的有效性、完整性和对磋商文件的响应程度进行审查，以确定是否对磋商文件的实质性要求和条件作出响应。</w:t>
      </w:r>
    </w:p>
    <w:p w14:paraId="040751B8">
      <w:pPr>
        <w:spacing w:line="360" w:lineRule="auto"/>
        <w:ind w:firstLine="422"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特别说明：广西政府采购云平台公司如对电子化谈判及评审程序有调整的，按调整后的程序操作。</w:t>
      </w:r>
    </w:p>
    <w:p w14:paraId="27D6AA54">
      <w:pPr>
        <w:pStyle w:val="23"/>
        <w:spacing w:line="360" w:lineRule="auto"/>
        <w:ind w:firstLine="210" w:firstLineChars="10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 xml:space="preserve">  20</w:t>
      </w:r>
      <w:r>
        <w:rPr>
          <w:rFonts w:hint="eastAsia" w:hAnsi="宋体"/>
          <w:color w:val="000000" w:themeColor="text1"/>
          <w:sz w:val="21"/>
          <w:highlight w:val="none"/>
          <w14:textFill>
            <w14:solidFill>
              <w14:schemeClr w14:val="tx1"/>
            </w14:solidFill>
          </w14:textFill>
        </w:rPr>
        <w:t>.5为了有助于磋商文件的审查、评价和比较，磋商小组可以要求供应商澄清其响应文件。磋商小组和供应商应当通过广西政府采购云平台交换数据电文。给予供应商提交澄清说明或补正的时间不少于半小时，供应商已经明确表示澄清说明或补正完毕的除外。</w:t>
      </w:r>
    </w:p>
    <w:p w14:paraId="715131FA">
      <w:pPr>
        <w:pStyle w:val="23"/>
        <w:spacing w:line="360" w:lineRule="auto"/>
        <w:ind w:firstLine="210" w:firstLineChars="1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 xml:space="preserve"> 供应商通过广西政府采购云平台交换的数据电文必须进行电子签章，且不得超出响应文件的范围或者改变响应文件的实质性内容。该澄清、说明或者纠正是响应文件的组成部分。</w:t>
      </w:r>
    </w:p>
    <w:p w14:paraId="52F73F60">
      <w:pPr>
        <w:pStyle w:val="23"/>
        <w:spacing w:line="360" w:lineRule="auto"/>
        <w:ind w:firstLine="420" w:firstLineChars="200"/>
        <w:rPr>
          <w:rFonts w:hAnsi="宋体" w:cs="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20</w:t>
      </w:r>
      <w:r>
        <w:rPr>
          <w:rFonts w:hint="eastAsia" w:hAnsi="宋体"/>
          <w:color w:val="000000" w:themeColor="text1"/>
          <w:sz w:val="21"/>
          <w:highlight w:val="none"/>
          <w14:textFill>
            <w14:solidFill>
              <w14:schemeClr w14:val="tx1"/>
            </w14:solidFill>
          </w14:textFill>
        </w:rPr>
        <w:t>.5.1确定参加磋商的供应商名单。磋商小组将所有通过资格性审查及符合性审查的供应商确定为参加磋商的供应商。</w:t>
      </w:r>
      <w:r>
        <w:rPr>
          <w:rFonts w:hint="eastAsia" w:hAnsi="宋体" w:cs="宋体"/>
          <w:color w:val="000000" w:themeColor="text1"/>
          <w:sz w:val="21"/>
          <w:highlight w:val="none"/>
          <w14:textFill>
            <w14:solidFill>
              <w14:schemeClr w14:val="tx1"/>
            </w14:solidFill>
          </w14:textFill>
        </w:rPr>
        <w:t xml:space="preserve"> </w:t>
      </w:r>
    </w:p>
    <w:p w14:paraId="724733F1">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20.5.2采购过程中出现以下情形，导致电子交易平台无法正常运行，或者无法保证电子交易的公平、公正和安全时，采购组织机构可中止电子交易活动：</w:t>
      </w:r>
    </w:p>
    <w:p w14:paraId="30A09E3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20.5.3电子交易平台发生故障而无法登录访问的； </w:t>
      </w:r>
    </w:p>
    <w:p w14:paraId="1CE33D0A">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20.5.4电子交易平台应用或数据库出现错误，不能进行正常操作的；</w:t>
      </w:r>
    </w:p>
    <w:p w14:paraId="54A968E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20.5.5电子交易平台发现严重安全漏洞，有潜在泄密危险的；</w:t>
      </w:r>
    </w:p>
    <w:p w14:paraId="022AF9B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20.5.6病毒发作导致不能进行正常操作的； </w:t>
      </w:r>
    </w:p>
    <w:p w14:paraId="45BB4629">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20.5.7其他无法保证电子交易的公平、公正和安全的情况。</w:t>
      </w:r>
    </w:p>
    <w:p w14:paraId="3C7F7AD3">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20</w:t>
      </w:r>
      <w:r>
        <w:rPr>
          <w:rFonts w:hint="eastAsia" w:hAnsi="宋体" w:cs="宋体"/>
          <w:color w:val="000000" w:themeColor="text1"/>
          <w:sz w:val="21"/>
          <w:highlight w:val="none"/>
          <w14:textFill>
            <w14:solidFill>
              <w14:schemeClr w14:val="tx1"/>
            </w14:solidFill>
          </w14:textFill>
        </w:rPr>
        <w:t>.5.8</w:t>
      </w:r>
      <w:r>
        <w:rPr>
          <w:rFonts w:hint="eastAsia" w:hAnsi="宋体" w:cs="宋体"/>
          <w:color w:val="000000" w:themeColor="text1"/>
          <w:kern w:val="2"/>
          <w:sz w:val="21"/>
          <w:highlight w:val="none"/>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14:paraId="0197B8AA">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20</w:t>
      </w:r>
      <w:r>
        <w:rPr>
          <w:rFonts w:hint="eastAsia" w:hAnsi="宋体"/>
          <w:color w:val="000000" w:themeColor="text1"/>
          <w:sz w:val="21"/>
          <w:highlight w:val="none"/>
          <w14:textFill>
            <w14:solidFill>
              <w14:schemeClr w14:val="tx1"/>
            </w14:solidFill>
          </w14:textFill>
        </w:rPr>
        <w:t>.6报价。</w:t>
      </w:r>
    </w:p>
    <w:p w14:paraId="3493F43A">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20</w:t>
      </w:r>
      <w:r>
        <w:rPr>
          <w:rFonts w:hint="eastAsia" w:hAnsi="宋体"/>
          <w:color w:val="000000" w:themeColor="text1"/>
          <w:sz w:val="21"/>
          <w:highlight w:val="none"/>
          <w14:textFill>
            <w14:solidFill>
              <w14:schemeClr w14:val="tx1"/>
            </w14:solidFill>
          </w14:textFill>
        </w:rPr>
        <w:t>.6.1代理机构开启报价文件，供应商对报价记录表进行确认，如对报价记录表无异议，供应商对报价记录表进行CA签章。如供应商对报价记录表有异议，先申请异议后再进行CA签章。</w:t>
      </w:r>
    </w:p>
    <w:p w14:paraId="2B0D1DD4">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20</w:t>
      </w:r>
      <w:r>
        <w:rPr>
          <w:rFonts w:hint="eastAsia" w:hAnsi="宋体"/>
          <w:color w:val="000000" w:themeColor="text1"/>
          <w:sz w:val="21"/>
          <w:highlight w:val="none"/>
          <w14:textFill>
            <w14:solidFill>
              <w14:schemeClr w14:val="tx1"/>
            </w14:solidFill>
          </w14:textFill>
        </w:rPr>
        <w:t>.6.2报价确认：如供应商确认报价记录表无异议，点击【报价确认】，进行签章；如供应商对报价记录表有异议，供应商先点击【报价异议】，选择【有异议】并填写异议说明后，再点击【报价确认】对报价记录表进行签章。</w:t>
      </w:r>
    </w:p>
    <w:p w14:paraId="313E1B4E">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20</w:t>
      </w:r>
      <w:r>
        <w:rPr>
          <w:rFonts w:hint="eastAsia" w:hAnsi="宋体"/>
          <w:color w:val="000000" w:themeColor="text1"/>
          <w:sz w:val="21"/>
          <w:highlight w:val="none"/>
          <w14:textFill>
            <w14:solidFill>
              <w14:schemeClr w14:val="tx1"/>
            </w14:solidFill>
          </w14:textFill>
        </w:rPr>
        <w:t>.6.3查看报价列表：可放大查看报价列表。</w:t>
      </w:r>
    </w:p>
    <w:p w14:paraId="36AA53E5">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20</w:t>
      </w:r>
      <w:r>
        <w:rPr>
          <w:rFonts w:hint="eastAsia" w:hAnsi="宋体"/>
          <w:color w:val="000000" w:themeColor="text1"/>
          <w:sz w:val="21"/>
          <w:highlight w:val="none"/>
          <w14:textFill>
            <w14:solidFill>
              <w14:schemeClr w14:val="tx1"/>
            </w14:solidFill>
          </w14:textFill>
        </w:rPr>
        <w:t>.6.4报价确认：代理机构开启签字时段后，供应商才可对报价记录表进行CA签字确认。</w:t>
      </w:r>
    </w:p>
    <w:p w14:paraId="3F613E23">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20</w:t>
      </w:r>
      <w:r>
        <w:rPr>
          <w:rFonts w:hint="eastAsia" w:hAnsi="宋体"/>
          <w:color w:val="000000" w:themeColor="text1"/>
          <w:sz w:val="21"/>
          <w:highlight w:val="none"/>
          <w14:textFill>
            <w14:solidFill>
              <w14:schemeClr w14:val="tx1"/>
            </w14:solidFill>
          </w14:textFill>
        </w:rPr>
        <w:t>.6.5查看联合体供应商：若是联合体供应商，在供应商名称左侧展示“联*”表示联合体供应商以及家数（不包括主供应商），将鼠标停留在“联”上可查看联合供应商的名称。</w:t>
      </w:r>
    </w:p>
    <w:p w14:paraId="1099A0E1">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20</w:t>
      </w:r>
      <w:r>
        <w:rPr>
          <w:rFonts w:hint="eastAsia" w:hAnsi="宋体"/>
          <w:color w:val="000000" w:themeColor="text1"/>
          <w:sz w:val="21"/>
          <w:highlight w:val="none"/>
          <w14:textFill>
            <w14:solidFill>
              <w14:schemeClr w14:val="tx1"/>
            </w14:solidFill>
          </w14:textFill>
        </w:rPr>
        <w:t>.6.6填写姓名：填写授权委托人的姓名，确认签字后，系统会自动录入该姓名的系统字体。</w:t>
      </w:r>
    </w:p>
    <w:p w14:paraId="70BD9B3F">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20</w:t>
      </w:r>
      <w:r>
        <w:rPr>
          <w:rFonts w:hint="eastAsia" w:hAnsi="宋体"/>
          <w:color w:val="000000" w:themeColor="text1"/>
          <w:sz w:val="21"/>
          <w:highlight w:val="none"/>
          <w14:textFill>
            <w14:solidFill>
              <w14:schemeClr w14:val="tx1"/>
            </w14:solidFill>
          </w14:textFill>
        </w:rPr>
        <w:t>.6.7签字完成：等待评审小组对报价进行评审。</w:t>
      </w:r>
    </w:p>
    <w:p w14:paraId="34F9B2FA">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20</w:t>
      </w:r>
      <w:r>
        <w:rPr>
          <w:rFonts w:hint="eastAsia" w:hAnsi="宋体"/>
          <w:color w:val="000000" w:themeColor="text1"/>
          <w:sz w:val="21"/>
          <w:highlight w:val="none"/>
          <w14:textFill>
            <w14:solidFill>
              <w14:schemeClr w14:val="tx1"/>
            </w14:solidFill>
          </w14:textFill>
        </w:rPr>
        <w:t>.7在线多轮报价。</w:t>
      </w:r>
    </w:p>
    <w:p w14:paraId="6A53FAA8">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20</w:t>
      </w:r>
      <w:r>
        <w:rPr>
          <w:rFonts w:hint="eastAsia" w:hAnsi="宋体"/>
          <w:color w:val="000000" w:themeColor="text1"/>
          <w:sz w:val="21"/>
          <w:highlight w:val="none"/>
          <w14:textFill>
            <w14:solidFill>
              <w14:schemeClr w14:val="tx1"/>
            </w14:solidFill>
          </w14:textFill>
        </w:rPr>
        <w:t>.7.1参与报价：采购组织机构在平台开启新一轮报价，供应商点击【报价】，参与报价。</w:t>
      </w:r>
    </w:p>
    <w:p w14:paraId="32C3F711">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20</w:t>
      </w:r>
      <w:r>
        <w:rPr>
          <w:rFonts w:hint="eastAsia" w:hAnsi="宋体"/>
          <w:color w:val="000000" w:themeColor="text1"/>
          <w:sz w:val="21"/>
          <w:highlight w:val="none"/>
          <w14:textFill>
            <w14:solidFill>
              <w14:schemeClr w14:val="tx1"/>
            </w14:solidFill>
          </w14:textFill>
        </w:rPr>
        <w:t>.7.2参与报价：在报价页面填写最终报价、项目负责人等信息，生成报价文件。</w:t>
      </w:r>
    </w:p>
    <w:p w14:paraId="22EA2091">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注意：查看报价轮次：当前报价轮次，若是最后一轮，会有标志显示“最终轮”；如未标记则表示非最终轮。查看本轮报价剩余的时间：若在报价截止时间前未参与报价，则报价无效，其电子响应文件作无效处理。</w:t>
      </w:r>
    </w:p>
    <w:p w14:paraId="0AF028E8">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20</w:t>
      </w:r>
      <w:r>
        <w:rPr>
          <w:rFonts w:hint="eastAsia" w:hAnsi="宋体"/>
          <w:color w:val="000000" w:themeColor="text1"/>
          <w:sz w:val="21"/>
          <w:highlight w:val="none"/>
          <w14:textFill>
            <w14:solidFill>
              <w14:schemeClr w14:val="tx1"/>
            </w14:solidFill>
          </w14:textFill>
        </w:rPr>
        <w:t>.7.3报价文件签章：生成报价文件后，供应商需报价文件进行CA签章。CA签章：供应商确认报价文件无误后，在电脑上插入CA锁，对报价文件进行签章。修改报价文件：生成报价文件后，报价栏内容都置灰色，无法编辑，如供应商需要修改，可点击【重新编辑】，进行修改。</w:t>
      </w:r>
    </w:p>
    <w:p w14:paraId="3A5DF1AC">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查看文件：供应商点击【查看文件】，可查看本轮次生成的报价文件。</w:t>
      </w:r>
    </w:p>
    <w:p w14:paraId="410D1F76">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20</w:t>
      </w:r>
      <w:r>
        <w:rPr>
          <w:rFonts w:hint="eastAsia" w:hAnsi="宋体"/>
          <w:color w:val="000000" w:themeColor="text1"/>
          <w:sz w:val="21"/>
          <w:highlight w:val="none"/>
          <w14:textFill>
            <w14:solidFill>
              <w14:schemeClr w14:val="tx1"/>
            </w14:solidFill>
          </w14:textFill>
        </w:rPr>
        <w:t>.7.4提交报价文件：确认报价文件后，点击右上角【提交】，提交报价文件。</w:t>
      </w:r>
    </w:p>
    <w:p w14:paraId="2F7CD2C0">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20</w:t>
      </w:r>
      <w:r>
        <w:rPr>
          <w:rFonts w:hint="eastAsia" w:hAnsi="宋体"/>
          <w:color w:val="000000" w:themeColor="text1"/>
          <w:sz w:val="21"/>
          <w:highlight w:val="none"/>
          <w14:textFill>
            <w14:solidFill>
              <w14:schemeClr w14:val="tx1"/>
            </w14:solidFill>
          </w14:textFill>
        </w:rPr>
        <w:t>.7.5如供应商未对报价文件签章，提交时，弹框提醒“报价文件未签章，请进行签章操作”，供应商在：章后再进行提交。</w:t>
      </w:r>
    </w:p>
    <w:p w14:paraId="62ADE444">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20</w:t>
      </w:r>
      <w:r>
        <w:rPr>
          <w:rFonts w:hint="eastAsia" w:hAnsi="宋体"/>
          <w:color w:val="000000" w:themeColor="text1"/>
          <w:sz w:val="21"/>
          <w:highlight w:val="none"/>
          <w14:textFill>
            <w14:solidFill>
              <w14:schemeClr w14:val="tx1"/>
            </w14:solidFill>
          </w14:textFill>
        </w:rPr>
        <w:t>.7.6若是联合投标的供应商，在对应的供应商名称右边显示“联合*家投标”（不包含主供应商），供应商将鼠标停留在该文字上，可查看具体联合的两家供应商名称。</w:t>
      </w:r>
    </w:p>
    <w:p w14:paraId="441B00B6">
      <w:pPr>
        <w:pStyle w:val="23"/>
        <w:spacing w:line="360" w:lineRule="auto"/>
        <w:ind w:firstLine="422" w:firstLineChars="200"/>
        <w:rPr>
          <w:rFonts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注意：采购组织机构在平台开启新一轮报价（最终报价）时间为20分钟，供应商需时时关注短信通知并时常刷新系统界面，在规定时间内进行最终报价，如超时未报价成功所导致的一切后果由供应商自行负责。</w:t>
      </w:r>
    </w:p>
    <w:p w14:paraId="5AF71132">
      <w:pPr>
        <w:tabs>
          <w:tab w:val="left" w:pos="720"/>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20.8磋商小组将只对确定为实质上响应磋商文件要求的响应文件、澄清和最后报价等内容进行详细评审，按第四章评审方法进行综合比较和评价。</w:t>
      </w:r>
    </w:p>
    <w:p w14:paraId="535B8527">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20</w:t>
      </w:r>
      <w:r>
        <w:rPr>
          <w:rFonts w:hint="eastAsia" w:hAnsi="宋体"/>
          <w:color w:val="000000" w:themeColor="text1"/>
          <w:sz w:val="21"/>
          <w:highlight w:val="none"/>
          <w14:textFill>
            <w14:solidFill>
              <w14:schemeClr w14:val="tx1"/>
            </w14:solidFill>
          </w14:textFill>
        </w:rPr>
        <w:t>.9采购代理机构对评审过程和评分、评审结论进行核对和复核，如有错漏，请当事评委进行校正，按校正后的结果确定成交供应商。</w:t>
      </w:r>
    </w:p>
    <w:p w14:paraId="791008C6">
      <w:pPr>
        <w:pStyle w:val="23"/>
        <w:spacing w:line="360" w:lineRule="auto"/>
        <w:ind w:firstLine="420" w:firstLineChars="200"/>
        <w:rPr>
          <w:rFonts w:hAnsi="宋体"/>
          <w:bCs/>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20</w:t>
      </w:r>
      <w:r>
        <w:rPr>
          <w:rFonts w:hint="eastAsia" w:hAnsi="宋体"/>
          <w:color w:val="000000" w:themeColor="text1"/>
          <w:sz w:val="21"/>
          <w:highlight w:val="none"/>
          <w14:textFill>
            <w14:solidFill>
              <w14:schemeClr w14:val="tx1"/>
            </w14:solidFill>
          </w14:textFill>
        </w:rPr>
        <w:t>.10评审过程的保密。评审在严格保密的情况下进行，任何单位和个人不得非法干预、影响评审方法的确定，以及评审过程和结果。磋商小组成员和参与评审的有关工作人员不得透露对响应文件的评审和比较、成交候选人的推荐情况以及与评审有关的其他情况。</w:t>
      </w:r>
    </w:p>
    <w:p w14:paraId="772D8B70">
      <w:pPr>
        <w:pStyle w:val="23"/>
        <w:tabs>
          <w:tab w:val="left" w:pos="420"/>
        </w:tabs>
        <w:spacing w:line="360" w:lineRule="auto"/>
        <w:jc w:val="left"/>
        <w:rPr>
          <w:rFonts w:hAnsi="宋体"/>
          <w:b/>
          <w:bCs/>
          <w:color w:val="000000" w:themeColor="text1"/>
          <w:sz w:val="21"/>
          <w:highlight w:val="none"/>
          <w14:textFill>
            <w14:solidFill>
              <w14:schemeClr w14:val="tx1"/>
            </w14:solidFill>
          </w14:textFill>
        </w:rPr>
      </w:pPr>
      <w:r>
        <w:rPr>
          <w:rFonts w:hAnsi="宋体"/>
          <w:b/>
          <w:bCs/>
          <w:color w:val="000000" w:themeColor="text1"/>
          <w:sz w:val="21"/>
          <w:highlight w:val="none"/>
          <w14:textFill>
            <w14:solidFill>
              <w14:schemeClr w14:val="tx1"/>
            </w14:solidFill>
          </w14:textFill>
        </w:rPr>
        <w:t>21</w:t>
      </w:r>
      <w:r>
        <w:rPr>
          <w:rFonts w:hint="eastAsia" w:hAnsi="宋体"/>
          <w:b/>
          <w:bCs/>
          <w:color w:val="000000" w:themeColor="text1"/>
          <w:sz w:val="21"/>
          <w:highlight w:val="none"/>
          <w14:textFill>
            <w14:solidFill>
              <w14:schemeClr w14:val="tx1"/>
            </w14:solidFill>
          </w14:textFill>
        </w:rPr>
        <w:t>.响应文件的修正</w:t>
      </w:r>
    </w:p>
    <w:p w14:paraId="294B3D1A">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21</w:t>
      </w:r>
      <w:r>
        <w:rPr>
          <w:rFonts w:hint="eastAsia" w:hAnsi="宋体"/>
          <w:color w:val="000000" w:themeColor="text1"/>
          <w:sz w:val="21"/>
          <w:highlight w:val="none"/>
          <w14:textFill>
            <w14:solidFill>
              <w14:schemeClr w14:val="tx1"/>
            </w14:solidFill>
          </w14:textFill>
        </w:rPr>
        <w:t>.1如果出现计算或表达上的错误，修正的原则如下：</w:t>
      </w:r>
    </w:p>
    <w:p w14:paraId="4673DA33">
      <w:pPr>
        <w:pStyle w:val="23"/>
        <w:spacing w:line="360" w:lineRule="auto"/>
        <w:ind w:firstLine="420" w:firstLineChars="200"/>
        <w:rPr>
          <w:rFonts w:hAnsi="宋体"/>
          <w:bCs/>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（1）响应文件中响应函内容与响应报价表内容不一致的，以响应函为准；</w:t>
      </w:r>
    </w:p>
    <w:p w14:paraId="6586A281">
      <w:pPr>
        <w:pStyle w:val="23"/>
        <w:spacing w:line="360" w:lineRule="auto"/>
        <w:ind w:firstLine="420" w:firstLineChars="200"/>
        <w:rPr>
          <w:rFonts w:hAnsi="宋体"/>
          <w:bCs/>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（2）响应文件的大写金额和小写金额不一致的，以大写金额为准；</w:t>
      </w:r>
    </w:p>
    <w:p w14:paraId="79150FBE">
      <w:pPr>
        <w:pStyle w:val="23"/>
        <w:spacing w:line="360" w:lineRule="auto"/>
        <w:ind w:firstLine="420" w:firstLineChars="200"/>
        <w:rPr>
          <w:rFonts w:hAnsi="宋体"/>
          <w:bCs/>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（3）总价金额与按单价汇总金额不一致的，以单价金额计算结果为准；</w:t>
      </w:r>
    </w:p>
    <w:p w14:paraId="3809E6E8">
      <w:pPr>
        <w:pStyle w:val="23"/>
        <w:spacing w:line="360" w:lineRule="auto"/>
        <w:ind w:firstLine="420" w:firstLineChars="200"/>
        <w:rPr>
          <w:rFonts w:hAnsi="宋体"/>
          <w:bCs/>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（4）单价金额小数点有明显错位的，应以总价为准，并修改单价。</w:t>
      </w:r>
    </w:p>
    <w:p w14:paraId="6EEC27EC">
      <w:pPr>
        <w:pStyle w:val="23"/>
        <w:spacing w:line="360" w:lineRule="auto"/>
        <w:ind w:firstLine="420" w:firstLineChars="200"/>
        <w:rPr>
          <w:rFonts w:hAnsi="宋体"/>
          <w:b/>
          <w:bCs/>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21</w:t>
      </w:r>
      <w:r>
        <w:rPr>
          <w:rFonts w:hint="eastAsia" w:hAnsi="宋体"/>
          <w:color w:val="000000" w:themeColor="text1"/>
          <w:sz w:val="21"/>
          <w:highlight w:val="none"/>
          <w14:textFill>
            <w14:solidFill>
              <w14:schemeClr w14:val="tx1"/>
            </w14:solidFill>
          </w14:textFill>
        </w:rPr>
        <w:t>.2按上述修正原则修正后的响应报价经供应商在广西政府采购云平台确认后对供应商具有约束力。如果供应商不接受修正后的响应报价，则其响应无效。</w:t>
      </w:r>
    </w:p>
    <w:p w14:paraId="74C47A2C">
      <w:pPr>
        <w:pStyle w:val="23"/>
        <w:tabs>
          <w:tab w:val="left" w:pos="420"/>
        </w:tabs>
        <w:spacing w:line="360" w:lineRule="auto"/>
        <w:jc w:val="left"/>
        <w:rPr>
          <w:rFonts w:hAnsi="宋体"/>
          <w:b/>
          <w:bCs/>
          <w:color w:val="000000" w:themeColor="text1"/>
          <w:sz w:val="21"/>
          <w:highlight w:val="none"/>
          <w14:textFill>
            <w14:solidFill>
              <w14:schemeClr w14:val="tx1"/>
            </w14:solidFill>
          </w14:textFill>
        </w:rPr>
      </w:pPr>
      <w:r>
        <w:rPr>
          <w:rFonts w:hint="eastAsia" w:hAnsi="宋体"/>
          <w:b/>
          <w:bCs/>
          <w:color w:val="000000" w:themeColor="text1"/>
          <w:sz w:val="21"/>
          <w:highlight w:val="none"/>
          <w14:textFill>
            <w14:solidFill>
              <w14:schemeClr w14:val="tx1"/>
            </w14:solidFill>
          </w14:textFill>
        </w:rPr>
        <w:t>2</w:t>
      </w:r>
      <w:r>
        <w:rPr>
          <w:rFonts w:hAnsi="宋体"/>
          <w:b/>
          <w:bCs/>
          <w:color w:val="000000" w:themeColor="text1"/>
          <w:sz w:val="21"/>
          <w:highlight w:val="none"/>
          <w14:textFill>
            <w14:solidFill>
              <w14:schemeClr w14:val="tx1"/>
            </w14:solidFill>
          </w14:textFill>
        </w:rPr>
        <w:t>2</w:t>
      </w:r>
      <w:r>
        <w:rPr>
          <w:rFonts w:hint="eastAsia" w:hAnsi="宋体"/>
          <w:b/>
          <w:bCs/>
          <w:color w:val="000000" w:themeColor="text1"/>
          <w:sz w:val="21"/>
          <w:highlight w:val="none"/>
          <w14:textFill>
            <w14:solidFill>
              <w14:schemeClr w14:val="tx1"/>
            </w14:solidFill>
          </w14:textFill>
        </w:rPr>
        <w:t>.无效响应</w:t>
      </w:r>
    </w:p>
    <w:p w14:paraId="308FEA7D">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属下列情形之一的，供应商的响应无效：</w:t>
      </w:r>
    </w:p>
    <w:p w14:paraId="1C2384AB">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（1）供应商不具备供应商资格要求的；</w:t>
      </w:r>
    </w:p>
    <w:p w14:paraId="19A563FF">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 xml:space="preserve">（2）响应文件未规定标识或未按规定上传的； </w:t>
      </w:r>
    </w:p>
    <w:p w14:paraId="78F9F93C">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（3）响应文件未按规定编写和提交的（包括缺少应提交的文件或格式不符合第五章“响应文件格式”的要求）；</w:t>
      </w:r>
    </w:p>
    <w:p w14:paraId="28DB7D91">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（4）响应报价不符或超过采购预算的或磋商小组认定低于成本报价的；</w:t>
      </w:r>
    </w:p>
    <w:p w14:paraId="076CE671">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（5）响应文件未对竞争性磋商文件提出的要求和条件作出实质性响应的；</w:t>
      </w:r>
    </w:p>
    <w:p w14:paraId="77D12A74">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（6）磋商小组认为响应文件存在严重负偏离或</w:t>
      </w:r>
      <w:r>
        <w:rPr>
          <w:rFonts w:hint="eastAsia" w:hAnsi="宋体"/>
          <w:bCs/>
          <w:color w:val="000000" w:themeColor="text1"/>
          <w:sz w:val="21"/>
          <w:highlight w:val="none"/>
          <w14:textFill>
            <w14:solidFill>
              <w14:schemeClr w14:val="tx1"/>
            </w14:solidFill>
          </w14:textFill>
        </w:rPr>
        <w:t>私自更改本竞争性磋商文件中内容的</w:t>
      </w:r>
      <w:r>
        <w:rPr>
          <w:rFonts w:hint="eastAsia" w:hAnsi="宋体"/>
          <w:color w:val="000000" w:themeColor="text1"/>
          <w:sz w:val="21"/>
          <w:highlight w:val="none"/>
          <w14:textFill>
            <w14:solidFill>
              <w14:schemeClr w14:val="tx1"/>
            </w14:solidFill>
          </w14:textFill>
        </w:rPr>
        <w:t>；</w:t>
      </w:r>
    </w:p>
    <w:p w14:paraId="2E56A731">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（7）响应文件附有采购需求以外的条件使磋商小组认为不能接受的；</w:t>
      </w:r>
    </w:p>
    <w:p w14:paraId="4D58D0CD">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（8）供应商在磋商过程中提供虚假材料的。</w:t>
      </w:r>
    </w:p>
    <w:p w14:paraId="634F25AE">
      <w:pPr>
        <w:pStyle w:val="119"/>
        <w:widowControl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（9）响应文件含有违反国家法律、法规的内容。</w:t>
      </w:r>
    </w:p>
    <w:p w14:paraId="6E6582EA">
      <w:pPr>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供应商响应无效的，磋商小组应当告知有关供应商。</w:t>
      </w:r>
      <w:r>
        <w:rPr>
          <w:rFonts w:hint="eastAsia" w:ascii="宋体" w:hAnsi="宋体" w:cs="宋体"/>
          <w:color w:val="000000" w:themeColor="text1"/>
          <w:kern w:val="0"/>
          <w:szCs w:val="21"/>
          <w:highlight w:val="none"/>
          <w14:textFill>
            <w14:solidFill>
              <w14:schemeClr w14:val="tx1"/>
            </w14:solidFill>
          </w14:textFill>
        </w:rPr>
        <w:t xml:space="preserve"> </w:t>
      </w:r>
    </w:p>
    <w:p w14:paraId="475C2AC4">
      <w:pPr>
        <w:pStyle w:val="23"/>
        <w:tabs>
          <w:tab w:val="left" w:pos="420"/>
        </w:tabs>
        <w:spacing w:line="360" w:lineRule="auto"/>
        <w:jc w:val="left"/>
        <w:rPr>
          <w:rFonts w:hAnsi="宋体"/>
          <w:b/>
          <w:bCs/>
          <w:color w:val="000000" w:themeColor="text1"/>
          <w:sz w:val="21"/>
          <w:highlight w:val="none"/>
          <w14:textFill>
            <w14:solidFill>
              <w14:schemeClr w14:val="tx1"/>
            </w14:solidFill>
          </w14:textFill>
        </w:rPr>
      </w:pPr>
      <w:r>
        <w:rPr>
          <w:rFonts w:hint="eastAsia" w:hAnsi="宋体"/>
          <w:b/>
          <w:bCs/>
          <w:color w:val="000000" w:themeColor="text1"/>
          <w:sz w:val="21"/>
          <w:highlight w:val="none"/>
          <w14:textFill>
            <w14:solidFill>
              <w14:schemeClr w14:val="tx1"/>
            </w14:solidFill>
          </w14:textFill>
        </w:rPr>
        <w:t>2</w:t>
      </w:r>
      <w:r>
        <w:rPr>
          <w:rFonts w:hAnsi="宋体"/>
          <w:b/>
          <w:bCs/>
          <w:color w:val="000000" w:themeColor="text1"/>
          <w:sz w:val="21"/>
          <w:highlight w:val="none"/>
          <w14:textFill>
            <w14:solidFill>
              <w14:schemeClr w14:val="tx1"/>
            </w14:solidFill>
          </w14:textFill>
        </w:rPr>
        <w:t>3</w:t>
      </w:r>
      <w:r>
        <w:rPr>
          <w:rFonts w:hint="eastAsia" w:hAnsi="宋体"/>
          <w:b/>
          <w:bCs/>
          <w:color w:val="000000" w:themeColor="text1"/>
          <w:sz w:val="21"/>
          <w:highlight w:val="none"/>
          <w14:textFill>
            <w14:solidFill>
              <w14:schemeClr w14:val="tx1"/>
            </w14:solidFill>
          </w14:textFill>
        </w:rPr>
        <w:t>.</w:t>
      </w:r>
      <w:r>
        <w:rPr>
          <w:rFonts w:hAnsi="宋体"/>
          <w:b/>
          <w:bCs/>
          <w:color w:val="000000" w:themeColor="text1"/>
          <w:sz w:val="21"/>
          <w:highlight w:val="none"/>
          <w14:textFill>
            <w14:solidFill>
              <w14:schemeClr w14:val="tx1"/>
            </w14:solidFill>
          </w14:textFill>
        </w:rPr>
        <w:t>有下列情形之一的视为</w:t>
      </w:r>
      <w:r>
        <w:rPr>
          <w:rFonts w:hint="eastAsia" w:hAnsi="宋体"/>
          <w:b/>
          <w:bCs/>
          <w:color w:val="000000" w:themeColor="text1"/>
          <w:sz w:val="21"/>
          <w:highlight w:val="none"/>
          <w14:textFill>
            <w14:solidFill>
              <w14:schemeClr w14:val="tx1"/>
            </w14:solidFill>
          </w14:textFill>
        </w:rPr>
        <w:t>供应商</w:t>
      </w:r>
      <w:r>
        <w:rPr>
          <w:rFonts w:hAnsi="宋体"/>
          <w:b/>
          <w:bCs/>
          <w:color w:val="000000" w:themeColor="text1"/>
          <w:sz w:val="21"/>
          <w:highlight w:val="none"/>
          <w14:textFill>
            <w14:solidFill>
              <w14:schemeClr w14:val="tx1"/>
            </w14:solidFill>
          </w14:textFill>
        </w:rPr>
        <w:t>相互串通</w:t>
      </w:r>
      <w:r>
        <w:rPr>
          <w:rFonts w:hint="eastAsia" w:hAnsi="宋体"/>
          <w:b/>
          <w:bCs/>
          <w:color w:val="000000" w:themeColor="text1"/>
          <w:sz w:val="21"/>
          <w:highlight w:val="none"/>
          <w14:textFill>
            <w14:solidFill>
              <w14:schemeClr w14:val="tx1"/>
            </w14:solidFill>
          </w14:textFill>
        </w:rPr>
        <w:t>投标</w:t>
      </w:r>
      <w:r>
        <w:rPr>
          <w:rFonts w:hAnsi="宋体"/>
          <w:b/>
          <w:bCs/>
          <w:color w:val="000000" w:themeColor="text1"/>
          <w:sz w:val="21"/>
          <w:highlight w:val="none"/>
          <w14:textFill>
            <w14:solidFill>
              <w14:schemeClr w14:val="tx1"/>
            </w14:solidFill>
          </w14:textFill>
        </w:rPr>
        <w:t>，</w:t>
      </w:r>
      <w:r>
        <w:rPr>
          <w:rFonts w:hint="eastAsia" w:hAnsi="宋体"/>
          <w:b/>
          <w:bCs/>
          <w:color w:val="000000" w:themeColor="text1"/>
          <w:sz w:val="21"/>
          <w:highlight w:val="none"/>
          <w14:textFill>
            <w14:solidFill>
              <w14:schemeClr w14:val="tx1"/>
            </w14:solidFill>
          </w14:textFill>
        </w:rPr>
        <w:t>响应</w:t>
      </w:r>
      <w:r>
        <w:rPr>
          <w:rFonts w:hAnsi="宋体"/>
          <w:b/>
          <w:bCs/>
          <w:color w:val="000000" w:themeColor="text1"/>
          <w:sz w:val="21"/>
          <w:highlight w:val="none"/>
          <w14:textFill>
            <w14:solidFill>
              <w14:schemeClr w14:val="tx1"/>
            </w14:solidFill>
          </w14:textFill>
        </w:rPr>
        <w:t xml:space="preserve">文件将被视为无效： </w:t>
      </w:r>
    </w:p>
    <w:p w14:paraId="35E18070">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23.1不同供应商的响应文件由同一个单位或者个人编制；或不同供应商报名的IP地址一致的； </w:t>
      </w:r>
    </w:p>
    <w:p w14:paraId="27091D5C">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23.2不同供应商委托同一单位或者个人办理投标事宜；</w:t>
      </w:r>
    </w:p>
    <w:p w14:paraId="23B80FA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23.3不同的供应商的响应文件载明的项目管理员为同一个人；</w:t>
      </w:r>
    </w:p>
    <w:p w14:paraId="673CC969">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23.4不同供应商的响应文件异常一致或投标报价呈规律性差异；</w:t>
      </w:r>
    </w:p>
    <w:p w14:paraId="2207C240">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23.5不同供应商的响应文件相互混装；</w:t>
      </w:r>
    </w:p>
    <w:p w14:paraId="1EB3C374">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23.6不同供应商的磋商保证金从同一单位或者个人账户转出。</w:t>
      </w:r>
    </w:p>
    <w:p w14:paraId="715E0770">
      <w:pPr>
        <w:pStyle w:val="23"/>
        <w:tabs>
          <w:tab w:val="left" w:pos="420"/>
        </w:tabs>
        <w:spacing w:line="360" w:lineRule="auto"/>
        <w:jc w:val="left"/>
        <w:rPr>
          <w:rFonts w:hAnsi="宋体"/>
          <w:b/>
          <w:bCs/>
          <w:color w:val="000000" w:themeColor="text1"/>
          <w:sz w:val="21"/>
          <w:highlight w:val="none"/>
          <w14:textFill>
            <w14:solidFill>
              <w14:schemeClr w14:val="tx1"/>
            </w14:solidFill>
          </w14:textFill>
        </w:rPr>
      </w:pPr>
      <w:r>
        <w:rPr>
          <w:rFonts w:hint="eastAsia" w:hAnsi="宋体"/>
          <w:b/>
          <w:bCs/>
          <w:color w:val="000000" w:themeColor="text1"/>
          <w:sz w:val="21"/>
          <w:highlight w:val="none"/>
          <w14:textFill>
            <w14:solidFill>
              <w14:schemeClr w14:val="tx1"/>
            </w14:solidFill>
          </w14:textFill>
        </w:rPr>
        <w:t>2</w:t>
      </w:r>
      <w:r>
        <w:rPr>
          <w:rFonts w:hAnsi="宋体"/>
          <w:b/>
          <w:bCs/>
          <w:color w:val="000000" w:themeColor="text1"/>
          <w:sz w:val="21"/>
          <w:highlight w:val="none"/>
          <w14:textFill>
            <w14:solidFill>
              <w14:schemeClr w14:val="tx1"/>
            </w14:solidFill>
          </w14:textFill>
        </w:rPr>
        <w:t>4</w:t>
      </w:r>
      <w:r>
        <w:rPr>
          <w:rFonts w:hint="eastAsia" w:hAnsi="宋体"/>
          <w:b/>
          <w:bCs/>
          <w:color w:val="000000" w:themeColor="text1"/>
          <w:sz w:val="21"/>
          <w:highlight w:val="none"/>
          <w14:textFill>
            <w14:solidFill>
              <w14:schemeClr w14:val="tx1"/>
            </w14:solidFill>
          </w14:textFill>
        </w:rPr>
        <w:t>.</w:t>
      </w:r>
      <w:r>
        <w:rPr>
          <w:rFonts w:hAnsi="宋体"/>
          <w:b/>
          <w:bCs/>
          <w:color w:val="000000" w:themeColor="text1"/>
          <w:sz w:val="21"/>
          <w:highlight w:val="none"/>
          <w14:textFill>
            <w14:solidFill>
              <w14:schemeClr w14:val="tx1"/>
            </w14:solidFill>
          </w14:textFill>
        </w:rPr>
        <w:t xml:space="preserve">关联供应商不得参加同一合同项下政府采购活动，否则响应文件将视为无效： </w:t>
      </w:r>
    </w:p>
    <w:p w14:paraId="3F504CC6">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24.1单位负责人为同一人或者存在直接控股管理关系的不同的供应商，不得参加同一合同项下的政府采购活动； </w:t>
      </w:r>
    </w:p>
    <w:p w14:paraId="069E0FCA">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24.2生产厂商授权给供应商后自己不得参加同一合同项下的政府采购活动；生产厂商对同一品牌同一型号的货物，仅能委托一个代理商参加投标。 </w:t>
      </w:r>
    </w:p>
    <w:p w14:paraId="78D07346">
      <w:pPr>
        <w:pStyle w:val="23"/>
        <w:tabs>
          <w:tab w:val="left" w:pos="420"/>
        </w:tabs>
        <w:spacing w:line="360" w:lineRule="auto"/>
        <w:jc w:val="left"/>
        <w:rPr>
          <w:rFonts w:hAnsi="宋体"/>
          <w:b/>
          <w:bCs/>
          <w:color w:val="000000" w:themeColor="text1"/>
          <w:sz w:val="21"/>
          <w:highlight w:val="none"/>
          <w14:textFill>
            <w14:solidFill>
              <w14:schemeClr w14:val="tx1"/>
            </w14:solidFill>
          </w14:textFill>
        </w:rPr>
      </w:pPr>
      <w:r>
        <w:rPr>
          <w:rFonts w:hAnsi="宋体"/>
          <w:b/>
          <w:bCs/>
          <w:color w:val="000000" w:themeColor="text1"/>
          <w:sz w:val="21"/>
          <w:highlight w:val="none"/>
          <w14:textFill>
            <w14:solidFill>
              <w14:schemeClr w14:val="tx1"/>
            </w14:solidFill>
          </w14:textFill>
        </w:rPr>
        <w:t>25</w:t>
      </w:r>
      <w:r>
        <w:rPr>
          <w:rFonts w:hint="eastAsia" w:hAnsi="宋体"/>
          <w:b/>
          <w:bCs/>
          <w:color w:val="000000" w:themeColor="text1"/>
          <w:sz w:val="21"/>
          <w:highlight w:val="none"/>
          <w14:textFill>
            <w14:solidFill>
              <w14:schemeClr w14:val="tx1"/>
            </w14:solidFill>
          </w14:textFill>
        </w:rPr>
        <w:t>.</w:t>
      </w:r>
      <w:r>
        <w:rPr>
          <w:rFonts w:hAnsi="宋体"/>
          <w:b/>
          <w:bCs/>
          <w:color w:val="000000" w:themeColor="text1"/>
          <w:sz w:val="21"/>
          <w:highlight w:val="none"/>
          <w14:textFill>
            <w14:solidFill>
              <w14:schemeClr w14:val="tx1"/>
            </w14:solidFill>
          </w14:textFill>
        </w:rPr>
        <w:t>供应商有下列情形之一的，属于恶意串通行为：</w:t>
      </w:r>
    </w:p>
    <w:p w14:paraId="6FE33BCA">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25.1供应商直接或者间接从采购人或者采购代理机构处获得其他供应商的相关信息并修改其响应文件；</w:t>
      </w:r>
    </w:p>
    <w:p w14:paraId="7B799BDB">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25.2供应商按照采购人或者采购代理机构的授意撤换、修改响应文件；</w:t>
      </w:r>
    </w:p>
    <w:p w14:paraId="035D1AEC">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25.3供应商之间协商报价、技术方案等响应文件的实质性的内容；</w:t>
      </w:r>
    </w:p>
    <w:p w14:paraId="25DE74AD">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25.4属于同一集团、协会、商会等组织成员的供应商按照该组织要求协同参加政府采购活动；</w:t>
      </w:r>
    </w:p>
    <w:p w14:paraId="622ED960">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25.5供应商之间事先约定一致抬高或者压低报价，或者在采购项目中事先约定轮流以高价位或者低价位成交，或者事先约定由某一特定供应商成交，然后再参加磋商； </w:t>
      </w:r>
    </w:p>
    <w:p w14:paraId="3A56317C">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25.6供应商之间商定部分供应商放弃参加政府采购活动或者放弃成交； </w:t>
      </w:r>
    </w:p>
    <w:p w14:paraId="17B53452">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25.7供应商与采购人或者采购代理机构之间、供应商相互之间，为谋求特定供应商成交或者排斥其他供应商的其他串通行为。</w:t>
      </w:r>
    </w:p>
    <w:p w14:paraId="1DA4F233">
      <w:pPr>
        <w:pStyle w:val="23"/>
        <w:tabs>
          <w:tab w:val="left" w:pos="420"/>
        </w:tabs>
        <w:spacing w:line="360" w:lineRule="auto"/>
        <w:jc w:val="left"/>
        <w:rPr>
          <w:rFonts w:hAnsi="宋体"/>
          <w:b/>
          <w:bCs/>
          <w:color w:val="000000" w:themeColor="text1"/>
          <w:sz w:val="21"/>
          <w:highlight w:val="none"/>
          <w14:textFill>
            <w14:solidFill>
              <w14:schemeClr w14:val="tx1"/>
            </w14:solidFill>
          </w14:textFill>
        </w:rPr>
      </w:pPr>
      <w:r>
        <w:rPr>
          <w:rFonts w:hint="eastAsia" w:hAnsi="宋体"/>
          <w:b/>
          <w:bCs/>
          <w:color w:val="000000" w:themeColor="text1"/>
          <w:sz w:val="21"/>
          <w:highlight w:val="none"/>
          <w14:textFill>
            <w14:solidFill>
              <w14:schemeClr w14:val="tx1"/>
            </w14:solidFill>
          </w14:textFill>
        </w:rPr>
        <w:t>26.废标</w:t>
      </w:r>
    </w:p>
    <w:p w14:paraId="5BEC6225">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w:t>
      </w:r>
      <w:r>
        <w:rPr>
          <w:rFonts w:hAnsi="宋体"/>
          <w:color w:val="000000" w:themeColor="text1"/>
          <w:sz w:val="21"/>
          <w:highlight w:val="none"/>
          <w14:textFill>
            <w14:solidFill>
              <w14:schemeClr w14:val="tx1"/>
            </w14:solidFill>
          </w14:textFill>
        </w:rPr>
        <w:t>6</w:t>
      </w:r>
      <w:r>
        <w:rPr>
          <w:rFonts w:hint="eastAsia" w:hAnsi="宋体"/>
          <w:color w:val="000000" w:themeColor="text1"/>
          <w:sz w:val="21"/>
          <w:highlight w:val="none"/>
          <w14:textFill>
            <w14:solidFill>
              <w14:schemeClr w14:val="tx1"/>
            </w14:solidFill>
          </w14:textFill>
        </w:rPr>
        <w:t>.1在采购过程中，出现下列情形之一的，予以废标：</w:t>
      </w:r>
    </w:p>
    <w:p w14:paraId="167E1A8F">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（1）符合资格条件的供应商或者对</w:t>
      </w:r>
      <w:r>
        <w:rPr>
          <w:rFonts w:hint="eastAsia" w:hAnsi="宋体"/>
          <w:bCs/>
          <w:color w:val="000000" w:themeColor="text1"/>
          <w:sz w:val="21"/>
          <w:highlight w:val="none"/>
          <w14:textFill>
            <w14:solidFill>
              <w14:schemeClr w14:val="tx1"/>
            </w14:solidFill>
          </w14:textFill>
        </w:rPr>
        <w:t>竞争性磋商文件</w:t>
      </w:r>
      <w:r>
        <w:rPr>
          <w:rFonts w:hint="eastAsia" w:hAnsi="宋体"/>
          <w:color w:val="000000" w:themeColor="text1"/>
          <w:sz w:val="21"/>
          <w:highlight w:val="none"/>
          <w14:textFill>
            <w14:solidFill>
              <w14:schemeClr w14:val="tx1"/>
            </w14:solidFill>
          </w14:textFill>
        </w:rPr>
        <w:t>作实质响应的供应商不足三家的；</w:t>
      </w:r>
      <w:r>
        <w:rPr>
          <w:rFonts w:hint="eastAsia" w:hAnsi="宋体"/>
          <w:color w:val="000000" w:themeColor="text1"/>
          <w:sz w:val="21"/>
          <w:highlight w:val="none"/>
          <w:lang w:val="zh-CN"/>
          <w14:textFill>
            <w14:solidFill>
              <w14:schemeClr w14:val="tx1"/>
            </w14:solidFill>
          </w14:textFill>
        </w:rPr>
        <w:t>政府购买服务项目（含政府和社会资本合作项目）在采购过程中符合要求的供应商只有2家的，竞争性磋商采购活动可以继续进行</w:t>
      </w:r>
      <w:r>
        <w:rPr>
          <w:rFonts w:hint="eastAsia" w:hAnsi="宋体"/>
          <w:color w:val="000000" w:themeColor="text1"/>
          <w:sz w:val="21"/>
          <w:highlight w:val="none"/>
          <w14:textFill>
            <w14:solidFill>
              <w14:schemeClr w14:val="tx1"/>
            </w14:solidFill>
          </w14:textFill>
        </w:rPr>
        <w:t>；市场竞争不充分的科研项目，以及需要扶持的科技成果转化项目，</w:t>
      </w:r>
      <w:r>
        <w:rPr>
          <w:rFonts w:hint="eastAsia" w:hAnsi="宋体"/>
          <w:color w:val="000000" w:themeColor="text1"/>
          <w:sz w:val="21"/>
          <w:highlight w:val="none"/>
          <w:lang w:val="zh-CN"/>
          <w14:textFill>
            <w14:solidFill>
              <w14:schemeClr w14:val="tx1"/>
            </w14:solidFill>
          </w14:textFill>
        </w:rPr>
        <w:t>提交最后报价的供应商可以为2家</w:t>
      </w:r>
      <w:r>
        <w:rPr>
          <w:rFonts w:hint="eastAsia" w:hAnsi="宋体"/>
          <w:color w:val="000000" w:themeColor="text1"/>
          <w:sz w:val="21"/>
          <w:highlight w:val="none"/>
          <w14:textFill>
            <w14:solidFill>
              <w14:schemeClr w14:val="tx1"/>
            </w14:solidFill>
          </w14:textFill>
        </w:rPr>
        <w:t>；</w:t>
      </w:r>
    </w:p>
    <w:p w14:paraId="7ECD8FC0">
      <w:pPr>
        <w:pStyle w:val="23"/>
        <w:spacing w:line="360" w:lineRule="auto"/>
        <w:ind w:firstLine="420" w:firstLineChars="200"/>
        <w:rPr>
          <w:rFonts w:hAnsi="宋体"/>
          <w:bCs/>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（2）出现影响采购公正的违法、违规行为的；</w:t>
      </w:r>
    </w:p>
    <w:p w14:paraId="2F10B49C">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（3）供应商的报价均超过了采购预算，采购人不能支付的；</w:t>
      </w:r>
    </w:p>
    <w:p w14:paraId="2EED81E4">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（4）因重大变故，采购任务取消的。</w:t>
      </w:r>
    </w:p>
    <w:p w14:paraId="42C0FEB4">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w:t>
      </w:r>
      <w:r>
        <w:rPr>
          <w:rFonts w:hAnsi="宋体"/>
          <w:color w:val="000000" w:themeColor="text1"/>
          <w:sz w:val="21"/>
          <w:highlight w:val="none"/>
          <w14:textFill>
            <w14:solidFill>
              <w14:schemeClr w14:val="tx1"/>
            </w14:solidFill>
          </w14:textFill>
        </w:rPr>
        <w:t>6</w:t>
      </w:r>
      <w:r>
        <w:rPr>
          <w:rFonts w:hint="eastAsia" w:hAnsi="宋体"/>
          <w:color w:val="000000" w:themeColor="text1"/>
          <w:sz w:val="21"/>
          <w:highlight w:val="none"/>
          <w14:textFill>
            <w14:solidFill>
              <w14:schemeClr w14:val="tx1"/>
            </w14:solidFill>
          </w14:textFill>
        </w:rPr>
        <w:t>.2废标后，采购代理机构将在本章第2项规定的政府采购信息发布媒体上公告废标理由，不再另行通知。</w:t>
      </w:r>
    </w:p>
    <w:p w14:paraId="00F80DB2">
      <w:pPr>
        <w:spacing w:before="240"/>
        <w:jc w:val="center"/>
        <w:rPr>
          <w:rFonts w:ascii="宋体" w:hAnsi="宋体"/>
          <w:b/>
          <w:color w:val="000000" w:themeColor="text1"/>
          <w:szCs w:val="21"/>
          <w:highlight w:val="none"/>
          <w14:textFill>
            <w14:solidFill>
              <w14:schemeClr w14:val="tx1"/>
            </w14:solidFill>
          </w14:textFill>
        </w:rPr>
      </w:pPr>
      <w:bookmarkStart w:id="74" w:name="_Toc213326421"/>
      <w:r>
        <w:rPr>
          <w:rFonts w:hint="eastAsia" w:ascii="宋体" w:hAnsi="宋体"/>
          <w:b/>
          <w:color w:val="000000" w:themeColor="text1"/>
          <w:szCs w:val="21"/>
          <w:highlight w:val="none"/>
          <w14:textFill>
            <w14:solidFill>
              <w14:schemeClr w14:val="tx1"/>
            </w14:solidFill>
          </w14:textFill>
        </w:rPr>
        <w:t>六、合同授予</w:t>
      </w:r>
      <w:bookmarkEnd w:id="74"/>
    </w:p>
    <w:p w14:paraId="47321206">
      <w:pPr>
        <w:pStyle w:val="23"/>
        <w:tabs>
          <w:tab w:val="left" w:pos="420"/>
        </w:tabs>
        <w:spacing w:line="360" w:lineRule="auto"/>
        <w:jc w:val="left"/>
        <w:rPr>
          <w:rFonts w:hAnsi="宋体"/>
          <w:b/>
          <w:bCs/>
          <w:color w:val="000000" w:themeColor="text1"/>
          <w:sz w:val="21"/>
          <w:highlight w:val="none"/>
          <w14:textFill>
            <w14:solidFill>
              <w14:schemeClr w14:val="tx1"/>
            </w14:solidFill>
          </w14:textFill>
        </w:rPr>
      </w:pPr>
      <w:r>
        <w:rPr>
          <w:rFonts w:hint="eastAsia" w:hAnsi="宋体"/>
          <w:b/>
          <w:bCs/>
          <w:color w:val="000000" w:themeColor="text1"/>
          <w:sz w:val="21"/>
          <w:highlight w:val="none"/>
          <w14:textFill>
            <w14:solidFill>
              <w14:schemeClr w14:val="tx1"/>
            </w14:solidFill>
          </w14:textFill>
        </w:rPr>
        <w:t>2</w:t>
      </w:r>
      <w:r>
        <w:rPr>
          <w:rFonts w:hAnsi="宋体"/>
          <w:b/>
          <w:bCs/>
          <w:color w:val="000000" w:themeColor="text1"/>
          <w:sz w:val="21"/>
          <w:highlight w:val="none"/>
          <w14:textFill>
            <w14:solidFill>
              <w14:schemeClr w14:val="tx1"/>
            </w14:solidFill>
          </w14:textFill>
        </w:rPr>
        <w:t>7</w:t>
      </w:r>
      <w:r>
        <w:rPr>
          <w:rFonts w:hint="eastAsia" w:hAnsi="宋体"/>
          <w:b/>
          <w:bCs/>
          <w:color w:val="000000" w:themeColor="text1"/>
          <w:sz w:val="21"/>
          <w:highlight w:val="none"/>
          <w14:textFill>
            <w14:solidFill>
              <w14:schemeClr w14:val="tx1"/>
            </w14:solidFill>
          </w14:textFill>
        </w:rPr>
        <w:t>.成交供应商的确定</w:t>
      </w:r>
    </w:p>
    <w:p w14:paraId="66EA380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磋商小组按第四章“评审方法”的规定排列成交候选供应商顺序，并依照次序确定成交供应商。</w:t>
      </w:r>
    </w:p>
    <w:p w14:paraId="42749DFE">
      <w:pPr>
        <w:pStyle w:val="23"/>
        <w:tabs>
          <w:tab w:val="left" w:pos="420"/>
        </w:tabs>
        <w:spacing w:line="360" w:lineRule="auto"/>
        <w:jc w:val="left"/>
        <w:rPr>
          <w:rFonts w:hAnsi="宋体"/>
          <w:b/>
          <w:bCs/>
          <w:color w:val="000000" w:themeColor="text1"/>
          <w:sz w:val="21"/>
          <w:highlight w:val="none"/>
          <w14:textFill>
            <w14:solidFill>
              <w14:schemeClr w14:val="tx1"/>
            </w14:solidFill>
          </w14:textFill>
        </w:rPr>
      </w:pPr>
      <w:r>
        <w:rPr>
          <w:rFonts w:hint="eastAsia" w:hAnsi="宋体"/>
          <w:b/>
          <w:bCs/>
          <w:color w:val="000000" w:themeColor="text1"/>
          <w:sz w:val="21"/>
          <w:highlight w:val="none"/>
          <w14:textFill>
            <w14:solidFill>
              <w14:schemeClr w14:val="tx1"/>
            </w14:solidFill>
          </w14:textFill>
        </w:rPr>
        <w:t>2</w:t>
      </w:r>
      <w:r>
        <w:rPr>
          <w:rFonts w:hAnsi="宋体"/>
          <w:b/>
          <w:bCs/>
          <w:color w:val="000000" w:themeColor="text1"/>
          <w:sz w:val="21"/>
          <w:highlight w:val="none"/>
          <w14:textFill>
            <w14:solidFill>
              <w14:schemeClr w14:val="tx1"/>
            </w14:solidFill>
          </w14:textFill>
        </w:rPr>
        <w:t>8</w:t>
      </w:r>
      <w:r>
        <w:rPr>
          <w:rFonts w:hint="eastAsia" w:hAnsi="宋体"/>
          <w:b/>
          <w:bCs/>
          <w:color w:val="000000" w:themeColor="text1"/>
          <w:sz w:val="21"/>
          <w:highlight w:val="none"/>
          <w14:textFill>
            <w14:solidFill>
              <w14:schemeClr w14:val="tx1"/>
            </w14:solidFill>
          </w14:textFill>
        </w:rPr>
        <w:t>.成交通知书</w:t>
      </w:r>
    </w:p>
    <w:p w14:paraId="0EDDE242">
      <w:pPr>
        <w:pStyle w:val="23"/>
        <w:spacing w:line="360" w:lineRule="auto"/>
        <w:ind w:firstLine="420" w:firstLineChars="200"/>
        <w:rPr>
          <w:rFonts w:hAnsi="宋体" w:cs="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w:t>
      </w:r>
      <w:r>
        <w:rPr>
          <w:rFonts w:hAnsi="宋体"/>
          <w:color w:val="000000" w:themeColor="text1"/>
          <w:sz w:val="21"/>
          <w:highlight w:val="none"/>
          <w14:textFill>
            <w14:solidFill>
              <w14:schemeClr w14:val="tx1"/>
            </w14:solidFill>
          </w14:textFill>
        </w:rPr>
        <w:t>8</w:t>
      </w:r>
      <w:r>
        <w:rPr>
          <w:rFonts w:hint="eastAsia" w:hAnsi="宋体"/>
          <w:color w:val="000000" w:themeColor="text1"/>
          <w:sz w:val="21"/>
          <w:highlight w:val="none"/>
          <w14:textFill>
            <w14:solidFill>
              <w14:schemeClr w14:val="tx1"/>
            </w14:solidFill>
          </w14:textFill>
        </w:rPr>
        <w:t>.1采购代理机构应当在评标结束后2个工作日内将评标报告送采购人。采购人应当自收到评标报告之日起2个工作日内，在评标报告确定的成交候选人名单中按顺序确定成交人。</w:t>
      </w:r>
      <w:r>
        <w:rPr>
          <w:rFonts w:hAnsi="宋体"/>
          <w:color w:val="000000" w:themeColor="text1"/>
          <w:sz w:val="21"/>
          <w:highlight w:val="none"/>
          <w14:textFill>
            <w14:solidFill>
              <w14:schemeClr w14:val="tx1"/>
            </w14:solidFill>
          </w14:textFill>
        </w:rPr>
        <w:t>采购人</w:t>
      </w:r>
      <w:r>
        <w:rPr>
          <w:rFonts w:hint="eastAsia" w:hAnsi="宋体" w:cs="宋体"/>
          <w:color w:val="000000" w:themeColor="text1"/>
          <w:sz w:val="21"/>
          <w:highlight w:val="none"/>
          <w14:textFill>
            <w14:solidFill>
              <w14:schemeClr w14:val="tx1"/>
            </w14:solidFill>
          </w14:textFill>
        </w:rPr>
        <w:t>确定成交供应商后，成交结果由采购代理机构于2个工作日内在本章第2项规定的政府采购信息发布媒体上公告，同时向成交供应商发出成交通知书。</w:t>
      </w:r>
    </w:p>
    <w:p w14:paraId="713DAE4D">
      <w:pPr>
        <w:pStyle w:val="23"/>
        <w:spacing w:line="360" w:lineRule="auto"/>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w:t>
      </w:r>
      <w:r>
        <w:rPr>
          <w:rFonts w:hAnsi="宋体" w:cs="宋体"/>
          <w:color w:val="000000" w:themeColor="text1"/>
          <w:sz w:val="21"/>
          <w:highlight w:val="none"/>
          <w14:textFill>
            <w14:solidFill>
              <w14:schemeClr w14:val="tx1"/>
            </w14:solidFill>
          </w14:textFill>
        </w:rPr>
        <w:t>8</w:t>
      </w:r>
      <w:r>
        <w:rPr>
          <w:rFonts w:hint="eastAsia" w:hAnsi="宋体" w:cs="宋体"/>
          <w:color w:val="000000" w:themeColor="text1"/>
          <w:sz w:val="21"/>
          <w:highlight w:val="none"/>
          <w14:textFill>
            <w14:solidFill>
              <w14:schemeClr w14:val="tx1"/>
            </w14:solidFill>
          </w14:textFill>
        </w:rPr>
        <w:t>.2成交通知书对采购人和成交供应商具有同等法律效力。成交通知书发出后，采购人改变成交结果，或者成交供应商放弃成交，应当承担相应的法律责任。</w:t>
      </w:r>
    </w:p>
    <w:p w14:paraId="6654C63E">
      <w:pPr>
        <w:pStyle w:val="23"/>
        <w:tabs>
          <w:tab w:val="left" w:pos="420"/>
        </w:tabs>
        <w:spacing w:line="360" w:lineRule="auto"/>
        <w:jc w:val="left"/>
        <w:rPr>
          <w:rFonts w:hAnsi="宋体"/>
          <w:b/>
          <w:bCs/>
          <w:color w:val="000000" w:themeColor="text1"/>
          <w:sz w:val="21"/>
          <w:highlight w:val="none"/>
          <w14:textFill>
            <w14:solidFill>
              <w14:schemeClr w14:val="tx1"/>
            </w14:solidFill>
          </w14:textFill>
        </w:rPr>
      </w:pPr>
      <w:r>
        <w:rPr>
          <w:rFonts w:hint="eastAsia" w:hAnsi="宋体"/>
          <w:b/>
          <w:bCs/>
          <w:color w:val="000000" w:themeColor="text1"/>
          <w:sz w:val="21"/>
          <w:highlight w:val="none"/>
          <w14:textFill>
            <w14:solidFill>
              <w14:schemeClr w14:val="tx1"/>
            </w14:solidFill>
          </w14:textFill>
        </w:rPr>
        <w:t>2</w:t>
      </w:r>
      <w:r>
        <w:rPr>
          <w:rFonts w:hAnsi="宋体"/>
          <w:b/>
          <w:bCs/>
          <w:color w:val="000000" w:themeColor="text1"/>
          <w:sz w:val="21"/>
          <w:highlight w:val="none"/>
          <w14:textFill>
            <w14:solidFill>
              <w14:schemeClr w14:val="tx1"/>
            </w14:solidFill>
          </w14:textFill>
        </w:rPr>
        <w:t>9</w:t>
      </w:r>
      <w:r>
        <w:rPr>
          <w:rFonts w:hint="eastAsia" w:hAnsi="宋体"/>
          <w:b/>
          <w:bCs/>
          <w:color w:val="000000" w:themeColor="text1"/>
          <w:sz w:val="21"/>
          <w:highlight w:val="none"/>
          <w14:textFill>
            <w14:solidFill>
              <w14:schemeClr w14:val="tx1"/>
            </w14:solidFill>
          </w14:textFill>
        </w:rPr>
        <w:t>.响应文件及样品的退回</w:t>
      </w:r>
    </w:p>
    <w:p w14:paraId="5D46258B">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27.1采购人及采购代理机构无义务向未成交供应商解释其未成交原因和退回响应文件。</w:t>
      </w:r>
    </w:p>
    <w:p w14:paraId="671B2A59">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27.2成交供应商的样品由采购人保管，做为验收的依据，验收后由采购人退回。未成交供应商的样品由供应商在成交结果公布后两个工作日内领回，否则按无主物品处理。</w:t>
      </w:r>
    </w:p>
    <w:p w14:paraId="183484E8">
      <w:pPr>
        <w:pStyle w:val="23"/>
        <w:tabs>
          <w:tab w:val="left" w:pos="420"/>
        </w:tabs>
        <w:spacing w:line="360" w:lineRule="auto"/>
        <w:jc w:val="left"/>
        <w:rPr>
          <w:rFonts w:hAnsi="宋体"/>
          <w:b/>
          <w:bCs/>
          <w:color w:val="000000" w:themeColor="text1"/>
          <w:sz w:val="21"/>
          <w:highlight w:val="none"/>
          <w14:textFill>
            <w14:solidFill>
              <w14:schemeClr w14:val="tx1"/>
            </w14:solidFill>
          </w14:textFill>
        </w:rPr>
      </w:pPr>
      <w:r>
        <w:rPr>
          <w:rFonts w:hAnsi="宋体"/>
          <w:b/>
          <w:bCs/>
          <w:color w:val="000000" w:themeColor="text1"/>
          <w:sz w:val="21"/>
          <w:highlight w:val="none"/>
          <w14:textFill>
            <w14:solidFill>
              <w14:schemeClr w14:val="tx1"/>
            </w14:solidFill>
          </w14:textFill>
        </w:rPr>
        <w:t>30</w:t>
      </w:r>
      <w:r>
        <w:rPr>
          <w:rFonts w:hint="eastAsia" w:hAnsi="宋体"/>
          <w:b/>
          <w:bCs/>
          <w:color w:val="000000" w:themeColor="text1"/>
          <w:sz w:val="21"/>
          <w:highlight w:val="none"/>
          <w14:textFill>
            <w14:solidFill>
              <w14:schemeClr w14:val="tx1"/>
            </w14:solidFill>
          </w14:textFill>
        </w:rPr>
        <w:t>.签订合同</w:t>
      </w:r>
    </w:p>
    <w:p w14:paraId="31DB7353">
      <w:pPr>
        <w:pStyle w:val="119"/>
        <w:widowControl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30.1</w:t>
      </w:r>
      <w:r>
        <w:rPr>
          <w:rFonts w:hint="eastAsia" w:ascii="宋体" w:hAnsi="宋体"/>
          <w:bCs/>
          <w:color w:val="000000" w:themeColor="text1"/>
          <w:highlight w:val="none"/>
          <w14:textFill>
            <w14:solidFill>
              <w14:schemeClr w14:val="tx1"/>
            </w14:solidFill>
          </w14:textFill>
        </w:rPr>
        <w:t>成交供应商应当按照《成交通知书》中指定的时间、地点与采购人按照本竞争性磋商文件和成交供应商的最终确认文件订立书面合同。</w:t>
      </w:r>
    </w:p>
    <w:p w14:paraId="4AE41616">
      <w:pPr>
        <w:pStyle w:val="23"/>
        <w:spacing w:line="360" w:lineRule="auto"/>
        <w:ind w:firstLine="420" w:firstLineChars="200"/>
        <w:rPr>
          <w:rFonts w:hAnsi="宋体" w:cs="宋体"/>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30</w:t>
      </w:r>
      <w:r>
        <w:rPr>
          <w:rFonts w:hint="eastAsia" w:hAnsi="宋体" w:cs="宋体"/>
          <w:color w:val="000000" w:themeColor="text1"/>
          <w:sz w:val="21"/>
          <w:highlight w:val="none"/>
          <w14:textFill>
            <w14:solidFill>
              <w14:schemeClr w14:val="tx1"/>
            </w14:solidFill>
          </w14:textFill>
        </w:rPr>
        <w:t>.2政府采购合同签订应当采用政府采购合同格式文本，合同应内容完整、盖章齐全；项目合同的各要素和内容应与</w:t>
      </w:r>
      <w:r>
        <w:rPr>
          <w:rFonts w:hint="eastAsia" w:hAnsi="宋体"/>
          <w:bCs/>
          <w:color w:val="000000" w:themeColor="text1"/>
          <w:sz w:val="21"/>
          <w:highlight w:val="none"/>
          <w14:textFill>
            <w14:solidFill>
              <w14:schemeClr w14:val="tx1"/>
            </w14:solidFill>
          </w14:textFill>
        </w:rPr>
        <w:t>竞争性磋商文件</w:t>
      </w:r>
      <w:r>
        <w:rPr>
          <w:rFonts w:hint="eastAsia" w:hAnsi="宋体" w:cs="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成交</w:t>
      </w:r>
      <w:r>
        <w:rPr>
          <w:rFonts w:hint="eastAsia" w:hAnsi="宋体" w:cs="宋体"/>
          <w:color w:val="000000" w:themeColor="text1"/>
          <w:sz w:val="21"/>
          <w:highlight w:val="none"/>
          <w14:textFill>
            <w14:solidFill>
              <w14:schemeClr w14:val="tx1"/>
            </w14:solidFill>
          </w14:textFill>
        </w:rPr>
        <w:t>供应商的承诺、</w:t>
      </w:r>
      <w:r>
        <w:rPr>
          <w:rFonts w:hint="eastAsia" w:hAnsi="宋体"/>
          <w:color w:val="000000" w:themeColor="text1"/>
          <w:sz w:val="21"/>
          <w:highlight w:val="none"/>
          <w14:textFill>
            <w14:solidFill>
              <w14:schemeClr w14:val="tx1"/>
            </w14:solidFill>
          </w14:textFill>
        </w:rPr>
        <w:t>成交</w:t>
      </w:r>
      <w:r>
        <w:rPr>
          <w:rFonts w:hint="eastAsia" w:hAnsi="宋体" w:cs="宋体"/>
          <w:color w:val="000000" w:themeColor="text1"/>
          <w:sz w:val="21"/>
          <w:highlight w:val="none"/>
          <w14:textFill>
            <w14:solidFill>
              <w14:schemeClr w14:val="tx1"/>
            </w14:solidFill>
          </w14:textFill>
        </w:rPr>
        <w:t>通知书等的内容一致；合同附件齐全；多页合同每页应顺序标出页码并盖骑缝章。</w:t>
      </w:r>
    </w:p>
    <w:p w14:paraId="2B302927">
      <w:pPr>
        <w:pStyle w:val="23"/>
        <w:spacing w:line="360" w:lineRule="auto"/>
        <w:ind w:firstLine="420" w:firstLineChars="200"/>
        <w:rPr>
          <w:rFonts w:hAnsi="宋体" w:cs="宋体"/>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30</w:t>
      </w:r>
      <w:r>
        <w:rPr>
          <w:rFonts w:hint="eastAsia" w:hAnsi="宋体" w:cs="宋体"/>
          <w:color w:val="000000" w:themeColor="text1"/>
          <w:sz w:val="21"/>
          <w:highlight w:val="none"/>
          <w14:textFill>
            <w14:solidFill>
              <w14:schemeClr w14:val="tx1"/>
            </w14:solidFill>
          </w14:textFill>
        </w:rPr>
        <w:t>.3政府采购合同自签订之日起二个工作日内，成交供应商向采购代理机构递交合同副本原件一份，由采购代理机构将副本原件送监督管理部门备案并在广西壮族自治区政府采购网、贵港市政府采购网等网址上公示。</w:t>
      </w:r>
    </w:p>
    <w:p w14:paraId="71A78ADE">
      <w:pPr>
        <w:pStyle w:val="23"/>
        <w:spacing w:line="360" w:lineRule="auto"/>
        <w:ind w:firstLine="420" w:firstLineChars="200"/>
        <w:rPr>
          <w:rFonts w:hAnsi="宋体" w:cs="宋体"/>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30</w:t>
      </w:r>
      <w:r>
        <w:rPr>
          <w:rFonts w:hint="eastAsia" w:hAnsi="宋体" w:cs="宋体"/>
          <w:color w:val="000000" w:themeColor="text1"/>
          <w:sz w:val="21"/>
          <w:highlight w:val="none"/>
          <w14:textFill>
            <w14:solidFill>
              <w14:schemeClr w14:val="tx1"/>
            </w14:solidFill>
          </w14:textFill>
        </w:rPr>
        <w:t>.4采购人或</w:t>
      </w:r>
      <w:r>
        <w:rPr>
          <w:rFonts w:hint="eastAsia" w:hAnsi="宋体"/>
          <w:color w:val="000000" w:themeColor="text1"/>
          <w:sz w:val="21"/>
          <w:highlight w:val="none"/>
          <w14:textFill>
            <w14:solidFill>
              <w14:schemeClr w14:val="tx1"/>
            </w14:solidFill>
          </w14:textFill>
        </w:rPr>
        <w:t>成交</w:t>
      </w:r>
      <w:r>
        <w:rPr>
          <w:rFonts w:hint="eastAsia" w:hAnsi="宋体" w:cs="宋体"/>
          <w:color w:val="000000" w:themeColor="text1"/>
          <w:sz w:val="21"/>
          <w:highlight w:val="none"/>
          <w14:textFill>
            <w14:solidFill>
              <w14:schemeClr w14:val="tx1"/>
            </w14:solidFill>
          </w14:textFill>
        </w:rPr>
        <w:t>供应商不得单方面向合同另一方提出任何</w:t>
      </w:r>
      <w:r>
        <w:rPr>
          <w:rFonts w:hint="eastAsia" w:hAnsi="宋体"/>
          <w:bCs/>
          <w:color w:val="000000" w:themeColor="text1"/>
          <w:sz w:val="21"/>
          <w:highlight w:val="none"/>
          <w14:textFill>
            <w14:solidFill>
              <w14:schemeClr w14:val="tx1"/>
            </w14:solidFill>
          </w14:textFill>
        </w:rPr>
        <w:t>竞争性磋商文件</w:t>
      </w:r>
      <w:r>
        <w:rPr>
          <w:rFonts w:hint="eastAsia" w:hAnsi="宋体" w:cs="宋体"/>
          <w:color w:val="000000" w:themeColor="text1"/>
          <w:sz w:val="21"/>
          <w:highlight w:val="none"/>
          <w14:textFill>
            <w14:solidFill>
              <w14:schemeClr w14:val="tx1"/>
            </w14:solidFill>
          </w14:textFill>
        </w:rPr>
        <w:t>没有约定的条件或不合理的要求，作为签订合同的条件，也不得协商另行订立背离</w:t>
      </w:r>
      <w:r>
        <w:rPr>
          <w:rFonts w:hint="eastAsia" w:hAnsi="宋体"/>
          <w:bCs/>
          <w:color w:val="000000" w:themeColor="text1"/>
          <w:sz w:val="21"/>
          <w:highlight w:val="none"/>
          <w14:textFill>
            <w14:solidFill>
              <w14:schemeClr w14:val="tx1"/>
            </w14:solidFill>
          </w14:textFill>
        </w:rPr>
        <w:t>竞争性磋商文件</w:t>
      </w:r>
      <w:r>
        <w:rPr>
          <w:rFonts w:hint="eastAsia" w:hAnsi="宋体" w:cs="宋体"/>
          <w:color w:val="000000" w:themeColor="text1"/>
          <w:sz w:val="21"/>
          <w:highlight w:val="none"/>
          <w14:textFill>
            <w14:solidFill>
              <w14:schemeClr w14:val="tx1"/>
            </w14:solidFill>
          </w14:textFill>
        </w:rPr>
        <w:t>和合同实质性内容的协议。</w:t>
      </w:r>
    </w:p>
    <w:p w14:paraId="43874E59">
      <w:pPr>
        <w:pStyle w:val="23"/>
        <w:spacing w:line="360" w:lineRule="auto"/>
        <w:ind w:firstLine="420" w:firstLineChars="200"/>
        <w:rPr>
          <w:rFonts w:hAnsi="宋体" w:cs="宋体"/>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30</w:t>
      </w:r>
      <w:r>
        <w:rPr>
          <w:rFonts w:hint="eastAsia" w:hAnsi="宋体" w:cs="宋体"/>
          <w:color w:val="000000" w:themeColor="text1"/>
          <w:sz w:val="21"/>
          <w:highlight w:val="none"/>
          <w14:textFill>
            <w14:solidFill>
              <w14:schemeClr w14:val="tx1"/>
            </w14:solidFill>
          </w14:textFill>
        </w:rPr>
        <w:t>.5采购人需追加与合同标的相同的货物或者服务的，在不改变原合同条款且已报财政部门批准落实资金的前提下，可从原</w:t>
      </w:r>
      <w:r>
        <w:rPr>
          <w:rFonts w:hint="eastAsia" w:hAnsi="宋体"/>
          <w:color w:val="000000" w:themeColor="text1"/>
          <w:sz w:val="21"/>
          <w:highlight w:val="none"/>
          <w14:textFill>
            <w14:solidFill>
              <w14:schemeClr w14:val="tx1"/>
            </w14:solidFill>
          </w14:textFill>
        </w:rPr>
        <w:t>成交</w:t>
      </w:r>
      <w:r>
        <w:rPr>
          <w:rFonts w:hint="eastAsia" w:hAnsi="宋体" w:cs="宋体"/>
          <w:color w:val="000000" w:themeColor="text1"/>
          <w:sz w:val="21"/>
          <w:highlight w:val="none"/>
          <w14:textFill>
            <w14:solidFill>
              <w14:schemeClr w14:val="tx1"/>
            </w14:solidFill>
          </w14:textFill>
        </w:rPr>
        <w:t>供应商处添购，所签订的补充添置合同的采购资金总额不超过原采购合同金额的10%。</w:t>
      </w:r>
    </w:p>
    <w:p w14:paraId="38D59528">
      <w:pPr>
        <w:pStyle w:val="23"/>
        <w:spacing w:line="360" w:lineRule="auto"/>
        <w:ind w:firstLine="420" w:firstLineChars="200"/>
        <w:rPr>
          <w:rFonts w:hAnsi="宋体" w:cs="宋体"/>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30</w:t>
      </w:r>
      <w:r>
        <w:rPr>
          <w:rFonts w:hint="eastAsia" w:hAnsi="宋体" w:cs="宋体"/>
          <w:color w:val="000000" w:themeColor="text1"/>
          <w:sz w:val="21"/>
          <w:highlight w:val="none"/>
          <w14:textFill>
            <w14:solidFill>
              <w14:schemeClr w14:val="tx1"/>
            </w14:solidFill>
          </w14:textFill>
        </w:rPr>
        <w:t>.6政府采购合同是政府采购项目验收的依据，</w:t>
      </w:r>
      <w:r>
        <w:rPr>
          <w:rFonts w:hint="eastAsia" w:hAnsi="宋体"/>
          <w:color w:val="000000" w:themeColor="text1"/>
          <w:sz w:val="21"/>
          <w:highlight w:val="none"/>
          <w14:textFill>
            <w14:solidFill>
              <w14:schemeClr w14:val="tx1"/>
            </w14:solidFill>
          </w14:textFill>
        </w:rPr>
        <w:t>成交</w:t>
      </w:r>
      <w:r>
        <w:rPr>
          <w:rFonts w:hint="eastAsia" w:hAnsi="宋体" w:cs="宋体"/>
          <w:color w:val="000000" w:themeColor="text1"/>
          <w:sz w:val="21"/>
          <w:highlight w:val="none"/>
          <w14:textFill>
            <w14:solidFill>
              <w14:schemeClr w14:val="tx1"/>
            </w14:solidFill>
          </w14:textFill>
        </w:rPr>
        <w:t>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4C7FDCA">
      <w:pPr>
        <w:pStyle w:val="23"/>
        <w:spacing w:line="360" w:lineRule="auto"/>
        <w:ind w:firstLine="420" w:firstLineChars="200"/>
        <w:rPr>
          <w:rFonts w:hAnsi="宋体" w:cs="宋体"/>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30</w:t>
      </w:r>
      <w:r>
        <w:rPr>
          <w:rFonts w:hint="eastAsia" w:hAnsi="宋体" w:cs="宋体"/>
          <w:color w:val="000000" w:themeColor="text1"/>
          <w:sz w:val="21"/>
          <w:highlight w:val="none"/>
          <w14:textFill>
            <w14:solidFill>
              <w14:schemeClr w14:val="tx1"/>
            </w14:solidFill>
          </w14:textFill>
        </w:rPr>
        <w:t>.7采购人或</w:t>
      </w:r>
      <w:r>
        <w:rPr>
          <w:rFonts w:hint="eastAsia" w:hAnsi="宋体"/>
          <w:color w:val="000000" w:themeColor="text1"/>
          <w:sz w:val="21"/>
          <w:highlight w:val="none"/>
          <w14:textFill>
            <w14:solidFill>
              <w14:schemeClr w14:val="tx1"/>
            </w14:solidFill>
          </w14:textFill>
        </w:rPr>
        <w:t>成交</w:t>
      </w:r>
      <w:r>
        <w:rPr>
          <w:rFonts w:hint="eastAsia" w:hAnsi="宋体" w:cs="宋体"/>
          <w:color w:val="000000" w:themeColor="text1"/>
          <w:sz w:val="21"/>
          <w:highlight w:val="none"/>
          <w14:textFill>
            <w14:solidFill>
              <w14:schemeClr w14:val="tx1"/>
            </w14:solidFill>
          </w14:textFill>
        </w:rPr>
        <w:t>供应商在合同履行过程中存在违反政府采购合同行为的，权益受损当事人应当将有关违约的情况以及拟采取的措施，及时书面报告采购代理机构。</w:t>
      </w:r>
    </w:p>
    <w:p w14:paraId="37601B8E">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30</w:t>
      </w:r>
      <w:r>
        <w:rPr>
          <w:rFonts w:hint="eastAsia" w:hAnsi="宋体"/>
          <w:color w:val="000000" w:themeColor="text1"/>
          <w:sz w:val="21"/>
          <w:highlight w:val="none"/>
          <w14:textFill>
            <w14:solidFill>
              <w14:schemeClr w14:val="tx1"/>
            </w14:solidFill>
          </w14:textFill>
        </w:rPr>
        <w:t>.8发出成交通知书后，采购人无正当理由拒签合同的且给成交供应商造成损失的，应当赔偿损失。</w:t>
      </w:r>
    </w:p>
    <w:p w14:paraId="7D0DE316">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30</w:t>
      </w:r>
      <w:r>
        <w:rPr>
          <w:rFonts w:hint="eastAsia" w:hAnsi="宋体"/>
          <w:color w:val="000000" w:themeColor="text1"/>
          <w:sz w:val="21"/>
          <w:highlight w:val="none"/>
          <w14:textFill>
            <w14:solidFill>
              <w14:schemeClr w14:val="tx1"/>
            </w14:solidFill>
          </w14:textFill>
        </w:rPr>
        <w:t>.9成交供应商因不可抗力或者自身原因不能履行政府采购合同的，采购人可以与排位在成交供应商之后第一位的成交候选供应商签订政府采购合同，以此类推。</w:t>
      </w:r>
    </w:p>
    <w:p w14:paraId="18CDAE4B">
      <w:pPr>
        <w:pStyle w:val="23"/>
        <w:spacing w:line="360" w:lineRule="auto"/>
        <w:ind w:firstLine="420" w:firstLineChars="20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30</w:t>
      </w:r>
      <w:r>
        <w:rPr>
          <w:rFonts w:hint="eastAsia" w:hAnsi="宋体"/>
          <w:color w:val="000000" w:themeColor="text1"/>
          <w:sz w:val="21"/>
          <w:highlight w:val="none"/>
          <w14:textFill>
            <w14:solidFill>
              <w14:schemeClr w14:val="tx1"/>
            </w14:solidFill>
          </w14:textFill>
        </w:rPr>
        <w:t>.10采购人在签订合同之前有权要求成交供应商提供本项目必需的相关资料原件进行核查，成交供应商不得拒绝。如成交供应商拒绝提供，则自行承担由此产生的后果。</w:t>
      </w:r>
    </w:p>
    <w:p w14:paraId="25A42AEB">
      <w:pPr>
        <w:rPr>
          <w:rFonts w:ascii="宋体" w:hAnsi="宋体"/>
          <w:color w:val="000000" w:themeColor="text1"/>
          <w:szCs w:val="21"/>
          <w:highlight w:val="none"/>
          <w14:textFill>
            <w14:solidFill>
              <w14:schemeClr w14:val="tx1"/>
            </w14:solidFill>
          </w14:textFill>
        </w:rPr>
      </w:pPr>
    </w:p>
    <w:p w14:paraId="260F51A3">
      <w:pPr>
        <w:jc w:val="center"/>
        <w:rPr>
          <w:rFonts w:ascii="宋体" w:hAnsi="宋体"/>
          <w:b/>
          <w:color w:val="000000" w:themeColor="text1"/>
          <w:szCs w:val="21"/>
          <w:highlight w:val="none"/>
          <w14:textFill>
            <w14:solidFill>
              <w14:schemeClr w14:val="tx1"/>
            </w14:solidFill>
          </w14:textFill>
        </w:rPr>
      </w:pPr>
      <w:bookmarkStart w:id="75" w:name="_Toc213326422"/>
      <w:r>
        <w:rPr>
          <w:rFonts w:hint="eastAsia" w:ascii="宋体" w:hAnsi="宋体"/>
          <w:b/>
          <w:color w:val="000000" w:themeColor="text1"/>
          <w:szCs w:val="21"/>
          <w:highlight w:val="none"/>
          <w14:textFill>
            <w14:solidFill>
              <w14:schemeClr w14:val="tx1"/>
            </w14:solidFill>
          </w14:textFill>
        </w:rPr>
        <w:t>七、其他事项</w:t>
      </w:r>
      <w:bookmarkEnd w:id="75"/>
    </w:p>
    <w:p w14:paraId="34BBB302">
      <w:pPr>
        <w:spacing w:line="360" w:lineRule="auto"/>
        <w:rPr>
          <w:rFonts w:ascii="宋体" w:hAnsi="宋体" w:cs="Arial"/>
          <w:color w:val="000000" w:themeColor="text1"/>
          <w:szCs w:val="21"/>
          <w:highlight w:val="none"/>
          <w14:textFill>
            <w14:solidFill>
              <w14:schemeClr w14:val="tx1"/>
            </w14:solidFill>
          </w14:textFill>
        </w:rPr>
      </w:pPr>
      <w:r>
        <w:rPr>
          <w:rFonts w:hint="eastAsia" w:ascii="宋体" w:hAnsi="宋体" w:cs="Arial"/>
          <w:b/>
          <w:bCs/>
          <w:color w:val="000000" w:themeColor="text1"/>
          <w:szCs w:val="21"/>
          <w:highlight w:val="none"/>
          <w14:textFill>
            <w14:solidFill>
              <w14:schemeClr w14:val="tx1"/>
            </w14:solidFill>
          </w14:textFill>
        </w:rPr>
        <w:t>31．保密</w:t>
      </w:r>
    </w:p>
    <w:p w14:paraId="1FCF1092">
      <w:pPr>
        <w:autoSpaceDE w:val="0"/>
        <w:autoSpaceDN w:val="0"/>
        <w:adjustRightInd w:val="0"/>
        <w:snapToGrid w:val="0"/>
        <w:spacing w:line="360" w:lineRule="auto"/>
        <w:ind w:firstLine="105" w:firstLineChars="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31.1　采购人、磋商小组、磋商会议工作人员等不得向任何供应商或与上述评审工作无关的人员透露有关响应文件的审查、澄清、评估和比较以及有关授予合同的意向的一切情况。</w:t>
      </w:r>
    </w:p>
    <w:p w14:paraId="65BB7765">
      <w:pPr>
        <w:autoSpaceDE w:val="0"/>
        <w:autoSpaceDN w:val="0"/>
        <w:adjustRightInd w:val="0"/>
        <w:snapToGrid w:val="0"/>
        <w:spacing w:line="360" w:lineRule="auto"/>
        <w:jc w:val="left"/>
        <w:rPr>
          <w:rFonts w:ascii="宋体" w:hAnsi="宋体"/>
          <w:b/>
          <w:color w:val="000000" w:themeColor="text1"/>
          <w:kern w:val="0"/>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31.2　供应商不得干扰采购人的评审活动，否则将被取消其竞争性磋商资格，并承担相应的法律责任。</w:t>
      </w:r>
    </w:p>
    <w:p w14:paraId="63E04D08">
      <w:pPr>
        <w:autoSpaceDE w:val="0"/>
        <w:autoSpaceDN w:val="0"/>
        <w:adjustRightInd w:val="0"/>
        <w:snapToGrid w:val="0"/>
        <w:spacing w:line="360" w:lineRule="auto"/>
        <w:jc w:val="left"/>
        <w:rPr>
          <w:rFonts w:ascii="宋体" w:hAnsi="宋体"/>
          <w:b/>
          <w:color w:val="000000" w:themeColor="text1"/>
          <w:kern w:val="0"/>
          <w:szCs w:val="21"/>
          <w:highlight w:val="none"/>
          <w14:textFill>
            <w14:solidFill>
              <w14:schemeClr w14:val="tx1"/>
            </w14:solidFill>
          </w14:textFill>
        </w:rPr>
      </w:pPr>
      <w:r>
        <w:rPr>
          <w:rFonts w:hint="eastAsia" w:ascii="宋体" w:hAnsi="宋体"/>
          <w:b/>
          <w:color w:val="000000" w:themeColor="text1"/>
          <w:kern w:val="0"/>
          <w:szCs w:val="21"/>
          <w:highlight w:val="none"/>
          <w14:textFill>
            <w14:solidFill>
              <w14:schemeClr w14:val="tx1"/>
            </w14:solidFill>
          </w14:textFill>
        </w:rPr>
        <w:t>32.质疑及投诉</w:t>
      </w:r>
    </w:p>
    <w:p w14:paraId="2EF828F7">
      <w:pPr>
        <w:autoSpaceDE w:val="0"/>
        <w:autoSpaceDN w:val="0"/>
        <w:adjustRightInd w:val="0"/>
        <w:snapToGrid w:val="0"/>
        <w:spacing w:line="360" w:lineRule="auto"/>
        <w:jc w:val="left"/>
        <w:rPr>
          <w:rFonts w:ascii="宋体" w:hAnsi="宋体"/>
          <w:bCs/>
          <w:color w:val="000000" w:themeColor="text1"/>
          <w:kern w:val="0"/>
          <w:szCs w:val="21"/>
          <w:highlight w:val="none"/>
          <w14:textFill>
            <w14:solidFill>
              <w14:schemeClr w14:val="tx1"/>
            </w14:solidFill>
          </w14:textFill>
        </w:rPr>
      </w:pPr>
      <w:r>
        <w:rPr>
          <w:rFonts w:hint="eastAsia" w:ascii="宋体" w:hAnsi="宋体"/>
          <w:b/>
          <w:color w:val="000000" w:themeColor="text1"/>
          <w:kern w:val="0"/>
          <w:szCs w:val="21"/>
          <w:highlight w:val="non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32. 供应商对本项目提出质疑和投诉的，按照财政部令第94号《政府采购质疑和投诉办法》执行。</w:t>
      </w:r>
    </w:p>
    <w:p w14:paraId="01484548">
      <w:pPr>
        <w:autoSpaceDE w:val="0"/>
        <w:autoSpaceDN w:val="0"/>
        <w:adjustRightInd w:val="0"/>
        <w:snapToGrid w:val="0"/>
        <w:spacing w:line="360" w:lineRule="auto"/>
        <w:jc w:val="left"/>
        <w:rPr>
          <w:rFonts w:ascii="宋体" w:hAnsi="宋体" w:cs="Arial"/>
          <w:color w:val="000000" w:themeColor="text1"/>
          <w:szCs w:val="21"/>
          <w:highlight w:val="none"/>
          <w:shd w:val="clear" w:color="auto" w:fill="FFFFFF"/>
          <w14:textFill>
            <w14:solidFill>
              <w14:schemeClr w14:val="tx1"/>
            </w14:solidFill>
          </w14:textFill>
        </w:rPr>
      </w:pPr>
      <w:r>
        <w:rPr>
          <w:rFonts w:ascii="宋体" w:hAnsi="宋体" w:cs="Arial"/>
          <w:color w:val="000000" w:themeColor="text1"/>
          <w:szCs w:val="21"/>
          <w:highlight w:val="none"/>
          <w:shd w:val="clear" w:color="auto" w:fill="FFFFFF"/>
          <w14:textFill>
            <w14:solidFill>
              <w14:schemeClr w14:val="tx1"/>
            </w14:solidFill>
          </w14:textFill>
        </w:rPr>
        <w:t xml:space="preserve">    </w:t>
      </w:r>
      <w:r>
        <w:rPr>
          <w:rFonts w:hint="eastAsia" w:ascii="宋体" w:hAnsi="宋体" w:cs="Arial"/>
          <w:color w:val="000000" w:themeColor="text1"/>
          <w:szCs w:val="21"/>
          <w:highlight w:val="none"/>
          <w:shd w:val="clear" w:color="auto" w:fill="FFFFFF"/>
          <w14:textFill>
            <w14:solidFill>
              <w14:schemeClr w14:val="tx1"/>
            </w14:solidFill>
          </w14:textFill>
        </w:rPr>
        <w:t>供应商提出质疑的</w:t>
      </w:r>
      <w:r>
        <w:rPr>
          <w:rFonts w:ascii="宋体" w:hAnsi="宋体" w:cs="Arial"/>
          <w:color w:val="000000" w:themeColor="text1"/>
          <w:szCs w:val="21"/>
          <w:highlight w:val="none"/>
          <w:shd w:val="clear" w:color="auto" w:fill="FFFFFF"/>
          <w14:textFill>
            <w14:solidFill>
              <w14:schemeClr w14:val="tx1"/>
            </w14:solidFill>
          </w14:textFill>
        </w:rPr>
        <w:t>，</w:t>
      </w:r>
      <w:r>
        <w:rPr>
          <w:rFonts w:hint="eastAsia" w:ascii="宋体" w:hAnsi="宋体" w:cs="Arial"/>
          <w:color w:val="000000" w:themeColor="text1"/>
          <w:szCs w:val="21"/>
          <w:highlight w:val="none"/>
          <w:shd w:val="clear" w:color="auto" w:fill="FFFFFF"/>
          <w14:textFill>
            <w14:solidFill>
              <w14:schemeClr w14:val="tx1"/>
            </w14:solidFill>
          </w14:textFill>
        </w:rPr>
        <w:t>应当提交质疑函和必要的证明材料，</w:t>
      </w:r>
      <w:r>
        <w:rPr>
          <w:rFonts w:ascii="宋体" w:hAnsi="宋体" w:cs="Arial"/>
          <w:color w:val="000000" w:themeColor="text1"/>
          <w:szCs w:val="21"/>
          <w:highlight w:val="none"/>
          <w:shd w:val="clear" w:color="auto" w:fill="FFFFFF"/>
          <w14:textFill>
            <w14:solidFill>
              <w14:schemeClr w14:val="tx1"/>
            </w14:solidFill>
          </w14:textFill>
        </w:rPr>
        <w:t>在法定质疑期内一次性提出针对同一采购程序环节的质疑。</w:t>
      </w:r>
    </w:p>
    <w:p w14:paraId="4C967B73">
      <w:pPr>
        <w:pStyle w:val="23"/>
        <w:tabs>
          <w:tab w:val="left" w:pos="420"/>
        </w:tabs>
        <w:spacing w:line="360" w:lineRule="auto"/>
        <w:jc w:val="left"/>
        <w:rPr>
          <w:rFonts w:hAnsi="宋体"/>
          <w:b/>
          <w:bCs/>
          <w:color w:val="000000" w:themeColor="text1"/>
          <w:sz w:val="21"/>
          <w:highlight w:val="none"/>
          <w14:textFill>
            <w14:solidFill>
              <w14:schemeClr w14:val="tx1"/>
            </w14:solidFill>
          </w14:textFill>
        </w:rPr>
      </w:pPr>
      <w:r>
        <w:rPr>
          <w:rFonts w:hAnsi="宋体"/>
          <w:b/>
          <w:bCs/>
          <w:color w:val="000000" w:themeColor="text1"/>
          <w:sz w:val="21"/>
          <w:highlight w:val="none"/>
          <w14:textFill>
            <w14:solidFill>
              <w14:schemeClr w14:val="tx1"/>
            </w14:solidFill>
          </w14:textFill>
        </w:rPr>
        <w:t>33</w:t>
      </w:r>
      <w:r>
        <w:rPr>
          <w:rFonts w:hint="eastAsia" w:hAnsi="宋体"/>
          <w:b/>
          <w:bCs/>
          <w:color w:val="000000" w:themeColor="text1"/>
          <w:sz w:val="21"/>
          <w:highlight w:val="none"/>
          <w14:textFill>
            <w14:solidFill>
              <w14:schemeClr w14:val="tx1"/>
            </w14:solidFill>
          </w14:textFill>
        </w:rPr>
        <w:t>. 需要补充的其他内容</w:t>
      </w:r>
    </w:p>
    <w:p w14:paraId="440ACFA2">
      <w:pPr>
        <w:pStyle w:val="23"/>
        <w:spacing w:line="360" w:lineRule="auto"/>
        <w:ind w:firstLine="420" w:firstLineChars="200"/>
        <w:jc w:val="lef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需要补充的其他内容：见供应商须知前附表。</w:t>
      </w:r>
    </w:p>
    <w:p w14:paraId="6DCC4B85">
      <w:pPr>
        <w:spacing w:line="360" w:lineRule="auto"/>
        <w:rPr>
          <w:rFonts w:ascii="宋体" w:hAnsi="宋体"/>
          <w:b/>
          <w:color w:val="000000" w:themeColor="text1"/>
          <w:kern w:val="0"/>
          <w:szCs w:val="21"/>
          <w:highlight w:val="none"/>
          <w14:textFill>
            <w14:solidFill>
              <w14:schemeClr w14:val="tx1"/>
            </w14:solidFill>
          </w14:textFill>
        </w:rPr>
      </w:pPr>
      <w:r>
        <w:rPr>
          <w:rFonts w:hint="eastAsia" w:ascii="宋体" w:hAnsi="宋体"/>
          <w:b/>
          <w:color w:val="000000" w:themeColor="text1"/>
          <w:kern w:val="0"/>
          <w:szCs w:val="21"/>
          <w:highlight w:val="none"/>
          <w14:textFill>
            <w14:solidFill>
              <w14:schemeClr w14:val="tx1"/>
            </w14:solidFill>
          </w14:textFill>
        </w:rPr>
        <w:t>※3</w:t>
      </w:r>
      <w:r>
        <w:rPr>
          <w:rFonts w:ascii="宋体" w:hAnsi="宋体"/>
          <w:b/>
          <w:color w:val="000000" w:themeColor="text1"/>
          <w:kern w:val="0"/>
          <w:szCs w:val="21"/>
          <w:highlight w:val="none"/>
          <w14:textFill>
            <w14:solidFill>
              <w14:schemeClr w14:val="tx1"/>
            </w14:solidFill>
          </w14:textFill>
        </w:rPr>
        <w:t>4</w:t>
      </w:r>
      <w:r>
        <w:rPr>
          <w:rFonts w:hint="eastAsia" w:ascii="宋体" w:hAnsi="宋体"/>
          <w:b/>
          <w:color w:val="000000" w:themeColor="text1"/>
          <w:kern w:val="0"/>
          <w:szCs w:val="21"/>
          <w:highlight w:val="none"/>
          <w14:textFill>
            <w14:solidFill>
              <w14:schemeClr w14:val="tx1"/>
            </w14:solidFill>
          </w14:textFill>
        </w:rPr>
        <w:t>. 本采购文件所称的“以上”“以下”“以内”“届满”，包括本数；所称的“不满”“超过”“以外”，不包括本数。</w:t>
      </w:r>
    </w:p>
    <w:p w14:paraId="517A2D12">
      <w:pPr>
        <w:pStyle w:val="23"/>
        <w:spacing w:line="360" w:lineRule="auto"/>
        <w:ind w:firstLine="480" w:firstLineChars="200"/>
        <w:jc w:val="left"/>
        <w:rPr>
          <w:color w:val="000000" w:themeColor="text1"/>
          <w:sz w:val="24"/>
          <w:highlight w:val="none"/>
          <w14:textFill>
            <w14:solidFill>
              <w14:schemeClr w14:val="tx1"/>
            </w14:solidFill>
          </w14:textFill>
        </w:rPr>
      </w:pPr>
    </w:p>
    <w:p w14:paraId="571FD9D7">
      <w:pPr>
        <w:pStyle w:val="4"/>
        <w:tabs>
          <w:tab w:val="clear" w:pos="360"/>
        </w:tabs>
        <w:adjustRightInd/>
        <w:spacing w:before="0"/>
        <w:ind w:left="0" w:firstLine="0"/>
        <w:jc w:val="center"/>
        <w:rPr>
          <w:rFonts w:ascii="宋体" w:eastAsia="宋体"/>
          <w:b w:val="0"/>
          <w:color w:val="000000" w:themeColor="text1"/>
          <w:kern w:val="0"/>
          <w:sz w:val="24"/>
          <w:szCs w:val="21"/>
          <w:highlight w:val="none"/>
          <w14:textFill>
            <w14:solidFill>
              <w14:schemeClr w14:val="tx1"/>
            </w14:solidFill>
          </w14:textFill>
        </w:rPr>
        <w:sectPr>
          <w:footerReference r:id="rId3" w:type="default"/>
          <w:pgSz w:w="11906" w:h="16838"/>
          <w:pgMar w:top="1440" w:right="1800" w:bottom="1440" w:left="1800" w:header="851" w:footer="992" w:gutter="170"/>
          <w:pgNumType w:start="1"/>
          <w:cols w:space="720" w:num="1"/>
          <w:docGrid w:type="lines" w:linePitch="312" w:charSpace="0"/>
        </w:sectPr>
      </w:pPr>
    </w:p>
    <w:p w14:paraId="7BF4DFD3">
      <w:pPr>
        <w:pStyle w:val="4"/>
        <w:tabs>
          <w:tab w:val="clear" w:pos="360"/>
        </w:tabs>
        <w:adjustRightInd/>
        <w:spacing w:before="0"/>
        <w:ind w:left="0" w:firstLine="0"/>
        <w:jc w:val="center"/>
        <w:rPr>
          <w:rFonts w:ascii="宋体" w:eastAsia="宋体"/>
          <w:color w:val="000000" w:themeColor="text1"/>
          <w:sz w:val="36"/>
          <w:highlight w:val="none"/>
          <w14:textFill>
            <w14:solidFill>
              <w14:schemeClr w14:val="tx1"/>
            </w14:solidFill>
          </w14:textFill>
        </w:rPr>
      </w:pPr>
      <w:bookmarkStart w:id="76" w:name="_Toc99823390"/>
      <w:r>
        <w:rPr>
          <w:rFonts w:hint="eastAsia" w:ascii="宋体" w:eastAsia="宋体"/>
          <w:color w:val="000000" w:themeColor="text1"/>
          <w:sz w:val="36"/>
          <w:highlight w:val="none"/>
          <w14:textFill>
            <w14:solidFill>
              <w14:schemeClr w14:val="tx1"/>
            </w14:solidFill>
          </w14:textFill>
        </w:rPr>
        <w:t>第三章 项目需求</w:t>
      </w:r>
      <w:bookmarkEnd w:id="0"/>
      <w:bookmarkEnd w:id="1"/>
      <w:bookmarkEnd w:id="2"/>
      <w:bookmarkEnd w:id="3"/>
      <w:bookmarkEnd w:id="4"/>
      <w:bookmarkEnd w:id="76"/>
      <w:bookmarkStart w:id="77" w:name="_bookmark3"/>
      <w:bookmarkEnd w:id="77"/>
      <w:bookmarkStart w:id="78" w:name="_Toc213326413"/>
      <w:bookmarkStart w:id="79" w:name="_Toc213325922"/>
      <w:bookmarkStart w:id="80" w:name="_Toc139966432"/>
      <w:bookmarkStart w:id="81" w:name="_Toc139967216"/>
      <w:bookmarkStart w:id="82" w:name="_Toc213206173"/>
    </w:p>
    <w:p w14:paraId="7C3B8FDE">
      <w:pPr>
        <w:pStyle w:val="27"/>
        <w:rPr>
          <w:color w:val="000000" w:themeColor="text1"/>
          <w:highlight w:val="none"/>
          <w14:textFill>
            <w14:solidFill>
              <w14:schemeClr w14:val="tx1"/>
            </w14:solidFill>
          </w14:textFill>
        </w:rPr>
      </w:pPr>
      <w:bookmarkStart w:id="83" w:name="_Toc99823391"/>
    </w:p>
    <w:p w14:paraId="140B3F59">
      <w:pPr>
        <w:spacing w:line="360" w:lineRule="auto"/>
        <w:ind w:firstLine="484" w:firstLineChars="202"/>
        <w:rPr>
          <w:rFonts w:hint="eastAsia"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一、项目类别</w:t>
      </w:r>
      <w:r>
        <w:rPr>
          <w:rFonts w:hint="eastAsia" w:ascii="宋体" w:hAnsi="宋体"/>
          <w:color w:val="000000" w:themeColor="text1"/>
          <w:sz w:val="24"/>
          <w:szCs w:val="24"/>
          <w:highlight w:val="none"/>
          <w14:textFill>
            <w14:solidFill>
              <w14:schemeClr w14:val="tx1"/>
            </w14:solidFill>
          </w14:textFill>
        </w:rPr>
        <w:t>：服务</w:t>
      </w:r>
    </w:p>
    <w:p w14:paraId="0E89EB03">
      <w:pPr>
        <w:spacing w:line="360" w:lineRule="auto"/>
        <w:ind w:firstLine="484" w:firstLineChars="202"/>
        <w:rPr>
          <w:rFonts w:hint="eastAsia"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二、项目名称</w:t>
      </w:r>
      <w:r>
        <w:rPr>
          <w:rFonts w:hint="eastAsia" w:ascii="宋体" w:hAnsi="宋体"/>
          <w:color w:val="000000" w:themeColor="text1"/>
          <w:sz w:val="24"/>
          <w:szCs w:val="24"/>
          <w:highlight w:val="none"/>
          <w14:textFill>
            <w14:solidFill>
              <w14:schemeClr w14:val="tx1"/>
            </w14:solidFill>
          </w14:textFill>
        </w:rPr>
        <w:t>：桂平新材料产业园化工园区认定资料补充项目编制服务</w:t>
      </w:r>
    </w:p>
    <w:p w14:paraId="5C0995F9">
      <w:pPr>
        <w:spacing w:line="360" w:lineRule="auto"/>
        <w:ind w:firstLine="484" w:firstLineChars="202"/>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三、项目概况</w:t>
      </w:r>
    </w:p>
    <w:p w14:paraId="76CB6106">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桂平新材料产业园位于桂平市木圭镇、马皮二乡镇交界处,距木圭镇西南面3.5公里，马皮多东侧约4.5公里，北至祝兴村，南至马皮乡大龙村，西至木圭镇木圭村，东至木乐镇边界，属于木圭锰矿区。</w:t>
      </w:r>
    </w:p>
    <w:p w14:paraId="73560EC6">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总体规划面积约为345.12公顷(5176.75亩),其中,北部物流仓储片区11.84公顷(177.6亩)，中部配套设施片区8.15公顷(122.25亩)，南部工业片区325.13公顷(4876.9亩)。南部工业区为避让断层，分为A、B地块，A地块为化工产业区254.23公顷(3813.43亩)，B地块为非化工产业区(配套工业园区)64.85公顷(972.71亩)，断层区域避让50米做为防护绿化6.05公顷(90.75亩)。</w:t>
      </w:r>
    </w:p>
    <w:p w14:paraId="4781BBD6">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桂平新材料产业园拟建设成为足华南西南、辐射东南亚、面向全世界的国内重要的产业园区，建设精细化工为核心的绿色智慧产业园和国内新能源电池绿色新材料示范区，并打造成广西化工产业高标准高起点高质量发展的标杆，贵港、桂平的千亿支柱产业</w:t>
      </w:r>
      <w:r>
        <w:rPr>
          <w:rFonts w:ascii="宋体" w:hAnsi="宋体"/>
          <w:color w:val="000000" w:themeColor="text1"/>
          <w:sz w:val="24"/>
          <w:szCs w:val="24"/>
          <w:highlight w:val="none"/>
          <w14:textFill>
            <w14:solidFill>
              <w14:schemeClr w14:val="tx1"/>
            </w14:solidFill>
          </w14:textFill>
        </w:rPr>
        <w:t>。</w:t>
      </w:r>
    </w:p>
    <w:p w14:paraId="570FEEF6">
      <w:pPr>
        <w:spacing w:line="360" w:lineRule="auto"/>
        <w:ind w:firstLine="484" w:firstLineChars="202"/>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四、购买服务内容</w:t>
      </w:r>
    </w:p>
    <w:p w14:paraId="194F34A0">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根据《广西化工园区建设标准和认定管理实施细则》及化工园区安全事故应急预案管理办法等要求，完成以下预案和报告的编制：</w:t>
      </w:r>
    </w:p>
    <w:p w14:paraId="0EA2AF20">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bookmarkStart w:id="84" w:name="OLE_LINK3"/>
      <w:r>
        <w:rPr>
          <w:rFonts w:hint="eastAsia" w:ascii="宋体" w:hAnsi="宋体"/>
          <w:color w:val="000000" w:themeColor="text1"/>
          <w:sz w:val="24"/>
          <w:szCs w:val="24"/>
          <w:highlight w:val="none"/>
          <w14:textFill>
            <w14:solidFill>
              <w14:schemeClr w14:val="tx1"/>
            </w14:solidFill>
          </w14:textFill>
        </w:rPr>
        <w:t>化工园区生产安全事故应急预案及专项预案</w:t>
      </w:r>
      <w:bookmarkEnd w:id="84"/>
      <w:r>
        <w:rPr>
          <w:rFonts w:hint="eastAsia" w:ascii="宋体" w:hAnsi="宋体"/>
          <w:color w:val="000000" w:themeColor="text1"/>
          <w:sz w:val="24"/>
          <w:szCs w:val="24"/>
          <w:highlight w:val="none"/>
          <w14:textFill>
            <w14:solidFill>
              <w14:schemeClr w14:val="tx1"/>
            </w14:solidFill>
          </w14:textFill>
        </w:rPr>
        <w:t>》</w:t>
      </w:r>
    </w:p>
    <w:p w14:paraId="12251FAA">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2.《化工园区突发环境事件应急预案》</w:t>
      </w:r>
    </w:p>
    <w:p w14:paraId="353C89B6">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3.《突发事件总体应急预案》</w:t>
      </w:r>
    </w:p>
    <w:p w14:paraId="6E7BD37F">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4.《自然灾害救助应急预案》</w:t>
      </w:r>
    </w:p>
    <w:p w14:paraId="1F6D9AD0">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5.《消防安全事故专项应急预案》</w:t>
      </w:r>
    </w:p>
    <w:p w14:paraId="4AD8D1CA">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6.《危化品停车场建设需求论证报告》</w:t>
      </w:r>
    </w:p>
    <w:p w14:paraId="7AF4FD02">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7.《公共管廊建设需求论证报告》</w:t>
      </w:r>
    </w:p>
    <w:p w14:paraId="239B32A2">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8.《化工园区安全风险评估分级报告》</w:t>
      </w:r>
    </w:p>
    <w:p w14:paraId="13F242E7">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9.《医疗救护站专项分析报告》</w:t>
      </w:r>
    </w:p>
    <w:p w14:paraId="4FFD476C">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10.《消防专项分析报告》</w:t>
      </w:r>
    </w:p>
    <w:p w14:paraId="42A9DA38">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11.其它相关制度</w:t>
      </w:r>
    </w:p>
    <w:p w14:paraId="092563F9">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（1）入园项目评估制度文件；</w:t>
      </w:r>
    </w:p>
    <w:p w14:paraId="7A7901D3">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（2）化工园区危化品运输专用道路、专用车道、限时限速行驶相关管理制度；</w:t>
      </w:r>
    </w:p>
    <w:p w14:paraId="0F47E89A">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（3）智慧化平台运行管理制度；</w:t>
      </w:r>
    </w:p>
    <w:p w14:paraId="54B3139E">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（4）化工园区安全生产联动工作；</w:t>
      </w:r>
    </w:p>
    <w:p w14:paraId="75046CA9">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（5）应急物资检查、维护保养制度等；</w:t>
      </w:r>
    </w:p>
    <w:p w14:paraId="45C98E8C">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（6）双电运营管理制度；</w:t>
      </w:r>
    </w:p>
    <w:p w14:paraId="606E7423">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（7）化工园区封闭化管理制度及运行管理制度；</w:t>
      </w:r>
    </w:p>
    <w:p w14:paraId="086A5668">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（8）建立年度安全生产考核机制、建立安全生产奖励制度；</w:t>
      </w:r>
    </w:p>
    <w:p w14:paraId="728198A3">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（9）安全风险整体性评估制度；</w:t>
      </w:r>
    </w:p>
    <w:p w14:paraId="70C9A2A4">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（10）危险化学品建设项目安全准入与退出制度；</w:t>
      </w:r>
    </w:p>
    <w:p w14:paraId="0271707B">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（11）监督检查与安全风险分级制度；</w:t>
      </w:r>
    </w:p>
    <w:p w14:paraId="54F4DEBF">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（12）消防与应急管理制度；</w:t>
      </w:r>
    </w:p>
    <w:p w14:paraId="51122AD7">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（13）安全风险智能化台建设制度；</w:t>
      </w:r>
    </w:p>
    <w:p w14:paraId="410268B3">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（14）特殊作业安全管理制度；</w:t>
      </w:r>
    </w:p>
    <w:p w14:paraId="147778C4">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成交供应商应按照文件规定工作进度以及合同条款等提供成果，组织专家对以上需要评审的报告进行评审，按采购人和评审专家的要求及时修改，确保成果符合国家相关技术导则和规范要求，能通过专家评审。</w:t>
      </w:r>
    </w:p>
    <w:p w14:paraId="4660B398">
      <w:pPr>
        <w:spacing w:line="360" w:lineRule="auto"/>
        <w:ind w:firstLine="480" w:firstLineChars="200"/>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★五、服务时间要求</w:t>
      </w:r>
    </w:p>
    <w:p w14:paraId="06D6B77F">
      <w:pPr>
        <w:spacing w:line="360" w:lineRule="auto"/>
        <w:ind w:firstLine="480" w:firstLineChars="200"/>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自合同签订生效之日起至桂平新材料产业园化工园区认定完成。</w:t>
      </w:r>
    </w:p>
    <w:p w14:paraId="764A3E7A">
      <w:pPr>
        <w:spacing w:line="360" w:lineRule="auto"/>
        <w:ind w:firstLine="484" w:firstLineChars="202"/>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六、服务标准及质量</w:t>
      </w:r>
    </w:p>
    <w:p w14:paraId="194BC921">
      <w:pPr>
        <w:spacing w:line="360" w:lineRule="auto"/>
        <w:ind w:firstLine="484" w:firstLineChars="202"/>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1.服务要求：在规定的时间内完成本项目，确保项目成果质量符合国家、自治区的相关技术要求。</w:t>
      </w:r>
    </w:p>
    <w:p w14:paraId="0B6FC5BE">
      <w:pPr>
        <w:spacing w:line="360" w:lineRule="auto"/>
        <w:ind w:firstLine="484" w:firstLineChars="202"/>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2.验收标准：项目成果质量符合国家、自治区的相关技术要求，</w:t>
      </w:r>
      <w:bookmarkStart w:id="85" w:name="OLE_LINK2"/>
      <w:r>
        <w:rPr>
          <w:rFonts w:hint="eastAsia" w:ascii="宋体" w:hAnsi="宋体"/>
          <w:bCs/>
          <w:color w:val="000000" w:themeColor="text1"/>
          <w:sz w:val="24"/>
          <w:szCs w:val="24"/>
          <w:highlight w:val="none"/>
          <w14:textFill>
            <w14:solidFill>
              <w14:schemeClr w14:val="tx1"/>
            </w14:solidFill>
          </w14:textFill>
        </w:rPr>
        <w:t>通过</w:t>
      </w:r>
      <w:r>
        <w:rPr>
          <w:rFonts w:hint="eastAsia" w:ascii="宋体" w:hAnsi="宋体"/>
          <w:color w:val="000000" w:themeColor="text1"/>
          <w:sz w:val="24"/>
          <w:szCs w:val="24"/>
          <w:highlight w:val="none"/>
          <w14:textFill>
            <w14:solidFill>
              <w14:schemeClr w14:val="tx1"/>
            </w14:solidFill>
          </w14:textFill>
        </w:rPr>
        <w:t>专家评审</w:t>
      </w:r>
      <w:r>
        <w:rPr>
          <w:rFonts w:hint="eastAsia" w:ascii="宋体" w:hAnsi="宋体"/>
          <w:bCs/>
          <w:color w:val="000000" w:themeColor="text1"/>
          <w:sz w:val="24"/>
          <w:szCs w:val="24"/>
          <w:highlight w:val="none"/>
          <w14:textFill>
            <w14:solidFill>
              <w14:schemeClr w14:val="tx1"/>
            </w14:solidFill>
          </w14:textFill>
        </w:rPr>
        <w:t>。</w:t>
      </w:r>
    </w:p>
    <w:bookmarkEnd w:id="85"/>
    <w:p w14:paraId="5A01B9D4">
      <w:pPr>
        <w:spacing w:line="360" w:lineRule="auto"/>
        <w:ind w:firstLine="484" w:firstLineChars="202"/>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3.验收时间：按合同工作进度要求验收。</w:t>
      </w:r>
    </w:p>
    <w:p w14:paraId="0F42CF83">
      <w:pPr>
        <w:spacing w:line="360" w:lineRule="auto"/>
        <w:ind w:firstLine="484" w:firstLineChars="202"/>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4.验收方式：质量验收法，通过</w:t>
      </w:r>
      <w:r>
        <w:rPr>
          <w:rFonts w:hint="eastAsia" w:ascii="宋体" w:hAnsi="宋体"/>
          <w:color w:val="000000" w:themeColor="text1"/>
          <w:sz w:val="24"/>
          <w:szCs w:val="24"/>
          <w:highlight w:val="none"/>
          <w14:textFill>
            <w14:solidFill>
              <w14:schemeClr w14:val="tx1"/>
            </w14:solidFill>
          </w14:textFill>
        </w:rPr>
        <w:t>专家评审</w:t>
      </w:r>
      <w:r>
        <w:rPr>
          <w:rFonts w:hint="eastAsia" w:ascii="宋体" w:hAnsi="宋体"/>
          <w:bCs/>
          <w:color w:val="000000" w:themeColor="text1"/>
          <w:sz w:val="24"/>
          <w:szCs w:val="24"/>
          <w:highlight w:val="none"/>
          <w14:textFill>
            <w14:solidFill>
              <w14:schemeClr w14:val="tx1"/>
            </w14:solidFill>
          </w14:textFill>
        </w:rPr>
        <w:t>。</w:t>
      </w:r>
    </w:p>
    <w:p w14:paraId="111F91BC">
      <w:pPr>
        <w:spacing w:line="360" w:lineRule="auto"/>
        <w:ind w:firstLine="484" w:firstLineChars="202"/>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七、付款方式</w:t>
      </w:r>
      <w:r>
        <w:rPr>
          <w:rFonts w:hint="eastAsia" w:ascii="宋体" w:hAnsi="宋体"/>
          <w:b/>
          <w:color w:val="000000" w:themeColor="text1"/>
          <w:sz w:val="24"/>
          <w:szCs w:val="24"/>
          <w:highlight w:val="none"/>
          <w14:textFill>
            <w14:solidFill>
              <w14:schemeClr w14:val="tx1"/>
            </w14:solidFill>
          </w14:textFill>
        </w:rPr>
        <w:tab/>
      </w:r>
    </w:p>
    <w:p w14:paraId="0326952B">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1.本项目有预付款，为合同价款的30%；合同签订后，采购人在20个工作日支付合同总价的30％预付款。</w:t>
      </w:r>
    </w:p>
    <w:p w14:paraId="7A354B1D">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2.成交人提交相关制度、生产安全事故应急预案及专项预案、突发环境事件应急预案、突发事件总体应急预案、自然灾害救助应急预案、消防安全事故专项应急预案，采购人在20个工作日支付合同总价的40％。</w:t>
      </w:r>
    </w:p>
    <w:p w14:paraId="698F9617">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3.成交人提交危化品停车场建设需求论证报告、公共管廊建设需求论证报告、化工园区安全风险评估分级报告、医疗救护站专项分析报告、消防专项分析报告，采购人在20个工作日内支付剩余合同金额。</w:t>
      </w:r>
    </w:p>
    <w:p w14:paraId="447DD92E">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4.支付方式为银行转帐，成交人须提供合法等额有效发票。</w:t>
      </w:r>
    </w:p>
    <w:p w14:paraId="2B0197F9">
      <w:pPr>
        <w:spacing w:line="360" w:lineRule="auto"/>
        <w:ind w:firstLine="484" w:firstLineChars="202"/>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八、报价要求</w:t>
      </w:r>
    </w:p>
    <w:p w14:paraId="772FF243">
      <w:pPr>
        <w:spacing w:line="360" w:lineRule="auto"/>
        <w:ind w:firstLine="484" w:firstLineChars="202"/>
        <w:rPr>
          <w:rFonts w:hint="eastAsia" w:ascii="宋体" w:hAnsi="宋体"/>
          <w:color w:val="000000" w:themeColor="text1"/>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本次报价须为人民币报价，报价应包含了（但并不限于）本项目服务所需的所有费用和所需缴纳的保险、税、费等一切费用。对于本文件中未列明，而供应商认为必需的费用也需列入总报价。在合同实施时，采购人将不予支付成交供应商没有列入的项目费用，并认为此项目的费用已包括在总报价中。</w:t>
      </w:r>
    </w:p>
    <w:p w14:paraId="056DE722">
      <w:pPr>
        <w:spacing w:line="360" w:lineRule="auto"/>
        <w:ind w:firstLine="484" w:firstLineChars="202"/>
        <w:rPr>
          <w:rFonts w:hint="eastAsia" w:ascii="宋体" w:hAnsi="宋体"/>
          <w:b/>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ab/>
      </w:r>
      <w:r>
        <w:rPr>
          <w:rFonts w:hint="eastAsia" w:ascii="宋体" w:hAnsi="宋体"/>
          <w:b/>
          <w:color w:val="000000" w:themeColor="text1"/>
          <w:sz w:val="24"/>
          <w:szCs w:val="24"/>
          <w:highlight w:val="none"/>
          <w14:textFill>
            <w14:solidFill>
              <w14:schemeClr w14:val="tx1"/>
            </w14:solidFill>
          </w14:textFill>
        </w:rPr>
        <w:t>★九、其他要求</w:t>
      </w:r>
    </w:p>
    <w:p w14:paraId="6448C151">
      <w:pPr>
        <w:spacing w:line="360" w:lineRule="auto"/>
        <w:ind w:firstLine="484" w:firstLineChars="202"/>
        <w:rPr>
          <w:rFonts w:hint="eastAsia" w:ascii="宋体" w:hAnsi="宋体"/>
          <w:color w:val="000000" w:themeColor="text1"/>
          <w:sz w:val="24"/>
          <w:szCs w:val="24"/>
          <w:highlight w:val="none"/>
          <w14:textFill>
            <w14:solidFill>
              <w14:schemeClr w14:val="tx1"/>
            </w14:solidFill>
          </w14:textFill>
        </w:rPr>
        <w:sectPr>
          <w:footerReference r:id="rId4" w:type="default"/>
          <w:pgSz w:w="11906" w:h="16838"/>
          <w:pgMar w:top="1440" w:right="1800" w:bottom="1440" w:left="1800" w:header="709" w:footer="709" w:gutter="0"/>
          <w:cols w:space="720" w:num="1"/>
          <w:docGrid w:type="linesAndChars" w:linePitch="312" w:charSpace="0"/>
        </w:sectPr>
      </w:pPr>
      <w:r>
        <w:rPr>
          <w:rFonts w:hint="eastAsia" w:ascii="宋体" w:hAnsi="宋体"/>
          <w:color w:val="000000" w:themeColor="text1"/>
          <w:sz w:val="24"/>
          <w:szCs w:val="24"/>
          <w:highlight w:val="none"/>
          <w14:textFill>
            <w14:solidFill>
              <w14:schemeClr w14:val="tx1"/>
            </w14:solidFill>
          </w14:textFill>
        </w:rPr>
        <w:t>本项目如有国家相关标准、行业标准、地方标准或者其他标准、规范的，应执行相应的标准、规范。如供应商的具体承诺高于标准、规范的按供应商的具体承诺执行。</w:t>
      </w:r>
    </w:p>
    <w:p w14:paraId="562D2295">
      <w:pPr>
        <w:pStyle w:val="20"/>
        <w:ind w:firstLine="0"/>
        <w:rPr>
          <w:rFonts w:ascii="宋体"/>
          <w:color w:val="000000" w:themeColor="text1"/>
          <w:sz w:val="24"/>
          <w:szCs w:val="24"/>
          <w:highlight w:val="none"/>
          <w14:textFill>
            <w14:solidFill>
              <w14:schemeClr w14:val="tx1"/>
            </w14:solidFill>
          </w14:textFill>
        </w:rPr>
      </w:pPr>
    </w:p>
    <w:p w14:paraId="1C948606">
      <w:pPr>
        <w:pStyle w:val="20"/>
        <w:rPr>
          <w:rFonts w:ascii="宋体"/>
          <w:color w:val="000000" w:themeColor="text1"/>
          <w:sz w:val="24"/>
          <w:szCs w:val="24"/>
          <w:highlight w:val="none"/>
          <w14:textFill>
            <w14:solidFill>
              <w14:schemeClr w14:val="tx1"/>
            </w14:solidFill>
          </w14:textFill>
        </w:rPr>
      </w:pPr>
    </w:p>
    <w:p w14:paraId="08E64A22">
      <w:pPr>
        <w:pStyle w:val="20"/>
        <w:rPr>
          <w:rFonts w:ascii="宋体"/>
          <w:color w:val="000000" w:themeColor="text1"/>
          <w:sz w:val="24"/>
          <w:szCs w:val="24"/>
          <w:highlight w:val="none"/>
          <w14:textFill>
            <w14:solidFill>
              <w14:schemeClr w14:val="tx1"/>
            </w14:solidFill>
          </w14:textFill>
        </w:rPr>
      </w:pPr>
    </w:p>
    <w:p w14:paraId="05B6A570">
      <w:pPr>
        <w:pStyle w:val="4"/>
        <w:spacing w:before="0"/>
        <w:ind w:left="0" w:firstLine="0"/>
        <w:jc w:val="center"/>
        <w:rPr>
          <w:rFonts w:ascii="宋体" w:eastAsia="宋体"/>
          <w:color w:val="000000" w:themeColor="text1"/>
          <w:sz w:val="36"/>
          <w:highlight w:val="none"/>
          <w14:textFill>
            <w14:solidFill>
              <w14:schemeClr w14:val="tx1"/>
            </w14:solidFill>
          </w14:textFill>
        </w:rPr>
      </w:pPr>
      <w:r>
        <w:rPr>
          <w:rFonts w:hint="eastAsia" w:ascii="宋体" w:eastAsia="宋体"/>
          <w:color w:val="000000" w:themeColor="text1"/>
          <w:sz w:val="36"/>
          <w:highlight w:val="none"/>
          <w14:textFill>
            <w14:solidFill>
              <w14:schemeClr w14:val="tx1"/>
            </w14:solidFill>
          </w14:textFill>
        </w:rPr>
        <w:t>第四章 评审方法</w:t>
      </w:r>
      <w:bookmarkEnd w:id="78"/>
      <w:bookmarkEnd w:id="79"/>
      <w:bookmarkEnd w:id="80"/>
      <w:bookmarkEnd w:id="81"/>
      <w:bookmarkEnd w:id="82"/>
      <w:bookmarkEnd w:id="83"/>
    </w:p>
    <w:p w14:paraId="4AF57E2C">
      <w:pPr>
        <w:spacing w:line="360" w:lineRule="auto"/>
        <w:rPr>
          <w:rFonts w:ascii="宋体" w:cs="宋体"/>
          <w:b/>
          <w:bCs/>
          <w:color w:val="000000" w:themeColor="text1"/>
          <w:sz w:val="24"/>
          <w:szCs w:val="28"/>
          <w:highlight w:val="none"/>
          <w14:textFill>
            <w14:solidFill>
              <w14:schemeClr w14:val="tx1"/>
            </w14:solidFill>
          </w14:textFill>
        </w:rPr>
      </w:pPr>
      <w:bookmarkStart w:id="86" w:name="_Toc213325923"/>
      <w:bookmarkStart w:id="87" w:name="_Toc213326414"/>
      <w:bookmarkStart w:id="88" w:name="_Toc213206174"/>
      <w:r>
        <w:rPr>
          <w:rFonts w:hint="eastAsia" w:ascii="宋体" w:cs="宋体"/>
          <w:b/>
          <w:bCs/>
          <w:color w:val="000000" w:themeColor="text1"/>
          <w:sz w:val="24"/>
          <w:szCs w:val="28"/>
          <w:highlight w:val="none"/>
          <w14:textFill>
            <w14:solidFill>
              <w14:schemeClr w14:val="tx1"/>
            </w14:solidFill>
          </w14:textFill>
        </w:rPr>
        <w:t xml:space="preserve">一、评审原则  </w:t>
      </w:r>
    </w:p>
    <w:p w14:paraId="46F63893">
      <w:pPr>
        <w:spacing w:line="360" w:lineRule="auto"/>
        <w:rPr>
          <w:rFonts w:ascii="宋体"/>
          <w:color w:val="000000" w:themeColor="text1"/>
          <w:sz w:val="24"/>
          <w:szCs w:val="28"/>
          <w:highlight w:val="none"/>
          <w14:textFill>
            <w14:solidFill>
              <w14:schemeClr w14:val="tx1"/>
            </w14:solidFill>
          </w14:textFill>
        </w:rPr>
      </w:pPr>
      <w:r>
        <w:rPr>
          <w:rFonts w:hint="eastAsia" w:ascii="宋体"/>
          <w:color w:val="000000" w:themeColor="text1"/>
          <w:sz w:val="24"/>
          <w:szCs w:val="28"/>
          <w:highlight w:val="none"/>
          <w14:textFill>
            <w14:solidFill>
              <w14:schemeClr w14:val="tx1"/>
            </w14:solidFill>
          </w14:textFill>
        </w:rPr>
        <w:t xml:space="preserve">    （一） 磋商小组成员组成：磋商小组由采购人委派的专家代表和评审专家共3人以上单数组成，其中评审专家人数不得少于磋商小组成员总数的2/3。</w:t>
      </w:r>
    </w:p>
    <w:p w14:paraId="6EE52A07">
      <w:pPr>
        <w:spacing w:line="360" w:lineRule="auto"/>
        <w:rPr>
          <w:rFonts w:ascii="宋体"/>
          <w:color w:val="000000" w:themeColor="text1"/>
          <w:sz w:val="24"/>
          <w:szCs w:val="28"/>
          <w:highlight w:val="none"/>
          <w14:textFill>
            <w14:solidFill>
              <w14:schemeClr w14:val="tx1"/>
            </w14:solidFill>
          </w14:textFill>
        </w:rPr>
      </w:pPr>
      <w:r>
        <w:rPr>
          <w:rFonts w:hint="eastAsia" w:ascii="宋体"/>
          <w:color w:val="000000" w:themeColor="text1"/>
          <w:sz w:val="24"/>
          <w:szCs w:val="28"/>
          <w:highlight w:val="none"/>
          <w14:textFill>
            <w14:solidFill>
              <w14:schemeClr w14:val="tx1"/>
            </w14:solidFill>
          </w14:textFill>
        </w:rPr>
        <w:t xml:space="preserve">    （二） 评审依据：磋商小组以竞争性磋商文件和竞争性磋商响应文件为依据，对磋商供应商的价格、商务部分和技术部分内容按百分制打分。  </w:t>
      </w:r>
    </w:p>
    <w:p w14:paraId="688A4B72">
      <w:pPr>
        <w:spacing w:line="360" w:lineRule="auto"/>
        <w:rPr>
          <w:rFonts w:ascii="宋体"/>
          <w:color w:val="000000" w:themeColor="text1"/>
          <w:sz w:val="24"/>
          <w:szCs w:val="28"/>
          <w:highlight w:val="none"/>
          <w14:textFill>
            <w14:solidFill>
              <w14:schemeClr w14:val="tx1"/>
            </w14:solidFill>
          </w14:textFill>
        </w:rPr>
      </w:pPr>
      <w:r>
        <w:rPr>
          <w:rFonts w:hint="eastAsia" w:ascii="宋体" w:cs="宋体"/>
          <w:b/>
          <w:bCs/>
          <w:color w:val="000000" w:themeColor="text1"/>
          <w:sz w:val="24"/>
          <w:szCs w:val="28"/>
          <w:highlight w:val="none"/>
          <w14:textFill>
            <w14:solidFill>
              <w14:schemeClr w14:val="tx1"/>
            </w14:solidFill>
          </w14:textFill>
        </w:rPr>
        <w:t>二、评标方法：</w:t>
      </w:r>
      <w:r>
        <w:rPr>
          <w:rFonts w:hint="eastAsia" w:ascii="宋体"/>
          <w:color w:val="000000" w:themeColor="text1"/>
          <w:sz w:val="24"/>
          <w:szCs w:val="28"/>
          <w:highlight w:val="none"/>
          <w14:textFill>
            <w14:solidFill>
              <w14:schemeClr w14:val="tx1"/>
            </w14:solidFill>
          </w14:textFill>
        </w:rPr>
        <w:t>综合评分法。</w:t>
      </w:r>
    </w:p>
    <w:p w14:paraId="1C7D4CD4">
      <w:pPr>
        <w:tabs>
          <w:tab w:val="left" w:pos="7474"/>
        </w:tabs>
        <w:snapToGrid w:val="0"/>
        <w:spacing w:line="360" w:lineRule="auto"/>
        <w:jc w:val="left"/>
        <w:rPr>
          <w:rFonts w:ascii="宋体" w:cs="宋体"/>
          <w:b/>
          <w:bCs/>
          <w:color w:val="000000" w:themeColor="text1"/>
          <w:sz w:val="24"/>
          <w:szCs w:val="28"/>
          <w:highlight w:val="none"/>
          <w14:textFill>
            <w14:solidFill>
              <w14:schemeClr w14:val="tx1"/>
            </w14:solidFill>
          </w14:textFill>
        </w:rPr>
      </w:pPr>
      <w:r>
        <w:rPr>
          <w:rFonts w:hint="eastAsia" w:ascii="宋体" w:cs="宋体"/>
          <w:b/>
          <w:bCs/>
          <w:color w:val="000000" w:themeColor="text1"/>
          <w:sz w:val="24"/>
          <w:szCs w:val="28"/>
          <w:highlight w:val="none"/>
          <w14:textFill>
            <w14:solidFill>
              <w14:schemeClr w14:val="tx1"/>
            </w14:solidFill>
          </w14:textFill>
        </w:rPr>
        <w:t>三、评审标准</w:t>
      </w:r>
    </w:p>
    <w:p w14:paraId="0DF91086">
      <w:pPr>
        <w:spacing w:line="360" w:lineRule="auto"/>
        <w:ind w:firstLine="472" w:firstLineChars="196"/>
        <w:rPr>
          <w:rFonts w:ascii="宋体"/>
          <w:b/>
          <w:bCs/>
          <w:color w:val="000000" w:themeColor="text1"/>
          <w:sz w:val="24"/>
          <w:szCs w:val="28"/>
          <w:highlight w:val="none"/>
          <w14:textFill>
            <w14:solidFill>
              <w14:schemeClr w14:val="tx1"/>
            </w14:solidFill>
          </w14:textFill>
        </w:rPr>
      </w:pPr>
      <w:r>
        <w:rPr>
          <w:rFonts w:hint="eastAsia" w:ascii="宋体"/>
          <w:b/>
          <w:bCs/>
          <w:color w:val="000000" w:themeColor="text1"/>
          <w:sz w:val="24"/>
          <w:szCs w:val="28"/>
          <w:highlight w:val="none"/>
          <w14:textFill>
            <w14:solidFill>
              <w14:schemeClr w14:val="tx1"/>
            </w14:solidFill>
          </w14:textFill>
        </w:rPr>
        <w:t>1.价格分</w:t>
      </w:r>
      <w:r>
        <w:rPr>
          <w:rFonts w:hint="eastAsia" w:ascii="宋体" w:hAnsi="宋体" w:cs="宋体"/>
          <w:b/>
          <w:bCs/>
          <w:color w:val="000000" w:themeColor="text1"/>
          <w:sz w:val="24"/>
          <w:szCs w:val="28"/>
          <w:highlight w:val="none"/>
          <w14:textFill>
            <w14:solidFill>
              <w14:schemeClr w14:val="tx1"/>
            </w14:solidFill>
          </w14:textFill>
        </w:rPr>
        <w:t>（满分</w:t>
      </w:r>
      <w:r>
        <w:rPr>
          <w:rFonts w:ascii="宋体" w:hAnsi="宋体" w:cs="宋体"/>
          <w:b/>
          <w:bCs/>
          <w:color w:val="000000" w:themeColor="text1"/>
          <w:sz w:val="24"/>
          <w:szCs w:val="28"/>
          <w:highlight w:val="none"/>
          <w14:textFill>
            <w14:solidFill>
              <w14:schemeClr w14:val="tx1"/>
            </w14:solidFill>
          </w14:textFill>
        </w:rPr>
        <w:t>10</w:t>
      </w:r>
      <w:r>
        <w:rPr>
          <w:rFonts w:hint="eastAsia" w:ascii="宋体" w:hAnsi="宋体" w:cs="宋体"/>
          <w:b/>
          <w:bCs/>
          <w:color w:val="000000" w:themeColor="text1"/>
          <w:sz w:val="24"/>
          <w:szCs w:val="28"/>
          <w:highlight w:val="none"/>
          <w14:textFill>
            <w14:solidFill>
              <w14:schemeClr w14:val="tx1"/>
            </w14:solidFill>
          </w14:textFill>
        </w:rPr>
        <w:t>分）</w:t>
      </w:r>
    </w:p>
    <w:p w14:paraId="26FB9E4D">
      <w:pPr>
        <w:spacing w:line="360" w:lineRule="auto"/>
        <w:ind w:firstLine="484" w:firstLineChars="202"/>
        <w:rPr>
          <w:color w:val="000000" w:themeColor="text1"/>
          <w:sz w:val="24"/>
          <w:szCs w:val="28"/>
          <w:highlight w:val="none"/>
          <w14:textFill>
            <w14:solidFill>
              <w14:schemeClr w14:val="tx1"/>
            </w14:solidFill>
          </w14:textFill>
        </w:rPr>
      </w:pPr>
      <w:bookmarkStart w:id="89" w:name="_Toc22652"/>
      <w:bookmarkStart w:id="90" w:name="_Toc469988888"/>
      <w:r>
        <w:rPr>
          <w:rFonts w:hint="eastAsia" w:ascii="宋体"/>
          <w:color w:val="000000" w:themeColor="text1"/>
          <w:sz w:val="24"/>
          <w:szCs w:val="28"/>
          <w:highlight w:val="none"/>
          <w14:textFill>
            <w14:solidFill>
              <w14:schemeClr w14:val="tx1"/>
            </w14:solidFill>
          </w14:textFill>
        </w:rPr>
        <w:tab/>
      </w:r>
      <w:r>
        <w:rPr>
          <w:rFonts w:hint="eastAsia" w:ascii="宋体"/>
          <w:color w:val="000000" w:themeColor="text1"/>
          <w:sz w:val="24"/>
          <w:szCs w:val="28"/>
          <w:highlight w:val="none"/>
          <w14:textFill>
            <w14:solidFill>
              <w14:schemeClr w14:val="tx1"/>
            </w14:solidFill>
          </w14:textFill>
        </w:rPr>
        <w:tab/>
      </w:r>
      <w:bookmarkEnd w:id="89"/>
      <w:r>
        <w:rPr>
          <w:rFonts w:hint="eastAsia"/>
          <w:color w:val="000000" w:themeColor="text1"/>
          <w:sz w:val="24"/>
          <w:szCs w:val="28"/>
          <w:highlight w:val="none"/>
          <w14:textFill>
            <w14:solidFill>
              <w14:schemeClr w14:val="tx1"/>
            </w14:solidFill>
          </w14:textFill>
        </w:rPr>
        <w:t>（1）</w:t>
      </w:r>
      <w:r>
        <w:rPr>
          <w:rFonts w:hint="eastAsia" w:ascii="宋体" w:hAnsi="宋体"/>
          <w:color w:val="000000" w:themeColor="text1"/>
          <w:sz w:val="24"/>
          <w:szCs w:val="28"/>
          <w:highlight w:val="none"/>
          <w14:textFill>
            <w14:solidFill>
              <w14:schemeClr w14:val="tx1"/>
            </w14:solidFill>
          </w14:textFill>
        </w:rPr>
        <w:t>按照《政府采购促进中小企业发展管理办法》（财库〔2020〕46号）、《财政部关于进一步加大政府采购支持中小企业力度的通知》（财库〔2022〕19号）文件及《广西壮族自治区财政厅关于贯彻落实政府采购支持中小企业发展政策的通知》（桂财采〔2022〕31号）的规定，供应商在其响应文件中提供《中小企业声明函》，且其提供的货物或服务全部由符合政策要求的小型、微型企业制造，即货物由小型、微型企业生产且使用该小型、微型企业商号或者注册商标或在服务采购项目中，服务由中小企业承接，对其最后报价给予20%的扣除。</w:t>
      </w:r>
    </w:p>
    <w:p w14:paraId="1DF4BD9A">
      <w:pPr>
        <w:spacing w:line="360" w:lineRule="auto"/>
        <w:rPr>
          <w:rFonts w:hint="eastAsia" w:ascii="宋体" w:hAnsi="宋体"/>
          <w:color w:val="000000" w:themeColor="text1"/>
          <w:sz w:val="24"/>
          <w:szCs w:val="28"/>
          <w:highlight w:val="none"/>
          <w14:textFill>
            <w14:solidFill>
              <w14:schemeClr w14:val="tx1"/>
            </w14:solidFill>
          </w14:textFill>
        </w:rPr>
      </w:pPr>
      <w:bookmarkStart w:id="91" w:name="_Toc28639"/>
      <w:r>
        <w:rPr>
          <w:rFonts w:hint="eastAsia" w:ascii="宋体"/>
          <w:color w:val="000000" w:themeColor="text1"/>
          <w:sz w:val="24"/>
          <w:szCs w:val="28"/>
          <w:highlight w:val="none"/>
          <w14:textFill>
            <w14:solidFill>
              <w14:schemeClr w14:val="tx1"/>
            </w14:solidFill>
          </w14:textFill>
        </w:rPr>
        <w:t xml:space="preserve">   </w:t>
      </w:r>
      <w:bookmarkEnd w:id="91"/>
      <w:r>
        <w:rPr>
          <w:rFonts w:hint="eastAsia" w:ascii="宋体" w:hAnsi="宋体"/>
          <w:color w:val="000000" w:themeColor="text1"/>
          <w:sz w:val="24"/>
          <w:szCs w:val="28"/>
          <w:highlight w:val="none"/>
          <w14:textFill>
            <w14:solidFill>
              <w14:schemeClr w14:val="tx1"/>
            </w14:solidFill>
          </w14:textFill>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14:paraId="511A7750">
      <w:pPr>
        <w:spacing w:line="360" w:lineRule="auto"/>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 xml:space="preserve">    （</w:t>
      </w:r>
      <w:r>
        <w:rPr>
          <w:rFonts w:ascii="宋体" w:hAnsi="宋体"/>
          <w:color w:val="000000" w:themeColor="text1"/>
          <w:sz w:val="24"/>
          <w:szCs w:val="28"/>
          <w:highlight w:val="none"/>
          <w14:textFill>
            <w14:solidFill>
              <w14:schemeClr w14:val="tx1"/>
            </w14:solidFill>
          </w14:textFill>
        </w:rPr>
        <w:t>3</w:t>
      </w:r>
      <w:r>
        <w:rPr>
          <w:rFonts w:hint="eastAsia" w:ascii="宋体" w:hAnsi="宋体"/>
          <w:color w:val="000000" w:themeColor="text1"/>
          <w:sz w:val="24"/>
          <w:szCs w:val="28"/>
          <w:highlight w:val="none"/>
          <w14:textFill>
            <w14:solidFill>
              <w14:schemeClr w14:val="tx1"/>
            </w14:solidFill>
          </w14:textFill>
        </w:rPr>
        <w:t>）按照《关于促进残疾人就业政府采购政策的通知》（财库〔2017〕141 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F602501">
      <w:pPr>
        <w:spacing w:line="360" w:lineRule="auto"/>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　</w:t>
      </w:r>
      <w:r>
        <w:rPr>
          <w:rFonts w:ascii="宋体" w:hAnsi="宋体"/>
          <w:color w:val="000000" w:themeColor="text1"/>
          <w:sz w:val="24"/>
          <w:szCs w:val="28"/>
          <w:highlight w:val="none"/>
          <w14:textFill>
            <w14:solidFill>
              <w14:schemeClr w14:val="tx1"/>
            </w14:solidFill>
          </w14:textFill>
        </w:rPr>
        <w:t>　</w:t>
      </w:r>
      <w:r>
        <w:rPr>
          <w:rFonts w:ascii="宋体" w:hAnsi="宋体"/>
          <w:color w:val="000000" w:themeColor="text1"/>
          <w:sz w:val="24"/>
          <w:szCs w:val="28"/>
          <w:highlight w:val="none"/>
          <w14:textFill>
            <w14:solidFill>
              <w14:schemeClr w14:val="tx1"/>
            </w14:solidFill>
          </w14:textFill>
        </w:rPr>
        <w:tab/>
      </w:r>
      <w:r>
        <w:rPr>
          <w:rFonts w:ascii="宋体" w:hAnsi="宋体"/>
          <w:color w:val="000000" w:themeColor="text1"/>
          <w:sz w:val="24"/>
          <w:szCs w:val="28"/>
          <w:highlight w:val="none"/>
          <w14:textFill>
            <w14:solidFill>
              <w14:schemeClr w14:val="tx1"/>
            </w14:solidFill>
          </w14:textFill>
        </w:rPr>
        <w:tab/>
      </w:r>
      <w:r>
        <w:rPr>
          <w:rFonts w:hint="eastAsia" w:ascii="宋体" w:hAnsi="宋体"/>
          <w:color w:val="000000" w:themeColor="text1"/>
          <w:sz w:val="24"/>
          <w:szCs w:val="28"/>
          <w:highlight w:val="none"/>
          <w14:textFill>
            <w14:solidFill>
              <w14:schemeClr w14:val="tx1"/>
            </w14:solidFill>
          </w14:textFill>
        </w:rPr>
        <w:t>（</w:t>
      </w:r>
      <w:r>
        <w:rPr>
          <w:rFonts w:ascii="宋体" w:hAnsi="宋体"/>
          <w:color w:val="000000" w:themeColor="text1"/>
          <w:sz w:val="24"/>
          <w:szCs w:val="28"/>
          <w:highlight w:val="none"/>
          <w14:textFill>
            <w14:solidFill>
              <w14:schemeClr w14:val="tx1"/>
            </w14:solidFill>
          </w14:textFill>
        </w:rPr>
        <w:t>4</w:t>
      </w:r>
      <w:r>
        <w:rPr>
          <w:rFonts w:hint="eastAsia" w:ascii="宋体" w:hAnsi="宋体"/>
          <w:color w:val="000000" w:themeColor="text1"/>
          <w:sz w:val="24"/>
          <w:szCs w:val="28"/>
          <w:highlight w:val="none"/>
          <w14:textFill>
            <w14:solidFill>
              <w14:schemeClr w14:val="tx1"/>
            </w14:solidFill>
          </w14:textFill>
        </w:rPr>
        <w:t>）综合评分法中的价格分统一采用低价优先法计算，即满足磋商文件要求且最后报价最低的供应商的价格为磋商基准价，其价格分为满分。</w:t>
      </w:r>
    </w:p>
    <w:p w14:paraId="26789B9D">
      <w:pPr>
        <w:spacing w:line="360" w:lineRule="auto"/>
        <w:rPr>
          <w:rFonts w:hint="eastAsia" w:ascii="宋体" w:hAnsi="宋体"/>
          <w:color w:val="000000" w:themeColor="text1"/>
          <w:sz w:val="24"/>
          <w:szCs w:val="28"/>
          <w:highlight w:val="none"/>
          <w14:textFill>
            <w14:solidFill>
              <w14:schemeClr w14:val="tx1"/>
            </w14:solidFill>
          </w14:textFill>
        </w:rPr>
      </w:pPr>
      <w:bookmarkStart w:id="92" w:name="_Toc21997"/>
      <w:r>
        <w:rPr>
          <w:rFonts w:hint="eastAsia" w:ascii="宋体" w:hAnsi="宋体"/>
          <w:color w:val="000000" w:themeColor="text1"/>
          <w:sz w:val="24"/>
          <w:szCs w:val="28"/>
          <w:highlight w:val="none"/>
          <w14:textFill>
            <w14:solidFill>
              <w14:schemeClr w14:val="tx1"/>
            </w14:solidFill>
          </w14:textFill>
        </w:rPr>
        <w:t>　</w:t>
      </w:r>
      <w:r>
        <w:rPr>
          <w:rFonts w:ascii="宋体" w:hAnsi="宋体"/>
          <w:color w:val="000000" w:themeColor="text1"/>
          <w:sz w:val="24"/>
          <w:szCs w:val="28"/>
          <w:highlight w:val="none"/>
          <w14:textFill>
            <w14:solidFill>
              <w14:schemeClr w14:val="tx1"/>
            </w14:solidFill>
          </w14:textFill>
        </w:rPr>
        <w:t>　</w:t>
      </w:r>
      <w:r>
        <w:rPr>
          <w:rFonts w:hint="eastAsia" w:ascii="宋体" w:hAnsi="宋体"/>
          <w:color w:val="000000" w:themeColor="text1"/>
          <w:sz w:val="24"/>
          <w:szCs w:val="28"/>
          <w:highlight w:val="none"/>
          <w14:textFill>
            <w14:solidFill>
              <w14:schemeClr w14:val="tx1"/>
            </w14:solidFill>
          </w14:textFill>
        </w:rPr>
        <w:t>（</w:t>
      </w:r>
      <w:r>
        <w:rPr>
          <w:rFonts w:ascii="宋体" w:hAnsi="宋体"/>
          <w:color w:val="000000" w:themeColor="text1"/>
          <w:sz w:val="24"/>
          <w:szCs w:val="28"/>
          <w:highlight w:val="none"/>
          <w14:textFill>
            <w14:solidFill>
              <w14:schemeClr w14:val="tx1"/>
            </w14:solidFill>
          </w14:textFill>
        </w:rPr>
        <w:t>5</w:t>
      </w:r>
      <w:r>
        <w:rPr>
          <w:rFonts w:hint="eastAsia" w:ascii="宋体" w:hAnsi="宋体"/>
          <w:color w:val="000000" w:themeColor="text1"/>
          <w:sz w:val="24"/>
          <w:szCs w:val="28"/>
          <w:highlight w:val="none"/>
          <w14:textFill>
            <w14:solidFill>
              <w14:schemeClr w14:val="tx1"/>
            </w14:solidFill>
          </w14:textFill>
        </w:rPr>
        <w:t>）本项目的价格权值为10%；</w:t>
      </w:r>
    </w:p>
    <w:p w14:paraId="7BF6A070">
      <w:pPr>
        <w:spacing w:line="360" w:lineRule="auto"/>
        <w:ind w:firstLine="480"/>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w:t>
      </w:r>
      <w:r>
        <w:rPr>
          <w:rFonts w:ascii="宋体" w:hAnsi="宋体"/>
          <w:color w:val="000000" w:themeColor="text1"/>
          <w:sz w:val="24"/>
          <w:szCs w:val="28"/>
          <w:highlight w:val="none"/>
          <w14:textFill>
            <w14:solidFill>
              <w14:schemeClr w14:val="tx1"/>
            </w14:solidFill>
          </w14:textFill>
        </w:rPr>
        <w:t>6</w:t>
      </w:r>
      <w:r>
        <w:rPr>
          <w:rFonts w:hint="eastAsia" w:ascii="宋体" w:hAnsi="宋体"/>
          <w:color w:val="000000" w:themeColor="text1"/>
          <w:sz w:val="24"/>
          <w:szCs w:val="28"/>
          <w:highlight w:val="none"/>
          <w14:textFill>
            <w14:solidFill>
              <w14:schemeClr w14:val="tx1"/>
            </w14:solidFill>
          </w14:textFill>
        </w:rPr>
        <w:t>）价格分计算公式：</w:t>
      </w:r>
      <w:bookmarkEnd w:id="92"/>
      <w:r>
        <w:rPr>
          <w:rFonts w:hint="eastAsia" w:ascii="宋体" w:hAnsi="宋体"/>
          <w:color w:val="000000" w:themeColor="text1"/>
          <w:sz w:val="24"/>
          <w:szCs w:val="28"/>
          <w:highlight w:val="none"/>
          <w14:textFill>
            <w14:solidFill>
              <w14:schemeClr w14:val="tx1"/>
            </w14:solidFill>
          </w14:textFill>
        </w:rPr>
        <w:t>磋商报价得分=（磋商基准价/最后磋商报价）×价格权值×100</w:t>
      </w:r>
    </w:p>
    <w:p w14:paraId="3F75D0B0">
      <w:pPr>
        <w:spacing w:line="360" w:lineRule="auto"/>
        <w:rPr>
          <w:rFonts w:hint="eastAsia" w:ascii="宋体" w:hAnsi="宋体"/>
          <w:color w:val="000000" w:themeColor="text1"/>
          <w:sz w:val="24"/>
          <w:szCs w:val="28"/>
          <w:highlight w:val="none"/>
          <w14:textFill>
            <w14:solidFill>
              <w14:schemeClr w14:val="tx1"/>
            </w14:solidFill>
          </w14:textFill>
        </w:rPr>
      </w:pPr>
      <w:bookmarkStart w:id="93" w:name="_Toc2585"/>
      <w:r>
        <w:rPr>
          <w:rFonts w:hint="eastAsia" w:ascii="宋体" w:hAnsi="宋体"/>
          <w:color w:val="000000" w:themeColor="text1"/>
          <w:sz w:val="24"/>
          <w:szCs w:val="28"/>
          <w:highlight w:val="none"/>
          <w14:textFill>
            <w14:solidFill>
              <w14:schemeClr w14:val="tx1"/>
            </w14:solidFill>
          </w14:textFill>
        </w:rPr>
        <w:t xml:space="preserve">    （</w:t>
      </w:r>
      <w:r>
        <w:rPr>
          <w:rFonts w:ascii="宋体" w:hAnsi="宋体"/>
          <w:color w:val="000000" w:themeColor="text1"/>
          <w:sz w:val="24"/>
          <w:szCs w:val="28"/>
          <w:highlight w:val="none"/>
          <w14:textFill>
            <w14:solidFill>
              <w14:schemeClr w14:val="tx1"/>
            </w14:solidFill>
          </w14:textFill>
        </w:rPr>
        <w:t>7</w:t>
      </w:r>
      <w:r>
        <w:rPr>
          <w:rFonts w:hint="eastAsia" w:ascii="宋体" w:hAnsi="宋体"/>
          <w:color w:val="000000" w:themeColor="text1"/>
          <w:sz w:val="24"/>
          <w:szCs w:val="28"/>
          <w:highlight w:val="none"/>
          <w14:textFill>
            <w14:solidFill>
              <w14:schemeClr w14:val="tx1"/>
            </w14:solidFill>
          </w14:textFill>
        </w:rPr>
        <w:t>）项目评审过程中，不得去掉最后报价中的最高报价和最低报价。</w:t>
      </w:r>
    </w:p>
    <w:p w14:paraId="25D3CE46">
      <w:pPr>
        <w:spacing w:line="360" w:lineRule="auto"/>
        <w:rPr>
          <w:rFonts w:hint="eastAsia" w:ascii="宋体" w:hAnsi="宋体" w:cs="宋体"/>
          <w:b/>
          <w:bCs/>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 xml:space="preserve">   </w:t>
      </w:r>
      <w:bookmarkEnd w:id="90"/>
      <w:bookmarkEnd w:id="93"/>
      <w:r>
        <w:rPr>
          <w:rFonts w:ascii="宋体" w:hAnsi="宋体"/>
          <w:color w:val="000000" w:themeColor="text1"/>
          <w:sz w:val="24"/>
          <w:szCs w:val="28"/>
          <w:highlight w:val="none"/>
          <w14:textFill>
            <w14:solidFill>
              <w14:schemeClr w14:val="tx1"/>
            </w14:solidFill>
          </w14:textFill>
        </w:rPr>
        <w:t xml:space="preserve"> </w:t>
      </w:r>
      <w:r>
        <w:rPr>
          <w:rFonts w:hint="eastAsia" w:ascii="宋体" w:hAnsi="宋体" w:cs="宋体"/>
          <w:b/>
          <w:bCs/>
          <w:color w:val="000000" w:themeColor="text1"/>
          <w:sz w:val="24"/>
          <w:szCs w:val="28"/>
          <w:highlight w:val="none"/>
          <w14:textFill>
            <w14:solidFill>
              <w14:schemeClr w14:val="tx1"/>
            </w14:solidFill>
          </w14:textFill>
        </w:rPr>
        <w:t>2.技术分（满分55分）</w:t>
      </w:r>
    </w:p>
    <w:p w14:paraId="499D2134">
      <w:pPr>
        <w:spacing w:line="360" w:lineRule="auto"/>
        <w:ind w:firstLine="480" w:firstLineChars="200"/>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（1）技术方案（满分25分）</w:t>
      </w:r>
    </w:p>
    <w:p w14:paraId="2C0FB690">
      <w:pPr>
        <w:spacing w:line="360" w:lineRule="auto"/>
        <w:ind w:firstLine="480" w:firstLineChars="200"/>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由评委根据技术方案的完整性、可行性等内容进行评审，并独立打分。</w:t>
      </w:r>
    </w:p>
    <w:p w14:paraId="71DB70A6">
      <w:pPr>
        <w:spacing w:line="360" w:lineRule="auto"/>
        <w:ind w:firstLine="480" w:firstLineChars="200"/>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未提供方案的不得分。</w:t>
      </w:r>
    </w:p>
    <w:p w14:paraId="0A7D954E">
      <w:pPr>
        <w:spacing w:line="360" w:lineRule="auto"/>
        <w:ind w:firstLine="480" w:firstLineChars="200"/>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一档（5分）：供应商对项目情况不了解，提供的技术方案不完整，不能满足采购文件项目要求的。</w:t>
      </w:r>
    </w:p>
    <w:p w14:paraId="0ED594B3">
      <w:pPr>
        <w:spacing w:line="360" w:lineRule="auto"/>
        <w:ind w:firstLine="480" w:firstLineChars="200"/>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二档（10分）：供应商对项目情况基本了解，提供的技术方案较浅显，提供技术方案不完整，综合评定能部分满足采购文件项目要求的。</w:t>
      </w:r>
    </w:p>
    <w:p w14:paraId="32B655D2">
      <w:pPr>
        <w:spacing w:line="360" w:lineRule="auto"/>
        <w:ind w:firstLine="480" w:firstLineChars="200"/>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三档（15分）：在满足二档的基础上，供应商对项目情况了解，提供的技术方案简单，对总体需求理解不全，表述不清晰或部分不具体，实施计划和人员安排不具体,综合评定能基本满足采购文件项目技术要求。</w:t>
      </w:r>
    </w:p>
    <w:p w14:paraId="18071502">
      <w:pPr>
        <w:spacing w:line="360" w:lineRule="auto"/>
        <w:ind w:firstLine="480" w:firstLineChars="200"/>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四档（20分）：在满足三档的基础上，供应商对项目情况了解，能针对项目实际提供的技术方案完整，能够理解本项目的特点，现状和需求分析基本满足本项目服务需求，技术方案论述基本准确，逻辑清晰，能够把握本项目的技术重点，组织机构合理，人员有保障，分工与职责明确，综合评定能满足采购文件项目技术要求。</w:t>
      </w:r>
    </w:p>
    <w:p w14:paraId="62BDBEA6">
      <w:pPr>
        <w:spacing w:line="360" w:lineRule="auto"/>
        <w:ind w:firstLine="480" w:firstLineChars="200"/>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五档（25分）：在满足四档的基础上，供应商对项目情况了解透彻，针对项目提供的技术方案具体描述详细、针对性强、可行性高、先进，对本项目服务关键点理解透彻、到位，完全满足采购需求，项目管理组织机构及人员职能清晰可控，团队人员的配置能够保证保质、保量地完成采购单位需求，项目管理方案完整，组织机构合理，人员有保障，分工与职责明确；项目方案贴近本项目实际执行内容与要求，可行性及综合评定完全满足采购文件项目技术要求。</w:t>
      </w:r>
    </w:p>
    <w:p w14:paraId="2447C6BD">
      <w:pPr>
        <w:spacing w:line="360" w:lineRule="auto"/>
        <w:ind w:firstLine="480" w:firstLineChars="200"/>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（2）服务方案分（满分16分）</w:t>
      </w:r>
    </w:p>
    <w:p w14:paraId="70A011BB">
      <w:pPr>
        <w:spacing w:line="360" w:lineRule="auto"/>
        <w:ind w:firstLine="480" w:firstLineChars="200"/>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由评委根据采购文件要求并结合供应商服务方案的完整性和可行性，综合评审后独立打分。</w:t>
      </w:r>
    </w:p>
    <w:p w14:paraId="47D5214E">
      <w:pPr>
        <w:spacing w:line="360" w:lineRule="auto"/>
        <w:ind w:firstLine="480" w:firstLineChars="200"/>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未提供方案的不得分。</w:t>
      </w:r>
    </w:p>
    <w:p w14:paraId="566B763D">
      <w:pPr>
        <w:spacing w:line="360" w:lineRule="auto"/>
        <w:ind w:firstLine="480" w:firstLineChars="200"/>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一档（4分）：有服务方案，简单、基本能操作。</w:t>
      </w:r>
    </w:p>
    <w:p w14:paraId="73A3F83F">
      <w:pPr>
        <w:spacing w:line="360" w:lineRule="auto"/>
        <w:ind w:firstLine="480" w:firstLineChars="200"/>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二档（8分）：有服务方案，方案可行，且能承诺接到采购人处理问题通知后24小时内到达采购人指定现场。</w:t>
      </w:r>
    </w:p>
    <w:p w14:paraId="74776CEA">
      <w:pPr>
        <w:spacing w:line="360" w:lineRule="auto"/>
        <w:ind w:firstLine="480" w:firstLineChars="200"/>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三档（12分）：在满足二档的基础上，供应商提供有服务方案，方案可行,有全面、周到的服务流程说明，服务内容保障措施详细，方案针对性较强，保障响应措施较有力, 服务响应时间及时,能承诺接到采购人处理问题通知后12小时内到达采购人指定现场。</w:t>
      </w:r>
    </w:p>
    <w:p w14:paraId="249A39BB">
      <w:pPr>
        <w:spacing w:line="360" w:lineRule="auto"/>
        <w:ind w:firstLine="480" w:firstLineChars="200"/>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四档（16分）：在满足三档的基础上，供应商提供有服务方案，服务流程说明详细具体，能为本项目提出针对性的服务措施，能实现项目实施全过程与采购人有良好顺畅的沟通和信息交流，保障服务质量优于采购要求,承诺接到采购人处理问题通知后6小时内到达采购人指定现场的。</w:t>
      </w:r>
    </w:p>
    <w:p w14:paraId="4BA583FD">
      <w:pPr>
        <w:spacing w:line="360" w:lineRule="auto"/>
        <w:ind w:firstLine="480" w:firstLineChars="200"/>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（3）质量和保密保证措施及承诺（满分14分）</w:t>
      </w:r>
    </w:p>
    <w:p w14:paraId="27C55E93">
      <w:pPr>
        <w:spacing w:line="360" w:lineRule="auto"/>
        <w:ind w:firstLine="480" w:firstLineChars="200"/>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一档（2分）：质量保证及质量承诺基本符合项目需求。</w:t>
      </w:r>
    </w:p>
    <w:p w14:paraId="59C9E2D3">
      <w:pPr>
        <w:spacing w:line="360" w:lineRule="auto"/>
        <w:ind w:firstLine="480" w:firstLineChars="200"/>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二档（6分）：质量保证及质量承诺基本符合项目需求，有简单的质量管理制度和措施，有简单的保密管理制度和措施的。</w:t>
      </w:r>
    </w:p>
    <w:p w14:paraId="310FA60D">
      <w:pPr>
        <w:spacing w:line="360" w:lineRule="auto"/>
        <w:ind w:firstLine="480" w:firstLineChars="200"/>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三档（10分）：在满足二档的基础上，有具体的质量管理制度和措施，实行过程检查制度和三级检查制度，有具体的保密管理制度和措施。</w:t>
      </w:r>
    </w:p>
    <w:p w14:paraId="4061FBB1">
      <w:pPr>
        <w:spacing w:line="360" w:lineRule="auto"/>
        <w:ind w:firstLine="480" w:firstLineChars="200"/>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四档（14分）：在满足三档的基础上，有明确的内部质量管理奖罚措施，有具体的质量管理制度和措施，包括:建立过程检查制度和三级检查制度，制度完善，措施有效到位；有具体详细的保密管理制度和措施；有质量意识和保密知识教育。</w:t>
      </w:r>
    </w:p>
    <w:p w14:paraId="0A018D45">
      <w:pPr>
        <w:spacing w:line="360" w:lineRule="auto"/>
        <w:ind w:firstLine="482" w:firstLineChars="200"/>
        <w:rPr>
          <w:rFonts w:hint="eastAsia" w:ascii="宋体" w:hAnsi="宋体"/>
          <w:b/>
          <w:bCs/>
          <w:color w:val="000000" w:themeColor="text1"/>
          <w:sz w:val="24"/>
          <w:szCs w:val="28"/>
          <w:highlight w:val="none"/>
          <w14:textFill>
            <w14:solidFill>
              <w14:schemeClr w14:val="tx1"/>
            </w14:solidFill>
          </w14:textFill>
        </w:rPr>
      </w:pPr>
      <w:r>
        <w:rPr>
          <w:rFonts w:hint="eastAsia" w:ascii="宋体" w:hAnsi="宋体"/>
          <w:b/>
          <w:bCs/>
          <w:color w:val="000000" w:themeColor="text1"/>
          <w:sz w:val="24"/>
          <w:szCs w:val="28"/>
          <w:highlight w:val="none"/>
          <w14:textFill>
            <w14:solidFill>
              <w14:schemeClr w14:val="tx1"/>
            </w14:solidFill>
          </w14:textFill>
        </w:rPr>
        <w:t>3.供应商能力分（满分35分）</w:t>
      </w:r>
    </w:p>
    <w:p w14:paraId="78954CFB">
      <w:pPr>
        <w:spacing w:line="360" w:lineRule="auto"/>
        <w:ind w:firstLine="480" w:firstLineChars="200"/>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（1）人员配置分（满分26分）</w:t>
      </w:r>
    </w:p>
    <w:p w14:paraId="12B72CE0">
      <w:pPr>
        <w:spacing w:line="360" w:lineRule="auto"/>
        <w:ind w:firstLine="480" w:firstLineChars="200"/>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①拟投入的项目负责人具备注册化工工程师执业资格证书，得2分；同时具备（油气储运工程或化工类相关等专业）中级以上工程师职称的，得5分；本项最高得5分。</w:t>
      </w:r>
    </w:p>
    <w:p w14:paraId="1841523D">
      <w:pPr>
        <w:spacing w:line="360" w:lineRule="auto"/>
        <w:ind w:firstLine="480" w:firstLineChars="200"/>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②其他拟投入人员具备注册咨询工程师执业资格证书的，每1人得3分，满分6分。</w:t>
      </w:r>
    </w:p>
    <w:p w14:paraId="1CFC9EDE">
      <w:pPr>
        <w:spacing w:line="360" w:lineRule="auto"/>
        <w:ind w:firstLine="480" w:firstLineChars="200"/>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③其他拟投入人员具备工程师职称或安全评价师的，每1人得3分，满分15分。</w:t>
      </w:r>
    </w:p>
    <w:p w14:paraId="226760AD">
      <w:pPr>
        <w:spacing w:line="360" w:lineRule="auto"/>
        <w:ind w:firstLine="480" w:firstLineChars="200"/>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拟投入人员必须是供应商本单位在职人员，须提供供应商为拟投入人员缴纳的202</w:t>
      </w:r>
      <w:r>
        <w:rPr>
          <w:rFonts w:hint="eastAsia" w:ascii="宋体" w:hAnsi="宋体"/>
          <w:color w:val="000000" w:themeColor="text1"/>
          <w:sz w:val="24"/>
          <w:szCs w:val="28"/>
          <w:highlight w:val="none"/>
          <w:lang w:val="en-US" w:eastAsia="zh-CN"/>
          <w14:textFill>
            <w14:solidFill>
              <w14:schemeClr w14:val="tx1"/>
            </w14:solidFill>
          </w14:textFill>
        </w:rPr>
        <w:t>6</w:t>
      </w:r>
      <w:r>
        <w:rPr>
          <w:rFonts w:hint="eastAsia" w:ascii="宋体" w:hAnsi="宋体"/>
          <w:color w:val="000000" w:themeColor="text1"/>
          <w:sz w:val="24"/>
          <w:szCs w:val="28"/>
          <w:highlight w:val="none"/>
          <w14:textFill>
            <w14:solidFill>
              <w14:schemeClr w14:val="tx1"/>
            </w14:solidFill>
          </w14:textFill>
        </w:rPr>
        <w:t>年1月至投标截止时间止任意1个月的社保证明、有效的执业资格证、职称证（如有）复印件，不按照上述要求提供资料的不得分。</w:t>
      </w:r>
    </w:p>
    <w:p w14:paraId="72F47EE6">
      <w:pPr>
        <w:spacing w:line="360" w:lineRule="auto"/>
        <w:ind w:firstLine="480" w:firstLineChars="200"/>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（2）能力和业绩分（满分9分）</w:t>
      </w:r>
    </w:p>
    <w:p w14:paraId="28B52448">
      <w:pPr>
        <w:spacing w:line="360" w:lineRule="auto"/>
        <w:ind w:firstLine="480" w:firstLineChars="200"/>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①供应商同时具备质量、环境、职业健康安全管理体系认证证书的得5分，少一个扣2分，扣完为止。本项满分5分。</w:t>
      </w:r>
    </w:p>
    <w:p w14:paraId="483DB932">
      <w:pPr>
        <w:spacing w:line="360" w:lineRule="auto"/>
        <w:ind w:firstLine="480" w:firstLineChars="200"/>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②供应商自2023年1月1日以来承接过类似项目的（投标文件中提供项目合同复印件，加盖公章）每项得2分，本项满分4分。</w:t>
      </w:r>
    </w:p>
    <w:p w14:paraId="02F6813E">
      <w:pPr>
        <w:spacing w:line="360" w:lineRule="auto"/>
        <w:ind w:firstLine="482" w:firstLineChars="200"/>
        <w:rPr>
          <w:rFonts w:hint="eastAsia" w:ascii="宋体" w:hAnsi="宋体" w:cs="宋体"/>
          <w:b/>
          <w:bCs/>
          <w:color w:val="000000" w:themeColor="text1"/>
          <w:sz w:val="24"/>
          <w:szCs w:val="28"/>
          <w:highlight w:val="none"/>
          <w14:textFill>
            <w14:solidFill>
              <w14:schemeClr w14:val="tx1"/>
            </w14:solidFill>
          </w14:textFill>
        </w:rPr>
      </w:pPr>
      <w:r>
        <w:rPr>
          <w:rFonts w:hint="eastAsia" w:ascii="宋体" w:hAnsi="宋体" w:cs="宋体"/>
          <w:b/>
          <w:bCs/>
          <w:color w:val="000000" w:themeColor="text1"/>
          <w:sz w:val="24"/>
          <w:szCs w:val="28"/>
          <w:highlight w:val="none"/>
          <w14:textFill>
            <w14:solidFill>
              <w14:schemeClr w14:val="tx1"/>
            </w14:solidFill>
          </w14:textFill>
        </w:rPr>
        <w:t>总得分=1+2+3</w:t>
      </w:r>
    </w:p>
    <w:p w14:paraId="45C8E557">
      <w:pPr>
        <w:tabs>
          <w:tab w:val="left" w:pos="4214"/>
        </w:tabs>
        <w:spacing w:line="360" w:lineRule="auto"/>
        <w:rPr>
          <w:rFonts w:hint="eastAsia" w:ascii="宋体" w:hAnsi="宋体" w:cs="宋体"/>
          <w:b/>
          <w:color w:val="000000" w:themeColor="text1"/>
          <w:sz w:val="24"/>
          <w:szCs w:val="28"/>
          <w:highlight w:val="none"/>
          <w14:textFill>
            <w14:solidFill>
              <w14:schemeClr w14:val="tx1"/>
            </w14:solidFill>
          </w14:textFill>
        </w:rPr>
      </w:pPr>
      <w:r>
        <w:rPr>
          <w:rFonts w:hint="eastAsia" w:ascii="宋体" w:hAnsi="宋体" w:cs="宋体"/>
          <w:b/>
          <w:color w:val="000000" w:themeColor="text1"/>
          <w:sz w:val="24"/>
          <w:szCs w:val="28"/>
          <w:highlight w:val="none"/>
          <w14:textFill>
            <w14:solidFill>
              <w14:schemeClr w14:val="tx1"/>
            </w14:solidFill>
          </w14:textFill>
        </w:rPr>
        <w:t>三、推荐成交候选供应商原则</w:t>
      </w:r>
    </w:p>
    <w:p w14:paraId="47130ED4">
      <w:pPr>
        <w:spacing w:line="360" w:lineRule="auto"/>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竞争性磋商响应文件在技术和服务均能满足竞争性磋商文件实质性响应要求时，磋商小组将根据得分由高到低排列次序并推荐成交候选供应商。（得分相同时，以最后报价由低到高顺序排列；评审得分且最后报价相同的，按照技术指标优劣顺序推荐，由采购人确定成交候选供应商）。排名第一的成交候选供应商放弃成交、因不可抗力提出不能履行协议的，或者竞争性磋商文件规定应当提交履约保证金而在规定的期限内未能提交的，采购人可以确定排名第二的成交候选供应商为成交供应商，也可以重新组织开展采购活动。</w:t>
      </w:r>
    </w:p>
    <w:bookmarkEnd w:id="5"/>
    <w:bookmarkEnd w:id="6"/>
    <w:bookmarkEnd w:id="86"/>
    <w:bookmarkEnd w:id="87"/>
    <w:bookmarkEnd w:id="88"/>
    <w:p w14:paraId="412CABCA">
      <w:pPr>
        <w:pStyle w:val="20"/>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br w:type="page"/>
      </w:r>
      <w:bookmarkStart w:id="94" w:name="_Toc213206175"/>
      <w:bookmarkStart w:id="95" w:name="_Toc213326423"/>
      <w:bookmarkStart w:id="96" w:name="_Toc213325924"/>
    </w:p>
    <w:p w14:paraId="69C736E0">
      <w:pPr>
        <w:pStyle w:val="4"/>
        <w:spacing w:before="0"/>
        <w:ind w:left="0" w:firstLine="0"/>
        <w:jc w:val="center"/>
        <w:rPr>
          <w:rFonts w:ascii="宋体" w:eastAsia="宋体"/>
          <w:color w:val="000000" w:themeColor="text1"/>
          <w:sz w:val="36"/>
          <w:highlight w:val="none"/>
          <w14:textFill>
            <w14:solidFill>
              <w14:schemeClr w14:val="tx1"/>
            </w14:solidFill>
          </w14:textFill>
        </w:rPr>
      </w:pPr>
      <w:bookmarkStart w:id="97" w:name="_Toc99823392"/>
      <w:r>
        <w:rPr>
          <w:rFonts w:hint="eastAsia" w:ascii="宋体" w:eastAsia="宋体"/>
          <w:color w:val="000000" w:themeColor="text1"/>
          <w:sz w:val="36"/>
          <w:highlight w:val="none"/>
          <w14:textFill>
            <w14:solidFill>
              <w14:schemeClr w14:val="tx1"/>
            </w14:solidFill>
          </w14:textFill>
        </w:rPr>
        <w:t>第五章</w:t>
      </w:r>
      <w:bookmarkEnd w:id="94"/>
      <w:bookmarkEnd w:id="95"/>
      <w:bookmarkEnd w:id="96"/>
      <w:r>
        <w:rPr>
          <w:rFonts w:hint="eastAsia" w:ascii="宋体" w:eastAsia="宋体"/>
          <w:color w:val="000000" w:themeColor="text1"/>
          <w:sz w:val="36"/>
          <w:highlight w:val="none"/>
          <w14:textFill>
            <w14:solidFill>
              <w14:schemeClr w14:val="tx1"/>
            </w14:solidFill>
          </w14:textFill>
        </w:rPr>
        <w:t xml:space="preserve"> 响应文件格式</w:t>
      </w:r>
      <w:bookmarkEnd w:id="97"/>
    </w:p>
    <w:p w14:paraId="1A912F0E">
      <w:pPr>
        <w:widowControl/>
        <w:spacing w:line="360" w:lineRule="auto"/>
        <w:jc w:val="left"/>
        <w:rPr>
          <w:rFonts w:ascii="宋体"/>
          <w:color w:val="000000" w:themeColor="text1"/>
          <w:sz w:val="24"/>
          <w:highlight w:val="none"/>
          <w14:textFill>
            <w14:solidFill>
              <w14:schemeClr w14:val="tx1"/>
            </w14:solidFill>
          </w14:textFill>
        </w:rPr>
      </w:pPr>
    </w:p>
    <w:p w14:paraId="4EC6F358">
      <w:pPr>
        <w:spacing w:line="400" w:lineRule="exact"/>
        <w:ind w:left="180"/>
        <w:rPr>
          <w:rFonts w:ascii="宋体"/>
          <w:b/>
          <w:color w:val="000000" w:themeColor="text1"/>
          <w:sz w:val="28"/>
          <w:szCs w:val="28"/>
          <w:highlight w:val="none"/>
          <w14:textFill>
            <w14:solidFill>
              <w14:schemeClr w14:val="tx1"/>
            </w14:solidFill>
          </w14:textFill>
        </w:rPr>
      </w:pPr>
    </w:p>
    <w:p w14:paraId="417246D8">
      <w:pPr>
        <w:pStyle w:val="3"/>
        <w:rPr>
          <w:color w:val="000000" w:themeColor="text1"/>
          <w:highlight w:val="none"/>
          <w14:textFill>
            <w14:solidFill>
              <w14:schemeClr w14:val="tx1"/>
            </w14:solidFill>
          </w14:textFill>
        </w:rPr>
      </w:pPr>
    </w:p>
    <w:p w14:paraId="58149812">
      <w:pPr>
        <w:rPr>
          <w:color w:val="000000" w:themeColor="text1"/>
          <w:highlight w:val="none"/>
          <w14:textFill>
            <w14:solidFill>
              <w14:schemeClr w14:val="tx1"/>
            </w14:solidFill>
          </w14:textFill>
        </w:rPr>
      </w:pPr>
    </w:p>
    <w:p w14:paraId="291ACEF2">
      <w:pPr>
        <w:spacing w:line="400" w:lineRule="exact"/>
        <w:rPr>
          <w:rFonts w:ascii="宋体"/>
          <w:b/>
          <w:color w:val="000000" w:themeColor="text1"/>
          <w:sz w:val="28"/>
          <w:szCs w:val="28"/>
          <w:highlight w:val="none"/>
          <w14:textFill>
            <w14:solidFill>
              <w14:schemeClr w14:val="tx1"/>
            </w14:solidFill>
          </w14:textFill>
        </w:rPr>
      </w:pPr>
    </w:p>
    <w:p w14:paraId="0481DCAE">
      <w:pPr>
        <w:spacing w:line="360" w:lineRule="auto"/>
        <w:jc w:val="center"/>
        <w:rPr>
          <w:rFonts w:ascii="宋体"/>
          <w:b/>
          <w:color w:val="000000" w:themeColor="text1"/>
          <w:sz w:val="28"/>
          <w:szCs w:val="28"/>
          <w:highlight w:val="none"/>
          <w14:textFill>
            <w14:solidFill>
              <w14:schemeClr w14:val="tx1"/>
            </w14:solidFill>
          </w14:textFill>
        </w:rPr>
      </w:pPr>
      <w:r>
        <w:rPr>
          <w:rFonts w:hint="eastAsia" w:ascii="宋体"/>
          <w:b/>
          <w:color w:val="000000" w:themeColor="text1"/>
          <w:sz w:val="40"/>
          <w:szCs w:val="28"/>
          <w:highlight w:val="none"/>
          <w14:textFill>
            <w14:solidFill>
              <w14:schemeClr w14:val="tx1"/>
            </w14:solidFill>
          </w14:textFill>
        </w:rPr>
        <w:t>报价/资格/商务/技术响应文件</w:t>
      </w:r>
    </w:p>
    <w:p w14:paraId="04FBAC9F">
      <w:pPr>
        <w:spacing w:line="400" w:lineRule="exact"/>
        <w:ind w:left="180"/>
        <w:rPr>
          <w:rFonts w:ascii="宋体"/>
          <w:b/>
          <w:color w:val="000000" w:themeColor="text1"/>
          <w:sz w:val="28"/>
          <w:szCs w:val="28"/>
          <w:highlight w:val="none"/>
          <w14:textFill>
            <w14:solidFill>
              <w14:schemeClr w14:val="tx1"/>
            </w14:solidFill>
          </w14:textFill>
        </w:rPr>
      </w:pPr>
    </w:p>
    <w:p w14:paraId="461A0616">
      <w:pPr>
        <w:spacing w:line="400" w:lineRule="exact"/>
        <w:ind w:left="180"/>
        <w:rPr>
          <w:rFonts w:ascii="宋体"/>
          <w:b/>
          <w:color w:val="000000" w:themeColor="text1"/>
          <w:sz w:val="28"/>
          <w:szCs w:val="28"/>
          <w:highlight w:val="none"/>
          <w14:textFill>
            <w14:solidFill>
              <w14:schemeClr w14:val="tx1"/>
            </w14:solidFill>
          </w14:textFill>
        </w:rPr>
      </w:pPr>
    </w:p>
    <w:p w14:paraId="6F6847EA">
      <w:pPr>
        <w:spacing w:line="400" w:lineRule="exact"/>
        <w:ind w:left="180"/>
        <w:rPr>
          <w:rFonts w:ascii="宋体"/>
          <w:b/>
          <w:color w:val="000000" w:themeColor="text1"/>
          <w:sz w:val="28"/>
          <w:szCs w:val="28"/>
          <w:highlight w:val="none"/>
          <w14:textFill>
            <w14:solidFill>
              <w14:schemeClr w14:val="tx1"/>
            </w14:solidFill>
          </w14:textFill>
        </w:rPr>
      </w:pPr>
    </w:p>
    <w:p w14:paraId="0E9BD89E">
      <w:pPr>
        <w:spacing w:line="480" w:lineRule="auto"/>
        <w:ind w:left="180" w:firstLine="669" w:firstLineChars="238"/>
        <w:rPr>
          <w:rFonts w:ascii="宋体"/>
          <w:b/>
          <w:color w:val="000000" w:themeColor="text1"/>
          <w:sz w:val="28"/>
          <w:szCs w:val="28"/>
          <w:highlight w:val="none"/>
          <w14:textFill>
            <w14:solidFill>
              <w14:schemeClr w14:val="tx1"/>
            </w14:solidFill>
          </w14:textFill>
        </w:rPr>
      </w:pPr>
    </w:p>
    <w:p w14:paraId="0BD1DB93">
      <w:pPr>
        <w:spacing w:line="480" w:lineRule="auto"/>
        <w:ind w:left="180" w:firstLine="669" w:firstLineChars="238"/>
        <w:rPr>
          <w:rFonts w:ascii="宋体"/>
          <w:b/>
          <w:color w:val="000000" w:themeColor="text1"/>
          <w:sz w:val="28"/>
          <w:szCs w:val="28"/>
          <w:highlight w:val="none"/>
          <w14:textFill>
            <w14:solidFill>
              <w14:schemeClr w14:val="tx1"/>
            </w14:solidFill>
          </w14:textFill>
        </w:rPr>
      </w:pPr>
    </w:p>
    <w:p w14:paraId="0CE15665">
      <w:pPr>
        <w:spacing w:line="480" w:lineRule="auto"/>
        <w:ind w:left="180" w:firstLine="669" w:firstLineChars="238"/>
        <w:rPr>
          <w:rFonts w:ascii="宋体"/>
          <w:b/>
          <w:color w:val="000000" w:themeColor="text1"/>
          <w:sz w:val="28"/>
          <w:szCs w:val="28"/>
          <w:highlight w:val="none"/>
          <w:u w:val="singl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 xml:space="preserve">项目名称: </w:t>
      </w:r>
      <w:r>
        <w:rPr>
          <w:rFonts w:hint="eastAsia" w:ascii="宋体"/>
          <w:b/>
          <w:color w:val="000000" w:themeColor="text1"/>
          <w:sz w:val="28"/>
          <w:szCs w:val="28"/>
          <w:highlight w:val="none"/>
          <w:u w:val="single"/>
          <w14:textFill>
            <w14:solidFill>
              <w14:schemeClr w14:val="tx1"/>
            </w14:solidFill>
          </w14:textFill>
        </w:rPr>
        <w:t xml:space="preserve">                                        </w:t>
      </w:r>
    </w:p>
    <w:p w14:paraId="3BBC18D0">
      <w:pPr>
        <w:spacing w:line="480" w:lineRule="auto"/>
        <w:ind w:left="180" w:firstLine="669" w:firstLineChars="238"/>
        <w:rPr>
          <w:rFonts w:ascii="宋体"/>
          <w:b/>
          <w:color w:val="000000" w:themeColor="text1"/>
          <w:sz w:val="28"/>
          <w:szCs w:val="28"/>
          <w:highlight w:val="none"/>
          <w:u w:val="singl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 xml:space="preserve">项目编号: </w:t>
      </w:r>
      <w:r>
        <w:rPr>
          <w:rFonts w:hint="eastAsia" w:ascii="宋体"/>
          <w:b/>
          <w:color w:val="000000" w:themeColor="text1"/>
          <w:sz w:val="28"/>
          <w:szCs w:val="28"/>
          <w:highlight w:val="none"/>
          <w:u w:val="single"/>
          <w14:textFill>
            <w14:solidFill>
              <w14:schemeClr w14:val="tx1"/>
            </w14:solidFill>
          </w14:textFill>
        </w:rPr>
        <w:t xml:space="preserve">                                        </w:t>
      </w:r>
    </w:p>
    <w:p w14:paraId="3A10BF47">
      <w:pPr>
        <w:spacing w:line="480" w:lineRule="auto"/>
        <w:ind w:left="180" w:firstLine="669" w:firstLineChars="238"/>
        <w:rPr>
          <w:rFonts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 xml:space="preserve">响应单位名称: </w:t>
      </w:r>
      <w:r>
        <w:rPr>
          <w:rFonts w:hint="eastAsia" w:ascii="宋体"/>
          <w:b/>
          <w:color w:val="000000" w:themeColor="text1"/>
          <w:sz w:val="28"/>
          <w:szCs w:val="28"/>
          <w:highlight w:val="none"/>
          <w:u w:val="single"/>
          <w14:textFill>
            <w14:solidFill>
              <w14:schemeClr w14:val="tx1"/>
            </w14:solidFill>
          </w14:textFill>
        </w:rPr>
        <w:t xml:space="preserve">                      （盖单位公章）</w:t>
      </w:r>
    </w:p>
    <w:p w14:paraId="2F86C6DC">
      <w:pPr>
        <w:tabs>
          <w:tab w:val="left" w:pos="7126"/>
        </w:tabs>
        <w:spacing w:line="480" w:lineRule="auto"/>
        <w:ind w:left="180" w:firstLine="669" w:firstLineChars="238"/>
        <w:rPr>
          <w:rFonts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地址:</w:t>
      </w:r>
      <w:r>
        <w:rPr>
          <w:rFonts w:hint="eastAsia" w:ascii="宋体"/>
          <w:b/>
          <w:color w:val="000000" w:themeColor="text1"/>
          <w:sz w:val="28"/>
          <w:szCs w:val="28"/>
          <w:highlight w:val="none"/>
          <w:u w:val="single"/>
          <w14:textFill>
            <w14:solidFill>
              <w14:schemeClr w14:val="tx1"/>
            </w14:solidFill>
          </w14:textFill>
        </w:rPr>
        <w:tab/>
      </w:r>
      <w:r>
        <w:rPr>
          <w:rFonts w:hint="eastAsia" w:ascii="宋体"/>
          <w:b/>
          <w:color w:val="000000" w:themeColor="text1"/>
          <w:sz w:val="28"/>
          <w:szCs w:val="28"/>
          <w:highlight w:val="none"/>
          <w:u w:val="single"/>
          <w14:textFill>
            <w14:solidFill>
              <w14:schemeClr w14:val="tx1"/>
            </w14:solidFill>
          </w14:textFill>
        </w:rPr>
        <w:t xml:space="preserve">     </w:t>
      </w:r>
    </w:p>
    <w:p w14:paraId="6087A503">
      <w:pPr>
        <w:pStyle w:val="27"/>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4ED23BAE">
      <w:pPr>
        <w:jc w:val="center"/>
        <w:rPr>
          <w:color w:val="000000" w:themeColor="text1"/>
          <w:sz w:val="44"/>
          <w:szCs w:val="52"/>
          <w:highlight w:val="none"/>
          <w14:textFill>
            <w14:solidFill>
              <w14:schemeClr w14:val="tx1"/>
            </w14:solidFill>
          </w14:textFill>
        </w:rPr>
      </w:pPr>
      <w:bookmarkStart w:id="98" w:name="_Toc1062"/>
      <w:r>
        <w:rPr>
          <w:rFonts w:hint="eastAsia"/>
          <w:color w:val="000000" w:themeColor="text1"/>
          <w:sz w:val="44"/>
          <w:szCs w:val="52"/>
          <w:highlight w:val="none"/>
          <w14:textFill>
            <w14:solidFill>
              <w14:schemeClr w14:val="tx1"/>
            </w14:solidFill>
          </w14:textFill>
        </w:rPr>
        <w:t>报价</w:t>
      </w:r>
      <w:r>
        <w:rPr>
          <w:color w:val="000000" w:themeColor="text1"/>
          <w:sz w:val="44"/>
          <w:szCs w:val="52"/>
          <w:highlight w:val="none"/>
          <w14:textFill>
            <w14:solidFill>
              <w14:schemeClr w14:val="tx1"/>
            </w14:solidFill>
          </w14:textFill>
        </w:rPr>
        <w:t>响应文件</w:t>
      </w:r>
      <w:bookmarkEnd w:id="98"/>
    </w:p>
    <w:p w14:paraId="72486903">
      <w:pPr>
        <w:widowControl/>
        <w:spacing w:line="360" w:lineRule="auto"/>
        <w:jc w:val="left"/>
        <w:rPr>
          <w:rFonts w:ascii="宋体"/>
          <w:color w:val="000000" w:themeColor="text1"/>
          <w:sz w:val="24"/>
          <w:highlight w:val="none"/>
          <w14:textFill>
            <w14:solidFill>
              <w14:schemeClr w14:val="tx1"/>
            </w14:solidFill>
          </w14:textFill>
        </w:rPr>
      </w:pPr>
    </w:p>
    <w:p w14:paraId="5EF17A05">
      <w:pPr>
        <w:widowControl/>
        <w:jc w:val="center"/>
        <w:rPr>
          <w:rFonts w:ascii="宋体"/>
          <w:bCs/>
          <w:color w:val="000000" w:themeColor="text1"/>
          <w:sz w:val="40"/>
          <w:szCs w:val="30"/>
          <w:highlight w:val="none"/>
          <w14:textFill>
            <w14:solidFill>
              <w14:schemeClr w14:val="tx1"/>
            </w14:solidFill>
          </w14:textFill>
        </w:rPr>
      </w:pPr>
    </w:p>
    <w:p w14:paraId="70E2FB3D">
      <w:pPr>
        <w:widowControl/>
        <w:jc w:val="center"/>
        <w:rPr>
          <w:rFonts w:ascii="宋体"/>
          <w:bCs/>
          <w:color w:val="000000" w:themeColor="text1"/>
          <w:sz w:val="40"/>
          <w:szCs w:val="30"/>
          <w:highlight w:val="none"/>
          <w14:textFill>
            <w14:solidFill>
              <w14:schemeClr w14:val="tx1"/>
            </w14:solidFill>
          </w14:textFill>
        </w:rPr>
      </w:pPr>
      <w:r>
        <w:rPr>
          <w:rFonts w:hint="eastAsia" w:ascii="宋体"/>
          <w:bCs/>
          <w:color w:val="000000" w:themeColor="text1"/>
          <w:sz w:val="40"/>
          <w:szCs w:val="30"/>
          <w:highlight w:val="none"/>
          <w14:textFill>
            <w14:solidFill>
              <w14:schemeClr w14:val="tx1"/>
            </w14:solidFill>
          </w14:textFill>
        </w:rPr>
        <w:t>目录</w:t>
      </w:r>
    </w:p>
    <w:p w14:paraId="4ECD42CE">
      <w:pPr>
        <w:pStyle w:val="23"/>
        <w:spacing w:line="360" w:lineRule="auto"/>
        <w:ind w:left="142" w:firstLine="565" w:firstLineChars="205"/>
        <w:rPr>
          <w:rFonts w:cs="Microsoft JhengHei Light"/>
          <w:color w:val="000000" w:themeColor="text1"/>
          <w:spacing w:val="-2"/>
          <w:sz w:val="28"/>
          <w:szCs w:val="24"/>
          <w:highlight w:val="none"/>
          <w14:textFill>
            <w14:solidFill>
              <w14:schemeClr w14:val="tx1"/>
            </w14:solidFill>
          </w14:textFill>
        </w:rPr>
      </w:pPr>
    </w:p>
    <w:p w14:paraId="3388A530">
      <w:pPr>
        <w:pStyle w:val="23"/>
        <w:spacing w:line="360" w:lineRule="auto"/>
        <w:ind w:left="142" w:firstLine="565" w:firstLineChars="205"/>
        <w:rPr>
          <w:rFonts w:cs="Microsoft JhengHei Light"/>
          <w:color w:val="000000" w:themeColor="text1"/>
          <w:spacing w:val="-2"/>
          <w:sz w:val="28"/>
          <w:szCs w:val="24"/>
          <w:highlight w:val="none"/>
          <w14:textFill>
            <w14:solidFill>
              <w14:schemeClr w14:val="tx1"/>
            </w14:solidFill>
          </w14:textFill>
        </w:rPr>
      </w:pPr>
      <w:r>
        <w:rPr>
          <w:rFonts w:hint="eastAsia" w:cs="Microsoft JhengHei Light"/>
          <w:color w:val="000000" w:themeColor="text1"/>
          <w:spacing w:val="-2"/>
          <w:sz w:val="28"/>
          <w:szCs w:val="24"/>
          <w:highlight w:val="none"/>
          <w14:textFill>
            <w14:solidFill>
              <w14:schemeClr w14:val="tx1"/>
            </w14:solidFill>
          </w14:textFill>
        </w:rPr>
        <w:t>一</w:t>
      </w:r>
      <w:r>
        <w:rPr>
          <w:rFonts w:cs="Microsoft JhengHei Light"/>
          <w:color w:val="000000" w:themeColor="text1"/>
          <w:spacing w:val="-2"/>
          <w:sz w:val="28"/>
          <w:szCs w:val="24"/>
          <w:highlight w:val="none"/>
          <w14:textFill>
            <w14:solidFill>
              <w14:schemeClr w14:val="tx1"/>
            </w14:solidFill>
          </w14:textFill>
        </w:rPr>
        <w:t>、</w:t>
      </w:r>
      <w:r>
        <w:rPr>
          <w:rFonts w:hint="eastAsia" w:cs="Microsoft JhengHei Light"/>
          <w:color w:val="000000" w:themeColor="text1"/>
          <w:spacing w:val="-2"/>
          <w:sz w:val="28"/>
          <w:szCs w:val="24"/>
          <w:highlight w:val="none"/>
          <w14:textFill>
            <w14:solidFill>
              <w14:schemeClr w14:val="tx1"/>
            </w14:solidFill>
          </w14:textFill>
        </w:rPr>
        <w:t>磋商函（格式）</w:t>
      </w:r>
    </w:p>
    <w:p w14:paraId="1C35FFCD">
      <w:pPr>
        <w:pStyle w:val="23"/>
        <w:spacing w:line="360" w:lineRule="auto"/>
        <w:ind w:left="142" w:firstLine="565" w:firstLineChars="205"/>
        <w:rPr>
          <w:rFonts w:cs="Microsoft JhengHei Light"/>
          <w:color w:val="000000" w:themeColor="text1"/>
          <w:spacing w:val="-2"/>
          <w:sz w:val="28"/>
          <w:szCs w:val="24"/>
          <w:highlight w:val="none"/>
          <w14:textFill>
            <w14:solidFill>
              <w14:schemeClr w14:val="tx1"/>
            </w14:solidFill>
          </w14:textFill>
        </w:rPr>
      </w:pPr>
      <w:r>
        <w:rPr>
          <w:rFonts w:hint="eastAsia" w:cs="Microsoft JhengHei Light"/>
          <w:color w:val="000000" w:themeColor="text1"/>
          <w:spacing w:val="-2"/>
          <w:sz w:val="28"/>
          <w:szCs w:val="24"/>
          <w:highlight w:val="none"/>
          <w14:textFill>
            <w14:solidFill>
              <w14:schemeClr w14:val="tx1"/>
            </w14:solidFill>
          </w14:textFill>
        </w:rPr>
        <w:t>二、磋商报价表（格式）</w:t>
      </w:r>
    </w:p>
    <w:p w14:paraId="5EA31B63">
      <w:pPr>
        <w:pStyle w:val="23"/>
        <w:spacing w:line="360" w:lineRule="auto"/>
        <w:ind w:left="142" w:firstLine="565" w:firstLineChars="205"/>
        <w:rPr>
          <w:rFonts w:cs="Microsoft JhengHei Light"/>
          <w:color w:val="000000" w:themeColor="text1"/>
          <w:spacing w:val="-2"/>
          <w:sz w:val="28"/>
          <w:szCs w:val="24"/>
          <w:highlight w:val="none"/>
          <w14:textFill>
            <w14:solidFill>
              <w14:schemeClr w14:val="tx1"/>
            </w14:solidFill>
          </w14:textFill>
        </w:rPr>
      </w:pPr>
      <w:r>
        <w:rPr>
          <w:rFonts w:hint="eastAsia" w:cs="Microsoft JhengHei Light"/>
          <w:color w:val="000000" w:themeColor="text1"/>
          <w:spacing w:val="-2"/>
          <w:sz w:val="28"/>
          <w:szCs w:val="24"/>
          <w:highlight w:val="none"/>
          <w14:textFill>
            <w14:solidFill>
              <w14:schemeClr w14:val="tx1"/>
            </w14:solidFill>
          </w14:textFill>
        </w:rPr>
        <w:t>三、中小企业声明函（格式）</w:t>
      </w:r>
    </w:p>
    <w:p w14:paraId="325E7C7B">
      <w:pPr>
        <w:widowControl/>
        <w:spacing w:line="500" w:lineRule="exact"/>
        <w:ind w:firstLine="576" w:firstLineChars="205"/>
        <w:jc w:val="center"/>
        <w:rPr>
          <w:rFonts w:ascii="宋体"/>
          <w:b/>
          <w:bCs/>
          <w:color w:val="000000" w:themeColor="text1"/>
          <w:sz w:val="28"/>
          <w:szCs w:val="24"/>
          <w:highlight w:val="none"/>
          <w14:textFill>
            <w14:solidFill>
              <w14:schemeClr w14:val="tx1"/>
            </w14:solidFill>
          </w14:textFill>
        </w:rPr>
      </w:pPr>
    </w:p>
    <w:p w14:paraId="6DDA5A84">
      <w:pPr>
        <w:jc w:val="left"/>
        <w:rPr>
          <w:b/>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99" w:name="_Toc1303"/>
      <w:r>
        <w:rPr>
          <w:rFonts w:hint="eastAsia"/>
          <w:b/>
          <w:color w:val="000000" w:themeColor="text1"/>
          <w:sz w:val="32"/>
          <w:szCs w:val="32"/>
          <w:highlight w:val="none"/>
          <w14:textFill>
            <w14:solidFill>
              <w14:schemeClr w14:val="tx1"/>
            </w14:solidFill>
          </w14:textFill>
        </w:rPr>
        <w:t>一、磋商函（格式）</w:t>
      </w:r>
      <w:bookmarkEnd w:id="99"/>
    </w:p>
    <w:p w14:paraId="6CCF6001">
      <w:pPr>
        <w:pStyle w:val="23"/>
        <w:spacing w:line="440" w:lineRule="exact"/>
        <w:rPr>
          <w:color w:val="000000" w:themeColor="text1"/>
          <w:sz w:val="40"/>
          <w:highlight w:val="none"/>
          <w14:textFill>
            <w14:solidFill>
              <w14:schemeClr w14:val="tx1"/>
            </w14:solidFill>
          </w14:textFill>
        </w:rPr>
      </w:pPr>
    </w:p>
    <w:p w14:paraId="6AA2EF7C">
      <w:pPr>
        <w:pStyle w:val="23"/>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致：</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（采购代理机构名称）</w:t>
      </w:r>
    </w:p>
    <w:p w14:paraId="07CA6242">
      <w:pPr>
        <w:pStyle w:val="23"/>
        <w:spacing w:line="360" w:lineRule="auto"/>
        <w:ind w:firstLine="480" w:firstLineChars="200"/>
        <w:rPr>
          <w:color w:val="000000" w:themeColor="text1"/>
          <w:sz w:val="24"/>
          <w:highlight w:val="none"/>
          <w14:textFill>
            <w14:solidFill>
              <w14:schemeClr w14:val="tx1"/>
            </w14:solidFill>
          </w14:textFill>
        </w:rPr>
      </w:pPr>
    </w:p>
    <w:p w14:paraId="7A283B44">
      <w:pPr>
        <w:pStyle w:val="23"/>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我方已仔细阅读了贵方组织的</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项目（项目编号：</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）的竞争性磋商文件的全部内容，现正式递交下述文件参加贵方组织的本次政府采购活动： </w:t>
      </w:r>
    </w:p>
    <w:p w14:paraId="74768FDE">
      <w:pPr>
        <w:pStyle w:val="23"/>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一、首次响应文件（</w:t>
      </w:r>
      <w:r>
        <w:rPr>
          <w:rFonts w:hint="eastAsia" w:cs="宋体"/>
          <w:color w:val="000000" w:themeColor="text1"/>
          <w:sz w:val="24"/>
          <w:szCs w:val="24"/>
          <w:highlight w:val="none"/>
          <w14:textFill>
            <w14:solidFill>
              <w14:schemeClr w14:val="tx1"/>
            </w14:solidFill>
          </w14:textFill>
        </w:rPr>
        <w:t>报价响应文件、资格文件</w:t>
      </w:r>
      <w:r>
        <w:rPr>
          <w:rFonts w:cs="宋体"/>
          <w:color w:val="000000" w:themeColor="text1"/>
          <w:sz w:val="24"/>
          <w:szCs w:val="24"/>
          <w:highlight w:val="none"/>
          <w14:textFill>
            <w14:solidFill>
              <w14:schemeClr w14:val="tx1"/>
            </w14:solidFill>
          </w14:textFill>
        </w:rPr>
        <w:t>、</w:t>
      </w:r>
      <w:r>
        <w:rPr>
          <w:rFonts w:hint="eastAsia" w:cs="宋体"/>
          <w:color w:val="000000" w:themeColor="text1"/>
          <w:sz w:val="24"/>
          <w:szCs w:val="24"/>
          <w:highlight w:val="none"/>
          <w14:textFill>
            <w14:solidFill>
              <w14:schemeClr w14:val="tx1"/>
            </w14:solidFill>
          </w14:textFill>
        </w:rPr>
        <w:t>商务文件、技术文件，</w:t>
      </w:r>
      <w:r>
        <w:rPr>
          <w:rFonts w:hint="eastAsia"/>
          <w:color w:val="000000" w:themeColor="text1"/>
          <w:sz w:val="24"/>
          <w:highlight w:val="none"/>
          <w14:textFill>
            <w14:solidFill>
              <w14:schemeClr w14:val="tx1"/>
            </w14:solidFill>
          </w14:textFill>
        </w:rPr>
        <w:t>包含按供应商须知第10项要求提交的全部文件）；</w:t>
      </w:r>
    </w:p>
    <w:p w14:paraId="037A34B5">
      <w:pPr>
        <w:pStyle w:val="23"/>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据此函，我方宣布：</w:t>
      </w:r>
    </w:p>
    <w:p w14:paraId="0244BD61">
      <w:pPr>
        <w:pStyle w:val="23"/>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1、我方愿意以（大写）人民币</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元 (¥</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元)进行报价，合同履约期限：</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w:t>
      </w:r>
      <w:r>
        <w:rPr>
          <w:rFonts w:hint="eastAsia" w:cs="宋体"/>
          <w:color w:val="000000" w:themeColor="text1"/>
          <w:sz w:val="24"/>
          <w:highlight w:val="none"/>
          <w14:textFill>
            <w14:solidFill>
              <w14:schemeClr w14:val="tx1"/>
            </w14:solidFill>
          </w14:textFill>
        </w:rPr>
        <w:t>提供本项目竞争性磋商文件第三章项目需求中相应的采购内</w:t>
      </w:r>
      <w:r>
        <w:rPr>
          <w:rFonts w:hint="eastAsia"/>
          <w:color w:val="000000" w:themeColor="text1"/>
          <w:sz w:val="24"/>
          <w:highlight w:val="none"/>
          <w14:textFill>
            <w14:solidFill>
              <w14:schemeClr w14:val="tx1"/>
            </w14:solidFill>
          </w14:textFill>
        </w:rPr>
        <w:t>容。</w:t>
      </w:r>
    </w:p>
    <w:p w14:paraId="2221D981">
      <w:pPr>
        <w:pStyle w:val="23"/>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2、我方同意自本项目的递交响应文件截止时间起按竞争性磋商文件的规定，履行全部责任和义务，并承诺在磋商有效期内不修改、撤销响应文件。</w:t>
      </w:r>
    </w:p>
    <w:p w14:paraId="07A1E43D">
      <w:pPr>
        <w:pStyle w:val="23"/>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3、我方在此声明，所递交的响应文件及有关资料内容完整、真实和准确。</w:t>
      </w:r>
    </w:p>
    <w:p w14:paraId="68BDAF61">
      <w:pPr>
        <w:pStyle w:val="23"/>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4、如本项目采购内容涉及须符合国家强制规定的，我方承诺我方本次磋商均符合国家有关强制规定。</w:t>
      </w:r>
    </w:p>
    <w:p w14:paraId="4FFE176B">
      <w:pPr>
        <w:pStyle w:val="23"/>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5、我方承诺已经具备《中华人民共和国政府采购法》中规定的参加政府采购活动的供应商应当具备的条件。</w:t>
      </w:r>
    </w:p>
    <w:p w14:paraId="61D55563">
      <w:pPr>
        <w:pStyle w:val="23"/>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如我方成交，我方承诺在收到成交通知书后，在成交通知书规定的期限内，根据竞争性磋商文件、我方的响应文件及有关澄清承诺书的要求按第六章“合同条款及格式”与采购人订立书面合同，并按照合同约定承担完成合同的责任和义务。</w:t>
      </w:r>
    </w:p>
    <w:p w14:paraId="503997EC">
      <w:pPr>
        <w:pStyle w:val="23"/>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7、我方已详细审核竞争性磋商文件，我方知道必须放弃提出含糊不清或误解问题的权利。</w:t>
      </w:r>
    </w:p>
    <w:p w14:paraId="4C861439">
      <w:pPr>
        <w:pStyle w:val="23"/>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8、我方承诺履行竞争性磋商文件第六章《采购合同条款格式》中的条款，承担完成合同的责任和义务。</w:t>
      </w:r>
    </w:p>
    <w:p w14:paraId="4EC2A03A">
      <w:pPr>
        <w:pStyle w:val="23"/>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9、我方同意应贵方要求提供与本磋商有关的任何数据或资料。若贵方需要，我方愿意提供我方做出的一切承诺的证明材料。</w:t>
      </w:r>
    </w:p>
    <w:p w14:paraId="1B89C2E4">
      <w:pPr>
        <w:pStyle w:val="23"/>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10、我方完全理解贵方不一定接受磋商报价最低的供应商为成交供应商的行为。</w:t>
      </w:r>
    </w:p>
    <w:p w14:paraId="0F0654EF">
      <w:pPr>
        <w:pStyle w:val="23"/>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0F51FD5">
      <w:pPr>
        <w:pStyle w:val="23"/>
        <w:numPr>
          <w:ilvl w:val="0"/>
          <w:numId w:val="6"/>
        </w:numPr>
        <w:tabs>
          <w:tab w:val="left" w:pos="945"/>
        </w:tabs>
        <w:spacing w:line="360" w:lineRule="auto"/>
        <w:ind w:left="0"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提供虚假材料谋取成交的；</w:t>
      </w:r>
    </w:p>
    <w:p w14:paraId="56D2DB09">
      <w:pPr>
        <w:pStyle w:val="23"/>
        <w:numPr>
          <w:ilvl w:val="0"/>
          <w:numId w:val="6"/>
        </w:numPr>
        <w:tabs>
          <w:tab w:val="left" w:pos="945"/>
        </w:tabs>
        <w:spacing w:line="360" w:lineRule="auto"/>
        <w:ind w:left="0"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采取不正当手段诋毁、排挤其他供应商的；</w:t>
      </w:r>
    </w:p>
    <w:p w14:paraId="7229CBFF">
      <w:pPr>
        <w:pStyle w:val="23"/>
        <w:numPr>
          <w:ilvl w:val="0"/>
          <w:numId w:val="6"/>
        </w:numPr>
        <w:tabs>
          <w:tab w:val="left" w:pos="945"/>
        </w:tabs>
        <w:spacing w:line="360" w:lineRule="auto"/>
        <w:ind w:left="0"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与采购人、其他供应商或者采购代理机构恶意串通的；</w:t>
      </w:r>
    </w:p>
    <w:p w14:paraId="4883F83D">
      <w:pPr>
        <w:pStyle w:val="23"/>
        <w:numPr>
          <w:ilvl w:val="0"/>
          <w:numId w:val="6"/>
        </w:numPr>
        <w:tabs>
          <w:tab w:val="left" w:pos="945"/>
        </w:tabs>
        <w:spacing w:line="360" w:lineRule="auto"/>
        <w:ind w:left="0"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向采购人、采购代理机构行贿或者提供其他不正当利益的；</w:t>
      </w:r>
    </w:p>
    <w:p w14:paraId="09D706B8">
      <w:pPr>
        <w:pStyle w:val="23"/>
        <w:numPr>
          <w:ilvl w:val="0"/>
          <w:numId w:val="6"/>
        </w:numPr>
        <w:tabs>
          <w:tab w:val="left" w:pos="945"/>
        </w:tabs>
        <w:spacing w:line="360" w:lineRule="auto"/>
        <w:ind w:left="0"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在采购过程中与采购人进行协商磋商的；</w:t>
      </w:r>
    </w:p>
    <w:p w14:paraId="19296A0F">
      <w:pPr>
        <w:pStyle w:val="23"/>
        <w:numPr>
          <w:ilvl w:val="0"/>
          <w:numId w:val="6"/>
        </w:numPr>
        <w:tabs>
          <w:tab w:val="left" w:pos="945"/>
        </w:tabs>
        <w:spacing w:line="360" w:lineRule="auto"/>
        <w:ind w:left="0"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拒绝有关部门监督检查或提供虚假情况的。</w:t>
      </w:r>
    </w:p>
    <w:p w14:paraId="64D6712D">
      <w:pPr>
        <w:pStyle w:val="23"/>
        <w:spacing w:line="360" w:lineRule="auto"/>
        <w:ind w:firstLine="480" w:firstLineChars="200"/>
        <w:rPr>
          <w:color w:val="000000" w:themeColor="text1"/>
          <w:sz w:val="24"/>
          <w:highlight w:val="none"/>
          <w14:textFill>
            <w14:solidFill>
              <w14:schemeClr w14:val="tx1"/>
            </w14:solidFill>
          </w14:textFill>
        </w:rPr>
      </w:pPr>
    </w:p>
    <w:p w14:paraId="11C0C03D">
      <w:pPr>
        <w:pStyle w:val="23"/>
        <w:spacing w:line="360" w:lineRule="auto"/>
        <w:ind w:firstLine="480" w:firstLineChars="2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供应商：</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（盖单位公章）</w:t>
      </w:r>
    </w:p>
    <w:p w14:paraId="2A9BA56D">
      <w:pPr>
        <w:pStyle w:val="23"/>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法定代表人或其委托代理人：</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（签字或盖章）</w:t>
      </w:r>
    </w:p>
    <w:p w14:paraId="30260218">
      <w:pPr>
        <w:pStyle w:val="23"/>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地址：</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p>
    <w:p w14:paraId="3D2B0EBD">
      <w:pPr>
        <w:pStyle w:val="23"/>
        <w:spacing w:line="360" w:lineRule="auto"/>
        <w:ind w:firstLine="480" w:firstLineChars="2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电话：</w:t>
      </w:r>
      <w:r>
        <w:rPr>
          <w:rFonts w:hint="eastAsia"/>
          <w:color w:val="000000" w:themeColor="text1"/>
          <w:sz w:val="24"/>
          <w:highlight w:val="none"/>
          <w:u w:val="single"/>
          <w14:textFill>
            <w14:solidFill>
              <w14:schemeClr w14:val="tx1"/>
            </w14:solidFill>
          </w14:textFill>
        </w:rPr>
        <w:t xml:space="preserve">                                      　　　　　　　　　</w:t>
      </w:r>
    </w:p>
    <w:p w14:paraId="37E12F18">
      <w:pPr>
        <w:pStyle w:val="23"/>
        <w:spacing w:line="360" w:lineRule="auto"/>
        <w:ind w:firstLine="480" w:firstLineChars="2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邮政编码：</w:t>
      </w:r>
      <w:r>
        <w:rPr>
          <w:rFonts w:hint="eastAsia"/>
          <w:color w:val="000000" w:themeColor="text1"/>
          <w:sz w:val="24"/>
          <w:highlight w:val="none"/>
          <w:u w:val="single"/>
          <w14:textFill>
            <w14:solidFill>
              <w14:schemeClr w14:val="tx1"/>
            </w14:solidFill>
          </w14:textFill>
        </w:rPr>
        <w:t xml:space="preserve">                                                    </w:t>
      </w:r>
    </w:p>
    <w:p w14:paraId="54D87BAB">
      <w:pPr>
        <w:pStyle w:val="23"/>
        <w:spacing w:line="360" w:lineRule="auto"/>
        <w:ind w:firstLine="480" w:firstLineChars="2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开户名称：</w:t>
      </w:r>
      <w:r>
        <w:rPr>
          <w:rFonts w:hint="eastAsia"/>
          <w:color w:val="000000" w:themeColor="text1"/>
          <w:sz w:val="24"/>
          <w:highlight w:val="none"/>
          <w:u w:val="single"/>
          <w14:textFill>
            <w14:solidFill>
              <w14:schemeClr w14:val="tx1"/>
            </w14:solidFill>
          </w14:textFill>
        </w:rPr>
        <w:t xml:space="preserve">                                                    </w:t>
      </w:r>
    </w:p>
    <w:p w14:paraId="100D21B2">
      <w:pPr>
        <w:pStyle w:val="23"/>
        <w:spacing w:line="360" w:lineRule="auto"/>
        <w:ind w:firstLine="480" w:firstLineChars="2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开户银行：</w:t>
      </w:r>
      <w:r>
        <w:rPr>
          <w:rFonts w:hint="eastAsia"/>
          <w:color w:val="000000" w:themeColor="text1"/>
          <w:sz w:val="24"/>
          <w:highlight w:val="none"/>
          <w:u w:val="single"/>
          <w14:textFill>
            <w14:solidFill>
              <w14:schemeClr w14:val="tx1"/>
            </w14:solidFill>
          </w14:textFill>
        </w:rPr>
        <w:t xml:space="preserve">                                                    </w:t>
      </w:r>
    </w:p>
    <w:p w14:paraId="62D26395">
      <w:pPr>
        <w:pStyle w:val="23"/>
        <w:spacing w:line="360" w:lineRule="auto"/>
        <w:ind w:firstLine="480" w:firstLineChars="2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银行账号：</w:t>
      </w:r>
      <w:r>
        <w:rPr>
          <w:rFonts w:hint="eastAsia"/>
          <w:color w:val="000000" w:themeColor="text1"/>
          <w:sz w:val="24"/>
          <w:highlight w:val="none"/>
          <w:u w:val="single"/>
          <w14:textFill>
            <w14:solidFill>
              <w14:schemeClr w14:val="tx1"/>
            </w14:solidFill>
          </w14:textFill>
        </w:rPr>
        <w:t xml:space="preserve">                                                    </w:t>
      </w:r>
    </w:p>
    <w:p w14:paraId="3C4334A1">
      <w:pPr>
        <w:pStyle w:val="23"/>
        <w:spacing w:line="360" w:lineRule="auto"/>
        <w:ind w:firstLine="420"/>
        <w:jc w:val="right"/>
        <w:rPr>
          <w:bCs/>
          <w:color w:val="000000" w:themeColor="text1"/>
          <w:sz w:val="24"/>
          <w:highlight w:val="none"/>
          <w:u w:val="single"/>
          <w14:textFill>
            <w14:solidFill>
              <w14:schemeClr w14:val="tx1"/>
            </w14:solidFill>
          </w14:textFill>
        </w:rPr>
      </w:pPr>
    </w:p>
    <w:p w14:paraId="7946D4BC">
      <w:pPr>
        <w:pStyle w:val="23"/>
        <w:spacing w:line="360" w:lineRule="auto"/>
        <w:ind w:firstLine="420"/>
        <w:jc w:val="right"/>
        <w:rPr>
          <w:color w:val="000000" w:themeColor="text1"/>
          <w:sz w:val="24"/>
          <w:highlight w:val="none"/>
          <w:u w:val="single"/>
          <w14:textFill>
            <w14:solidFill>
              <w14:schemeClr w14:val="tx1"/>
            </w14:solidFill>
          </w14:textFill>
        </w:rPr>
      </w:pPr>
      <w:r>
        <w:rPr>
          <w:rFonts w:hint="eastAsia"/>
          <w:bCs/>
          <w:color w:val="000000" w:themeColor="text1"/>
          <w:sz w:val="24"/>
          <w:highlight w:val="none"/>
          <w:u w:val="single"/>
          <w14:textFill>
            <w14:solidFill>
              <w14:schemeClr w14:val="tx1"/>
            </w14:solidFill>
          </w14:textFill>
        </w:rPr>
        <w:t xml:space="preserve">    </w:t>
      </w:r>
      <w:r>
        <w:rPr>
          <w:rFonts w:hint="eastAsia"/>
          <w:bCs/>
          <w:color w:val="000000" w:themeColor="text1"/>
          <w:sz w:val="24"/>
          <w:highlight w:val="none"/>
          <w14:textFill>
            <w14:solidFill>
              <w14:schemeClr w14:val="tx1"/>
            </w14:solidFill>
          </w14:textFill>
        </w:rPr>
        <w:t>年</w:t>
      </w:r>
      <w:r>
        <w:rPr>
          <w:rFonts w:hint="eastAsia"/>
          <w:bCs/>
          <w:color w:val="000000" w:themeColor="text1"/>
          <w:sz w:val="24"/>
          <w:highlight w:val="none"/>
          <w:u w:val="single"/>
          <w14:textFill>
            <w14:solidFill>
              <w14:schemeClr w14:val="tx1"/>
            </w14:solidFill>
          </w14:textFill>
        </w:rPr>
        <w:t xml:space="preserve">    </w:t>
      </w:r>
      <w:r>
        <w:rPr>
          <w:rFonts w:hint="eastAsia"/>
          <w:bCs/>
          <w:color w:val="000000" w:themeColor="text1"/>
          <w:sz w:val="24"/>
          <w:highlight w:val="none"/>
          <w14:textFill>
            <w14:solidFill>
              <w14:schemeClr w14:val="tx1"/>
            </w14:solidFill>
          </w14:textFill>
        </w:rPr>
        <w:t>月</w:t>
      </w:r>
      <w:r>
        <w:rPr>
          <w:rFonts w:hint="eastAsia"/>
          <w:bCs/>
          <w:color w:val="000000" w:themeColor="text1"/>
          <w:sz w:val="24"/>
          <w:highlight w:val="none"/>
          <w:u w:val="single"/>
          <w14:textFill>
            <w14:solidFill>
              <w14:schemeClr w14:val="tx1"/>
            </w14:solidFill>
          </w14:textFill>
        </w:rPr>
        <w:t xml:space="preserve">    </w:t>
      </w:r>
      <w:r>
        <w:rPr>
          <w:rFonts w:hint="eastAsia"/>
          <w:bCs/>
          <w:color w:val="000000" w:themeColor="text1"/>
          <w:sz w:val="24"/>
          <w:highlight w:val="none"/>
          <w14:textFill>
            <w14:solidFill>
              <w14:schemeClr w14:val="tx1"/>
            </w14:solidFill>
          </w14:textFill>
        </w:rPr>
        <w:t>日</w:t>
      </w:r>
    </w:p>
    <w:p w14:paraId="2D5C1EBE">
      <w:pPr>
        <w:pStyle w:val="23"/>
        <w:numPr>
          <w:ilvl w:val="0"/>
          <w:numId w:val="7"/>
        </w:numPr>
        <w:spacing w:line="360" w:lineRule="auto"/>
        <w:jc w:val="left"/>
        <w:rPr>
          <w:color w:val="000000" w:themeColor="text1"/>
          <w:sz w:val="32"/>
          <w:szCs w:val="32"/>
          <w:highlight w:val="none"/>
          <w14:textFill>
            <w14:solidFill>
              <w14:schemeClr w14:val="tx1"/>
            </w14:solidFill>
          </w14:textFill>
        </w:rPr>
      </w:pPr>
      <w:r>
        <w:rPr>
          <w:rFonts w:hint="eastAsia"/>
          <w:b/>
          <w:bCs/>
          <w:color w:val="000000" w:themeColor="text1"/>
          <w:highlight w:val="none"/>
          <w14:textFill>
            <w14:solidFill>
              <w14:schemeClr w14:val="tx1"/>
            </w14:solidFill>
          </w14:textFill>
        </w:rPr>
        <w:br w:type="page"/>
      </w:r>
      <w:bookmarkStart w:id="100" w:name="_Toc1366"/>
      <w:r>
        <w:rPr>
          <w:rFonts w:hint="eastAsia"/>
          <w:color w:val="000000" w:themeColor="text1"/>
          <w:sz w:val="32"/>
          <w:szCs w:val="32"/>
          <w:highlight w:val="none"/>
          <w14:textFill>
            <w14:solidFill>
              <w14:schemeClr w14:val="tx1"/>
            </w14:solidFill>
          </w14:textFill>
        </w:rPr>
        <w:t>磋商报价表（格式）</w:t>
      </w:r>
      <w:bookmarkEnd w:id="100"/>
    </w:p>
    <w:p w14:paraId="42142EF9">
      <w:pPr>
        <w:pStyle w:val="63"/>
        <w:ind w:left="0" w:leftChars="0" w:firstLine="0" w:firstLineChars="0"/>
        <w:rPr>
          <w:color w:val="000000" w:themeColor="text1"/>
          <w:highlight w:val="none"/>
          <w14:textFill>
            <w14:solidFill>
              <w14:schemeClr w14:val="tx1"/>
            </w14:solidFill>
          </w14:textFill>
        </w:rPr>
      </w:pPr>
    </w:p>
    <w:p w14:paraId="1B5AD908">
      <w:pPr>
        <w:pStyle w:val="63"/>
        <w:ind w:left="420" w:firstLine="640"/>
        <w:jc w:val="center"/>
        <w:rPr>
          <w:color w:val="000000" w:themeColor="text1"/>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磋商报价表</w:t>
      </w:r>
    </w:p>
    <w:p w14:paraId="0744C1D4">
      <w:pPr>
        <w:spacing w:line="420" w:lineRule="exact"/>
        <w:rPr>
          <w:rFonts w:hint="eastAsia" w:ascii="宋体" w:hAnsi="宋体" w:cs="宋体"/>
          <w:color w:val="000000" w:themeColor="text1"/>
          <w:sz w:val="24"/>
          <w:szCs w:val="24"/>
          <w:highlight w:val="none"/>
          <w14:textFill>
            <w14:solidFill>
              <w14:schemeClr w14:val="tx1"/>
            </w14:solidFill>
          </w14:textFill>
        </w:rPr>
      </w:pPr>
    </w:p>
    <w:p w14:paraId="73CCA526">
      <w:pPr>
        <w:spacing w:line="360" w:lineRule="auto"/>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项目编号:</w:t>
      </w:r>
    </w:p>
    <w:p w14:paraId="0CE8996B">
      <w:pPr>
        <w:spacing w:line="360" w:lineRule="auto"/>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p>
    <w:p w14:paraId="52526607">
      <w:pPr>
        <w:spacing w:line="420" w:lineRule="exact"/>
        <w:rPr>
          <w:rFonts w:hint="eastAsia" w:ascii="宋体" w:hAnsi="宋体" w:cs="宋体"/>
          <w:color w:val="000000" w:themeColor="text1"/>
          <w:sz w:val="24"/>
          <w:szCs w:val="24"/>
          <w:highlight w:val="none"/>
          <w:u w:val="single"/>
          <w14:textFill>
            <w14:solidFill>
              <w14:schemeClr w14:val="tx1"/>
            </w14:solidFill>
          </w14:textFill>
        </w:rPr>
      </w:pPr>
    </w:p>
    <w:tbl>
      <w:tblPr>
        <w:tblStyle w:val="36"/>
        <w:tblW w:w="8613" w:type="dxa"/>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152"/>
        <w:gridCol w:w="1418"/>
        <w:gridCol w:w="1305"/>
      </w:tblGrid>
      <w:tr w14:paraId="790C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738" w:type="dxa"/>
            <w:vAlign w:val="center"/>
          </w:tcPr>
          <w:p w14:paraId="3E20F14F">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序号</w:t>
            </w:r>
          </w:p>
        </w:tc>
        <w:tc>
          <w:tcPr>
            <w:tcW w:w="5152" w:type="dxa"/>
            <w:vAlign w:val="center"/>
          </w:tcPr>
          <w:p w14:paraId="10D64A94">
            <w:pPr>
              <w:tabs>
                <w:tab w:val="left" w:pos="1418"/>
              </w:tabs>
              <w:snapToGrid w:val="0"/>
              <w:spacing w:before="50" w:after="50" w:line="4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服务内容</w:t>
            </w:r>
          </w:p>
        </w:tc>
        <w:tc>
          <w:tcPr>
            <w:tcW w:w="1418" w:type="dxa"/>
            <w:vAlign w:val="center"/>
          </w:tcPr>
          <w:p w14:paraId="07F7D24E">
            <w:pPr>
              <w:tabs>
                <w:tab w:val="left" w:pos="1418"/>
              </w:tabs>
              <w:snapToGrid w:val="0"/>
              <w:spacing w:before="50" w:after="50" w:line="4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总报价</w:t>
            </w:r>
          </w:p>
        </w:tc>
        <w:tc>
          <w:tcPr>
            <w:tcW w:w="1305" w:type="dxa"/>
            <w:vAlign w:val="center"/>
          </w:tcPr>
          <w:p w14:paraId="494BB933">
            <w:pPr>
              <w:tabs>
                <w:tab w:val="left" w:pos="1418"/>
              </w:tabs>
              <w:snapToGrid w:val="0"/>
              <w:spacing w:before="50" w:after="50" w:line="4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w:t>
            </w:r>
          </w:p>
        </w:tc>
      </w:tr>
      <w:tr w14:paraId="6464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738" w:type="dxa"/>
            <w:vAlign w:val="center"/>
          </w:tcPr>
          <w:p w14:paraId="79917490">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w:t>
            </w:r>
          </w:p>
        </w:tc>
        <w:tc>
          <w:tcPr>
            <w:tcW w:w="5152" w:type="dxa"/>
            <w:vAlign w:val="center"/>
          </w:tcPr>
          <w:p w14:paraId="5C31BF8F">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cs="仿宋"/>
                <w:color w:val="000000" w:themeColor="text1"/>
                <w:sz w:val="24"/>
                <w:szCs w:val="24"/>
                <w:highlight w:val="none"/>
                <w14:textFill>
                  <w14:solidFill>
                    <w14:schemeClr w14:val="tx1"/>
                  </w14:solidFill>
                </w14:textFill>
              </w:rPr>
              <w:t>桂平新材料产业园化工园区认定资料补充项目编制服务</w:t>
            </w:r>
          </w:p>
        </w:tc>
        <w:tc>
          <w:tcPr>
            <w:tcW w:w="1418" w:type="dxa"/>
            <w:vAlign w:val="center"/>
          </w:tcPr>
          <w:p w14:paraId="7B8EA58A">
            <w:pPr>
              <w:jc w:val="center"/>
              <w:rPr>
                <w:rFonts w:hint="eastAsia" w:ascii="宋体" w:hAnsi="宋体" w:cs="宋体"/>
                <w:color w:val="000000" w:themeColor="text1"/>
                <w:sz w:val="24"/>
                <w:szCs w:val="24"/>
                <w:highlight w:val="none"/>
                <w14:textFill>
                  <w14:solidFill>
                    <w14:schemeClr w14:val="tx1"/>
                  </w14:solidFill>
                </w14:textFill>
              </w:rPr>
            </w:pPr>
          </w:p>
        </w:tc>
        <w:tc>
          <w:tcPr>
            <w:tcW w:w="1305" w:type="dxa"/>
            <w:vAlign w:val="center"/>
          </w:tcPr>
          <w:p w14:paraId="2A71A21C">
            <w:pPr>
              <w:jc w:val="center"/>
              <w:rPr>
                <w:rFonts w:hint="eastAsia" w:ascii="宋体" w:hAnsi="宋体" w:cs="宋体"/>
                <w:color w:val="000000" w:themeColor="text1"/>
                <w:sz w:val="24"/>
                <w:szCs w:val="24"/>
                <w:highlight w:val="none"/>
                <w14:textFill>
                  <w14:solidFill>
                    <w14:schemeClr w14:val="tx1"/>
                  </w14:solidFill>
                </w14:textFill>
              </w:rPr>
            </w:pPr>
          </w:p>
        </w:tc>
      </w:tr>
      <w:tr w14:paraId="3C0F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8613" w:type="dxa"/>
            <w:gridSpan w:val="4"/>
          </w:tcPr>
          <w:p w14:paraId="0B04735B">
            <w:pPr>
              <w:rPr>
                <w:rFonts w:hint="eastAsia" w:ascii="宋体" w:hAnsi="宋体" w:cs="宋体"/>
                <w:color w:val="000000" w:themeColor="text1"/>
                <w:sz w:val="24"/>
                <w:szCs w:val="24"/>
                <w:highlight w:val="none"/>
                <w14:textFill>
                  <w14:solidFill>
                    <w14:schemeClr w14:val="tx1"/>
                  </w14:solidFill>
                </w14:textFill>
              </w:rPr>
            </w:pPr>
          </w:p>
          <w:p w14:paraId="44CA1FC8">
            <w:pPr>
              <w:pStyle w:val="23"/>
              <w:spacing w:line="500" w:lineRule="exact"/>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总报价：（人民币大写）：</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元）。</w:t>
            </w:r>
          </w:p>
          <w:p w14:paraId="19321E90">
            <w:pPr>
              <w:rPr>
                <w:color w:val="000000" w:themeColor="text1"/>
                <w:highlight w:val="none"/>
                <w14:textFill>
                  <w14:solidFill>
                    <w14:schemeClr w14:val="tx1"/>
                  </w14:solidFill>
                </w14:textFill>
              </w:rPr>
            </w:pPr>
          </w:p>
          <w:p w14:paraId="32CB4B29">
            <w:pPr>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服务期：</w:t>
            </w:r>
            <w:r>
              <w:rPr>
                <w:rFonts w:ascii="宋体" w:hAnsi="宋体" w:cs="宋体"/>
                <w:color w:val="000000" w:themeColor="text1"/>
                <w:kern w:val="0"/>
                <w:sz w:val="24"/>
                <w:szCs w:val="24"/>
                <w:highlight w:val="none"/>
                <w14:textFill>
                  <w14:solidFill>
                    <w14:schemeClr w14:val="tx1"/>
                  </w14:solidFill>
                </w14:textFill>
              </w:rPr>
              <w:t xml:space="preserve"> </w:t>
            </w:r>
          </w:p>
        </w:tc>
      </w:tr>
      <w:tr w14:paraId="0C2A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8613" w:type="dxa"/>
            <w:gridSpan w:val="4"/>
          </w:tcPr>
          <w:p w14:paraId="2FB1C79E">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注：1、所有价格均用人民币表示，单位为元，精确到个位数。</w:t>
            </w:r>
          </w:p>
          <w:p w14:paraId="5243C007">
            <w:pPr>
              <w:spacing w:line="360" w:lineRule="auto"/>
              <w:ind w:firstLine="405"/>
              <w:rPr>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2、磋商供应商</w:t>
            </w:r>
            <w:r>
              <w:rPr>
                <w:rFonts w:hint="eastAsia" w:ascii="宋体" w:hAnsi="宋体" w:cs="宋体"/>
                <w:bCs/>
                <w:color w:val="000000" w:themeColor="text1"/>
                <w:sz w:val="24"/>
                <w:szCs w:val="24"/>
                <w:highlight w:val="none"/>
                <w14:textFill>
                  <w14:solidFill>
                    <w14:schemeClr w14:val="tx1"/>
                  </w14:solidFill>
                </w14:textFill>
              </w:rPr>
              <w:t>所</w:t>
            </w:r>
            <w:r>
              <w:rPr>
                <w:rFonts w:hint="eastAsia" w:ascii="宋体" w:hAnsi="宋体" w:cs="宋体"/>
                <w:color w:val="000000" w:themeColor="text1"/>
                <w:sz w:val="24"/>
                <w:szCs w:val="24"/>
                <w:highlight w:val="none"/>
                <w14:textFill>
                  <w14:solidFill>
                    <w14:schemeClr w14:val="tx1"/>
                  </w14:solidFill>
                </w14:textFill>
              </w:rPr>
              <w:t>报价</w:t>
            </w:r>
            <w:r>
              <w:rPr>
                <w:rFonts w:hint="eastAsia" w:ascii="宋体" w:hAnsi="宋体" w:cs="宋体"/>
                <w:bCs/>
                <w:color w:val="000000" w:themeColor="text1"/>
                <w:sz w:val="24"/>
                <w:szCs w:val="24"/>
                <w:highlight w:val="none"/>
                <w14:textFill>
                  <w14:solidFill>
                    <w14:schemeClr w14:val="tx1"/>
                  </w14:solidFill>
                </w14:textFill>
              </w:rPr>
              <w:t>的所有报价表都必须要加盖公章并签字，无盖章和签字的</w:t>
            </w:r>
            <w:r>
              <w:rPr>
                <w:rFonts w:hint="eastAsia" w:ascii="宋体" w:hAnsi="宋体" w:cs="宋体"/>
                <w:color w:val="000000" w:themeColor="text1"/>
                <w:sz w:val="24"/>
                <w:szCs w:val="24"/>
                <w:highlight w:val="none"/>
                <w14:textFill>
                  <w14:solidFill>
                    <w14:schemeClr w14:val="tx1"/>
                  </w14:solidFill>
                </w14:textFill>
              </w:rPr>
              <w:t>报价</w:t>
            </w:r>
            <w:r>
              <w:rPr>
                <w:rFonts w:hint="eastAsia" w:ascii="宋体" w:hAnsi="宋体" w:cs="宋体"/>
                <w:bCs/>
                <w:color w:val="000000" w:themeColor="text1"/>
                <w:sz w:val="24"/>
                <w:szCs w:val="24"/>
                <w:highlight w:val="none"/>
                <w14:textFill>
                  <w14:solidFill>
                    <w14:schemeClr w14:val="tx1"/>
                  </w14:solidFill>
                </w14:textFill>
              </w:rPr>
              <w:t>无效。</w:t>
            </w:r>
          </w:p>
        </w:tc>
      </w:tr>
    </w:tbl>
    <w:p w14:paraId="5EF82456">
      <w:pPr>
        <w:pStyle w:val="63"/>
        <w:ind w:left="420" w:firstLine="480"/>
        <w:rPr>
          <w:color w:val="000000" w:themeColor="text1"/>
          <w:highlight w:val="none"/>
          <w14:textFill>
            <w14:solidFill>
              <w14:schemeClr w14:val="tx1"/>
            </w14:solidFill>
          </w14:textFill>
        </w:rPr>
      </w:pPr>
    </w:p>
    <w:p w14:paraId="7096DD84">
      <w:pPr>
        <w:rPr>
          <w:color w:val="000000" w:themeColor="text1"/>
          <w:highlight w:val="none"/>
          <w14:textFill>
            <w14:solidFill>
              <w14:schemeClr w14:val="tx1"/>
            </w14:solidFill>
          </w14:textFill>
        </w:rPr>
      </w:pPr>
    </w:p>
    <w:p w14:paraId="66BD0ED5">
      <w:pPr>
        <w:rPr>
          <w:color w:val="000000" w:themeColor="text1"/>
          <w:highlight w:val="none"/>
          <w14:textFill>
            <w14:solidFill>
              <w14:schemeClr w14:val="tx1"/>
            </w14:solidFill>
          </w14:textFill>
        </w:rPr>
      </w:pPr>
    </w:p>
    <w:p w14:paraId="7DEEE135">
      <w:pPr>
        <w:pStyle w:val="23"/>
        <w:rPr>
          <w:color w:val="000000" w:themeColor="text1"/>
          <w:sz w:val="21"/>
          <w:highlight w:val="none"/>
          <w14:textFill>
            <w14:solidFill>
              <w14:schemeClr w14:val="tx1"/>
            </w14:solidFill>
          </w14:textFill>
        </w:rPr>
      </w:pPr>
    </w:p>
    <w:p w14:paraId="5042BAAB">
      <w:pPr>
        <w:pStyle w:val="23"/>
        <w:spacing w:line="600" w:lineRule="exact"/>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供应商（盖单位公章）：</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w:t>
      </w:r>
    </w:p>
    <w:p w14:paraId="2B001B3F">
      <w:pPr>
        <w:pStyle w:val="23"/>
        <w:spacing w:line="500" w:lineRule="exact"/>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法定代表人或其委托代理人（签字或盖章）：</w:t>
      </w:r>
      <w:r>
        <w:rPr>
          <w:color w:val="000000" w:themeColor="text1"/>
          <w:sz w:val="24"/>
          <w:highlight w:val="none"/>
          <w:u w:val="single"/>
          <w14:textFill>
            <w14:solidFill>
              <w14:schemeClr w14:val="tx1"/>
            </w14:solidFill>
          </w14:textFill>
        </w:rPr>
        <w:t xml:space="preserve">                  </w:t>
      </w:r>
    </w:p>
    <w:p w14:paraId="3E2213A8">
      <w:pPr>
        <w:pStyle w:val="23"/>
        <w:spacing w:line="500" w:lineRule="exac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日期：</w:t>
      </w:r>
      <w:r>
        <w:rPr>
          <w:rFonts w:hint="eastAsia"/>
          <w:bCs/>
          <w:color w:val="000000" w:themeColor="text1"/>
          <w:sz w:val="24"/>
          <w:highlight w:val="none"/>
          <w:u w:val="single"/>
          <w14:textFill>
            <w14:solidFill>
              <w14:schemeClr w14:val="tx1"/>
            </w14:solidFill>
          </w14:textFill>
        </w:rPr>
        <w:t xml:space="preserve">    </w:t>
      </w:r>
      <w:r>
        <w:rPr>
          <w:rFonts w:hint="eastAsia"/>
          <w:bCs/>
          <w:color w:val="000000" w:themeColor="text1"/>
          <w:sz w:val="24"/>
          <w:highlight w:val="none"/>
          <w14:textFill>
            <w14:solidFill>
              <w14:schemeClr w14:val="tx1"/>
            </w14:solidFill>
          </w14:textFill>
        </w:rPr>
        <w:t>年</w:t>
      </w:r>
      <w:r>
        <w:rPr>
          <w:rFonts w:hint="eastAsia"/>
          <w:bCs/>
          <w:color w:val="000000" w:themeColor="text1"/>
          <w:sz w:val="24"/>
          <w:highlight w:val="none"/>
          <w:u w:val="single"/>
          <w14:textFill>
            <w14:solidFill>
              <w14:schemeClr w14:val="tx1"/>
            </w14:solidFill>
          </w14:textFill>
        </w:rPr>
        <w:t xml:space="preserve">    </w:t>
      </w:r>
      <w:r>
        <w:rPr>
          <w:rFonts w:hint="eastAsia"/>
          <w:bCs/>
          <w:color w:val="000000" w:themeColor="text1"/>
          <w:sz w:val="24"/>
          <w:highlight w:val="none"/>
          <w14:textFill>
            <w14:solidFill>
              <w14:schemeClr w14:val="tx1"/>
            </w14:solidFill>
          </w14:textFill>
        </w:rPr>
        <w:t>月</w:t>
      </w:r>
      <w:r>
        <w:rPr>
          <w:rFonts w:hint="eastAsia"/>
          <w:bCs/>
          <w:color w:val="000000" w:themeColor="text1"/>
          <w:sz w:val="24"/>
          <w:highlight w:val="none"/>
          <w:u w:val="single"/>
          <w14:textFill>
            <w14:solidFill>
              <w14:schemeClr w14:val="tx1"/>
            </w14:solidFill>
          </w14:textFill>
        </w:rPr>
        <w:t xml:space="preserve">    </w:t>
      </w:r>
      <w:r>
        <w:rPr>
          <w:rFonts w:hint="eastAsia"/>
          <w:bCs/>
          <w:color w:val="000000" w:themeColor="text1"/>
          <w:sz w:val="24"/>
          <w:highlight w:val="none"/>
          <w14:textFill>
            <w14:solidFill>
              <w14:schemeClr w14:val="tx1"/>
            </w14:solidFill>
          </w14:textFill>
        </w:rPr>
        <w:t>日</w:t>
      </w:r>
    </w:p>
    <w:p w14:paraId="3C58F0B8">
      <w:pPr>
        <w:rPr>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color w:val="000000" w:themeColor="text1"/>
          <w:sz w:val="32"/>
          <w:szCs w:val="32"/>
          <w:highlight w:val="none"/>
          <w14:textFill>
            <w14:solidFill>
              <w14:schemeClr w14:val="tx1"/>
            </w14:solidFill>
          </w14:textFill>
        </w:rPr>
        <w:t>三</w:t>
      </w:r>
      <w:r>
        <w:rPr>
          <w:color w:val="000000" w:themeColor="text1"/>
          <w:sz w:val="32"/>
          <w:szCs w:val="32"/>
          <w:highlight w:val="none"/>
          <w14:textFill>
            <w14:solidFill>
              <w14:schemeClr w14:val="tx1"/>
            </w14:solidFill>
          </w14:textFill>
        </w:rPr>
        <w:t>、</w:t>
      </w:r>
      <w:r>
        <w:rPr>
          <w:rFonts w:hint="eastAsia"/>
          <w:color w:val="000000" w:themeColor="text1"/>
          <w:sz w:val="32"/>
          <w:szCs w:val="32"/>
          <w:highlight w:val="none"/>
          <w14:textFill>
            <w14:solidFill>
              <w14:schemeClr w14:val="tx1"/>
            </w14:solidFill>
          </w14:textFill>
        </w:rPr>
        <w:t>中小企业声明函（格式）</w:t>
      </w:r>
    </w:p>
    <w:p w14:paraId="3B1790C5">
      <w:pPr>
        <w:rPr>
          <w:color w:val="000000" w:themeColor="text1"/>
          <w:highlight w:val="none"/>
          <w14:textFill>
            <w14:solidFill>
              <w14:schemeClr w14:val="tx1"/>
            </w14:solidFill>
          </w14:textFill>
        </w:rPr>
      </w:pPr>
    </w:p>
    <w:p w14:paraId="1219ABD0">
      <w:pPr>
        <w:widowControl/>
        <w:shd w:val="clear" w:color="auto" w:fill="FFFFFF"/>
        <w:spacing w:before="100" w:beforeAutospacing="1" w:after="100" w:afterAutospacing="1" w:line="482" w:lineRule="atLeast"/>
        <w:jc w:val="center"/>
        <w:rPr>
          <w:rFonts w:ascii="宋体"/>
          <w:color w:val="000000" w:themeColor="text1"/>
          <w:kern w:val="0"/>
          <w:sz w:val="32"/>
          <w:szCs w:val="32"/>
          <w:highlight w:val="none"/>
          <w14:textFill>
            <w14:solidFill>
              <w14:schemeClr w14:val="tx1"/>
            </w14:solidFill>
          </w14:textFill>
        </w:rPr>
      </w:pPr>
      <w:r>
        <w:rPr>
          <w:rFonts w:hint="eastAsia" w:ascii="宋体"/>
          <w:b/>
          <w:bCs/>
          <w:color w:val="000000" w:themeColor="text1"/>
          <w:kern w:val="0"/>
          <w:sz w:val="32"/>
          <w:szCs w:val="32"/>
          <w:highlight w:val="none"/>
          <w14:textFill>
            <w14:solidFill>
              <w14:schemeClr w14:val="tx1"/>
            </w14:solidFill>
          </w14:textFill>
        </w:rPr>
        <w:t>中小企业声明函（服务）</w:t>
      </w:r>
    </w:p>
    <w:p w14:paraId="7DE100A8">
      <w:pPr>
        <w:widowControl/>
        <w:shd w:val="clear" w:color="auto" w:fill="FFFFFF"/>
        <w:spacing w:line="360" w:lineRule="auto"/>
        <w:ind w:firstLine="480" w:firstLineChars="200"/>
        <w:jc w:val="left"/>
        <w:rPr>
          <w:rFonts w:ascii="仿宋" w:eastAsia="仿宋"/>
          <w:color w:val="000000" w:themeColor="text1"/>
          <w:kern w:val="0"/>
          <w:sz w:val="24"/>
          <w:szCs w:val="24"/>
          <w:highlight w:val="none"/>
          <w14:textFill>
            <w14:solidFill>
              <w14:schemeClr w14:val="tx1"/>
            </w14:solidFill>
          </w14:textFill>
        </w:rPr>
      </w:pPr>
      <w:r>
        <w:rPr>
          <w:rFonts w:hint="eastAsia" w:ascii="仿宋" w:eastAsia="仿宋"/>
          <w:color w:val="000000" w:themeColor="text1"/>
          <w:kern w:val="0"/>
          <w:sz w:val="24"/>
          <w:szCs w:val="24"/>
          <w:highlight w:val="none"/>
          <w14:textFill>
            <w14:solidFill>
              <w14:schemeClr w14:val="tx1"/>
            </w14:solidFill>
          </w14:textFill>
        </w:rPr>
        <w:t xml:space="preserve">本公司（联合体）郑重声明，根据《政府采购促进中小企业发展管理办法》（财库﹝2020﹞46 号）的规定，本公司（联合体）参加 </w:t>
      </w:r>
      <w:r>
        <w:rPr>
          <w:rFonts w:hint="eastAsia" w:ascii="仿宋" w:eastAsia="仿宋"/>
          <w:color w:val="000000" w:themeColor="text1"/>
          <w:kern w:val="0"/>
          <w:sz w:val="24"/>
          <w:szCs w:val="24"/>
          <w:highlight w:val="none"/>
          <w:u w:val="single"/>
          <w14:textFill>
            <w14:solidFill>
              <w14:schemeClr w14:val="tx1"/>
            </w14:solidFill>
          </w14:textFill>
        </w:rPr>
        <w:t>（单位名称）</w:t>
      </w:r>
      <w:r>
        <w:rPr>
          <w:rFonts w:hint="eastAsia" w:ascii="仿宋" w:eastAsia="仿宋"/>
          <w:color w:val="000000" w:themeColor="text1"/>
          <w:kern w:val="0"/>
          <w:sz w:val="24"/>
          <w:szCs w:val="24"/>
          <w:highlight w:val="none"/>
          <w14:textFill>
            <w14:solidFill>
              <w14:schemeClr w14:val="tx1"/>
            </w14:solidFill>
          </w14:textFill>
        </w:rPr>
        <w:t xml:space="preserve"> 的</w:t>
      </w:r>
      <w:r>
        <w:rPr>
          <w:rFonts w:hint="eastAsia" w:ascii="仿宋" w:eastAsia="仿宋"/>
          <w:color w:val="000000" w:themeColor="text1"/>
          <w:kern w:val="0"/>
          <w:sz w:val="24"/>
          <w:szCs w:val="24"/>
          <w:highlight w:val="none"/>
          <w:u w:val="single"/>
          <w14:textFill>
            <w14:solidFill>
              <w14:schemeClr w14:val="tx1"/>
            </w14:solidFill>
          </w14:textFill>
        </w:rPr>
        <w:t xml:space="preserve"> （项目名称） </w:t>
      </w:r>
      <w:r>
        <w:rPr>
          <w:rFonts w:hint="eastAsia" w:ascii="仿宋" w:eastAsia="仿宋"/>
          <w:color w:val="000000" w:themeColor="text1"/>
          <w:kern w:val="0"/>
          <w:sz w:val="24"/>
          <w:szCs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3BE332C7">
      <w:pPr>
        <w:widowControl/>
        <w:shd w:val="clear" w:color="auto" w:fill="FFFFFF"/>
        <w:spacing w:line="360" w:lineRule="auto"/>
        <w:ind w:firstLine="480" w:firstLineChars="200"/>
        <w:jc w:val="left"/>
        <w:rPr>
          <w:rFonts w:ascii="仿宋" w:eastAsia="仿宋"/>
          <w:color w:val="000000" w:themeColor="text1"/>
          <w:kern w:val="0"/>
          <w:sz w:val="24"/>
          <w:szCs w:val="24"/>
          <w:highlight w:val="none"/>
          <w14:textFill>
            <w14:solidFill>
              <w14:schemeClr w14:val="tx1"/>
            </w14:solidFill>
          </w14:textFill>
        </w:rPr>
      </w:pPr>
      <w:r>
        <w:rPr>
          <w:rFonts w:hint="eastAsia" w:ascii="仿宋" w:eastAsia="仿宋"/>
          <w:color w:val="000000" w:themeColor="text1"/>
          <w:kern w:val="0"/>
          <w:sz w:val="24"/>
          <w:szCs w:val="24"/>
          <w:highlight w:val="none"/>
          <w14:textFill>
            <w14:solidFill>
              <w14:schemeClr w14:val="tx1"/>
            </w14:solidFill>
          </w14:textFill>
        </w:rPr>
        <w:t>1.</w:t>
      </w:r>
      <w:r>
        <w:rPr>
          <w:rFonts w:hint="eastAsia" w:ascii="仿宋" w:eastAsia="仿宋"/>
          <w:color w:val="000000" w:themeColor="text1"/>
          <w:kern w:val="0"/>
          <w:sz w:val="24"/>
          <w:szCs w:val="24"/>
          <w:highlight w:val="none"/>
          <w:u w:val="single"/>
          <w14:textFill>
            <w14:solidFill>
              <w14:schemeClr w14:val="tx1"/>
            </w14:solidFill>
          </w14:textFill>
        </w:rPr>
        <w:t>（标的名称）</w:t>
      </w:r>
      <w:r>
        <w:rPr>
          <w:rFonts w:hint="eastAsia" w:ascii="仿宋" w:eastAsia="仿宋"/>
          <w:color w:val="000000" w:themeColor="text1"/>
          <w:kern w:val="0"/>
          <w:sz w:val="24"/>
          <w:szCs w:val="24"/>
          <w:highlight w:val="none"/>
          <w14:textFill>
            <w14:solidFill>
              <w14:schemeClr w14:val="tx1"/>
            </w14:solidFill>
          </w14:textFill>
        </w:rPr>
        <w:t>，属于</w:t>
      </w:r>
      <w:r>
        <w:rPr>
          <w:rFonts w:hint="eastAsia" w:ascii="仿宋" w:eastAsia="仿宋"/>
          <w:color w:val="000000" w:themeColor="text1"/>
          <w:kern w:val="0"/>
          <w:sz w:val="24"/>
          <w:szCs w:val="24"/>
          <w:highlight w:val="none"/>
          <w:u w:val="single"/>
          <w14:textFill>
            <w14:solidFill>
              <w14:schemeClr w14:val="tx1"/>
            </w14:solidFill>
          </w14:textFill>
        </w:rPr>
        <w:t xml:space="preserve">（采购文件中明确的所属行业） </w:t>
      </w:r>
      <w:r>
        <w:rPr>
          <w:rFonts w:hint="eastAsia" w:ascii="仿宋" w:eastAsia="仿宋"/>
          <w:color w:val="000000" w:themeColor="text1"/>
          <w:kern w:val="0"/>
          <w:sz w:val="24"/>
          <w:szCs w:val="24"/>
          <w:highlight w:val="none"/>
          <w14:textFill>
            <w14:solidFill>
              <w14:schemeClr w14:val="tx1"/>
            </w14:solidFill>
          </w14:textFill>
        </w:rPr>
        <w:t xml:space="preserve">；承建（承接）企业为 </w:t>
      </w:r>
      <w:r>
        <w:rPr>
          <w:rFonts w:hint="eastAsia" w:ascii="仿宋" w:eastAsia="仿宋"/>
          <w:color w:val="000000" w:themeColor="text1"/>
          <w:kern w:val="0"/>
          <w:sz w:val="24"/>
          <w:szCs w:val="24"/>
          <w:highlight w:val="none"/>
          <w:u w:val="single"/>
          <w14:textFill>
            <w14:solidFill>
              <w14:schemeClr w14:val="tx1"/>
            </w14:solidFill>
          </w14:textFill>
        </w:rPr>
        <w:t xml:space="preserve">（企业名称） </w:t>
      </w:r>
      <w:r>
        <w:rPr>
          <w:rFonts w:hint="eastAsia" w:ascii="仿宋" w:eastAsia="仿宋"/>
          <w:color w:val="000000" w:themeColor="text1"/>
          <w:kern w:val="0"/>
          <w:sz w:val="24"/>
          <w:szCs w:val="24"/>
          <w:highlight w:val="none"/>
          <w14:textFill>
            <w14:solidFill>
              <w14:schemeClr w14:val="tx1"/>
            </w14:solidFill>
          </w14:textFill>
        </w:rPr>
        <w:t>，从业人员</w:t>
      </w:r>
      <w:r>
        <w:rPr>
          <w:rFonts w:hint="eastAsia" w:ascii="仿宋" w:eastAsia="仿宋"/>
          <w:color w:val="000000" w:themeColor="text1"/>
          <w:kern w:val="0"/>
          <w:sz w:val="24"/>
          <w:szCs w:val="24"/>
          <w:highlight w:val="none"/>
          <w:u w:val="single"/>
          <w14:textFill>
            <w14:solidFill>
              <w14:schemeClr w14:val="tx1"/>
            </w14:solidFill>
          </w14:textFill>
        </w:rPr>
        <w:t xml:space="preserve">       </w:t>
      </w:r>
      <w:r>
        <w:rPr>
          <w:rFonts w:hint="eastAsia" w:ascii="仿宋" w:eastAsia="仿宋"/>
          <w:color w:val="000000" w:themeColor="text1"/>
          <w:kern w:val="0"/>
          <w:sz w:val="24"/>
          <w:szCs w:val="24"/>
          <w:highlight w:val="none"/>
          <w14:textFill>
            <w14:solidFill>
              <w14:schemeClr w14:val="tx1"/>
            </w14:solidFill>
          </w14:textFill>
        </w:rPr>
        <w:t>人，营业收入为</w:t>
      </w:r>
      <w:r>
        <w:rPr>
          <w:rFonts w:hint="eastAsia" w:ascii="仿宋" w:eastAsia="仿宋"/>
          <w:color w:val="000000" w:themeColor="text1"/>
          <w:kern w:val="0"/>
          <w:sz w:val="24"/>
          <w:szCs w:val="24"/>
          <w:highlight w:val="none"/>
          <w:u w:val="single"/>
          <w14:textFill>
            <w14:solidFill>
              <w14:schemeClr w14:val="tx1"/>
            </w14:solidFill>
          </w14:textFill>
        </w:rPr>
        <w:t xml:space="preserve">        </w:t>
      </w:r>
      <w:r>
        <w:rPr>
          <w:rFonts w:hint="eastAsia" w:ascii="仿宋" w:eastAsia="仿宋"/>
          <w:color w:val="000000" w:themeColor="text1"/>
          <w:kern w:val="0"/>
          <w:sz w:val="24"/>
          <w:szCs w:val="24"/>
          <w:highlight w:val="none"/>
          <w14:textFill>
            <w14:solidFill>
              <w14:schemeClr w14:val="tx1"/>
            </w14:solidFill>
          </w14:textFill>
        </w:rPr>
        <w:t>万元，资产总额为</w:t>
      </w:r>
      <w:r>
        <w:rPr>
          <w:rFonts w:hint="eastAsia" w:ascii="仿宋" w:eastAsia="仿宋"/>
          <w:color w:val="000000" w:themeColor="text1"/>
          <w:kern w:val="0"/>
          <w:sz w:val="24"/>
          <w:szCs w:val="24"/>
          <w:highlight w:val="none"/>
          <w:u w:val="single"/>
          <w14:textFill>
            <w14:solidFill>
              <w14:schemeClr w14:val="tx1"/>
            </w14:solidFill>
          </w14:textFill>
        </w:rPr>
        <w:t xml:space="preserve">        </w:t>
      </w:r>
      <w:r>
        <w:rPr>
          <w:rFonts w:hint="eastAsia" w:ascii="仿宋" w:eastAsia="仿宋"/>
          <w:color w:val="000000" w:themeColor="text1"/>
          <w:kern w:val="0"/>
          <w:sz w:val="24"/>
          <w:szCs w:val="24"/>
          <w:highlight w:val="none"/>
          <w14:textFill>
            <w14:solidFill>
              <w14:schemeClr w14:val="tx1"/>
            </w14:solidFill>
          </w14:textFill>
        </w:rPr>
        <w:t>万元，属于</w:t>
      </w:r>
      <w:r>
        <w:rPr>
          <w:rFonts w:hint="eastAsia" w:ascii="仿宋" w:eastAsia="仿宋"/>
          <w:color w:val="000000" w:themeColor="text1"/>
          <w:kern w:val="0"/>
          <w:sz w:val="24"/>
          <w:szCs w:val="24"/>
          <w:highlight w:val="none"/>
          <w:u w:val="single"/>
          <w14:textFill>
            <w14:solidFill>
              <w14:schemeClr w14:val="tx1"/>
            </w14:solidFill>
          </w14:textFill>
        </w:rPr>
        <w:t>（中型企业、小型企业、微型企业）</w:t>
      </w:r>
      <w:r>
        <w:rPr>
          <w:rFonts w:hint="eastAsia" w:ascii="仿宋" w:eastAsia="仿宋"/>
          <w:color w:val="000000" w:themeColor="text1"/>
          <w:kern w:val="0"/>
          <w:sz w:val="24"/>
          <w:szCs w:val="24"/>
          <w:highlight w:val="none"/>
          <w14:textFill>
            <w14:solidFill>
              <w14:schemeClr w14:val="tx1"/>
            </w14:solidFill>
          </w14:textFill>
        </w:rPr>
        <w:t xml:space="preserve"> ；</w:t>
      </w:r>
    </w:p>
    <w:p w14:paraId="161FDEFA">
      <w:pPr>
        <w:widowControl/>
        <w:shd w:val="clear" w:color="auto" w:fill="FFFFFF"/>
        <w:spacing w:line="360" w:lineRule="auto"/>
        <w:ind w:firstLine="480" w:firstLineChars="200"/>
        <w:jc w:val="left"/>
        <w:rPr>
          <w:rFonts w:ascii="仿宋" w:eastAsia="仿宋"/>
          <w:color w:val="000000" w:themeColor="text1"/>
          <w:kern w:val="0"/>
          <w:sz w:val="24"/>
          <w:szCs w:val="24"/>
          <w:highlight w:val="none"/>
          <w14:textFill>
            <w14:solidFill>
              <w14:schemeClr w14:val="tx1"/>
            </w14:solidFill>
          </w14:textFill>
        </w:rPr>
      </w:pPr>
      <w:r>
        <w:rPr>
          <w:rFonts w:hint="eastAsia" w:ascii="仿宋" w:eastAsia="仿宋"/>
          <w:color w:val="000000" w:themeColor="text1"/>
          <w:kern w:val="0"/>
          <w:sz w:val="24"/>
          <w:szCs w:val="24"/>
          <w:highlight w:val="none"/>
          <w14:textFill>
            <w14:solidFill>
              <w14:schemeClr w14:val="tx1"/>
            </w14:solidFill>
          </w14:textFill>
        </w:rPr>
        <w:t>2.</w:t>
      </w:r>
      <w:r>
        <w:rPr>
          <w:rFonts w:hint="eastAsia" w:ascii="仿宋" w:eastAsia="仿宋"/>
          <w:color w:val="000000" w:themeColor="text1"/>
          <w:kern w:val="0"/>
          <w:sz w:val="24"/>
          <w:szCs w:val="24"/>
          <w:highlight w:val="none"/>
          <w:u w:val="single"/>
          <w14:textFill>
            <w14:solidFill>
              <w14:schemeClr w14:val="tx1"/>
            </w14:solidFill>
          </w14:textFill>
        </w:rPr>
        <w:t>（标的名称）</w:t>
      </w:r>
      <w:r>
        <w:rPr>
          <w:rFonts w:hint="eastAsia" w:ascii="仿宋" w:eastAsia="仿宋"/>
          <w:color w:val="000000" w:themeColor="text1"/>
          <w:kern w:val="0"/>
          <w:sz w:val="24"/>
          <w:szCs w:val="24"/>
          <w:highlight w:val="none"/>
          <w14:textFill>
            <w14:solidFill>
              <w14:schemeClr w14:val="tx1"/>
            </w14:solidFill>
          </w14:textFill>
        </w:rPr>
        <w:t>，属于</w:t>
      </w:r>
      <w:r>
        <w:rPr>
          <w:rFonts w:hint="eastAsia" w:ascii="仿宋" w:eastAsia="仿宋"/>
          <w:color w:val="000000" w:themeColor="text1"/>
          <w:kern w:val="0"/>
          <w:sz w:val="24"/>
          <w:szCs w:val="24"/>
          <w:highlight w:val="none"/>
          <w:u w:val="single"/>
          <w14:textFill>
            <w14:solidFill>
              <w14:schemeClr w14:val="tx1"/>
            </w14:solidFill>
          </w14:textFill>
        </w:rPr>
        <w:t xml:space="preserve">（采购文件中明确的所属行业） </w:t>
      </w:r>
      <w:r>
        <w:rPr>
          <w:rFonts w:hint="eastAsia" w:ascii="仿宋" w:eastAsia="仿宋"/>
          <w:color w:val="000000" w:themeColor="text1"/>
          <w:kern w:val="0"/>
          <w:sz w:val="24"/>
          <w:szCs w:val="24"/>
          <w:highlight w:val="none"/>
          <w14:textFill>
            <w14:solidFill>
              <w14:schemeClr w14:val="tx1"/>
            </w14:solidFill>
          </w14:textFill>
        </w:rPr>
        <w:t xml:space="preserve">；承建（承接）企业为 </w:t>
      </w:r>
      <w:r>
        <w:rPr>
          <w:rFonts w:hint="eastAsia" w:ascii="仿宋" w:eastAsia="仿宋"/>
          <w:color w:val="000000" w:themeColor="text1"/>
          <w:kern w:val="0"/>
          <w:sz w:val="24"/>
          <w:szCs w:val="24"/>
          <w:highlight w:val="none"/>
          <w:u w:val="single"/>
          <w14:textFill>
            <w14:solidFill>
              <w14:schemeClr w14:val="tx1"/>
            </w14:solidFill>
          </w14:textFill>
        </w:rPr>
        <w:t>（企业名称）</w:t>
      </w:r>
      <w:r>
        <w:rPr>
          <w:rFonts w:hint="eastAsia" w:ascii="仿宋" w:eastAsia="仿宋"/>
          <w:color w:val="000000" w:themeColor="text1"/>
          <w:kern w:val="0"/>
          <w:sz w:val="24"/>
          <w:szCs w:val="24"/>
          <w:highlight w:val="none"/>
          <w14:textFill>
            <w14:solidFill>
              <w14:schemeClr w14:val="tx1"/>
            </w14:solidFill>
          </w14:textFill>
        </w:rPr>
        <w:t xml:space="preserve"> ，从业人员</w:t>
      </w:r>
      <w:r>
        <w:rPr>
          <w:rFonts w:hint="eastAsia" w:ascii="仿宋" w:eastAsia="仿宋"/>
          <w:color w:val="000000" w:themeColor="text1"/>
          <w:kern w:val="0"/>
          <w:sz w:val="24"/>
          <w:szCs w:val="24"/>
          <w:highlight w:val="none"/>
          <w:u w:val="single"/>
          <w14:textFill>
            <w14:solidFill>
              <w14:schemeClr w14:val="tx1"/>
            </w14:solidFill>
          </w14:textFill>
        </w:rPr>
        <w:t xml:space="preserve">     </w:t>
      </w:r>
      <w:r>
        <w:rPr>
          <w:rFonts w:hint="eastAsia" w:ascii="仿宋" w:eastAsia="仿宋"/>
          <w:color w:val="000000" w:themeColor="text1"/>
          <w:kern w:val="0"/>
          <w:sz w:val="24"/>
          <w:szCs w:val="24"/>
          <w:highlight w:val="none"/>
          <w14:textFill>
            <w14:solidFill>
              <w14:schemeClr w14:val="tx1"/>
            </w14:solidFill>
          </w14:textFill>
        </w:rPr>
        <w:t>人，营业收入为</w:t>
      </w:r>
      <w:r>
        <w:rPr>
          <w:rFonts w:hint="eastAsia" w:ascii="仿宋" w:eastAsia="仿宋"/>
          <w:color w:val="000000" w:themeColor="text1"/>
          <w:kern w:val="0"/>
          <w:sz w:val="24"/>
          <w:szCs w:val="24"/>
          <w:highlight w:val="none"/>
          <w:u w:val="single"/>
          <w14:textFill>
            <w14:solidFill>
              <w14:schemeClr w14:val="tx1"/>
            </w14:solidFill>
          </w14:textFill>
        </w:rPr>
        <w:t xml:space="preserve">     </w:t>
      </w:r>
      <w:r>
        <w:rPr>
          <w:rFonts w:hint="eastAsia" w:ascii="仿宋" w:eastAsia="仿宋"/>
          <w:color w:val="000000" w:themeColor="text1"/>
          <w:kern w:val="0"/>
          <w:sz w:val="24"/>
          <w:szCs w:val="24"/>
          <w:highlight w:val="none"/>
          <w14:textFill>
            <w14:solidFill>
              <w14:schemeClr w14:val="tx1"/>
            </w14:solidFill>
          </w14:textFill>
        </w:rPr>
        <w:t>万元，资产总额为</w:t>
      </w:r>
      <w:r>
        <w:rPr>
          <w:rFonts w:hint="eastAsia" w:ascii="仿宋" w:eastAsia="仿宋"/>
          <w:color w:val="000000" w:themeColor="text1"/>
          <w:kern w:val="0"/>
          <w:sz w:val="24"/>
          <w:szCs w:val="24"/>
          <w:highlight w:val="none"/>
          <w:u w:val="single"/>
          <w14:textFill>
            <w14:solidFill>
              <w14:schemeClr w14:val="tx1"/>
            </w14:solidFill>
          </w14:textFill>
        </w:rPr>
        <w:t xml:space="preserve">     </w:t>
      </w:r>
      <w:r>
        <w:rPr>
          <w:rFonts w:hint="eastAsia" w:ascii="仿宋" w:eastAsia="仿宋"/>
          <w:color w:val="000000" w:themeColor="text1"/>
          <w:kern w:val="0"/>
          <w:sz w:val="24"/>
          <w:szCs w:val="24"/>
          <w:highlight w:val="none"/>
          <w14:textFill>
            <w14:solidFill>
              <w14:schemeClr w14:val="tx1"/>
            </w14:solidFill>
          </w14:textFill>
        </w:rPr>
        <w:t>万元，属于</w:t>
      </w:r>
      <w:r>
        <w:rPr>
          <w:rFonts w:hint="eastAsia" w:ascii="仿宋" w:eastAsia="仿宋"/>
          <w:color w:val="000000" w:themeColor="text1"/>
          <w:kern w:val="0"/>
          <w:sz w:val="24"/>
          <w:szCs w:val="24"/>
          <w:highlight w:val="none"/>
          <w:u w:val="single"/>
          <w14:textFill>
            <w14:solidFill>
              <w14:schemeClr w14:val="tx1"/>
            </w14:solidFill>
          </w14:textFill>
        </w:rPr>
        <w:t>（中型企业、小型企业、微型企业）；</w:t>
      </w:r>
    </w:p>
    <w:p w14:paraId="5FB9D8C3">
      <w:pPr>
        <w:widowControl/>
        <w:shd w:val="clear" w:color="auto" w:fill="FFFFFF"/>
        <w:spacing w:line="360" w:lineRule="auto"/>
        <w:ind w:firstLine="480" w:firstLineChars="200"/>
        <w:jc w:val="left"/>
        <w:rPr>
          <w:rFonts w:ascii="仿宋" w:eastAsia="仿宋"/>
          <w:color w:val="000000" w:themeColor="text1"/>
          <w:kern w:val="0"/>
          <w:sz w:val="24"/>
          <w:szCs w:val="24"/>
          <w:highlight w:val="none"/>
          <w14:textFill>
            <w14:solidFill>
              <w14:schemeClr w14:val="tx1"/>
            </w14:solidFill>
          </w14:textFill>
        </w:rPr>
      </w:pPr>
      <w:r>
        <w:rPr>
          <w:rFonts w:hint="eastAsia" w:ascii="仿宋" w:eastAsia="仿宋"/>
          <w:color w:val="000000" w:themeColor="text1"/>
          <w:kern w:val="0"/>
          <w:sz w:val="24"/>
          <w:szCs w:val="24"/>
          <w:highlight w:val="none"/>
          <w14:textFill>
            <w14:solidFill>
              <w14:schemeClr w14:val="tx1"/>
            </w14:solidFill>
          </w14:textFill>
        </w:rPr>
        <w:t>……</w:t>
      </w:r>
    </w:p>
    <w:p w14:paraId="77BD96AA">
      <w:pPr>
        <w:widowControl/>
        <w:shd w:val="clear" w:color="auto" w:fill="FFFFFF"/>
        <w:spacing w:line="360" w:lineRule="auto"/>
        <w:ind w:firstLine="480" w:firstLineChars="200"/>
        <w:jc w:val="left"/>
        <w:rPr>
          <w:rFonts w:ascii="仿宋" w:eastAsia="仿宋"/>
          <w:color w:val="000000" w:themeColor="text1"/>
          <w:kern w:val="0"/>
          <w:sz w:val="24"/>
          <w:szCs w:val="24"/>
          <w:highlight w:val="none"/>
          <w14:textFill>
            <w14:solidFill>
              <w14:schemeClr w14:val="tx1"/>
            </w14:solidFill>
          </w14:textFill>
        </w:rPr>
      </w:pPr>
      <w:r>
        <w:rPr>
          <w:rFonts w:hint="eastAsia" w:ascii="仿宋" w:eastAsia="仿宋"/>
          <w:color w:val="000000" w:themeColor="text1"/>
          <w:kern w:val="0"/>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3F49F231">
      <w:pPr>
        <w:widowControl/>
        <w:shd w:val="clear" w:color="auto" w:fill="FFFFFF"/>
        <w:spacing w:line="360" w:lineRule="auto"/>
        <w:ind w:firstLine="480" w:firstLineChars="200"/>
        <w:jc w:val="left"/>
        <w:rPr>
          <w:rFonts w:ascii="仿宋" w:eastAsia="仿宋"/>
          <w:color w:val="000000" w:themeColor="text1"/>
          <w:kern w:val="0"/>
          <w:sz w:val="24"/>
          <w:szCs w:val="24"/>
          <w:highlight w:val="none"/>
          <w14:textFill>
            <w14:solidFill>
              <w14:schemeClr w14:val="tx1"/>
            </w14:solidFill>
          </w14:textFill>
        </w:rPr>
      </w:pPr>
      <w:r>
        <w:rPr>
          <w:rFonts w:hint="eastAsia" w:ascii="仿宋" w:eastAsia="仿宋"/>
          <w:color w:val="000000" w:themeColor="text1"/>
          <w:kern w:val="0"/>
          <w:sz w:val="24"/>
          <w:szCs w:val="24"/>
          <w:highlight w:val="none"/>
          <w14:textFill>
            <w14:solidFill>
              <w14:schemeClr w14:val="tx1"/>
            </w14:solidFill>
          </w14:textFill>
        </w:rPr>
        <w:t>本企业对上述声明内容的真实性负责。如有虚假，将依法承担相应责任。</w:t>
      </w:r>
    </w:p>
    <w:p w14:paraId="12DD1426">
      <w:pPr>
        <w:widowControl/>
        <w:shd w:val="clear" w:color="auto" w:fill="FFFFFF"/>
        <w:spacing w:line="360" w:lineRule="auto"/>
        <w:ind w:firstLine="539"/>
        <w:jc w:val="left"/>
        <w:rPr>
          <w:rFonts w:ascii="仿宋" w:eastAsia="仿宋"/>
          <w:color w:val="000000" w:themeColor="text1"/>
          <w:kern w:val="0"/>
          <w:sz w:val="24"/>
          <w:szCs w:val="24"/>
          <w:highlight w:val="none"/>
          <w14:textFill>
            <w14:solidFill>
              <w14:schemeClr w14:val="tx1"/>
            </w14:solidFill>
          </w14:textFill>
        </w:rPr>
      </w:pPr>
    </w:p>
    <w:p w14:paraId="465AC12F">
      <w:pPr>
        <w:widowControl/>
        <w:shd w:val="clear" w:color="auto" w:fill="FFFFFF"/>
        <w:spacing w:line="360" w:lineRule="auto"/>
        <w:ind w:firstLine="4140"/>
        <w:jc w:val="left"/>
        <w:rPr>
          <w:rFonts w:ascii="仿宋" w:eastAsia="仿宋"/>
          <w:color w:val="000000" w:themeColor="text1"/>
          <w:kern w:val="0"/>
          <w:sz w:val="24"/>
          <w:szCs w:val="24"/>
          <w:highlight w:val="none"/>
          <w14:textFill>
            <w14:solidFill>
              <w14:schemeClr w14:val="tx1"/>
            </w14:solidFill>
          </w14:textFill>
        </w:rPr>
      </w:pPr>
    </w:p>
    <w:p w14:paraId="22B1F793">
      <w:pPr>
        <w:widowControl/>
        <w:shd w:val="clear" w:color="auto" w:fill="FFFFFF"/>
        <w:spacing w:line="360" w:lineRule="auto"/>
        <w:ind w:firstLine="4140"/>
        <w:jc w:val="left"/>
        <w:rPr>
          <w:rFonts w:ascii="仿宋" w:eastAsia="仿宋"/>
          <w:color w:val="000000" w:themeColor="text1"/>
          <w:kern w:val="0"/>
          <w:sz w:val="24"/>
          <w:szCs w:val="24"/>
          <w:highlight w:val="none"/>
          <w14:textFill>
            <w14:solidFill>
              <w14:schemeClr w14:val="tx1"/>
            </w14:solidFill>
          </w14:textFill>
        </w:rPr>
      </w:pPr>
      <w:r>
        <w:rPr>
          <w:rFonts w:hint="eastAsia" w:ascii="仿宋" w:eastAsia="仿宋"/>
          <w:color w:val="000000" w:themeColor="text1"/>
          <w:kern w:val="0"/>
          <w:sz w:val="24"/>
          <w:szCs w:val="24"/>
          <w:highlight w:val="none"/>
          <w14:textFill>
            <w14:solidFill>
              <w14:schemeClr w14:val="tx1"/>
            </w14:solidFill>
          </w14:textFill>
        </w:rPr>
        <w:t>企业名称（盖章）：</w:t>
      </w:r>
    </w:p>
    <w:p w14:paraId="20739187">
      <w:pPr>
        <w:widowControl/>
        <w:shd w:val="clear" w:color="auto" w:fill="FFFFFF"/>
        <w:spacing w:line="360" w:lineRule="auto"/>
        <w:ind w:firstLine="4140"/>
        <w:jc w:val="left"/>
        <w:rPr>
          <w:rFonts w:ascii="仿宋" w:eastAsia="仿宋"/>
          <w:color w:val="000000" w:themeColor="text1"/>
          <w:kern w:val="0"/>
          <w:sz w:val="24"/>
          <w:szCs w:val="24"/>
          <w:highlight w:val="none"/>
          <w14:textFill>
            <w14:solidFill>
              <w14:schemeClr w14:val="tx1"/>
            </w14:solidFill>
          </w14:textFill>
        </w:rPr>
      </w:pPr>
      <w:r>
        <w:rPr>
          <w:rFonts w:hint="eastAsia" w:ascii="仿宋" w:eastAsia="仿宋"/>
          <w:color w:val="000000" w:themeColor="text1"/>
          <w:kern w:val="0"/>
          <w:sz w:val="24"/>
          <w:szCs w:val="24"/>
          <w:highlight w:val="none"/>
          <w14:textFill>
            <w14:solidFill>
              <w14:schemeClr w14:val="tx1"/>
            </w14:solidFill>
          </w14:textFill>
        </w:rPr>
        <w:t>日    期：</w:t>
      </w:r>
    </w:p>
    <w:p w14:paraId="0CA2BAB1">
      <w:pPr>
        <w:rPr>
          <w:rFonts w:ascii="仿宋" w:eastAsia="仿宋"/>
          <w:color w:val="000000" w:themeColor="text1"/>
          <w:highlight w:val="none"/>
          <w14:textFill>
            <w14:solidFill>
              <w14:schemeClr w14:val="tx1"/>
            </w14:solidFill>
          </w14:textFill>
        </w:rPr>
      </w:pPr>
    </w:p>
    <w:p w14:paraId="59E0D930">
      <w:pPr>
        <w:rPr>
          <w:rFonts w:ascii="仿宋" w:eastAsia="仿宋"/>
          <w:color w:val="000000" w:themeColor="text1"/>
          <w:highlight w:val="none"/>
          <w:u w:val="single"/>
          <w14:textFill>
            <w14:solidFill>
              <w14:schemeClr w14:val="tx1"/>
            </w14:solidFill>
          </w14:textFill>
        </w:rPr>
      </w:pPr>
      <w:r>
        <w:rPr>
          <w:rFonts w:hint="eastAsia" w:ascii="仿宋" w:eastAsia="仿宋"/>
          <w:color w:val="000000" w:themeColor="text1"/>
          <w:highlight w:val="none"/>
          <w:u w:val="single"/>
          <w14:textFill>
            <w14:solidFill>
              <w14:schemeClr w14:val="tx1"/>
            </w14:solidFill>
          </w14:textFill>
        </w:rPr>
        <w:t xml:space="preserve">                                                                                 </w:t>
      </w:r>
    </w:p>
    <w:p w14:paraId="21F8EBD1">
      <w:pPr>
        <w:autoSpaceDE w:val="0"/>
        <w:autoSpaceDN w:val="0"/>
        <w:adjustRightInd w:val="0"/>
        <w:spacing w:line="400" w:lineRule="exact"/>
        <w:ind w:firstLine="480"/>
        <w:rPr>
          <w:rFonts w:ascii="仿宋" w:eastAsia="仿宋"/>
          <w:color w:val="000000" w:themeColor="text1"/>
          <w:kern w:val="0"/>
          <w:sz w:val="24"/>
          <w:szCs w:val="24"/>
          <w:highlight w:val="none"/>
          <w:lang w:val="zh-CN"/>
          <w14:textFill>
            <w14:solidFill>
              <w14:schemeClr w14:val="tx1"/>
            </w14:solidFill>
          </w14:textFill>
        </w:rPr>
      </w:pPr>
      <w:r>
        <w:rPr>
          <w:rFonts w:hint="eastAsia" w:ascii="仿宋" w:eastAsia="仿宋"/>
          <w:color w:val="000000" w:themeColor="text1"/>
          <w:kern w:val="0"/>
          <w:sz w:val="24"/>
          <w:szCs w:val="24"/>
          <w:highlight w:val="none"/>
          <w:vertAlign w:val="superscript"/>
          <w:lang w:val="zh-CN"/>
          <w14:textFill>
            <w14:solidFill>
              <w14:schemeClr w14:val="tx1"/>
            </w14:solidFill>
          </w14:textFill>
        </w:rPr>
        <w:t>1</w:t>
      </w:r>
      <w:r>
        <w:rPr>
          <w:rFonts w:hint="eastAsia" w:ascii="仿宋" w:eastAsia="仿宋"/>
          <w:color w:val="000000" w:themeColor="text1"/>
          <w:kern w:val="0"/>
          <w:sz w:val="24"/>
          <w:szCs w:val="24"/>
          <w:highlight w:val="none"/>
          <w:lang w:val="zh-CN"/>
          <w14:textFill>
            <w14:solidFill>
              <w14:schemeClr w14:val="tx1"/>
            </w14:solidFill>
          </w14:textFill>
        </w:rPr>
        <w:t>从业人员、营业收入、资产总额填报上一年度数据，无上一年度数据的新成立企业可不填报。</w:t>
      </w:r>
    </w:p>
    <w:p w14:paraId="657B818C">
      <w:pPr>
        <w:rPr>
          <w:rFonts w:ascii="宋体"/>
          <w:color w:val="000000" w:themeColor="text1"/>
          <w:highlight w:val="none"/>
          <w14:textFill>
            <w14:solidFill>
              <w14:schemeClr w14:val="tx1"/>
            </w14:solidFill>
          </w14:textFill>
        </w:rPr>
      </w:pPr>
    </w:p>
    <w:p w14:paraId="4E25C2C8">
      <w:pPr>
        <w:jc w:val="center"/>
        <w:rPr>
          <w:b/>
          <w:color w:val="000000" w:themeColor="text1"/>
          <w:spacing w:val="6"/>
          <w:sz w:val="28"/>
          <w:szCs w:val="32"/>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br w:type="page"/>
      </w:r>
      <w:r>
        <w:rPr>
          <w:rFonts w:hint="eastAsia"/>
          <w:b/>
          <w:color w:val="000000" w:themeColor="text1"/>
          <w:spacing w:val="6"/>
          <w:sz w:val="32"/>
          <w:szCs w:val="32"/>
          <w:highlight w:val="none"/>
          <w14:textFill>
            <w14:solidFill>
              <w14:schemeClr w14:val="tx1"/>
            </w14:solidFill>
          </w14:textFill>
        </w:rPr>
        <w:t>《残疾人福利性单位声明函》格式</w:t>
      </w:r>
    </w:p>
    <w:p w14:paraId="19AE5437">
      <w:pPr>
        <w:jc w:val="center"/>
        <w:rPr>
          <w:b/>
          <w:color w:val="000000" w:themeColor="text1"/>
          <w:spacing w:val="6"/>
          <w:sz w:val="28"/>
          <w:szCs w:val="32"/>
          <w:highlight w:val="none"/>
          <w14:textFill>
            <w14:solidFill>
              <w14:schemeClr w14:val="tx1"/>
            </w14:solidFill>
          </w14:textFill>
        </w:rPr>
      </w:pPr>
      <w:r>
        <w:rPr>
          <w:rFonts w:hint="eastAsia"/>
          <w:b/>
          <w:color w:val="000000" w:themeColor="text1"/>
          <w:spacing w:val="6"/>
          <w:sz w:val="28"/>
          <w:szCs w:val="32"/>
          <w:highlight w:val="none"/>
          <w14:textFill>
            <w14:solidFill>
              <w14:schemeClr w14:val="tx1"/>
            </w14:solidFill>
          </w14:textFill>
        </w:rPr>
        <w:t>（非残疾人福利性单位无需填写）</w:t>
      </w:r>
    </w:p>
    <w:p w14:paraId="4FE1887D">
      <w:pPr>
        <w:spacing w:line="588" w:lineRule="exact"/>
        <w:jc w:val="center"/>
        <w:rPr>
          <w:rFonts w:ascii="宋体" w:cs="宋体"/>
          <w:b/>
          <w:color w:val="000000" w:themeColor="text1"/>
          <w:spacing w:val="6"/>
          <w:sz w:val="32"/>
          <w:szCs w:val="32"/>
          <w:highlight w:val="none"/>
          <w14:textFill>
            <w14:solidFill>
              <w14:schemeClr w14:val="tx1"/>
            </w14:solidFill>
          </w14:textFill>
        </w:rPr>
      </w:pPr>
    </w:p>
    <w:p w14:paraId="1A3DFA54">
      <w:pPr>
        <w:widowControl/>
        <w:shd w:val="clear" w:color="auto" w:fill="FFFFFF"/>
        <w:spacing w:before="100" w:beforeAutospacing="1" w:after="100" w:afterAutospacing="1" w:line="482" w:lineRule="atLeast"/>
        <w:jc w:val="center"/>
        <w:rPr>
          <w:rFonts w:ascii="宋体"/>
          <w:b/>
          <w:bCs/>
          <w:color w:val="000000" w:themeColor="text1"/>
          <w:kern w:val="0"/>
          <w:sz w:val="28"/>
          <w:szCs w:val="24"/>
          <w:highlight w:val="none"/>
          <w14:textFill>
            <w14:solidFill>
              <w14:schemeClr w14:val="tx1"/>
            </w14:solidFill>
          </w14:textFill>
        </w:rPr>
      </w:pPr>
      <w:r>
        <w:rPr>
          <w:rFonts w:hint="eastAsia" w:ascii="宋体"/>
          <w:b/>
          <w:bCs/>
          <w:color w:val="000000" w:themeColor="text1"/>
          <w:kern w:val="0"/>
          <w:sz w:val="28"/>
          <w:szCs w:val="24"/>
          <w:highlight w:val="none"/>
          <w14:textFill>
            <w14:solidFill>
              <w14:schemeClr w14:val="tx1"/>
            </w14:solidFill>
          </w14:textFill>
        </w:rPr>
        <w:t>残疾人福利性单位声明函</w:t>
      </w:r>
    </w:p>
    <w:p w14:paraId="56B936F7">
      <w:pPr>
        <w:spacing w:line="588" w:lineRule="exact"/>
        <w:rPr>
          <w:rFonts w:ascii="宋体"/>
          <w:b/>
          <w:color w:val="000000" w:themeColor="text1"/>
          <w:spacing w:val="6"/>
          <w:szCs w:val="21"/>
          <w:highlight w:val="none"/>
          <w14:textFill>
            <w14:solidFill>
              <w14:schemeClr w14:val="tx1"/>
            </w14:solidFill>
          </w14:textFill>
        </w:rPr>
      </w:pPr>
    </w:p>
    <w:p w14:paraId="1A7E8264">
      <w:pPr>
        <w:spacing w:line="360" w:lineRule="auto"/>
        <w:ind w:right="84" w:rightChars="40" w:firstLine="584" w:firstLineChars="200"/>
        <w:jc w:val="left"/>
        <w:rPr>
          <w:rFonts w:ascii="仿宋" w:eastAsia="仿宋" w:cs="宋体"/>
          <w:color w:val="000000" w:themeColor="text1"/>
          <w:spacing w:val="6"/>
          <w:sz w:val="28"/>
          <w:szCs w:val="21"/>
          <w:highlight w:val="none"/>
          <w14:textFill>
            <w14:solidFill>
              <w14:schemeClr w14:val="tx1"/>
            </w14:solidFill>
          </w14:textFill>
        </w:rPr>
      </w:pPr>
      <w:r>
        <w:rPr>
          <w:rFonts w:hint="eastAsia" w:ascii="仿宋" w:eastAsia="仿宋" w:cs="宋体"/>
          <w:color w:val="000000" w:themeColor="text1"/>
          <w:spacing w:val="6"/>
          <w:sz w:val="28"/>
          <w:szCs w:val="21"/>
          <w:highlight w:val="none"/>
          <w14:textFill>
            <w14:solidFill>
              <w14:schemeClr w14:val="tx1"/>
            </w14:solidFill>
          </w14:textFill>
        </w:rPr>
        <w:t>本单位郑重声明，根据《财政部 民政部 中国残疾人联合会关于促进残疾人就业政府采购政策的通知》（财库</w:t>
      </w:r>
      <w:r>
        <w:rPr>
          <w:rFonts w:hint="eastAsia" w:ascii="仿宋" w:eastAsia="仿宋" w:cs="宋体"/>
          <w:color w:val="000000" w:themeColor="text1"/>
          <w:sz w:val="28"/>
          <w:szCs w:val="21"/>
          <w:highlight w:val="none"/>
          <w14:textFill>
            <w14:solidFill>
              <w14:schemeClr w14:val="tx1"/>
            </w14:solidFill>
          </w14:textFill>
        </w:rPr>
        <w:t>〔2017〕141</w:t>
      </w:r>
      <w:r>
        <w:rPr>
          <w:rFonts w:hint="eastAsia" w:ascii="仿宋" w:eastAsia="仿宋" w:cs="宋体"/>
          <w:color w:val="000000" w:themeColor="text1"/>
          <w:spacing w:val="6"/>
          <w:sz w:val="28"/>
          <w:szCs w:val="21"/>
          <w:highlight w:val="none"/>
          <w14:textFill>
            <w14:solidFill>
              <w14:schemeClr w14:val="tx1"/>
            </w14:solidFill>
          </w14:textFill>
        </w:rPr>
        <w:t>号）的规定，本单位为符合条件的残疾人福利性单位，且本单位参加</w:t>
      </w:r>
      <w:r>
        <w:rPr>
          <w:rFonts w:hint="eastAsia" w:ascii="仿宋" w:eastAsia="仿宋" w:cs="宋体"/>
          <w:color w:val="000000" w:themeColor="text1"/>
          <w:spacing w:val="6"/>
          <w:sz w:val="28"/>
          <w:szCs w:val="21"/>
          <w:highlight w:val="none"/>
          <w:u w:val="single"/>
          <w14:textFill>
            <w14:solidFill>
              <w14:schemeClr w14:val="tx1"/>
            </w14:solidFill>
          </w14:textFill>
        </w:rPr>
        <w:t xml:space="preserve">          </w:t>
      </w:r>
      <w:r>
        <w:rPr>
          <w:rFonts w:hint="eastAsia" w:ascii="仿宋" w:eastAsia="仿宋" w:cs="宋体"/>
          <w:color w:val="000000" w:themeColor="text1"/>
          <w:spacing w:val="6"/>
          <w:sz w:val="28"/>
          <w:szCs w:val="21"/>
          <w:highlight w:val="none"/>
          <w14:textFill>
            <w14:solidFill>
              <w14:schemeClr w14:val="tx1"/>
            </w14:solidFill>
          </w14:textFill>
        </w:rPr>
        <w:t>单位的</w:t>
      </w:r>
      <w:r>
        <w:rPr>
          <w:rFonts w:hint="eastAsia" w:ascii="仿宋" w:eastAsia="仿宋" w:cs="宋体"/>
          <w:color w:val="000000" w:themeColor="text1"/>
          <w:spacing w:val="6"/>
          <w:sz w:val="28"/>
          <w:szCs w:val="21"/>
          <w:highlight w:val="none"/>
          <w:u w:val="single"/>
          <w14:textFill>
            <w14:solidFill>
              <w14:schemeClr w14:val="tx1"/>
            </w14:solidFill>
          </w14:textFill>
        </w:rPr>
        <w:t xml:space="preserve">                   </w:t>
      </w:r>
      <w:r>
        <w:rPr>
          <w:rFonts w:hint="eastAsia" w:ascii="仿宋" w:eastAsia="仿宋" w:cs="宋体"/>
          <w:color w:val="000000" w:themeColor="text1"/>
          <w:spacing w:val="6"/>
          <w:sz w:val="28"/>
          <w:szCs w:val="2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025CF5F2">
      <w:pPr>
        <w:spacing w:line="360" w:lineRule="auto"/>
        <w:ind w:right="84" w:rightChars="40" w:firstLine="584" w:firstLineChars="200"/>
        <w:jc w:val="left"/>
        <w:rPr>
          <w:rFonts w:ascii="仿宋" w:eastAsia="仿宋" w:cs="宋体"/>
          <w:color w:val="000000" w:themeColor="text1"/>
          <w:spacing w:val="6"/>
          <w:sz w:val="28"/>
          <w:szCs w:val="21"/>
          <w:highlight w:val="none"/>
          <w14:textFill>
            <w14:solidFill>
              <w14:schemeClr w14:val="tx1"/>
            </w14:solidFill>
          </w14:textFill>
        </w:rPr>
      </w:pPr>
      <w:r>
        <w:rPr>
          <w:rFonts w:hint="eastAsia" w:ascii="仿宋" w:eastAsia="仿宋" w:cs="宋体"/>
          <w:color w:val="000000" w:themeColor="text1"/>
          <w:spacing w:val="6"/>
          <w:sz w:val="28"/>
          <w:szCs w:val="21"/>
          <w:highlight w:val="none"/>
          <w14:textFill>
            <w14:solidFill>
              <w14:schemeClr w14:val="tx1"/>
            </w14:solidFill>
          </w14:textFill>
        </w:rPr>
        <w:t>本单位对上述声明的真实性负责。如有虚假，将依法承担相应责任。</w:t>
      </w:r>
    </w:p>
    <w:p w14:paraId="4354008F">
      <w:pPr>
        <w:spacing w:line="360" w:lineRule="auto"/>
        <w:ind w:right="84" w:rightChars="40" w:firstLine="584" w:firstLineChars="200"/>
        <w:rPr>
          <w:rFonts w:ascii="仿宋" w:eastAsia="仿宋" w:cs="宋体"/>
          <w:color w:val="000000" w:themeColor="text1"/>
          <w:spacing w:val="6"/>
          <w:sz w:val="28"/>
          <w:szCs w:val="21"/>
          <w:highlight w:val="none"/>
          <w14:textFill>
            <w14:solidFill>
              <w14:schemeClr w14:val="tx1"/>
            </w14:solidFill>
          </w14:textFill>
        </w:rPr>
      </w:pPr>
    </w:p>
    <w:p w14:paraId="08A637E9">
      <w:pPr>
        <w:spacing w:line="360" w:lineRule="auto"/>
        <w:ind w:right="84" w:rightChars="40" w:firstLine="584" w:firstLineChars="200"/>
        <w:rPr>
          <w:rFonts w:ascii="仿宋" w:eastAsia="仿宋"/>
          <w:color w:val="000000" w:themeColor="text1"/>
          <w:spacing w:val="6"/>
          <w:sz w:val="28"/>
          <w:szCs w:val="21"/>
          <w:highlight w:val="none"/>
          <w14:textFill>
            <w14:solidFill>
              <w14:schemeClr w14:val="tx1"/>
            </w14:solidFill>
          </w14:textFill>
        </w:rPr>
      </w:pPr>
    </w:p>
    <w:p w14:paraId="6BBB9479">
      <w:pPr>
        <w:tabs>
          <w:tab w:val="left" w:pos="4860"/>
        </w:tabs>
        <w:spacing w:line="360" w:lineRule="auto"/>
        <w:ind w:right="84" w:rightChars="40" w:firstLine="3258" w:firstLineChars="1116"/>
        <w:rPr>
          <w:rFonts w:ascii="仿宋" w:eastAsia="仿宋" w:cs="宋体"/>
          <w:color w:val="000000" w:themeColor="text1"/>
          <w:spacing w:val="6"/>
          <w:sz w:val="28"/>
          <w:szCs w:val="21"/>
          <w:highlight w:val="none"/>
          <w14:textFill>
            <w14:solidFill>
              <w14:schemeClr w14:val="tx1"/>
            </w14:solidFill>
          </w14:textFill>
        </w:rPr>
      </w:pPr>
      <w:r>
        <w:rPr>
          <w:rFonts w:hint="eastAsia" w:ascii="仿宋" w:eastAsia="仿宋" w:cs="宋体"/>
          <w:color w:val="000000" w:themeColor="text1"/>
          <w:spacing w:val="6"/>
          <w:sz w:val="28"/>
          <w:szCs w:val="21"/>
          <w:highlight w:val="none"/>
          <w14:textFill>
            <w14:solidFill>
              <w14:schemeClr w14:val="tx1"/>
            </w14:solidFill>
          </w14:textFill>
        </w:rPr>
        <w:t>单位名称（盖章）：</w:t>
      </w:r>
    </w:p>
    <w:p w14:paraId="163BD3F4">
      <w:pPr>
        <w:snapToGrid w:val="0"/>
        <w:spacing w:before="156" w:after="50" w:line="360" w:lineRule="auto"/>
        <w:ind w:right="84" w:rightChars="40" w:firstLine="3258" w:firstLineChars="1116"/>
        <w:rPr>
          <w:rFonts w:ascii="仿宋" w:eastAsia="仿宋" w:cs="宋体"/>
          <w:color w:val="000000" w:themeColor="text1"/>
          <w:spacing w:val="6"/>
          <w:sz w:val="32"/>
          <w:szCs w:val="21"/>
          <w:highlight w:val="none"/>
          <w14:textFill>
            <w14:solidFill>
              <w14:schemeClr w14:val="tx1"/>
            </w14:solidFill>
          </w14:textFill>
        </w:rPr>
      </w:pPr>
      <w:r>
        <w:rPr>
          <w:rFonts w:hint="eastAsia" w:ascii="仿宋" w:eastAsia="仿宋" w:cs="宋体"/>
          <w:color w:val="000000" w:themeColor="text1"/>
          <w:spacing w:val="6"/>
          <w:sz w:val="28"/>
          <w:szCs w:val="21"/>
          <w:highlight w:val="none"/>
          <w14:textFill>
            <w14:solidFill>
              <w14:schemeClr w14:val="tx1"/>
            </w14:solidFill>
          </w14:textFill>
        </w:rPr>
        <w:t>日    期：</w:t>
      </w:r>
    </w:p>
    <w:p w14:paraId="103F03FF">
      <w:pPr>
        <w:pStyle w:val="3"/>
        <w:rPr>
          <w:color w:val="000000" w:themeColor="text1"/>
          <w:highlight w:val="none"/>
          <w:u w:val="single"/>
          <w14:textFill>
            <w14:solidFill>
              <w14:schemeClr w14:val="tx1"/>
            </w14:solidFill>
          </w14:textFill>
        </w:rPr>
      </w:pPr>
    </w:p>
    <w:p w14:paraId="5C8904A2">
      <w:pPr>
        <w:jc w:val="center"/>
        <w:rPr>
          <w:b/>
          <w:color w:val="000000" w:themeColor="text1"/>
          <w:sz w:val="24"/>
          <w:szCs w:val="21"/>
          <w:highlight w:val="none"/>
          <w14:textFill>
            <w14:solidFill>
              <w14:schemeClr w14:val="tx1"/>
            </w14:solidFill>
          </w14:textFill>
        </w:rPr>
      </w:pPr>
      <w:r>
        <w:rPr>
          <w:rFonts w:hint="eastAsia"/>
          <w:b/>
          <w:color w:val="000000" w:themeColor="text1"/>
          <w:sz w:val="24"/>
          <w:szCs w:val="21"/>
          <w:highlight w:val="none"/>
          <w14:textFill>
            <w14:solidFill>
              <w14:schemeClr w14:val="tx1"/>
            </w14:solidFill>
          </w14:textFill>
        </w:rPr>
        <w:br w:type="page"/>
      </w:r>
    </w:p>
    <w:p w14:paraId="0F83A122">
      <w:pPr>
        <w:jc w:val="center"/>
        <w:rPr>
          <w:color w:val="000000" w:themeColor="text1"/>
          <w:sz w:val="36"/>
          <w:highlight w:val="none"/>
          <w14:textFill>
            <w14:solidFill>
              <w14:schemeClr w14:val="tx1"/>
            </w14:solidFill>
          </w14:textFill>
        </w:rPr>
      </w:pPr>
      <w:r>
        <w:rPr>
          <w:rFonts w:hint="eastAsia"/>
          <w:color w:val="000000" w:themeColor="text1"/>
          <w:sz w:val="44"/>
          <w:szCs w:val="21"/>
          <w:highlight w:val="none"/>
          <w14:textFill>
            <w14:solidFill>
              <w14:schemeClr w14:val="tx1"/>
            </w14:solidFill>
          </w14:textFill>
        </w:rPr>
        <w:t>资格文件</w:t>
      </w:r>
    </w:p>
    <w:p w14:paraId="47C94681">
      <w:pPr>
        <w:widowControl/>
        <w:jc w:val="center"/>
        <w:rPr>
          <w:rFonts w:ascii="宋体"/>
          <w:bCs/>
          <w:color w:val="000000" w:themeColor="text1"/>
          <w:sz w:val="40"/>
          <w:szCs w:val="30"/>
          <w:highlight w:val="none"/>
          <w14:textFill>
            <w14:solidFill>
              <w14:schemeClr w14:val="tx1"/>
            </w14:solidFill>
          </w14:textFill>
        </w:rPr>
      </w:pPr>
    </w:p>
    <w:p w14:paraId="0FA2A2B3">
      <w:pPr>
        <w:widowControl/>
        <w:jc w:val="center"/>
        <w:rPr>
          <w:rFonts w:ascii="宋体"/>
          <w:bCs/>
          <w:color w:val="000000" w:themeColor="text1"/>
          <w:sz w:val="40"/>
          <w:szCs w:val="30"/>
          <w:highlight w:val="none"/>
          <w14:textFill>
            <w14:solidFill>
              <w14:schemeClr w14:val="tx1"/>
            </w14:solidFill>
          </w14:textFill>
        </w:rPr>
      </w:pPr>
      <w:r>
        <w:rPr>
          <w:rFonts w:hint="eastAsia" w:ascii="宋体"/>
          <w:bCs/>
          <w:color w:val="000000" w:themeColor="text1"/>
          <w:sz w:val="40"/>
          <w:szCs w:val="30"/>
          <w:highlight w:val="none"/>
          <w14:textFill>
            <w14:solidFill>
              <w14:schemeClr w14:val="tx1"/>
            </w14:solidFill>
          </w14:textFill>
        </w:rPr>
        <w:t>目　录</w:t>
      </w:r>
    </w:p>
    <w:p w14:paraId="6D486CB7">
      <w:pPr>
        <w:pStyle w:val="27"/>
        <w:rPr>
          <w:color w:val="000000" w:themeColor="text1"/>
          <w:highlight w:val="none"/>
          <w14:textFill>
            <w14:solidFill>
              <w14:schemeClr w14:val="tx1"/>
            </w14:solidFill>
          </w14:textFill>
        </w:rPr>
      </w:pPr>
    </w:p>
    <w:p w14:paraId="0E7F9175">
      <w:pPr>
        <w:pStyle w:val="23"/>
        <w:spacing w:line="360" w:lineRule="auto"/>
        <w:rPr>
          <w:rFonts w:cs="Microsoft JhengHei Light"/>
          <w:color w:val="000000" w:themeColor="text1"/>
          <w:spacing w:val="-2"/>
          <w:sz w:val="28"/>
          <w:highlight w:val="none"/>
          <w14:textFill>
            <w14:solidFill>
              <w14:schemeClr w14:val="tx1"/>
            </w14:solidFill>
          </w14:textFill>
        </w:rPr>
      </w:pPr>
    </w:p>
    <w:p w14:paraId="4EFBFB69">
      <w:pPr>
        <w:pStyle w:val="23"/>
        <w:numPr>
          <w:ilvl w:val="0"/>
          <w:numId w:val="8"/>
        </w:numPr>
        <w:spacing w:line="360" w:lineRule="auto"/>
        <w:rPr>
          <w:color w:val="000000" w:themeColor="text1"/>
          <w:sz w:val="28"/>
          <w:szCs w:val="28"/>
          <w:highlight w:val="none"/>
          <w14:textFill>
            <w14:solidFill>
              <w14:schemeClr w14:val="tx1"/>
            </w14:solidFill>
          </w14:textFill>
        </w:rPr>
      </w:pPr>
      <w:r>
        <w:rPr>
          <w:rFonts w:hint="eastAsia" w:ascii="Times New Roman"/>
          <w:color w:val="000000" w:themeColor="text1"/>
          <w:kern w:val="2"/>
          <w:sz w:val="28"/>
          <w:szCs w:val="28"/>
          <w:highlight w:val="none"/>
          <w14:textFill>
            <w14:solidFill>
              <w14:schemeClr w14:val="tx1"/>
            </w14:solidFill>
          </w14:textFill>
        </w:rPr>
        <w:t>营业执照正</w:t>
      </w:r>
      <w:r>
        <w:rPr>
          <w:rFonts w:ascii="Times New Roman"/>
          <w:color w:val="000000" w:themeColor="text1"/>
          <w:kern w:val="2"/>
          <w:sz w:val="28"/>
          <w:szCs w:val="28"/>
          <w:highlight w:val="none"/>
          <w14:textFill>
            <w14:solidFill>
              <w14:schemeClr w14:val="tx1"/>
            </w14:solidFill>
          </w14:textFill>
        </w:rPr>
        <w:t>本或</w:t>
      </w:r>
      <w:r>
        <w:rPr>
          <w:rFonts w:hint="eastAsia" w:ascii="Times New Roman"/>
          <w:color w:val="000000" w:themeColor="text1"/>
          <w:kern w:val="2"/>
          <w:sz w:val="28"/>
          <w:szCs w:val="28"/>
          <w:highlight w:val="none"/>
          <w14:textFill>
            <w14:solidFill>
              <w14:schemeClr w14:val="tx1"/>
            </w14:solidFill>
          </w14:textFill>
        </w:rPr>
        <w:t>副本</w:t>
      </w:r>
      <w:r>
        <w:rPr>
          <w:rFonts w:ascii="Times New Roman"/>
          <w:color w:val="000000" w:themeColor="text1"/>
          <w:kern w:val="2"/>
          <w:sz w:val="28"/>
          <w:szCs w:val="28"/>
          <w:highlight w:val="none"/>
          <w14:textFill>
            <w14:solidFill>
              <w14:schemeClr w14:val="tx1"/>
            </w14:solidFill>
          </w14:textFill>
        </w:rPr>
        <w:t>扫描件</w:t>
      </w:r>
    </w:p>
    <w:p w14:paraId="33E8D70B">
      <w:pPr>
        <w:pStyle w:val="23"/>
        <w:spacing w:line="360" w:lineRule="auto"/>
        <w:rPr>
          <w:rFonts w:ascii="Times New Roman"/>
          <w:color w:val="000000" w:themeColor="text1"/>
          <w:kern w:val="2"/>
          <w:sz w:val="28"/>
          <w:szCs w:val="28"/>
          <w:highlight w:val="none"/>
          <w14:textFill>
            <w14:solidFill>
              <w14:schemeClr w14:val="tx1"/>
            </w14:solidFill>
          </w14:textFill>
        </w:rPr>
      </w:pPr>
      <w:r>
        <w:rPr>
          <w:rFonts w:hint="eastAsia" w:ascii="Times New Roman"/>
          <w:color w:val="000000" w:themeColor="text1"/>
          <w:kern w:val="2"/>
          <w:sz w:val="28"/>
          <w:szCs w:val="28"/>
          <w:highlight w:val="none"/>
          <w14:textFill>
            <w14:solidFill>
              <w14:schemeClr w14:val="tx1"/>
            </w14:solidFill>
          </w14:textFill>
        </w:rPr>
        <w:t>二、桂平市政府采购项目投标资格承诺函</w:t>
      </w:r>
    </w:p>
    <w:p w14:paraId="068E8A0E">
      <w:pPr>
        <w:rPr>
          <w:color w:val="000000" w:themeColor="text1"/>
          <w:sz w:val="28"/>
          <w:szCs w:val="28"/>
          <w:highlight w:val="none"/>
          <w14:textFill>
            <w14:solidFill>
              <w14:schemeClr w14:val="tx1"/>
            </w14:solidFill>
          </w14:textFill>
        </w:rPr>
      </w:pPr>
    </w:p>
    <w:p w14:paraId="2552F263">
      <w:pPr>
        <w:pStyle w:val="23"/>
        <w:spacing w:line="360" w:lineRule="auto"/>
        <w:rPr>
          <w:rFonts w:cs="Microsoft JhengHei Light"/>
          <w:color w:val="000000" w:themeColor="text1"/>
          <w:spacing w:val="-2"/>
          <w:sz w:val="28"/>
          <w:szCs w:val="28"/>
          <w:highlight w:val="none"/>
          <w14:textFill>
            <w14:solidFill>
              <w14:schemeClr w14:val="tx1"/>
            </w14:solidFill>
          </w14:textFill>
        </w:rPr>
      </w:pPr>
    </w:p>
    <w:p w14:paraId="7A297563">
      <w:pPr>
        <w:rPr>
          <w:color w:val="000000" w:themeColor="text1"/>
          <w:highlight w:val="none"/>
          <w14:textFill>
            <w14:solidFill>
              <w14:schemeClr w14:val="tx1"/>
            </w14:solidFill>
          </w14:textFill>
        </w:rPr>
      </w:pPr>
    </w:p>
    <w:p w14:paraId="2389445D">
      <w:pPr>
        <w:rPr>
          <w:color w:val="000000" w:themeColor="text1"/>
          <w:highlight w:val="none"/>
          <w14:textFill>
            <w14:solidFill>
              <w14:schemeClr w14:val="tx1"/>
            </w14:solidFill>
          </w14:textFill>
        </w:rPr>
      </w:pPr>
    </w:p>
    <w:p w14:paraId="64105EC0">
      <w:pPr>
        <w:pStyle w:val="27"/>
        <w:rPr>
          <w:color w:val="000000" w:themeColor="text1"/>
          <w:highlight w:val="none"/>
          <w14:textFill>
            <w14:solidFill>
              <w14:schemeClr w14:val="tx1"/>
            </w14:solidFill>
          </w14:textFill>
        </w:rPr>
      </w:pPr>
    </w:p>
    <w:p w14:paraId="630FEA14">
      <w:pPr>
        <w:pStyle w:val="27"/>
        <w:rPr>
          <w:color w:val="000000" w:themeColor="text1"/>
          <w:highlight w:val="none"/>
          <w14:textFill>
            <w14:solidFill>
              <w14:schemeClr w14:val="tx1"/>
            </w14:solidFill>
          </w14:textFill>
        </w:rPr>
      </w:pPr>
    </w:p>
    <w:p w14:paraId="7493E48B">
      <w:pPr>
        <w:pStyle w:val="27"/>
        <w:rPr>
          <w:color w:val="000000" w:themeColor="text1"/>
          <w:highlight w:val="none"/>
          <w14:textFill>
            <w14:solidFill>
              <w14:schemeClr w14:val="tx1"/>
            </w14:solidFill>
          </w14:textFill>
        </w:rPr>
      </w:pPr>
    </w:p>
    <w:p w14:paraId="68B39C2F">
      <w:pPr>
        <w:pStyle w:val="27"/>
        <w:rPr>
          <w:color w:val="000000" w:themeColor="text1"/>
          <w:highlight w:val="none"/>
          <w14:textFill>
            <w14:solidFill>
              <w14:schemeClr w14:val="tx1"/>
            </w14:solidFill>
          </w14:textFill>
        </w:rPr>
      </w:pPr>
    </w:p>
    <w:p w14:paraId="4D7BA24C">
      <w:pPr>
        <w:pStyle w:val="27"/>
        <w:rPr>
          <w:color w:val="000000" w:themeColor="text1"/>
          <w:highlight w:val="none"/>
          <w14:textFill>
            <w14:solidFill>
              <w14:schemeClr w14:val="tx1"/>
            </w14:solidFill>
          </w14:textFill>
        </w:rPr>
      </w:pPr>
    </w:p>
    <w:p w14:paraId="1B0E14AE">
      <w:pPr>
        <w:pStyle w:val="27"/>
        <w:rPr>
          <w:color w:val="000000" w:themeColor="text1"/>
          <w:highlight w:val="none"/>
          <w14:textFill>
            <w14:solidFill>
              <w14:schemeClr w14:val="tx1"/>
            </w14:solidFill>
          </w14:textFill>
        </w:rPr>
      </w:pPr>
    </w:p>
    <w:p w14:paraId="063C0D3D">
      <w:pPr>
        <w:pStyle w:val="27"/>
        <w:rPr>
          <w:color w:val="000000" w:themeColor="text1"/>
          <w:highlight w:val="none"/>
          <w14:textFill>
            <w14:solidFill>
              <w14:schemeClr w14:val="tx1"/>
            </w14:solidFill>
          </w14:textFill>
        </w:rPr>
      </w:pPr>
    </w:p>
    <w:p w14:paraId="48D48F36">
      <w:pPr>
        <w:pStyle w:val="27"/>
        <w:rPr>
          <w:color w:val="000000" w:themeColor="text1"/>
          <w:highlight w:val="none"/>
          <w14:textFill>
            <w14:solidFill>
              <w14:schemeClr w14:val="tx1"/>
            </w14:solidFill>
          </w14:textFill>
        </w:rPr>
      </w:pPr>
    </w:p>
    <w:p w14:paraId="1D86F159">
      <w:pPr>
        <w:pStyle w:val="27"/>
        <w:rPr>
          <w:color w:val="000000" w:themeColor="text1"/>
          <w:highlight w:val="none"/>
          <w14:textFill>
            <w14:solidFill>
              <w14:schemeClr w14:val="tx1"/>
            </w14:solidFill>
          </w14:textFill>
        </w:rPr>
      </w:pPr>
    </w:p>
    <w:p w14:paraId="5CE597EE">
      <w:pPr>
        <w:pStyle w:val="27"/>
        <w:rPr>
          <w:color w:val="000000" w:themeColor="text1"/>
          <w:highlight w:val="none"/>
          <w14:textFill>
            <w14:solidFill>
              <w14:schemeClr w14:val="tx1"/>
            </w14:solidFill>
          </w14:textFill>
        </w:rPr>
      </w:pPr>
    </w:p>
    <w:p w14:paraId="6F0272EE">
      <w:pPr>
        <w:pStyle w:val="27"/>
        <w:rPr>
          <w:color w:val="000000" w:themeColor="text1"/>
          <w:highlight w:val="none"/>
          <w14:textFill>
            <w14:solidFill>
              <w14:schemeClr w14:val="tx1"/>
            </w14:solidFill>
          </w14:textFill>
        </w:rPr>
      </w:pPr>
    </w:p>
    <w:p w14:paraId="4BFFFCC3">
      <w:pPr>
        <w:pStyle w:val="27"/>
        <w:rPr>
          <w:color w:val="000000" w:themeColor="text1"/>
          <w:highlight w:val="none"/>
          <w14:textFill>
            <w14:solidFill>
              <w14:schemeClr w14:val="tx1"/>
            </w14:solidFill>
          </w14:textFill>
        </w:rPr>
      </w:pPr>
    </w:p>
    <w:p w14:paraId="369098AF">
      <w:pPr>
        <w:pStyle w:val="27"/>
        <w:rPr>
          <w:color w:val="000000" w:themeColor="text1"/>
          <w:highlight w:val="none"/>
          <w14:textFill>
            <w14:solidFill>
              <w14:schemeClr w14:val="tx1"/>
            </w14:solidFill>
          </w14:textFill>
        </w:rPr>
      </w:pPr>
    </w:p>
    <w:p w14:paraId="643E553A">
      <w:pPr>
        <w:pStyle w:val="27"/>
        <w:rPr>
          <w:color w:val="000000" w:themeColor="text1"/>
          <w:highlight w:val="none"/>
          <w14:textFill>
            <w14:solidFill>
              <w14:schemeClr w14:val="tx1"/>
            </w14:solidFill>
          </w14:textFill>
        </w:rPr>
      </w:pPr>
    </w:p>
    <w:p w14:paraId="4658823D">
      <w:pPr>
        <w:pStyle w:val="27"/>
        <w:rPr>
          <w:color w:val="000000" w:themeColor="text1"/>
          <w:highlight w:val="none"/>
          <w14:textFill>
            <w14:solidFill>
              <w14:schemeClr w14:val="tx1"/>
            </w14:solidFill>
          </w14:textFill>
        </w:rPr>
      </w:pPr>
    </w:p>
    <w:p w14:paraId="4C8934C7">
      <w:pPr>
        <w:pStyle w:val="27"/>
        <w:rPr>
          <w:color w:val="000000" w:themeColor="text1"/>
          <w:highlight w:val="none"/>
          <w14:textFill>
            <w14:solidFill>
              <w14:schemeClr w14:val="tx1"/>
            </w14:solidFill>
          </w14:textFill>
        </w:rPr>
      </w:pPr>
    </w:p>
    <w:p w14:paraId="46BA8F3C">
      <w:pPr>
        <w:pStyle w:val="27"/>
        <w:rPr>
          <w:color w:val="000000" w:themeColor="text1"/>
          <w:highlight w:val="none"/>
          <w14:textFill>
            <w14:solidFill>
              <w14:schemeClr w14:val="tx1"/>
            </w14:solidFill>
          </w14:textFill>
        </w:rPr>
      </w:pPr>
    </w:p>
    <w:p w14:paraId="7E15BB92">
      <w:pPr>
        <w:pStyle w:val="27"/>
        <w:rPr>
          <w:color w:val="000000" w:themeColor="text1"/>
          <w:highlight w:val="none"/>
          <w14:textFill>
            <w14:solidFill>
              <w14:schemeClr w14:val="tx1"/>
            </w14:solidFill>
          </w14:textFill>
        </w:rPr>
      </w:pPr>
    </w:p>
    <w:p w14:paraId="22C9DAE2">
      <w:pPr>
        <w:pStyle w:val="27"/>
        <w:rPr>
          <w:color w:val="000000" w:themeColor="text1"/>
          <w:highlight w:val="none"/>
          <w14:textFill>
            <w14:solidFill>
              <w14:schemeClr w14:val="tx1"/>
            </w14:solidFill>
          </w14:textFill>
        </w:rPr>
      </w:pPr>
    </w:p>
    <w:p w14:paraId="34DED9E8">
      <w:pPr>
        <w:pStyle w:val="27"/>
        <w:rPr>
          <w:color w:val="000000" w:themeColor="text1"/>
          <w:highlight w:val="none"/>
          <w14:textFill>
            <w14:solidFill>
              <w14:schemeClr w14:val="tx1"/>
            </w14:solidFill>
          </w14:textFill>
        </w:rPr>
      </w:pPr>
    </w:p>
    <w:p w14:paraId="645A6FE5">
      <w:pPr>
        <w:pStyle w:val="27"/>
        <w:rPr>
          <w:color w:val="000000" w:themeColor="text1"/>
          <w:highlight w:val="none"/>
          <w14:textFill>
            <w14:solidFill>
              <w14:schemeClr w14:val="tx1"/>
            </w14:solidFill>
          </w14:textFill>
        </w:rPr>
      </w:pPr>
    </w:p>
    <w:p w14:paraId="7C83A37E">
      <w:pPr>
        <w:pStyle w:val="27"/>
        <w:rPr>
          <w:color w:val="000000" w:themeColor="text1"/>
          <w:highlight w:val="none"/>
          <w14:textFill>
            <w14:solidFill>
              <w14:schemeClr w14:val="tx1"/>
            </w14:solidFill>
          </w14:textFill>
        </w:rPr>
      </w:pPr>
    </w:p>
    <w:p w14:paraId="612409EA">
      <w:pPr>
        <w:pStyle w:val="27"/>
        <w:rPr>
          <w:color w:val="000000" w:themeColor="text1"/>
          <w:highlight w:val="none"/>
          <w14:textFill>
            <w14:solidFill>
              <w14:schemeClr w14:val="tx1"/>
            </w14:solidFill>
          </w14:textFill>
        </w:rPr>
      </w:pPr>
    </w:p>
    <w:p w14:paraId="3E9D3AA3">
      <w:pPr>
        <w:pStyle w:val="27"/>
        <w:rPr>
          <w:color w:val="000000" w:themeColor="text1"/>
          <w:highlight w:val="none"/>
          <w14:textFill>
            <w14:solidFill>
              <w14:schemeClr w14:val="tx1"/>
            </w14:solidFill>
          </w14:textFill>
        </w:rPr>
      </w:pPr>
    </w:p>
    <w:p w14:paraId="30DF56E2">
      <w:pPr>
        <w:pStyle w:val="27"/>
        <w:rPr>
          <w:color w:val="000000" w:themeColor="text1"/>
          <w:highlight w:val="none"/>
          <w14:textFill>
            <w14:solidFill>
              <w14:schemeClr w14:val="tx1"/>
            </w14:solidFill>
          </w14:textFill>
        </w:rPr>
      </w:pPr>
    </w:p>
    <w:p w14:paraId="0314E383">
      <w:pPr>
        <w:pStyle w:val="27"/>
        <w:rPr>
          <w:color w:val="000000" w:themeColor="text1"/>
          <w:highlight w:val="none"/>
          <w14:textFill>
            <w14:solidFill>
              <w14:schemeClr w14:val="tx1"/>
            </w14:solidFill>
          </w14:textFill>
        </w:rPr>
      </w:pPr>
    </w:p>
    <w:p w14:paraId="5368D009">
      <w:pPr>
        <w:pStyle w:val="27"/>
        <w:rPr>
          <w:color w:val="000000" w:themeColor="text1"/>
          <w:highlight w:val="none"/>
          <w14:textFill>
            <w14:solidFill>
              <w14:schemeClr w14:val="tx1"/>
            </w14:solidFill>
          </w14:textFill>
        </w:rPr>
      </w:pPr>
    </w:p>
    <w:p w14:paraId="7701D2FE">
      <w:pPr>
        <w:pStyle w:val="27"/>
        <w:rPr>
          <w:color w:val="000000" w:themeColor="text1"/>
          <w:highlight w:val="none"/>
          <w14:textFill>
            <w14:solidFill>
              <w14:schemeClr w14:val="tx1"/>
            </w14:solidFill>
          </w14:textFill>
        </w:rPr>
      </w:pPr>
    </w:p>
    <w:p w14:paraId="1C08566F">
      <w:pPr>
        <w:pStyle w:val="27"/>
        <w:rPr>
          <w:color w:val="000000" w:themeColor="text1"/>
          <w:highlight w:val="none"/>
          <w14:textFill>
            <w14:solidFill>
              <w14:schemeClr w14:val="tx1"/>
            </w14:solidFill>
          </w14:textFill>
        </w:rPr>
      </w:pPr>
    </w:p>
    <w:p w14:paraId="06E8930E">
      <w:pPr>
        <w:pStyle w:val="27"/>
        <w:rPr>
          <w:color w:val="000000" w:themeColor="text1"/>
          <w:highlight w:val="none"/>
          <w14:textFill>
            <w14:solidFill>
              <w14:schemeClr w14:val="tx1"/>
            </w14:solidFill>
          </w14:textFill>
        </w:rPr>
      </w:pPr>
    </w:p>
    <w:p w14:paraId="235E3271">
      <w:pPr>
        <w:pStyle w:val="27"/>
        <w:rPr>
          <w:color w:val="000000" w:themeColor="text1"/>
          <w:highlight w:val="none"/>
          <w14:textFill>
            <w14:solidFill>
              <w14:schemeClr w14:val="tx1"/>
            </w14:solidFill>
          </w14:textFill>
        </w:rPr>
      </w:pPr>
    </w:p>
    <w:p w14:paraId="6FC1CEEC">
      <w:pPr>
        <w:pStyle w:val="27"/>
        <w:rPr>
          <w:color w:val="000000" w:themeColor="text1"/>
          <w:highlight w:val="none"/>
          <w14:textFill>
            <w14:solidFill>
              <w14:schemeClr w14:val="tx1"/>
            </w14:solidFill>
          </w14:textFill>
        </w:rPr>
      </w:pPr>
    </w:p>
    <w:p w14:paraId="792C2493">
      <w:pPr>
        <w:pStyle w:val="23"/>
        <w:spacing w:line="360" w:lineRule="auto"/>
        <w:rPr>
          <w:rFonts w:ascii="Times New Roman"/>
          <w:color w:val="000000" w:themeColor="text1"/>
          <w:kern w:val="2"/>
          <w:sz w:val="28"/>
          <w:szCs w:val="28"/>
          <w:highlight w:val="none"/>
          <w14:textFill>
            <w14:solidFill>
              <w14:schemeClr w14:val="tx1"/>
            </w14:solidFill>
          </w14:textFill>
        </w:rPr>
      </w:pPr>
      <w:r>
        <w:rPr>
          <w:rFonts w:ascii="Times New Roman"/>
          <w:color w:val="000000" w:themeColor="text1"/>
          <w:kern w:val="2"/>
          <w:sz w:val="28"/>
          <w:szCs w:val="28"/>
          <w:highlight w:val="none"/>
          <w14:textFill>
            <w14:solidFill>
              <w14:schemeClr w14:val="tx1"/>
            </w14:solidFill>
          </w14:textFill>
        </w:rPr>
        <w:br w:type="page"/>
      </w:r>
      <w:r>
        <w:rPr>
          <w:rFonts w:hint="eastAsia" w:ascii="Times New Roman"/>
          <w:color w:val="000000" w:themeColor="text1"/>
          <w:kern w:val="2"/>
          <w:sz w:val="28"/>
          <w:szCs w:val="28"/>
          <w:highlight w:val="none"/>
          <w14:textFill>
            <w14:solidFill>
              <w14:schemeClr w14:val="tx1"/>
            </w14:solidFill>
          </w14:textFill>
        </w:rPr>
        <w:t>一、营业执照正</w:t>
      </w:r>
      <w:r>
        <w:rPr>
          <w:rFonts w:ascii="Times New Roman"/>
          <w:color w:val="000000" w:themeColor="text1"/>
          <w:kern w:val="2"/>
          <w:sz w:val="28"/>
          <w:szCs w:val="28"/>
          <w:highlight w:val="none"/>
          <w14:textFill>
            <w14:solidFill>
              <w14:schemeClr w14:val="tx1"/>
            </w14:solidFill>
          </w14:textFill>
        </w:rPr>
        <w:t>本或</w:t>
      </w:r>
      <w:r>
        <w:rPr>
          <w:rFonts w:hint="eastAsia" w:ascii="Times New Roman"/>
          <w:color w:val="000000" w:themeColor="text1"/>
          <w:kern w:val="2"/>
          <w:sz w:val="28"/>
          <w:szCs w:val="28"/>
          <w:highlight w:val="none"/>
          <w14:textFill>
            <w14:solidFill>
              <w14:schemeClr w14:val="tx1"/>
            </w14:solidFill>
          </w14:textFill>
        </w:rPr>
        <w:t>副本</w:t>
      </w:r>
      <w:r>
        <w:rPr>
          <w:rFonts w:ascii="Times New Roman"/>
          <w:color w:val="000000" w:themeColor="text1"/>
          <w:kern w:val="2"/>
          <w:sz w:val="28"/>
          <w:szCs w:val="28"/>
          <w:highlight w:val="none"/>
          <w14:textFill>
            <w14:solidFill>
              <w14:schemeClr w14:val="tx1"/>
            </w14:solidFill>
          </w14:textFill>
        </w:rPr>
        <w:t>扫描件</w:t>
      </w:r>
      <w:r>
        <w:rPr>
          <w:rFonts w:hint="eastAsia" w:ascii="Times New Roman"/>
          <w:color w:val="000000" w:themeColor="text1"/>
          <w:kern w:val="2"/>
          <w:sz w:val="28"/>
          <w:szCs w:val="28"/>
          <w:highlight w:val="none"/>
          <w14:textFill>
            <w14:solidFill>
              <w14:schemeClr w14:val="tx1"/>
            </w14:solidFill>
          </w14:textFill>
        </w:rPr>
        <w:t>；</w:t>
      </w:r>
    </w:p>
    <w:p w14:paraId="2D840A86">
      <w:pPr>
        <w:pStyle w:val="23"/>
        <w:spacing w:line="360" w:lineRule="auto"/>
        <w:rPr>
          <w:rFonts w:hint="eastAsia" w:hAnsi="宋体"/>
          <w:b/>
          <w:color w:val="000000" w:themeColor="text1"/>
          <w:sz w:val="24"/>
          <w:szCs w:val="20"/>
          <w:highlight w:val="none"/>
          <w14:textFill>
            <w14:solidFill>
              <w14:schemeClr w14:val="tx1"/>
            </w14:solidFill>
          </w14:textFill>
        </w:rPr>
      </w:pPr>
    </w:p>
    <w:p w14:paraId="3D94788B">
      <w:pPr>
        <w:pStyle w:val="23"/>
        <w:spacing w:line="360" w:lineRule="auto"/>
        <w:rPr>
          <w:rFonts w:hint="eastAsia" w:hAnsi="宋体"/>
          <w:color w:val="000000" w:themeColor="text1"/>
          <w:sz w:val="28"/>
          <w:szCs w:val="28"/>
          <w:highlight w:val="none"/>
          <w14:textFill>
            <w14:solidFill>
              <w14:schemeClr w14:val="tx1"/>
            </w14:solidFill>
          </w14:textFill>
        </w:rPr>
      </w:pPr>
      <w:r>
        <w:rPr>
          <w:rFonts w:hint="eastAsia" w:ascii="Times New Roman"/>
          <w:color w:val="000000" w:themeColor="text1"/>
          <w:kern w:val="2"/>
          <w:sz w:val="28"/>
          <w:szCs w:val="28"/>
          <w:highlight w:val="none"/>
          <w14:textFill>
            <w14:solidFill>
              <w14:schemeClr w14:val="tx1"/>
            </w14:solidFill>
          </w14:textFill>
        </w:rPr>
        <w:t>二、</w:t>
      </w:r>
      <w:r>
        <w:rPr>
          <w:rFonts w:hAnsi="宋体"/>
          <w:color w:val="000000" w:themeColor="text1"/>
          <w:sz w:val="28"/>
          <w:szCs w:val="28"/>
          <w:highlight w:val="none"/>
          <w14:textFill>
            <w14:solidFill>
              <w14:schemeClr w14:val="tx1"/>
            </w14:solidFill>
          </w14:textFill>
        </w:rPr>
        <w:t>桂平市政府采购项目投标资格承诺函</w:t>
      </w:r>
    </w:p>
    <w:p w14:paraId="03E13960">
      <w:pPr>
        <w:spacing w:after="240" w:line="360" w:lineRule="auto"/>
        <w:jc w:val="center"/>
        <w:rPr>
          <w:rFonts w:hint="eastAsia" w:ascii="宋体" w:hAnsi="宋体"/>
          <w:color w:val="000000" w:themeColor="text1"/>
          <w:sz w:val="32"/>
          <w:szCs w:val="32"/>
          <w:highlight w:val="none"/>
          <w14:textFill>
            <w14:solidFill>
              <w14:schemeClr w14:val="tx1"/>
            </w14:solidFill>
          </w14:textFill>
        </w:rPr>
      </w:pPr>
    </w:p>
    <w:p w14:paraId="7262D949">
      <w:pPr>
        <w:spacing w:after="240" w:line="360" w:lineRule="auto"/>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 xml:space="preserve"> </w:t>
      </w:r>
      <w:r>
        <w:rPr>
          <w:rFonts w:ascii="宋体" w:hAnsi="宋体"/>
          <w:color w:val="000000" w:themeColor="text1"/>
          <w:sz w:val="32"/>
          <w:szCs w:val="32"/>
          <w:highlight w:val="none"/>
          <w14:textFill>
            <w14:solidFill>
              <w14:schemeClr w14:val="tx1"/>
            </w14:solidFill>
          </w14:textFill>
        </w:rPr>
        <w:t>桂平市政府采购项目投标资格承诺函</w:t>
      </w:r>
    </w:p>
    <w:p w14:paraId="5536B550">
      <w:pPr>
        <w:spacing w:line="360" w:lineRule="auto"/>
        <w:ind w:firstLine="484" w:firstLineChars="202"/>
        <w:rPr>
          <w:rFonts w:hint="eastAsia"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本公司郑重承诺，根据《中华人民共和国政府采购法》第二十二条的规定，本公司为参加政府采购活动的合格供应商。即本公司同时满足以下条件：</w:t>
      </w:r>
    </w:p>
    <w:p w14:paraId="2ED69834">
      <w:pPr>
        <w:spacing w:line="360" w:lineRule="auto"/>
        <w:ind w:firstLine="484" w:firstLineChars="202"/>
        <w:rPr>
          <w:rFonts w:hint="eastAsia"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1.具有独立承担民事责任的能力。</w:t>
      </w:r>
    </w:p>
    <w:p w14:paraId="7999CA12">
      <w:pPr>
        <w:spacing w:line="360" w:lineRule="auto"/>
        <w:ind w:firstLine="484" w:firstLineChars="202"/>
        <w:rPr>
          <w:rFonts w:hint="eastAsia"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2.具有良好的商业信誉和健全的财务会计制度。</w:t>
      </w:r>
    </w:p>
    <w:p w14:paraId="1BEA03CF">
      <w:pPr>
        <w:spacing w:line="360" w:lineRule="auto"/>
        <w:ind w:firstLine="484" w:firstLineChars="202"/>
        <w:rPr>
          <w:rFonts w:hint="eastAsia"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3.具有履行合同所必需的设备和专业技术能力。</w:t>
      </w:r>
    </w:p>
    <w:p w14:paraId="7BA0EBFF">
      <w:pPr>
        <w:spacing w:line="360" w:lineRule="auto"/>
        <w:ind w:firstLine="484" w:firstLineChars="202"/>
        <w:rPr>
          <w:rFonts w:hint="eastAsia"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4.有依法缴纳税收和社会保障资金的良好记录。</w:t>
      </w:r>
    </w:p>
    <w:p w14:paraId="678A80A2">
      <w:pPr>
        <w:spacing w:line="360" w:lineRule="auto"/>
        <w:ind w:firstLine="484" w:firstLineChars="202"/>
        <w:rPr>
          <w:rFonts w:hint="eastAsia"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5. 提交投标文件截止日期前三年内，在经营活动中没有重大违法记录。</w:t>
      </w:r>
    </w:p>
    <w:p w14:paraId="4775AF60">
      <w:pPr>
        <w:spacing w:line="360" w:lineRule="auto"/>
        <w:ind w:firstLine="484" w:firstLineChars="202"/>
        <w:rPr>
          <w:rFonts w:hint="eastAsia"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本公司对上述承诺的真实性负责，并接受政府采购、税务、社会保障等监督管理部门、采购文件规定的资格审查机构、社会公众的监督和检查。如有虚假，将依法承担相应责任。</w:t>
      </w:r>
    </w:p>
    <w:p w14:paraId="08D5DEA1">
      <w:pPr>
        <w:spacing w:line="360" w:lineRule="auto"/>
        <w:rPr>
          <w:rFonts w:hint="eastAsia" w:ascii="宋体" w:hAnsi="宋体"/>
          <w:color w:val="000000" w:themeColor="text1"/>
          <w:sz w:val="24"/>
          <w:szCs w:val="28"/>
          <w:highlight w:val="none"/>
          <w14:textFill>
            <w14:solidFill>
              <w14:schemeClr w14:val="tx1"/>
            </w14:solidFill>
          </w14:textFill>
        </w:rPr>
      </w:pPr>
    </w:p>
    <w:p w14:paraId="0FCA776B">
      <w:pPr>
        <w:spacing w:line="360" w:lineRule="auto"/>
        <w:rPr>
          <w:rFonts w:hint="eastAsia" w:ascii="宋体" w:hAnsi="宋体"/>
          <w:color w:val="000000" w:themeColor="text1"/>
          <w:sz w:val="24"/>
          <w:szCs w:val="28"/>
          <w:highlight w:val="none"/>
          <w14:textFill>
            <w14:solidFill>
              <w14:schemeClr w14:val="tx1"/>
            </w14:solidFill>
          </w14:textFill>
        </w:rPr>
      </w:pPr>
    </w:p>
    <w:p w14:paraId="65540ECC">
      <w:pPr>
        <w:spacing w:line="360" w:lineRule="auto"/>
        <w:ind w:firstLine="4536" w:firstLineChars="1890"/>
        <w:rPr>
          <w:rFonts w:hint="eastAsia"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企业名称（盖章）：</w:t>
      </w:r>
    </w:p>
    <w:p w14:paraId="64C89A86">
      <w:pPr>
        <w:spacing w:line="360" w:lineRule="auto"/>
        <w:ind w:firstLine="4536" w:firstLineChars="1890"/>
        <w:rPr>
          <w:rFonts w:hint="eastAsia" w:ascii="宋体" w:hAnsi="宋体"/>
          <w:color w:val="000000" w:themeColor="text1"/>
          <w:sz w:val="24"/>
          <w:szCs w:val="28"/>
          <w:highlight w:val="none"/>
          <w14:textFill>
            <w14:solidFill>
              <w14:schemeClr w14:val="tx1"/>
            </w14:solidFill>
          </w14:textFill>
        </w:rPr>
      </w:pPr>
      <w:r>
        <w:rPr>
          <w:rFonts w:ascii="宋体" w:hAnsi="宋体"/>
          <w:color w:val="000000" w:themeColor="text1"/>
          <w:sz w:val="24"/>
          <w:szCs w:val="28"/>
          <w:highlight w:val="none"/>
          <w14:textFill>
            <w14:solidFill>
              <w14:schemeClr w14:val="tx1"/>
            </w14:solidFill>
          </w14:textFill>
        </w:rPr>
        <w:t>法定代表人</w:t>
      </w:r>
      <w:r>
        <w:rPr>
          <w:rFonts w:hint="eastAsia"/>
          <w:color w:val="000000" w:themeColor="text1"/>
          <w:sz w:val="24"/>
          <w:highlight w:val="none"/>
          <w14:textFill>
            <w14:solidFill>
              <w14:schemeClr w14:val="tx1"/>
            </w14:solidFill>
          </w14:textFill>
        </w:rPr>
        <w:t>（签字或盖章）</w:t>
      </w:r>
      <w:r>
        <w:rPr>
          <w:rFonts w:ascii="宋体" w:hAnsi="宋体"/>
          <w:color w:val="000000" w:themeColor="text1"/>
          <w:sz w:val="24"/>
          <w:szCs w:val="28"/>
          <w:highlight w:val="none"/>
          <w14:textFill>
            <w14:solidFill>
              <w14:schemeClr w14:val="tx1"/>
            </w14:solidFill>
          </w14:textFill>
        </w:rPr>
        <w:t>：</w:t>
      </w:r>
    </w:p>
    <w:p w14:paraId="7EDCEE87">
      <w:pPr>
        <w:spacing w:line="360" w:lineRule="auto"/>
        <w:ind w:firstLine="4536" w:firstLineChars="1890"/>
        <w:rPr>
          <w:rFonts w:hint="eastAsia" w:ascii="宋体" w:hAnsi="宋体"/>
          <w:color w:val="000000" w:themeColor="text1"/>
          <w:sz w:val="24"/>
          <w:szCs w:val="28"/>
          <w:highlight w:val="none"/>
          <w14:textFill>
            <w14:solidFill>
              <w14:schemeClr w14:val="tx1"/>
            </w14:solidFill>
          </w14:textFill>
        </w:rPr>
      </w:pPr>
      <w:r>
        <w:rPr>
          <w:color w:val="000000" w:themeColor="text1"/>
          <w:sz w:val="24"/>
          <w:szCs w:val="28"/>
          <w:highlight w:val="none"/>
          <w14:textFill>
            <w14:solidFill>
              <w14:schemeClr w14:val="tx1"/>
            </w14:solidFill>
          </w14:textFill>
        </w:rPr>
        <w:t>日期：     年     月      日</w:t>
      </w:r>
    </w:p>
    <w:p w14:paraId="7CB7A7CD">
      <w:pPr>
        <w:jc w:val="right"/>
        <w:rPr>
          <w:color w:val="000000" w:themeColor="text1"/>
          <w:highlight w:val="none"/>
          <w14:textFill>
            <w14:solidFill>
              <w14:schemeClr w14:val="tx1"/>
            </w14:solidFill>
          </w14:textFill>
        </w:rPr>
      </w:pPr>
    </w:p>
    <w:p w14:paraId="2CAD5FEE">
      <w:pPr>
        <w:jc w:val="center"/>
        <w:rPr>
          <w:color w:val="000000" w:themeColor="text1"/>
          <w:sz w:val="44"/>
          <w:szCs w:val="24"/>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color w:val="000000" w:themeColor="text1"/>
          <w:sz w:val="44"/>
          <w:szCs w:val="24"/>
          <w:highlight w:val="none"/>
          <w14:textFill>
            <w14:solidFill>
              <w14:schemeClr w14:val="tx1"/>
            </w14:solidFill>
          </w14:textFill>
        </w:rPr>
        <w:t>商务文件</w:t>
      </w:r>
    </w:p>
    <w:p w14:paraId="1245FC10">
      <w:pPr>
        <w:rPr>
          <w:color w:val="000000" w:themeColor="text1"/>
          <w:highlight w:val="none"/>
          <w14:textFill>
            <w14:solidFill>
              <w14:schemeClr w14:val="tx1"/>
            </w14:solidFill>
          </w14:textFill>
        </w:rPr>
      </w:pPr>
    </w:p>
    <w:p w14:paraId="21E3BA0C">
      <w:pPr>
        <w:widowControl/>
        <w:jc w:val="center"/>
        <w:rPr>
          <w:rFonts w:ascii="宋体"/>
          <w:bCs/>
          <w:color w:val="000000" w:themeColor="text1"/>
          <w:sz w:val="40"/>
          <w:szCs w:val="30"/>
          <w:highlight w:val="none"/>
          <w14:textFill>
            <w14:solidFill>
              <w14:schemeClr w14:val="tx1"/>
            </w14:solidFill>
          </w14:textFill>
        </w:rPr>
      </w:pPr>
    </w:p>
    <w:p w14:paraId="386515BB">
      <w:pPr>
        <w:widowControl/>
        <w:jc w:val="center"/>
        <w:rPr>
          <w:rFonts w:ascii="宋体"/>
          <w:bCs/>
          <w:color w:val="000000" w:themeColor="text1"/>
          <w:sz w:val="40"/>
          <w:szCs w:val="30"/>
          <w:highlight w:val="none"/>
          <w14:textFill>
            <w14:solidFill>
              <w14:schemeClr w14:val="tx1"/>
            </w14:solidFill>
          </w14:textFill>
        </w:rPr>
      </w:pPr>
      <w:r>
        <w:rPr>
          <w:rFonts w:hint="eastAsia" w:ascii="宋体"/>
          <w:bCs/>
          <w:color w:val="000000" w:themeColor="text1"/>
          <w:sz w:val="40"/>
          <w:szCs w:val="30"/>
          <w:highlight w:val="none"/>
          <w14:textFill>
            <w14:solidFill>
              <w14:schemeClr w14:val="tx1"/>
            </w14:solidFill>
          </w14:textFill>
        </w:rPr>
        <w:t>目　录</w:t>
      </w:r>
    </w:p>
    <w:p w14:paraId="18FF89B1">
      <w:pPr>
        <w:pStyle w:val="34"/>
        <w:outlineLvl w:val="9"/>
        <w:rPr>
          <w:b w:val="0"/>
          <w:color w:val="000000" w:themeColor="text1"/>
          <w:highlight w:val="none"/>
          <w14:textFill>
            <w14:solidFill>
              <w14:schemeClr w14:val="tx1"/>
            </w14:solidFill>
          </w14:textFill>
        </w:rPr>
      </w:pPr>
    </w:p>
    <w:p w14:paraId="1E520E37">
      <w:pPr>
        <w:rPr>
          <w:color w:val="000000" w:themeColor="text1"/>
          <w:highlight w:val="none"/>
          <w14:textFill>
            <w14:solidFill>
              <w14:schemeClr w14:val="tx1"/>
            </w14:solidFill>
          </w14:textFill>
        </w:rPr>
      </w:pPr>
    </w:p>
    <w:p w14:paraId="4CF80F53">
      <w:pPr>
        <w:pStyle w:val="23"/>
        <w:spacing w:line="360" w:lineRule="auto"/>
        <w:rPr>
          <w:rFonts w:cs="Microsoft JhengHei Light"/>
          <w:color w:val="000000" w:themeColor="text1"/>
          <w:spacing w:val="-2"/>
          <w:sz w:val="28"/>
          <w:highlight w:val="none"/>
          <w14:textFill>
            <w14:solidFill>
              <w14:schemeClr w14:val="tx1"/>
            </w14:solidFill>
          </w14:textFill>
        </w:rPr>
      </w:pPr>
      <w:r>
        <w:rPr>
          <w:rFonts w:hint="eastAsia" w:cs="Microsoft JhengHei Light"/>
          <w:color w:val="000000" w:themeColor="text1"/>
          <w:spacing w:val="-2"/>
          <w:sz w:val="28"/>
          <w:highlight w:val="none"/>
          <w14:textFill>
            <w14:solidFill>
              <w14:schemeClr w14:val="tx1"/>
            </w14:solidFill>
          </w14:textFill>
        </w:rPr>
        <w:t>一、法定代表人正反面身份证复印件</w:t>
      </w:r>
    </w:p>
    <w:p w14:paraId="6370B798">
      <w:pPr>
        <w:pStyle w:val="23"/>
        <w:spacing w:line="360" w:lineRule="auto"/>
        <w:rPr>
          <w:rFonts w:cs="Microsoft JhengHei Light"/>
          <w:color w:val="000000" w:themeColor="text1"/>
          <w:spacing w:val="-2"/>
          <w:sz w:val="28"/>
          <w:highlight w:val="none"/>
          <w14:textFill>
            <w14:solidFill>
              <w14:schemeClr w14:val="tx1"/>
            </w14:solidFill>
          </w14:textFill>
        </w:rPr>
      </w:pPr>
      <w:r>
        <w:rPr>
          <w:rFonts w:hint="eastAsia" w:cs="Microsoft JhengHei Light"/>
          <w:color w:val="000000" w:themeColor="text1"/>
          <w:spacing w:val="-2"/>
          <w:sz w:val="28"/>
          <w:highlight w:val="none"/>
          <w14:textFill>
            <w14:solidFill>
              <w14:schemeClr w14:val="tx1"/>
            </w14:solidFill>
          </w14:textFill>
        </w:rPr>
        <w:t>二、法定代表人授权委托书和委托代理人身份证正反面复印件</w:t>
      </w:r>
    </w:p>
    <w:p w14:paraId="76403741">
      <w:pPr>
        <w:pStyle w:val="23"/>
        <w:spacing w:line="360" w:lineRule="auto"/>
        <w:rPr>
          <w:rFonts w:cs="Microsoft JhengHei Light"/>
          <w:color w:val="000000" w:themeColor="text1"/>
          <w:spacing w:val="-2"/>
          <w:sz w:val="28"/>
          <w:highlight w:val="none"/>
          <w14:textFill>
            <w14:solidFill>
              <w14:schemeClr w14:val="tx1"/>
            </w14:solidFill>
          </w14:textFill>
        </w:rPr>
      </w:pPr>
      <w:r>
        <w:rPr>
          <w:rFonts w:hint="eastAsia" w:cs="Microsoft JhengHei Light"/>
          <w:color w:val="000000" w:themeColor="text1"/>
          <w:spacing w:val="-2"/>
          <w:sz w:val="28"/>
          <w:highlight w:val="none"/>
          <w14:textFill>
            <w14:solidFill>
              <w14:schemeClr w14:val="tx1"/>
            </w14:solidFill>
          </w14:textFill>
        </w:rPr>
        <w:t>三、服务条款偏离表</w:t>
      </w:r>
    </w:p>
    <w:p w14:paraId="1894AE2E">
      <w:pPr>
        <w:pStyle w:val="23"/>
        <w:spacing w:line="360" w:lineRule="auto"/>
        <w:rPr>
          <w:rFonts w:cs="Microsoft JhengHei Light"/>
          <w:color w:val="000000" w:themeColor="text1"/>
          <w:spacing w:val="-2"/>
          <w:sz w:val="28"/>
          <w:highlight w:val="none"/>
          <w14:textFill>
            <w14:solidFill>
              <w14:schemeClr w14:val="tx1"/>
            </w14:solidFill>
          </w14:textFill>
        </w:rPr>
      </w:pPr>
      <w:r>
        <w:rPr>
          <w:rFonts w:hint="eastAsia" w:cs="Microsoft JhengHei Light"/>
          <w:color w:val="000000" w:themeColor="text1"/>
          <w:spacing w:val="-2"/>
          <w:sz w:val="28"/>
          <w:highlight w:val="none"/>
          <w14:textFill>
            <w14:solidFill>
              <w14:schemeClr w14:val="tx1"/>
            </w14:solidFill>
          </w14:textFill>
        </w:rPr>
        <w:t>四、供应商认为有必要提供的其它文件及资料。</w:t>
      </w:r>
    </w:p>
    <w:p w14:paraId="1AEACE0A">
      <w:pPr>
        <w:widowControl/>
        <w:spacing w:line="500" w:lineRule="exact"/>
        <w:jc w:val="left"/>
        <w:rPr>
          <w:rFonts w:ascii="宋体"/>
          <w:bCs/>
          <w:color w:val="000000" w:themeColor="text1"/>
          <w:sz w:val="24"/>
          <w:szCs w:val="24"/>
          <w:highlight w:val="none"/>
          <w14:textFill>
            <w14:solidFill>
              <w14:schemeClr w14:val="tx1"/>
            </w14:solidFill>
          </w14:textFill>
        </w:rPr>
      </w:pPr>
    </w:p>
    <w:p w14:paraId="3CEF195E">
      <w:pPr>
        <w:widowControl/>
        <w:spacing w:line="500" w:lineRule="exact"/>
        <w:rPr>
          <w:rFonts w:ascii="宋体"/>
          <w:bCs/>
          <w:color w:val="000000" w:themeColor="text1"/>
          <w:szCs w:val="21"/>
          <w:highlight w:val="none"/>
          <w14:textFill>
            <w14:solidFill>
              <w14:schemeClr w14:val="tx1"/>
            </w14:solidFill>
          </w14:textFill>
        </w:rPr>
      </w:pPr>
    </w:p>
    <w:p w14:paraId="3BAD0CC8">
      <w:pPr>
        <w:widowControl/>
        <w:jc w:val="left"/>
        <w:rPr>
          <w:b/>
          <w:bCs/>
          <w:color w:val="000000" w:themeColor="text1"/>
          <w:sz w:val="30"/>
          <w:szCs w:val="30"/>
          <w:highlight w:val="none"/>
          <w14:textFill>
            <w14:solidFill>
              <w14:schemeClr w14:val="tx1"/>
            </w14:solidFill>
          </w14:textFill>
        </w:rPr>
      </w:pPr>
    </w:p>
    <w:p w14:paraId="78D02221">
      <w:pPr>
        <w:pStyle w:val="27"/>
        <w:rPr>
          <w:b/>
          <w:bCs/>
          <w:color w:val="000000" w:themeColor="text1"/>
          <w:sz w:val="30"/>
          <w:szCs w:val="30"/>
          <w:highlight w:val="none"/>
          <w14:textFill>
            <w14:solidFill>
              <w14:schemeClr w14:val="tx1"/>
            </w14:solidFill>
          </w14:textFill>
        </w:rPr>
      </w:pPr>
    </w:p>
    <w:p w14:paraId="63BA4525">
      <w:pPr>
        <w:pStyle w:val="27"/>
        <w:rPr>
          <w:b/>
          <w:bCs/>
          <w:color w:val="000000" w:themeColor="text1"/>
          <w:sz w:val="30"/>
          <w:szCs w:val="30"/>
          <w:highlight w:val="none"/>
          <w14:textFill>
            <w14:solidFill>
              <w14:schemeClr w14:val="tx1"/>
            </w14:solidFill>
          </w14:textFill>
        </w:rPr>
      </w:pPr>
    </w:p>
    <w:p w14:paraId="7BFB91B3">
      <w:pPr>
        <w:pStyle w:val="27"/>
        <w:rPr>
          <w:b/>
          <w:bCs/>
          <w:color w:val="000000" w:themeColor="text1"/>
          <w:sz w:val="30"/>
          <w:szCs w:val="30"/>
          <w:highlight w:val="none"/>
          <w14:textFill>
            <w14:solidFill>
              <w14:schemeClr w14:val="tx1"/>
            </w14:solidFill>
          </w14:textFill>
        </w:rPr>
      </w:pPr>
    </w:p>
    <w:p w14:paraId="7D118A7E">
      <w:pPr>
        <w:pStyle w:val="27"/>
        <w:rPr>
          <w:b/>
          <w:bCs/>
          <w:color w:val="000000" w:themeColor="text1"/>
          <w:sz w:val="30"/>
          <w:szCs w:val="30"/>
          <w:highlight w:val="none"/>
          <w14:textFill>
            <w14:solidFill>
              <w14:schemeClr w14:val="tx1"/>
            </w14:solidFill>
          </w14:textFill>
        </w:rPr>
      </w:pPr>
    </w:p>
    <w:p w14:paraId="24FAF764">
      <w:pPr>
        <w:pStyle w:val="27"/>
        <w:rPr>
          <w:b/>
          <w:bCs/>
          <w:color w:val="000000" w:themeColor="text1"/>
          <w:sz w:val="30"/>
          <w:szCs w:val="30"/>
          <w:highlight w:val="none"/>
          <w14:textFill>
            <w14:solidFill>
              <w14:schemeClr w14:val="tx1"/>
            </w14:solidFill>
          </w14:textFill>
        </w:rPr>
      </w:pPr>
    </w:p>
    <w:p w14:paraId="4AF1754B">
      <w:pPr>
        <w:pStyle w:val="27"/>
        <w:rPr>
          <w:b/>
          <w:bCs/>
          <w:color w:val="000000" w:themeColor="text1"/>
          <w:sz w:val="30"/>
          <w:szCs w:val="30"/>
          <w:highlight w:val="none"/>
          <w14:textFill>
            <w14:solidFill>
              <w14:schemeClr w14:val="tx1"/>
            </w14:solidFill>
          </w14:textFill>
        </w:rPr>
      </w:pPr>
    </w:p>
    <w:p w14:paraId="2C2DA067">
      <w:pPr>
        <w:pStyle w:val="27"/>
        <w:rPr>
          <w:b/>
          <w:bCs/>
          <w:color w:val="000000" w:themeColor="text1"/>
          <w:sz w:val="30"/>
          <w:szCs w:val="30"/>
          <w:highlight w:val="none"/>
          <w14:textFill>
            <w14:solidFill>
              <w14:schemeClr w14:val="tx1"/>
            </w14:solidFill>
          </w14:textFill>
        </w:rPr>
      </w:pPr>
    </w:p>
    <w:p w14:paraId="6D6F674E">
      <w:pPr>
        <w:pStyle w:val="27"/>
        <w:rPr>
          <w:b/>
          <w:bCs/>
          <w:color w:val="000000" w:themeColor="text1"/>
          <w:sz w:val="30"/>
          <w:szCs w:val="30"/>
          <w:highlight w:val="none"/>
          <w14:textFill>
            <w14:solidFill>
              <w14:schemeClr w14:val="tx1"/>
            </w14:solidFill>
          </w14:textFill>
        </w:rPr>
      </w:pPr>
    </w:p>
    <w:p w14:paraId="65DB1E02">
      <w:pPr>
        <w:pStyle w:val="27"/>
        <w:rPr>
          <w:b/>
          <w:bCs/>
          <w:color w:val="000000" w:themeColor="text1"/>
          <w:sz w:val="30"/>
          <w:szCs w:val="30"/>
          <w:highlight w:val="none"/>
          <w14:textFill>
            <w14:solidFill>
              <w14:schemeClr w14:val="tx1"/>
            </w14:solidFill>
          </w14:textFill>
        </w:rPr>
      </w:pPr>
    </w:p>
    <w:p w14:paraId="221B2A8A">
      <w:pPr>
        <w:pStyle w:val="27"/>
        <w:rPr>
          <w:b/>
          <w:bCs/>
          <w:color w:val="000000" w:themeColor="text1"/>
          <w:sz w:val="30"/>
          <w:szCs w:val="30"/>
          <w:highlight w:val="none"/>
          <w14:textFill>
            <w14:solidFill>
              <w14:schemeClr w14:val="tx1"/>
            </w14:solidFill>
          </w14:textFill>
        </w:rPr>
      </w:pPr>
    </w:p>
    <w:p w14:paraId="073BB49F">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01" w:name="_Toc27960"/>
    </w:p>
    <w:p w14:paraId="188CEBFD">
      <w:pPr>
        <w:pStyle w:val="23"/>
        <w:spacing w:line="360" w:lineRule="auto"/>
        <w:rPr>
          <w:rFonts w:cs="Microsoft JhengHei Light"/>
          <w:color w:val="000000" w:themeColor="text1"/>
          <w:spacing w:val="-2"/>
          <w:sz w:val="28"/>
          <w:highlight w:val="none"/>
          <w14:textFill>
            <w14:solidFill>
              <w14:schemeClr w14:val="tx1"/>
            </w14:solidFill>
          </w14:textFill>
        </w:rPr>
      </w:pPr>
      <w:r>
        <w:rPr>
          <w:rFonts w:hint="eastAsia" w:cs="Microsoft JhengHei Light"/>
          <w:color w:val="000000" w:themeColor="text1"/>
          <w:spacing w:val="-2"/>
          <w:sz w:val="28"/>
          <w:highlight w:val="none"/>
          <w14:textFill>
            <w14:solidFill>
              <w14:schemeClr w14:val="tx1"/>
            </w14:solidFill>
          </w14:textFill>
        </w:rPr>
        <w:t>一、法定代表人正反面身份证复印件，要求证件有效并与营业执照中的法定代表人相符（必须提供，加盖供应商单位公章）；</w:t>
      </w:r>
    </w:p>
    <w:p w14:paraId="71461389">
      <w:pPr>
        <w:rPr>
          <w:rFonts w:cs="Microsoft JhengHei Light"/>
          <w:color w:val="000000" w:themeColor="text1"/>
          <w:spacing w:val="-2"/>
          <w:sz w:val="28"/>
          <w:highlight w:val="none"/>
          <w14:textFill>
            <w14:solidFill>
              <w14:schemeClr w14:val="tx1"/>
            </w14:solidFill>
          </w14:textFill>
        </w:rPr>
      </w:pPr>
    </w:p>
    <w:p w14:paraId="28686BAD">
      <w:pPr>
        <w:rPr>
          <w:color w:val="000000" w:themeColor="text1"/>
          <w:sz w:val="28"/>
          <w:szCs w:val="28"/>
          <w:highlight w:val="none"/>
          <w14:textFill>
            <w14:solidFill>
              <w14:schemeClr w14:val="tx1"/>
            </w14:solidFill>
          </w14:textFill>
        </w:rPr>
      </w:pPr>
      <w:r>
        <w:rPr>
          <w:rFonts w:hint="eastAsia" w:cs="Microsoft JhengHei Light"/>
          <w:color w:val="000000" w:themeColor="text1"/>
          <w:spacing w:val="-2"/>
          <w:sz w:val="28"/>
          <w:highlight w:val="none"/>
          <w14:textFill>
            <w14:solidFill>
              <w14:schemeClr w14:val="tx1"/>
            </w14:solidFill>
          </w14:textFill>
        </w:rPr>
        <w:t>二、法定代表人授权委托书和委托代理人身份证正反面复印件（委托代理时必须提供，加盖供应商单位公章）；</w:t>
      </w:r>
      <w:bookmarkEnd w:id="101"/>
    </w:p>
    <w:p w14:paraId="48F79DE5">
      <w:pPr>
        <w:pStyle w:val="23"/>
        <w:spacing w:line="500" w:lineRule="exact"/>
        <w:ind w:firstLine="420" w:firstLineChars="200"/>
        <w:rPr>
          <w:color w:val="000000" w:themeColor="text1"/>
          <w:sz w:val="21"/>
          <w:highlight w:val="none"/>
          <w:u w:val="single"/>
          <w14:textFill>
            <w14:solidFill>
              <w14:schemeClr w14:val="tx1"/>
            </w14:solidFill>
          </w14:textFill>
        </w:rPr>
      </w:pPr>
    </w:p>
    <w:p w14:paraId="5E71300F">
      <w:pPr>
        <w:jc w:val="center"/>
        <w:rPr>
          <w:color w:val="000000" w:themeColor="text1"/>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授权委托书（格式）</w:t>
      </w:r>
    </w:p>
    <w:p w14:paraId="374D8F6F">
      <w:pPr>
        <w:pStyle w:val="23"/>
        <w:spacing w:line="440" w:lineRule="exact"/>
        <w:rPr>
          <w:color w:val="000000" w:themeColor="text1"/>
          <w:sz w:val="21"/>
          <w:highlight w:val="none"/>
          <w14:textFill>
            <w14:solidFill>
              <w14:schemeClr w14:val="tx1"/>
            </w14:solidFill>
          </w14:textFill>
        </w:rPr>
      </w:pPr>
    </w:p>
    <w:p w14:paraId="358462F3">
      <w:pPr>
        <w:pStyle w:val="23"/>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致：</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（采购代理机构名称）</w:t>
      </w:r>
    </w:p>
    <w:p w14:paraId="32D4E503">
      <w:pPr>
        <w:pStyle w:val="23"/>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本人</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（姓名）系</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（供应商名称）的法定代表人，现授权</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（姓名）为我方代理人。代理人根据授权，以我方名义签署、澄清、说明、补正、递交、撤回、修改贵方组织的</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项目（项目编号：</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）的响应文件、签订合同和处理一切有关事宜，其法律后果由我方承担。</w:t>
      </w:r>
    </w:p>
    <w:p w14:paraId="2C626AAC">
      <w:pPr>
        <w:pStyle w:val="23"/>
        <w:spacing w:line="360" w:lineRule="auto"/>
        <w:ind w:firstLine="480" w:firstLineChars="200"/>
        <w:rPr>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委托期限：自</w:t>
      </w:r>
      <w:r>
        <w:rPr>
          <w:rFonts w:hint="eastAsia" w:cs="宋体"/>
          <w:color w:val="000000" w:themeColor="text1"/>
          <w:sz w:val="24"/>
          <w:highlight w:val="none"/>
          <w:u w:val="single"/>
          <w14:textFill>
            <w14:solidFill>
              <w14:schemeClr w14:val="tx1"/>
            </w14:solidFill>
          </w14:textFill>
        </w:rPr>
        <w:t xml:space="preserve">   年   月   日</w:t>
      </w:r>
      <w:r>
        <w:rPr>
          <w:rFonts w:cs="宋体"/>
          <w:color w:val="000000" w:themeColor="text1"/>
          <w:sz w:val="24"/>
          <w:highlight w:val="none"/>
          <w:u w:val="single"/>
          <w14:textFill>
            <w14:solidFill>
              <w14:schemeClr w14:val="tx1"/>
            </w14:solidFill>
          </w14:textFill>
        </w:rPr>
        <w:t>至</w:t>
      </w:r>
      <w:r>
        <w:rPr>
          <w:rFonts w:hint="eastAsia" w:cs="宋体"/>
          <w:color w:val="000000" w:themeColor="text1"/>
          <w:sz w:val="24"/>
          <w:highlight w:val="none"/>
          <w:u w:val="single"/>
          <w14:textFill>
            <w14:solidFill>
              <w14:schemeClr w14:val="tx1"/>
            </w14:solidFill>
          </w14:textFill>
        </w:rPr>
        <w:t xml:space="preserve">   年   月   日</w:t>
      </w:r>
      <w:r>
        <w:rPr>
          <w:rFonts w:hint="eastAsia" w:cs="宋体"/>
          <w:color w:val="000000" w:themeColor="text1"/>
          <w:sz w:val="24"/>
          <w:highlight w:val="none"/>
          <w14:textFill>
            <w14:solidFill>
              <w14:schemeClr w14:val="tx1"/>
            </w14:solidFill>
          </w14:textFill>
        </w:rPr>
        <w:t>止。代理人在授权书有效期内签署的所有文件不因授权的撤销而失效。</w:t>
      </w:r>
    </w:p>
    <w:p w14:paraId="56A3265E">
      <w:pPr>
        <w:pStyle w:val="23"/>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代理人无转委托权。</w:t>
      </w:r>
    </w:p>
    <w:p w14:paraId="4C03D4D7">
      <w:pPr>
        <w:pStyle w:val="23"/>
        <w:spacing w:line="360" w:lineRule="auto"/>
        <w:ind w:firstLine="480" w:firstLineChars="200"/>
        <w:rPr>
          <w:color w:val="000000" w:themeColor="text1"/>
          <w:sz w:val="24"/>
          <w:highlight w:val="none"/>
          <w14:textFill>
            <w14:solidFill>
              <w14:schemeClr w14:val="tx1"/>
            </w14:solidFill>
          </w14:textFill>
        </w:rPr>
      </w:pPr>
    </w:p>
    <w:p w14:paraId="4A091D23">
      <w:pPr>
        <w:pStyle w:val="23"/>
        <w:spacing w:line="360" w:lineRule="auto"/>
        <w:ind w:firstLine="480" w:firstLineChars="2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供应商（盖单位公章）：</w:t>
      </w:r>
      <w:r>
        <w:rPr>
          <w:color w:val="000000" w:themeColor="text1"/>
          <w:sz w:val="24"/>
          <w:highlight w:val="none"/>
          <w:u w:val="single"/>
          <w14:textFill>
            <w14:solidFill>
              <w14:schemeClr w14:val="tx1"/>
            </w14:solidFill>
          </w14:textFill>
        </w:rPr>
        <w:t xml:space="preserve">                                    </w:t>
      </w:r>
    </w:p>
    <w:p w14:paraId="5AAFAA2B">
      <w:pPr>
        <w:pStyle w:val="23"/>
        <w:spacing w:line="360" w:lineRule="auto"/>
        <w:ind w:firstLine="480" w:firstLineChars="2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法定代表人（签字或盖章）：</w:t>
      </w:r>
      <w:r>
        <w:rPr>
          <w:color w:val="000000" w:themeColor="text1"/>
          <w:sz w:val="24"/>
          <w:highlight w:val="none"/>
          <w:u w:val="single"/>
          <w14:textFill>
            <w14:solidFill>
              <w14:schemeClr w14:val="tx1"/>
            </w14:solidFill>
          </w14:textFill>
        </w:rPr>
        <w:t xml:space="preserve">                                </w:t>
      </w:r>
    </w:p>
    <w:p w14:paraId="20202763">
      <w:pPr>
        <w:pStyle w:val="23"/>
        <w:spacing w:line="360" w:lineRule="auto"/>
        <w:ind w:firstLine="480" w:firstLineChars="2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法定代表人身份证号码：</w:t>
      </w:r>
      <w:r>
        <w:rPr>
          <w:color w:val="000000" w:themeColor="text1"/>
          <w:sz w:val="24"/>
          <w:highlight w:val="none"/>
          <w:u w:val="single"/>
          <w14:textFill>
            <w14:solidFill>
              <w14:schemeClr w14:val="tx1"/>
            </w14:solidFill>
          </w14:textFill>
        </w:rPr>
        <w:t xml:space="preserve">                                   </w:t>
      </w:r>
    </w:p>
    <w:p w14:paraId="0C93CCCC">
      <w:pPr>
        <w:pStyle w:val="23"/>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委托代理人（签字或盖章）：</w:t>
      </w:r>
      <w:r>
        <w:rPr>
          <w:color w:val="000000" w:themeColor="text1"/>
          <w:sz w:val="24"/>
          <w:highlight w:val="none"/>
          <w:u w:val="single"/>
          <w14:textFill>
            <w14:solidFill>
              <w14:schemeClr w14:val="tx1"/>
            </w14:solidFill>
          </w14:textFill>
        </w:rPr>
        <w:t xml:space="preserve">                                </w:t>
      </w:r>
    </w:p>
    <w:p w14:paraId="1D245AB2">
      <w:pPr>
        <w:pStyle w:val="23"/>
        <w:spacing w:line="360" w:lineRule="auto"/>
        <w:ind w:firstLine="480" w:firstLineChars="2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委托代理人身份证号码：</w:t>
      </w:r>
      <w:r>
        <w:rPr>
          <w:color w:val="000000" w:themeColor="text1"/>
          <w:sz w:val="24"/>
          <w:highlight w:val="none"/>
          <w:u w:val="single"/>
          <w14:textFill>
            <w14:solidFill>
              <w14:schemeClr w14:val="tx1"/>
            </w14:solidFill>
          </w14:textFill>
        </w:rPr>
        <w:t xml:space="preserve">                                   </w:t>
      </w:r>
    </w:p>
    <w:p w14:paraId="16B81511">
      <w:pPr>
        <w:pStyle w:val="23"/>
        <w:spacing w:line="360" w:lineRule="auto"/>
        <w:ind w:firstLine="6000" w:firstLineChars="2500"/>
        <w:rPr>
          <w:bCs/>
          <w:color w:val="000000" w:themeColor="text1"/>
          <w:sz w:val="24"/>
          <w:highlight w:val="none"/>
          <w14:textFill>
            <w14:solidFill>
              <w14:schemeClr w14:val="tx1"/>
            </w14:solidFill>
          </w14:textFill>
        </w:rPr>
      </w:pPr>
      <w:r>
        <w:rPr>
          <w:rFonts w:hint="eastAsia"/>
          <w:bCs/>
          <w:color w:val="000000" w:themeColor="text1"/>
          <w:sz w:val="24"/>
          <w:highlight w:val="none"/>
          <w:u w:val="single"/>
          <w14:textFill>
            <w14:solidFill>
              <w14:schemeClr w14:val="tx1"/>
            </w14:solidFill>
          </w14:textFill>
        </w:rPr>
        <w:t xml:space="preserve">    </w:t>
      </w:r>
      <w:r>
        <w:rPr>
          <w:rFonts w:hint="eastAsia"/>
          <w:bCs/>
          <w:color w:val="000000" w:themeColor="text1"/>
          <w:sz w:val="24"/>
          <w:highlight w:val="none"/>
          <w14:textFill>
            <w14:solidFill>
              <w14:schemeClr w14:val="tx1"/>
            </w14:solidFill>
          </w14:textFill>
        </w:rPr>
        <w:t>年</w:t>
      </w:r>
      <w:r>
        <w:rPr>
          <w:rFonts w:hint="eastAsia"/>
          <w:bCs/>
          <w:color w:val="000000" w:themeColor="text1"/>
          <w:sz w:val="24"/>
          <w:highlight w:val="none"/>
          <w:u w:val="single"/>
          <w14:textFill>
            <w14:solidFill>
              <w14:schemeClr w14:val="tx1"/>
            </w14:solidFill>
          </w14:textFill>
        </w:rPr>
        <w:t xml:space="preserve">    </w:t>
      </w:r>
      <w:r>
        <w:rPr>
          <w:rFonts w:hint="eastAsia"/>
          <w:bCs/>
          <w:color w:val="000000" w:themeColor="text1"/>
          <w:sz w:val="24"/>
          <w:highlight w:val="none"/>
          <w14:textFill>
            <w14:solidFill>
              <w14:schemeClr w14:val="tx1"/>
            </w14:solidFill>
          </w14:textFill>
        </w:rPr>
        <w:t>月</w:t>
      </w:r>
      <w:r>
        <w:rPr>
          <w:rFonts w:hint="eastAsia"/>
          <w:bCs/>
          <w:color w:val="000000" w:themeColor="text1"/>
          <w:sz w:val="24"/>
          <w:highlight w:val="none"/>
          <w:u w:val="single"/>
          <w14:textFill>
            <w14:solidFill>
              <w14:schemeClr w14:val="tx1"/>
            </w14:solidFill>
          </w14:textFill>
        </w:rPr>
        <w:t xml:space="preserve">    </w:t>
      </w:r>
      <w:r>
        <w:rPr>
          <w:rFonts w:hint="eastAsia"/>
          <w:bCs/>
          <w:color w:val="000000" w:themeColor="text1"/>
          <w:sz w:val="24"/>
          <w:highlight w:val="none"/>
          <w14:textFill>
            <w14:solidFill>
              <w14:schemeClr w14:val="tx1"/>
            </w14:solidFill>
          </w14:textFill>
        </w:rPr>
        <w:t>日</w:t>
      </w:r>
    </w:p>
    <w:p w14:paraId="2F0CDBB5">
      <w:pPr>
        <w:pStyle w:val="23"/>
        <w:spacing w:line="360" w:lineRule="auto"/>
        <w:jc w:val="left"/>
        <w:rPr>
          <w:b/>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 xml:space="preserve">    附：委托代理人身份证复印件</w:t>
      </w:r>
    </w:p>
    <w:p w14:paraId="1B5580E1">
      <w:pPr>
        <w:rPr>
          <w:color w:val="000000" w:themeColor="text1"/>
          <w:highlight w:val="none"/>
          <w:u w:val="single"/>
          <w14:textFill>
            <w14:solidFill>
              <w14:schemeClr w14:val="tx1"/>
            </w14:solidFill>
          </w14:textFill>
        </w:rPr>
      </w:pPr>
    </w:p>
    <w:p w14:paraId="3A3DEE36">
      <w:pPr>
        <w:widowControl/>
        <w:jc w:val="left"/>
        <w:rPr>
          <w:color w:val="000000" w:themeColor="text1"/>
          <w:sz w:val="28"/>
          <w:szCs w:val="28"/>
          <w:highlight w:val="none"/>
          <w14:textFill>
            <w14:solidFill>
              <w14:schemeClr w14:val="tx1"/>
            </w14:solidFill>
          </w14:textFill>
        </w:rPr>
      </w:pPr>
      <w:r>
        <w:rPr>
          <w:rFonts w:hint="eastAsia"/>
          <w:b/>
          <w:color w:val="000000" w:themeColor="text1"/>
          <w:sz w:val="32"/>
          <w:highlight w:val="none"/>
          <w14:textFill>
            <w14:solidFill>
              <w14:schemeClr w14:val="tx1"/>
            </w14:solidFill>
          </w14:textFill>
        </w:rPr>
        <w:br w:type="page"/>
      </w:r>
      <w:bookmarkStart w:id="102" w:name="_Toc19234"/>
      <w:r>
        <w:rPr>
          <w:rFonts w:hint="eastAsia"/>
          <w:b/>
          <w:color w:val="000000" w:themeColor="text1"/>
          <w:sz w:val="28"/>
          <w:szCs w:val="28"/>
          <w:highlight w:val="none"/>
          <w14:textFill>
            <w14:solidFill>
              <w14:schemeClr w14:val="tx1"/>
            </w14:solidFill>
          </w14:textFill>
        </w:rPr>
        <w:t>三</w:t>
      </w:r>
      <w:r>
        <w:rPr>
          <w:rFonts w:hint="eastAsia"/>
          <w:color w:val="000000" w:themeColor="text1"/>
          <w:sz w:val="28"/>
          <w:szCs w:val="28"/>
          <w:highlight w:val="none"/>
          <w14:textFill>
            <w14:solidFill>
              <w14:schemeClr w14:val="tx1"/>
            </w14:solidFill>
          </w14:textFill>
        </w:rPr>
        <w:t>、</w:t>
      </w:r>
      <w:bookmarkEnd w:id="102"/>
      <w:bookmarkStart w:id="103" w:name="_Toc213206176"/>
      <w:bookmarkStart w:id="104" w:name="_Toc213326424"/>
      <w:bookmarkStart w:id="105" w:name="_Toc213325925"/>
      <w:r>
        <w:rPr>
          <w:rFonts w:hint="eastAsia" w:cs="Microsoft JhengHei Light"/>
          <w:color w:val="000000" w:themeColor="text1"/>
          <w:spacing w:val="-2"/>
          <w:sz w:val="28"/>
          <w:szCs w:val="28"/>
          <w:highlight w:val="none"/>
          <w14:textFill>
            <w14:solidFill>
              <w14:schemeClr w14:val="tx1"/>
            </w14:solidFill>
          </w14:textFill>
        </w:rPr>
        <w:t>服务条款偏离表</w:t>
      </w:r>
      <w:r>
        <w:rPr>
          <w:rFonts w:hint="eastAsia"/>
          <w:color w:val="000000" w:themeColor="text1"/>
          <w:sz w:val="28"/>
          <w:szCs w:val="28"/>
          <w:highlight w:val="none"/>
          <w14:textFill>
            <w14:solidFill>
              <w14:schemeClr w14:val="tx1"/>
            </w14:solidFill>
          </w14:textFill>
        </w:rPr>
        <w:t>（格式）</w:t>
      </w:r>
    </w:p>
    <w:p w14:paraId="74E8697A">
      <w:pPr>
        <w:spacing w:line="440" w:lineRule="exact"/>
        <w:ind w:firstLine="420" w:firstLineChars="200"/>
        <w:rPr>
          <w:rFonts w:ascii="宋体"/>
          <w:color w:val="000000" w:themeColor="text1"/>
          <w:kern w:val="0"/>
          <w:szCs w:val="21"/>
          <w:highlight w:val="none"/>
          <w14:textFill>
            <w14:solidFill>
              <w14:schemeClr w14:val="tx1"/>
            </w14:solidFill>
          </w14:textFill>
        </w:rPr>
      </w:pPr>
    </w:p>
    <w:p w14:paraId="132361B0">
      <w:pPr>
        <w:spacing w:line="440" w:lineRule="exact"/>
        <w:ind w:firstLine="480" w:firstLineChars="200"/>
        <w:rPr>
          <w:rFonts w:ascii="宋体"/>
          <w:color w:val="000000" w:themeColor="text1"/>
          <w:kern w:val="0"/>
          <w:sz w:val="24"/>
          <w:szCs w:val="24"/>
          <w:highlight w:val="none"/>
          <w14:textFill>
            <w14:solidFill>
              <w14:schemeClr w14:val="tx1"/>
            </w14:solidFill>
          </w14:textFill>
        </w:rPr>
      </w:pPr>
      <w:r>
        <w:rPr>
          <w:rFonts w:hint="eastAsia" w:ascii="宋体"/>
          <w:color w:val="000000" w:themeColor="text1"/>
          <w:kern w:val="0"/>
          <w:sz w:val="24"/>
          <w:szCs w:val="24"/>
          <w:highlight w:val="none"/>
          <w14:textFill>
            <w14:solidFill>
              <w14:schemeClr w14:val="tx1"/>
            </w14:solidFill>
          </w14:textFill>
        </w:rPr>
        <w:t>请逐条对应本项目竞争性磋商文件第三章“项目采购服务需求”中“服务条款”的要求，认真填写该表，“偏离说明”一栏选择“正偏离”、“负偏离”或“无偏离”进行填写，否则响应无效。</w:t>
      </w:r>
    </w:p>
    <w:p w14:paraId="4F6753DC">
      <w:pPr>
        <w:rPr>
          <w:rFonts w:ascii="宋体"/>
          <w:color w:val="000000" w:themeColor="text1"/>
          <w:kern w:val="0"/>
          <w:sz w:val="24"/>
          <w:szCs w:val="24"/>
          <w:highlight w:val="none"/>
          <w14:textFill>
            <w14:solidFill>
              <w14:schemeClr w14:val="tx1"/>
            </w14:solidFill>
          </w14:textFill>
        </w:rPr>
      </w:pPr>
    </w:p>
    <w:p w14:paraId="4A08FE3B">
      <w:pPr>
        <w:jc w:val="center"/>
        <w:rPr>
          <w:rFonts w:ascii="宋体"/>
          <w:b/>
          <w:color w:val="000000" w:themeColor="text1"/>
          <w:kern w:val="0"/>
          <w:sz w:val="24"/>
          <w:szCs w:val="24"/>
          <w:highlight w:val="none"/>
          <w14:textFill>
            <w14:solidFill>
              <w14:schemeClr w14:val="tx1"/>
            </w14:solidFill>
          </w14:textFill>
        </w:rPr>
      </w:pPr>
      <w:r>
        <w:rPr>
          <w:rFonts w:hint="eastAsia" w:ascii="宋体"/>
          <w:b/>
          <w:color w:val="000000" w:themeColor="text1"/>
          <w:kern w:val="0"/>
          <w:sz w:val="24"/>
          <w:szCs w:val="24"/>
          <w:highlight w:val="none"/>
          <w14:textFill>
            <w14:solidFill>
              <w14:schemeClr w14:val="tx1"/>
            </w14:solidFill>
          </w14:textFill>
        </w:rPr>
        <w:t>服务条款偏离表</w:t>
      </w:r>
    </w:p>
    <w:tbl>
      <w:tblPr>
        <w:tblStyle w:val="36"/>
        <w:tblW w:w="8364"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376"/>
        <w:gridCol w:w="2977"/>
        <w:gridCol w:w="1276"/>
      </w:tblGrid>
      <w:tr w14:paraId="3B0F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35" w:type="dxa"/>
            <w:tcBorders>
              <w:top w:val="single" w:color="auto" w:sz="4" w:space="0"/>
              <w:left w:val="single" w:color="auto" w:sz="4" w:space="0"/>
              <w:bottom w:val="single" w:color="auto" w:sz="4" w:space="0"/>
              <w:right w:val="single" w:color="auto" w:sz="4" w:space="0"/>
            </w:tcBorders>
            <w:vAlign w:val="center"/>
          </w:tcPr>
          <w:p w14:paraId="560DF912">
            <w:pP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序号</w:t>
            </w:r>
          </w:p>
        </w:tc>
        <w:tc>
          <w:tcPr>
            <w:tcW w:w="3376" w:type="dxa"/>
            <w:tcBorders>
              <w:top w:val="single" w:color="auto" w:sz="4" w:space="0"/>
              <w:left w:val="single" w:color="auto" w:sz="4" w:space="0"/>
              <w:bottom w:val="single" w:color="auto" w:sz="4" w:space="0"/>
              <w:right w:val="single" w:color="auto" w:sz="4" w:space="0"/>
            </w:tcBorders>
            <w:vAlign w:val="center"/>
          </w:tcPr>
          <w:p w14:paraId="711906FF">
            <w:pPr>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竞争性磋商文件的服务条款</w:t>
            </w:r>
          </w:p>
        </w:tc>
        <w:tc>
          <w:tcPr>
            <w:tcW w:w="2977" w:type="dxa"/>
            <w:tcBorders>
              <w:top w:val="single" w:color="auto" w:sz="4" w:space="0"/>
              <w:left w:val="single" w:color="auto" w:sz="4" w:space="0"/>
              <w:bottom w:val="single" w:color="auto" w:sz="4" w:space="0"/>
              <w:right w:val="single" w:color="auto" w:sz="4" w:space="0"/>
            </w:tcBorders>
            <w:vAlign w:val="center"/>
          </w:tcPr>
          <w:p w14:paraId="682E4E35">
            <w:pPr>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响应文件承诺的服务条款</w:t>
            </w:r>
          </w:p>
        </w:tc>
        <w:tc>
          <w:tcPr>
            <w:tcW w:w="1276" w:type="dxa"/>
            <w:tcBorders>
              <w:top w:val="single" w:color="auto" w:sz="4" w:space="0"/>
              <w:left w:val="single" w:color="auto" w:sz="4" w:space="0"/>
              <w:bottom w:val="single" w:color="auto" w:sz="4" w:space="0"/>
              <w:right w:val="single" w:color="auto" w:sz="4" w:space="0"/>
            </w:tcBorders>
            <w:vAlign w:val="center"/>
          </w:tcPr>
          <w:p w14:paraId="537B44E8">
            <w:pPr>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偏离说明</w:t>
            </w:r>
          </w:p>
        </w:tc>
      </w:tr>
      <w:tr w14:paraId="7FF3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5951F874">
            <w:pPr>
              <w:jc w:val="center"/>
              <w:rPr>
                <w:rFonts w:ascii="宋体"/>
                <w:color w:val="000000" w:themeColor="text1"/>
                <w:spacing w:val="-20"/>
                <w:sz w:val="24"/>
                <w:szCs w:val="24"/>
                <w:highlight w:val="none"/>
                <w14:textFill>
                  <w14:solidFill>
                    <w14:schemeClr w14:val="tx1"/>
                  </w14:solidFill>
                </w14:textFill>
              </w:rPr>
            </w:pPr>
            <w:r>
              <w:rPr>
                <w:rFonts w:hint="eastAsia" w:ascii="宋体"/>
                <w:color w:val="000000" w:themeColor="text1"/>
                <w:spacing w:val="-20"/>
                <w:sz w:val="24"/>
                <w:szCs w:val="24"/>
                <w:highlight w:val="none"/>
                <w14:textFill>
                  <w14:solidFill>
                    <w14:schemeClr w14:val="tx1"/>
                  </w14:solidFill>
                </w14:textFill>
              </w:rPr>
              <w:t>1</w:t>
            </w:r>
          </w:p>
        </w:tc>
        <w:tc>
          <w:tcPr>
            <w:tcW w:w="3376" w:type="dxa"/>
            <w:tcBorders>
              <w:top w:val="single" w:color="auto" w:sz="4" w:space="0"/>
              <w:left w:val="single" w:color="auto" w:sz="4" w:space="0"/>
              <w:bottom w:val="single" w:color="auto" w:sz="4" w:space="0"/>
              <w:right w:val="single" w:color="auto" w:sz="4" w:space="0"/>
            </w:tcBorders>
            <w:vAlign w:val="center"/>
          </w:tcPr>
          <w:p w14:paraId="38B561FE">
            <w:pPr>
              <w:spacing w:line="600" w:lineRule="exact"/>
              <w:jc w:val="center"/>
              <w:rPr>
                <w:rFonts w:ascii="宋体"/>
                <w:color w:val="000000" w:themeColor="text1"/>
                <w:sz w:val="24"/>
                <w:szCs w:val="24"/>
                <w:highlight w:val="none"/>
                <w14:textFill>
                  <w14:solidFill>
                    <w14:schemeClr w14:val="tx1"/>
                  </w14:solidFill>
                </w14:textFill>
              </w:rPr>
            </w:pPr>
          </w:p>
        </w:tc>
        <w:tc>
          <w:tcPr>
            <w:tcW w:w="2977" w:type="dxa"/>
            <w:tcBorders>
              <w:top w:val="single" w:color="auto" w:sz="4" w:space="0"/>
              <w:left w:val="single" w:color="auto" w:sz="4" w:space="0"/>
              <w:bottom w:val="single" w:color="auto" w:sz="4" w:space="0"/>
              <w:right w:val="single" w:color="auto" w:sz="4" w:space="0"/>
            </w:tcBorders>
            <w:vAlign w:val="center"/>
          </w:tcPr>
          <w:p w14:paraId="217D1DAC">
            <w:pPr>
              <w:spacing w:line="600" w:lineRule="exact"/>
              <w:jc w:val="center"/>
              <w:rPr>
                <w:rFonts w:ascii="宋体"/>
                <w:color w:val="000000" w:themeColor="text1"/>
                <w:sz w:val="24"/>
                <w:szCs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57E82580">
            <w:pPr>
              <w:spacing w:line="600" w:lineRule="exact"/>
              <w:jc w:val="center"/>
              <w:rPr>
                <w:rFonts w:ascii="宋体"/>
                <w:color w:val="000000" w:themeColor="text1"/>
                <w:sz w:val="24"/>
                <w:szCs w:val="24"/>
                <w:highlight w:val="none"/>
                <w14:textFill>
                  <w14:solidFill>
                    <w14:schemeClr w14:val="tx1"/>
                  </w14:solidFill>
                </w14:textFill>
              </w:rPr>
            </w:pPr>
          </w:p>
        </w:tc>
      </w:tr>
      <w:tr w14:paraId="00A7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3D852D9E">
            <w:pPr>
              <w:jc w:val="center"/>
              <w:rPr>
                <w:rFonts w:ascii="宋体"/>
                <w:color w:val="000000" w:themeColor="text1"/>
                <w:spacing w:val="-20"/>
                <w:sz w:val="24"/>
                <w:szCs w:val="24"/>
                <w:highlight w:val="none"/>
                <w14:textFill>
                  <w14:solidFill>
                    <w14:schemeClr w14:val="tx1"/>
                  </w14:solidFill>
                </w14:textFill>
              </w:rPr>
            </w:pPr>
            <w:r>
              <w:rPr>
                <w:rFonts w:hint="eastAsia" w:ascii="宋体"/>
                <w:color w:val="000000" w:themeColor="text1"/>
                <w:spacing w:val="-20"/>
                <w:sz w:val="24"/>
                <w:szCs w:val="24"/>
                <w:highlight w:val="none"/>
                <w14:textFill>
                  <w14:solidFill>
                    <w14:schemeClr w14:val="tx1"/>
                  </w14:solidFill>
                </w14:textFill>
              </w:rPr>
              <w:t>2</w:t>
            </w:r>
          </w:p>
        </w:tc>
        <w:tc>
          <w:tcPr>
            <w:tcW w:w="3376" w:type="dxa"/>
            <w:tcBorders>
              <w:top w:val="single" w:color="auto" w:sz="4" w:space="0"/>
              <w:left w:val="single" w:color="auto" w:sz="4" w:space="0"/>
              <w:bottom w:val="single" w:color="auto" w:sz="4" w:space="0"/>
              <w:right w:val="single" w:color="auto" w:sz="4" w:space="0"/>
            </w:tcBorders>
            <w:vAlign w:val="center"/>
          </w:tcPr>
          <w:p w14:paraId="3933E808">
            <w:pPr>
              <w:spacing w:line="600" w:lineRule="exact"/>
              <w:jc w:val="center"/>
              <w:rPr>
                <w:rFonts w:ascii="宋体"/>
                <w:color w:val="000000" w:themeColor="text1"/>
                <w:sz w:val="24"/>
                <w:szCs w:val="24"/>
                <w:highlight w:val="none"/>
                <w14:textFill>
                  <w14:solidFill>
                    <w14:schemeClr w14:val="tx1"/>
                  </w14:solidFill>
                </w14:textFill>
              </w:rPr>
            </w:pPr>
          </w:p>
        </w:tc>
        <w:tc>
          <w:tcPr>
            <w:tcW w:w="2977" w:type="dxa"/>
            <w:tcBorders>
              <w:top w:val="single" w:color="auto" w:sz="4" w:space="0"/>
              <w:left w:val="single" w:color="auto" w:sz="4" w:space="0"/>
              <w:bottom w:val="single" w:color="auto" w:sz="4" w:space="0"/>
              <w:right w:val="single" w:color="auto" w:sz="4" w:space="0"/>
            </w:tcBorders>
            <w:vAlign w:val="center"/>
          </w:tcPr>
          <w:p w14:paraId="17594863">
            <w:pPr>
              <w:spacing w:line="600" w:lineRule="exact"/>
              <w:jc w:val="center"/>
              <w:rPr>
                <w:rFonts w:ascii="宋体"/>
                <w:color w:val="000000" w:themeColor="text1"/>
                <w:sz w:val="24"/>
                <w:szCs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573AAA65">
            <w:pPr>
              <w:spacing w:line="600" w:lineRule="exact"/>
              <w:jc w:val="center"/>
              <w:rPr>
                <w:rFonts w:ascii="宋体"/>
                <w:color w:val="000000" w:themeColor="text1"/>
                <w:sz w:val="24"/>
                <w:szCs w:val="24"/>
                <w:highlight w:val="none"/>
                <w14:textFill>
                  <w14:solidFill>
                    <w14:schemeClr w14:val="tx1"/>
                  </w14:solidFill>
                </w14:textFill>
              </w:rPr>
            </w:pPr>
          </w:p>
        </w:tc>
      </w:tr>
      <w:tr w14:paraId="52E5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425E69E0">
            <w:pPr>
              <w:jc w:val="center"/>
              <w:rPr>
                <w:rFonts w:ascii="宋体"/>
                <w:color w:val="000000" w:themeColor="text1"/>
                <w:spacing w:val="-20"/>
                <w:sz w:val="24"/>
                <w:szCs w:val="24"/>
                <w:highlight w:val="none"/>
                <w14:textFill>
                  <w14:solidFill>
                    <w14:schemeClr w14:val="tx1"/>
                  </w14:solidFill>
                </w14:textFill>
              </w:rPr>
            </w:pPr>
            <w:r>
              <w:rPr>
                <w:rFonts w:hint="eastAsia" w:ascii="宋体"/>
                <w:color w:val="000000" w:themeColor="text1"/>
                <w:spacing w:val="-20"/>
                <w:sz w:val="24"/>
                <w:szCs w:val="24"/>
                <w:highlight w:val="none"/>
                <w14:textFill>
                  <w14:solidFill>
                    <w14:schemeClr w14:val="tx1"/>
                  </w14:solidFill>
                </w14:textFill>
              </w:rPr>
              <w:t>...</w:t>
            </w:r>
          </w:p>
        </w:tc>
        <w:tc>
          <w:tcPr>
            <w:tcW w:w="3376" w:type="dxa"/>
            <w:tcBorders>
              <w:top w:val="single" w:color="auto" w:sz="4" w:space="0"/>
              <w:left w:val="single" w:color="auto" w:sz="4" w:space="0"/>
              <w:bottom w:val="single" w:color="auto" w:sz="4" w:space="0"/>
              <w:right w:val="single" w:color="auto" w:sz="4" w:space="0"/>
            </w:tcBorders>
            <w:vAlign w:val="center"/>
          </w:tcPr>
          <w:p w14:paraId="3B1087C0">
            <w:pPr>
              <w:spacing w:line="600" w:lineRule="exact"/>
              <w:jc w:val="center"/>
              <w:rPr>
                <w:rFonts w:ascii="宋体"/>
                <w:color w:val="000000" w:themeColor="text1"/>
                <w:sz w:val="24"/>
                <w:szCs w:val="24"/>
                <w:highlight w:val="none"/>
                <w14:textFill>
                  <w14:solidFill>
                    <w14:schemeClr w14:val="tx1"/>
                  </w14:solidFill>
                </w14:textFill>
              </w:rPr>
            </w:pPr>
          </w:p>
        </w:tc>
        <w:tc>
          <w:tcPr>
            <w:tcW w:w="2977" w:type="dxa"/>
            <w:tcBorders>
              <w:top w:val="single" w:color="auto" w:sz="4" w:space="0"/>
              <w:left w:val="single" w:color="auto" w:sz="4" w:space="0"/>
              <w:bottom w:val="single" w:color="auto" w:sz="4" w:space="0"/>
              <w:right w:val="single" w:color="auto" w:sz="4" w:space="0"/>
            </w:tcBorders>
            <w:vAlign w:val="center"/>
          </w:tcPr>
          <w:p w14:paraId="043499BC">
            <w:pPr>
              <w:spacing w:line="600" w:lineRule="exact"/>
              <w:jc w:val="center"/>
              <w:rPr>
                <w:rFonts w:ascii="宋体"/>
                <w:color w:val="000000" w:themeColor="text1"/>
                <w:sz w:val="24"/>
                <w:szCs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70FA719F">
            <w:pPr>
              <w:spacing w:line="600" w:lineRule="exact"/>
              <w:jc w:val="center"/>
              <w:rPr>
                <w:rFonts w:ascii="宋体"/>
                <w:color w:val="000000" w:themeColor="text1"/>
                <w:sz w:val="24"/>
                <w:szCs w:val="24"/>
                <w:highlight w:val="none"/>
                <w14:textFill>
                  <w14:solidFill>
                    <w14:schemeClr w14:val="tx1"/>
                  </w14:solidFill>
                </w14:textFill>
              </w:rPr>
            </w:pPr>
          </w:p>
        </w:tc>
      </w:tr>
    </w:tbl>
    <w:p w14:paraId="58DD0AED">
      <w:pPr>
        <w:spacing w:line="600" w:lineRule="exact"/>
        <w:rPr>
          <w:rFonts w:ascii="宋体"/>
          <w:color w:val="000000" w:themeColor="text1"/>
          <w:kern w:val="0"/>
          <w:sz w:val="24"/>
          <w:szCs w:val="24"/>
          <w:highlight w:val="none"/>
          <w14:textFill>
            <w14:solidFill>
              <w14:schemeClr w14:val="tx1"/>
            </w14:solidFill>
          </w14:textFill>
        </w:rPr>
      </w:pPr>
    </w:p>
    <w:p w14:paraId="32F90AF4">
      <w:pPr>
        <w:spacing w:line="600" w:lineRule="exact"/>
        <w:rPr>
          <w:rFonts w:ascii="宋体"/>
          <w:color w:val="000000" w:themeColor="text1"/>
          <w:kern w:val="0"/>
          <w:sz w:val="24"/>
          <w:szCs w:val="24"/>
          <w:highlight w:val="none"/>
          <w14:textFill>
            <w14:solidFill>
              <w14:schemeClr w14:val="tx1"/>
            </w14:solidFill>
          </w14:textFill>
        </w:rPr>
      </w:pPr>
    </w:p>
    <w:p w14:paraId="1725F8DA">
      <w:pPr>
        <w:spacing w:line="600" w:lineRule="exact"/>
        <w:rPr>
          <w:rFonts w:ascii="宋体"/>
          <w:color w:val="000000" w:themeColor="text1"/>
          <w:kern w:val="0"/>
          <w:sz w:val="24"/>
          <w:szCs w:val="24"/>
          <w:highlight w:val="none"/>
          <w:u w:val="single"/>
          <w14:textFill>
            <w14:solidFill>
              <w14:schemeClr w14:val="tx1"/>
            </w14:solidFill>
          </w14:textFill>
        </w:rPr>
      </w:pPr>
      <w:r>
        <w:rPr>
          <w:rFonts w:hint="eastAsia" w:ascii="宋体"/>
          <w:color w:val="000000" w:themeColor="text1"/>
          <w:kern w:val="0"/>
          <w:sz w:val="24"/>
          <w:szCs w:val="24"/>
          <w:highlight w:val="none"/>
          <w14:textFill>
            <w14:solidFill>
              <w14:schemeClr w14:val="tx1"/>
            </w14:solidFill>
          </w14:textFill>
        </w:rPr>
        <w:t>供应商（盖单位公章）：</w:t>
      </w:r>
      <w:r>
        <w:rPr>
          <w:rFonts w:hint="eastAsia" w:ascii="宋体"/>
          <w:color w:val="000000" w:themeColor="text1"/>
          <w:kern w:val="0"/>
          <w:sz w:val="24"/>
          <w:szCs w:val="24"/>
          <w:highlight w:val="none"/>
          <w:u w:val="single"/>
          <w14:textFill>
            <w14:solidFill>
              <w14:schemeClr w14:val="tx1"/>
            </w14:solidFill>
          </w14:textFill>
        </w:rPr>
        <w:t xml:space="preserve">                                    </w:t>
      </w:r>
    </w:p>
    <w:p w14:paraId="26C87E3E">
      <w:pPr>
        <w:spacing w:line="600" w:lineRule="exact"/>
        <w:rPr>
          <w:rFonts w:ascii="宋体"/>
          <w:color w:val="000000" w:themeColor="text1"/>
          <w:kern w:val="0"/>
          <w:sz w:val="24"/>
          <w:szCs w:val="24"/>
          <w:highlight w:val="none"/>
          <w:u w:val="single"/>
          <w14:textFill>
            <w14:solidFill>
              <w14:schemeClr w14:val="tx1"/>
            </w14:solidFill>
          </w14:textFill>
        </w:rPr>
      </w:pPr>
      <w:r>
        <w:rPr>
          <w:rFonts w:hint="eastAsia" w:ascii="宋体"/>
          <w:bCs/>
          <w:color w:val="000000" w:themeColor="text1"/>
          <w:kern w:val="0"/>
          <w:sz w:val="24"/>
          <w:szCs w:val="24"/>
          <w:highlight w:val="none"/>
          <w14:textFill>
            <w14:solidFill>
              <w14:schemeClr w14:val="tx1"/>
            </w14:solidFill>
          </w14:textFill>
        </w:rPr>
        <w:t>日期：</w:t>
      </w:r>
      <w:r>
        <w:rPr>
          <w:rFonts w:hint="eastAsia" w:ascii="宋体"/>
          <w:bCs/>
          <w:color w:val="000000" w:themeColor="text1"/>
          <w:kern w:val="0"/>
          <w:sz w:val="24"/>
          <w:szCs w:val="24"/>
          <w:highlight w:val="none"/>
          <w:u w:val="single"/>
          <w14:textFill>
            <w14:solidFill>
              <w14:schemeClr w14:val="tx1"/>
            </w14:solidFill>
          </w14:textFill>
        </w:rPr>
        <w:t xml:space="preserve">    </w:t>
      </w:r>
      <w:r>
        <w:rPr>
          <w:rFonts w:hint="eastAsia" w:ascii="宋体"/>
          <w:bCs/>
          <w:color w:val="000000" w:themeColor="text1"/>
          <w:kern w:val="0"/>
          <w:sz w:val="24"/>
          <w:szCs w:val="24"/>
          <w:highlight w:val="none"/>
          <w14:textFill>
            <w14:solidFill>
              <w14:schemeClr w14:val="tx1"/>
            </w14:solidFill>
          </w14:textFill>
        </w:rPr>
        <w:t>年</w:t>
      </w:r>
      <w:r>
        <w:rPr>
          <w:rFonts w:hint="eastAsia" w:ascii="宋体"/>
          <w:bCs/>
          <w:color w:val="000000" w:themeColor="text1"/>
          <w:kern w:val="0"/>
          <w:sz w:val="24"/>
          <w:szCs w:val="24"/>
          <w:highlight w:val="none"/>
          <w:u w:val="single"/>
          <w14:textFill>
            <w14:solidFill>
              <w14:schemeClr w14:val="tx1"/>
            </w14:solidFill>
          </w14:textFill>
        </w:rPr>
        <w:t xml:space="preserve">    </w:t>
      </w:r>
      <w:r>
        <w:rPr>
          <w:rFonts w:hint="eastAsia" w:ascii="宋体"/>
          <w:bCs/>
          <w:color w:val="000000" w:themeColor="text1"/>
          <w:kern w:val="0"/>
          <w:sz w:val="24"/>
          <w:szCs w:val="24"/>
          <w:highlight w:val="none"/>
          <w14:textFill>
            <w14:solidFill>
              <w14:schemeClr w14:val="tx1"/>
            </w14:solidFill>
          </w14:textFill>
        </w:rPr>
        <w:t>月</w:t>
      </w:r>
      <w:r>
        <w:rPr>
          <w:rFonts w:hint="eastAsia" w:ascii="宋体"/>
          <w:bCs/>
          <w:color w:val="000000" w:themeColor="text1"/>
          <w:kern w:val="0"/>
          <w:sz w:val="24"/>
          <w:szCs w:val="24"/>
          <w:highlight w:val="none"/>
          <w:u w:val="single"/>
          <w14:textFill>
            <w14:solidFill>
              <w14:schemeClr w14:val="tx1"/>
            </w14:solidFill>
          </w14:textFill>
        </w:rPr>
        <w:t xml:space="preserve">    </w:t>
      </w:r>
      <w:r>
        <w:rPr>
          <w:rFonts w:hint="eastAsia" w:ascii="宋体"/>
          <w:bCs/>
          <w:color w:val="000000" w:themeColor="text1"/>
          <w:kern w:val="0"/>
          <w:sz w:val="24"/>
          <w:szCs w:val="24"/>
          <w:highlight w:val="none"/>
          <w14:textFill>
            <w14:solidFill>
              <w14:schemeClr w14:val="tx1"/>
            </w14:solidFill>
          </w14:textFill>
        </w:rPr>
        <w:t>日</w:t>
      </w:r>
    </w:p>
    <w:p w14:paraId="749FC917">
      <w:pPr>
        <w:rPr>
          <w:color w:val="000000" w:themeColor="text1"/>
          <w:highlight w:val="none"/>
          <w14:textFill>
            <w14:solidFill>
              <w14:schemeClr w14:val="tx1"/>
            </w14:solidFill>
          </w14:textFill>
        </w:rPr>
      </w:pPr>
    </w:p>
    <w:p w14:paraId="30F27CE1">
      <w:pPr>
        <w:widowControl/>
        <w:jc w:val="left"/>
        <w:rPr>
          <w:rFonts w:ascii="宋体"/>
          <w:color w:val="000000" w:themeColor="text1"/>
          <w:sz w:val="28"/>
          <w:szCs w:val="28"/>
          <w:highlight w:val="none"/>
          <w14:textFill>
            <w14:solidFill>
              <w14:schemeClr w14:val="tx1"/>
            </w14:solidFill>
          </w14:textFill>
        </w:rPr>
      </w:pPr>
      <w:bookmarkStart w:id="106" w:name="_Toc6215"/>
    </w:p>
    <w:p w14:paraId="61AD9196">
      <w:pPr>
        <w:widowControl/>
        <w:jc w:val="left"/>
        <w:rPr>
          <w:rFonts w:ascii="宋体"/>
          <w:color w:val="000000" w:themeColor="text1"/>
          <w:sz w:val="28"/>
          <w:szCs w:val="28"/>
          <w:highlight w:val="none"/>
          <w14:textFill>
            <w14:solidFill>
              <w14:schemeClr w14:val="tx1"/>
            </w14:solidFill>
          </w14:textFill>
        </w:rPr>
      </w:pPr>
    </w:p>
    <w:p w14:paraId="5AB71D21">
      <w:pPr>
        <w:widowControl/>
        <w:jc w:val="left"/>
        <w:rPr>
          <w:rFonts w:ascii="宋体"/>
          <w:color w:val="000000" w:themeColor="text1"/>
          <w:sz w:val="28"/>
          <w:szCs w:val="28"/>
          <w:highlight w:val="none"/>
          <w14:textFill>
            <w14:solidFill>
              <w14:schemeClr w14:val="tx1"/>
            </w14:solidFill>
          </w14:textFill>
        </w:rPr>
      </w:pPr>
    </w:p>
    <w:p w14:paraId="3DE55B92">
      <w:pPr>
        <w:widowControl/>
        <w:jc w:val="left"/>
        <w:rPr>
          <w:rFonts w:ascii="宋体"/>
          <w:color w:val="000000" w:themeColor="text1"/>
          <w:sz w:val="28"/>
          <w:szCs w:val="28"/>
          <w:highlight w:val="none"/>
          <w14:textFill>
            <w14:solidFill>
              <w14:schemeClr w14:val="tx1"/>
            </w14:solidFill>
          </w14:textFill>
        </w:rPr>
      </w:pPr>
    </w:p>
    <w:p w14:paraId="22F6CF0D">
      <w:pPr>
        <w:widowControl/>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四、</w:t>
      </w:r>
      <w:bookmarkEnd w:id="106"/>
      <w:r>
        <w:rPr>
          <w:rFonts w:hint="eastAsia" w:ascii="宋体"/>
          <w:color w:val="000000" w:themeColor="text1"/>
          <w:sz w:val="28"/>
          <w:szCs w:val="28"/>
          <w:highlight w:val="none"/>
          <w14:textFill>
            <w14:solidFill>
              <w14:schemeClr w14:val="tx1"/>
            </w14:solidFill>
          </w14:textFill>
        </w:rPr>
        <w:t>供应商认为有必要提供的其它文件及资料。</w:t>
      </w:r>
    </w:p>
    <w:p w14:paraId="7171E57C">
      <w:pPr>
        <w:widowControl/>
        <w:jc w:val="left"/>
        <w:rPr>
          <w:rFonts w:ascii="宋体"/>
          <w:b/>
          <w:bCs/>
          <w:color w:val="000000" w:themeColor="text1"/>
          <w:sz w:val="24"/>
          <w:szCs w:val="30"/>
          <w:highlight w:val="none"/>
          <w14:textFill>
            <w14:solidFill>
              <w14:schemeClr w14:val="tx1"/>
            </w14:solidFill>
          </w14:textFill>
        </w:rPr>
      </w:pPr>
    </w:p>
    <w:p w14:paraId="397DB5FE">
      <w:pPr>
        <w:widowControl/>
        <w:jc w:val="left"/>
        <w:rPr>
          <w:rFonts w:ascii="宋体"/>
          <w:b/>
          <w:bCs/>
          <w:color w:val="000000" w:themeColor="text1"/>
          <w:sz w:val="24"/>
          <w:szCs w:val="30"/>
          <w:highlight w:val="none"/>
          <w14:textFill>
            <w14:solidFill>
              <w14:schemeClr w14:val="tx1"/>
            </w14:solidFill>
          </w14:textFill>
        </w:rPr>
      </w:pPr>
    </w:p>
    <w:p w14:paraId="26BB9323">
      <w:pPr>
        <w:widowControl/>
        <w:jc w:val="left"/>
        <w:rPr>
          <w:rFonts w:ascii="宋体"/>
          <w:b/>
          <w:bCs/>
          <w:color w:val="000000" w:themeColor="text1"/>
          <w:sz w:val="24"/>
          <w:szCs w:val="30"/>
          <w:highlight w:val="none"/>
          <w14:textFill>
            <w14:solidFill>
              <w14:schemeClr w14:val="tx1"/>
            </w14:solidFill>
          </w14:textFill>
        </w:rPr>
      </w:pPr>
    </w:p>
    <w:p w14:paraId="05087298">
      <w:pPr>
        <w:pStyle w:val="27"/>
        <w:rPr>
          <w:rFonts w:ascii="宋体"/>
          <w:b/>
          <w:bCs/>
          <w:color w:val="000000" w:themeColor="text1"/>
          <w:sz w:val="24"/>
          <w:szCs w:val="30"/>
          <w:highlight w:val="none"/>
          <w14:textFill>
            <w14:solidFill>
              <w14:schemeClr w14:val="tx1"/>
            </w14:solidFill>
          </w14:textFill>
        </w:rPr>
      </w:pPr>
    </w:p>
    <w:p w14:paraId="3020F2A2">
      <w:pPr>
        <w:pStyle w:val="27"/>
        <w:rPr>
          <w:rFonts w:ascii="宋体"/>
          <w:b/>
          <w:bCs/>
          <w:color w:val="000000" w:themeColor="text1"/>
          <w:sz w:val="24"/>
          <w:szCs w:val="30"/>
          <w:highlight w:val="none"/>
          <w14:textFill>
            <w14:solidFill>
              <w14:schemeClr w14:val="tx1"/>
            </w14:solidFill>
          </w14:textFill>
        </w:rPr>
      </w:pPr>
    </w:p>
    <w:p w14:paraId="7B08FA47">
      <w:pPr>
        <w:pStyle w:val="27"/>
        <w:rPr>
          <w:rFonts w:ascii="宋体"/>
          <w:b/>
          <w:bCs/>
          <w:color w:val="000000" w:themeColor="text1"/>
          <w:sz w:val="24"/>
          <w:szCs w:val="30"/>
          <w:highlight w:val="none"/>
          <w14:textFill>
            <w14:solidFill>
              <w14:schemeClr w14:val="tx1"/>
            </w14:solidFill>
          </w14:textFill>
        </w:rPr>
      </w:pPr>
    </w:p>
    <w:p w14:paraId="2276764C">
      <w:pPr>
        <w:pStyle w:val="27"/>
        <w:rPr>
          <w:rFonts w:ascii="宋体"/>
          <w:b/>
          <w:bCs/>
          <w:color w:val="000000" w:themeColor="text1"/>
          <w:sz w:val="24"/>
          <w:szCs w:val="30"/>
          <w:highlight w:val="none"/>
          <w14:textFill>
            <w14:solidFill>
              <w14:schemeClr w14:val="tx1"/>
            </w14:solidFill>
          </w14:textFill>
        </w:rPr>
      </w:pPr>
    </w:p>
    <w:p w14:paraId="35A508DE">
      <w:pPr>
        <w:pStyle w:val="27"/>
        <w:rPr>
          <w:rFonts w:ascii="宋体"/>
          <w:b/>
          <w:bCs/>
          <w:color w:val="000000" w:themeColor="text1"/>
          <w:sz w:val="24"/>
          <w:szCs w:val="30"/>
          <w:highlight w:val="none"/>
          <w14:textFill>
            <w14:solidFill>
              <w14:schemeClr w14:val="tx1"/>
            </w14:solidFill>
          </w14:textFill>
        </w:rPr>
      </w:pPr>
    </w:p>
    <w:p w14:paraId="1751FC86">
      <w:pPr>
        <w:pStyle w:val="27"/>
        <w:rPr>
          <w:rFonts w:ascii="宋体"/>
          <w:b/>
          <w:bCs/>
          <w:color w:val="000000" w:themeColor="text1"/>
          <w:sz w:val="24"/>
          <w:szCs w:val="30"/>
          <w:highlight w:val="none"/>
          <w14:textFill>
            <w14:solidFill>
              <w14:schemeClr w14:val="tx1"/>
            </w14:solidFill>
          </w14:textFill>
        </w:rPr>
      </w:pPr>
    </w:p>
    <w:bookmarkEnd w:id="103"/>
    <w:bookmarkEnd w:id="104"/>
    <w:bookmarkEnd w:id="105"/>
    <w:p w14:paraId="3F516C48">
      <w:pPr>
        <w:jc w:val="center"/>
        <w:rPr>
          <w:color w:val="000000" w:themeColor="text1"/>
          <w:sz w:val="40"/>
          <w:szCs w:val="32"/>
          <w:highlight w:val="none"/>
          <w14:textFill>
            <w14:solidFill>
              <w14:schemeClr w14:val="tx1"/>
            </w14:solidFill>
          </w14:textFill>
        </w:rPr>
      </w:pPr>
      <w:bookmarkStart w:id="107" w:name="_Toc26966"/>
    </w:p>
    <w:p w14:paraId="31B3EA90">
      <w:pPr>
        <w:jc w:val="center"/>
        <w:rPr>
          <w:color w:val="000000" w:themeColor="text1"/>
          <w:sz w:val="40"/>
          <w:szCs w:val="32"/>
          <w:highlight w:val="none"/>
          <w14:textFill>
            <w14:solidFill>
              <w14:schemeClr w14:val="tx1"/>
            </w14:solidFill>
          </w14:textFill>
        </w:rPr>
      </w:pPr>
      <w:r>
        <w:rPr>
          <w:rFonts w:hint="eastAsia"/>
          <w:color w:val="000000" w:themeColor="text1"/>
          <w:sz w:val="40"/>
          <w:szCs w:val="32"/>
          <w:highlight w:val="none"/>
          <w14:textFill>
            <w14:solidFill>
              <w14:schemeClr w14:val="tx1"/>
            </w14:solidFill>
          </w14:textFill>
        </w:rPr>
        <w:t>技术</w:t>
      </w:r>
      <w:r>
        <w:rPr>
          <w:color w:val="000000" w:themeColor="text1"/>
          <w:sz w:val="40"/>
          <w:szCs w:val="32"/>
          <w:highlight w:val="none"/>
          <w14:textFill>
            <w14:solidFill>
              <w14:schemeClr w14:val="tx1"/>
            </w14:solidFill>
          </w14:textFill>
        </w:rPr>
        <w:t>文件</w:t>
      </w:r>
      <w:bookmarkEnd w:id="107"/>
    </w:p>
    <w:p w14:paraId="5E3A5912">
      <w:pPr>
        <w:widowControl/>
        <w:spacing w:line="360" w:lineRule="auto"/>
        <w:jc w:val="left"/>
        <w:rPr>
          <w:rFonts w:ascii="宋体"/>
          <w:color w:val="000000" w:themeColor="text1"/>
          <w:sz w:val="24"/>
          <w:highlight w:val="none"/>
          <w14:textFill>
            <w14:solidFill>
              <w14:schemeClr w14:val="tx1"/>
            </w14:solidFill>
          </w14:textFill>
        </w:rPr>
      </w:pPr>
    </w:p>
    <w:p w14:paraId="7F7801AB">
      <w:pPr>
        <w:widowControl/>
        <w:jc w:val="center"/>
        <w:rPr>
          <w:rFonts w:ascii="宋体"/>
          <w:bCs/>
          <w:color w:val="000000" w:themeColor="text1"/>
          <w:sz w:val="40"/>
          <w:szCs w:val="30"/>
          <w:highlight w:val="none"/>
          <w14:textFill>
            <w14:solidFill>
              <w14:schemeClr w14:val="tx1"/>
            </w14:solidFill>
          </w14:textFill>
        </w:rPr>
      </w:pPr>
      <w:r>
        <w:rPr>
          <w:rFonts w:hint="eastAsia" w:ascii="宋体"/>
          <w:bCs/>
          <w:color w:val="000000" w:themeColor="text1"/>
          <w:sz w:val="40"/>
          <w:szCs w:val="30"/>
          <w:highlight w:val="none"/>
          <w14:textFill>
            <w14:solidFill>
              <w14:schemeClr w14:val="tx1"/>
            </w14:solidFill>
          </w14:textFill>
        </w:rPr>
        <w:t>目录</w:t>
      </w:r>
    </w:p>
    <w:p w14:paraId="39E5002C">
      <w:pPr>
        <w:pStyle w:val="23"/>
        <w:spacing w:line="360" w:lineRule="auto"/>
        <w:jc w:val="left"/>
        <w:rPr>
          <w:rFonts w:cs="Microsoft JhengHei Light"/>
          <w:color w:val="000000" w:themeColor="text1"/>
          <w:spacing w:val="-2"/>
          <w:sz w:val="28"/>
          <w:szCs w:val="28"/>
          <w:highlight w:val="none"/>
          <w14:textFill>
            <w14:solidFill>
              <w14:schemeClr w14:val="tx1"/>
            </w14:solidFill>
          </w14:textFill>
        </w:rPr>
      </w:pPr>
    </w:p>
    <w:p w14:paraId="214465FD">
      <w:pPr>
        <w:pStyle w:val="23"/>
        <w:numPr>
          <w:ilvl w:val="0"/>
          <w:numId w:val="9"/>
        </w:numPr>
        <w:spacing w:line="360" w:lineRule="auto"/>
        <w:ind w:firstLine="552" w:firstLineChars="200"/>
        <w:jc w:val="left"/>
        <w:rPr>
          <w:rFonts w:cs="Microsoft JhengHei Light"/>
          <w:color w:val="000000" w:themeColor="text1"/>
          <w:spacing w:val="-2"/>
          <w:sz w:val="28"/>
          <w:szCs w:val="28"/>
          <w:highlight w:val="none"/>
          <w14:textFill>
            <w14:solidFill>
              <w14:schemeClr w14:val="tx1"/>
            </w14:solidFill>
          </w14:textFill>
        </w:rPr>
      </w:pPr>
      <w:r>
        <w:rPr>
          <w:rFonts w:hint="eastAsia" w:cs="Microsoft JhengHei Light"/>
          <w:color w:val="000000" w:themeColor="text1"/>
          <w:spacing w:val="-2"/>
          <w:sz w:val="28"/>
          <w:szCs w:val="28"/>
          <w:highlight w:val="none"/>
          <w14:textFill>
            <w14:solidFill>
              <w14:schemeClr w14:val="tx1"/>
            </w14:solidFill>
          </w14:textFill>
        </w:rPr>
        <w:t>服务方案</w:t>
      </w:r>
    </w:p>
    <w:p w14:paraId="580951C2">
      <w:pPr>
        <w:numPr>
          <w:ilvl w:val="0"/>
          <w:numId w:val="9"/>
        </w:numPr>
        <w:spacing w:line="360" w:lineRule="auto"/>
        <w:ind w:firstLine="560"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项目实施人员配备</w:t>
      </w:r>
    </w:p>
    <w:p w14:paraId="789257D0">
      <w:pPr>
        <w:pStyle w:val="23"/>
        <w:spacing w:line="360" w:lineRule="auto"/>
        <w:ind w:firstLine="552" w:firstLineChars="200"/>
        <w:jc w:val="left"/>
        <w:rPr>
          <w:rFonts w:cs="宋体"/>
          <w:b/>
          <w:color w:val="000000" w:themeColor="text1"/>
          <w:sz w:val="28"/>
          <w:szCs w:val="28"/>
          <w:highlight w:val="none"/>
          <w14:textFill>
            <w14:solidFill>
              <w14:schemeClr w14:val="tx1"/>
            </w14:solidFill>
          </w14:textFill>
        </w:rPr>
      </w:pPr>
      <w:r>
        <w:rPr>
          <w:rFonts w:hint="eastAsia" w:cs="Microsoft JhengHei Light"/>
          <w:color w:val="000000" w:themeColor="text1"/>
          <w:spacing w:val="-2"/>
          <w:sz w:val="28"/>
          <w:szCs w:val="28"/>
          <w:highlight w:val="none"/>
          <w14:textFill>
            <w14:solidFill>
              <w14:schemeClr w14:val="tx1"/>
            </w14:solidFill>
          </w14:textFill>
        </w:rPr>
        <w:t>三、供应商认为有必要提供的其他文件及资料</w:t>
      </w:r>
    </w:p>
    <w:p w14:paraId="213FCCB0">
      <w:pPr>
        <w:pStyle w:val="27"/>
        <w:spacing w:line="360" w:lineRule="auto"/>
        <w:rPr>
          <w:rFonts w:ascii="宋体" w:cs="宋体"/>
          <w:b/>
          <w:color w:val="000000" w:themeColor="text1"/>
          <w:sz w:val="28"/>
          <w:szCs w:val="28"/>
          <w:highlight w:val="none"/>
          <w14:textFill>
            <w14:solidFill>
              <w14:schemeClr w14:val="tx1"/>
            </w14:solidFill>
          </w14:textFill>
        </w:rPr>
      </w:pPr>
    </w:p>
    <w:p w14:paraId="279C34CF">
      <w:pPr>
        <w:pStyle w:val="27"/>
        <w:rPr>
          <w:rFonts w:ascii="宋体" w:cs="宋体"/>
          <w:b/>
          <w:color w:val="000000" w:themeColor="text1"/>
          <w:sz w:val="28"/>
          <w:szCs w:val="28"/>
          <w:highlight w:val="none"/>
          <w14:textFill>
            <w14:solidFill>
              <w14:schemeClr w14:val="tx1"/>
            </w14:solidFill>
          </w14:textFill>
        </w:rPr>
      </w:pPr>
    </w:p>
    <w:p w14:paraId="2EA2BDDF">
      <w:pPr>
        <w:pStyle w:val="27"/>
        <w:rPr>
          <w:rFonts w:ascii="宋体" w:cs="宋体"/>
          <w:b/>
          <w:color w:val="000000" w:themeColor="text1"/>
          <w:sz w:val="28"/>
          <w:szCs w:val="28"/>
          <w:highlight w:val="none"/>
          <w14:textFill>
            <w14:solidFill>
              <w14:schemeClr w14:val="tx1"/>
            </w14:solidFill>
          </w14:textFill>
        </w:rPr>
      </w:pPr>
    </w:p>
    <w:p w14:paraId="345AD13B">
      <w:pPr>
        <w:pStyle w:val="27"/>
        <w:rPr>
          <w:rFonts w:ascii="宋体" w:cs="宋体"/>
          <w:b/>
          <w:color w:val="000000" w:themeColor="text1"/>
          <w:sz w:val="28"/>
          <w:szCs w:val="28"/>
          <w:highlight w:val="none"/>
          <w14:textFill>
            <w14:solidFill>
              <w14:schemeClr w14:val="tx1"/>
            </w14:solidFill>
          </w14:textFill>
        </w:rPr>
      </w:pPr>
    </w:p>
    <w:p w14:paraId="1B198746">
      <w:pPr>
        <w:pStyle w:val="27"/>
        <w:rPr>
          <w:rFonts w:ascii="宋体" w:cs="宋体"/>
          <w:b/>
          <w:color w:val="000000" w:themeColor="text1"/>
          <w:sz w:val="28"/>
          <w:szCs w:val="28"/>
          <w:highlight w:val="none"/>
          <w14:textFill>
            <w14:solidFill>
              <w14:schemeClr w14:val="tx1"/>
            </w14:solidFill>
          </w14:textFill>
        </w:rPr>
      </w:pPr>
    </w:p>
    <w:p w14:paraId="3D673CCE">
      <w:pPr>
        <w:pStyle w:val="27"/>
        <w:rPr>
          <w:rFonts w:ascii="宋体" w:cs="宋体"/>
          <w:b/>
          <w:color w:val="000000" w:themeColor="text1"/>
          <w:sz w:val="28"/>
          <w:szCs w:val="28"/>
          <w:highlight w:val="none"/>
          <w14:textFill>
            <w14:solidFill>
              <w14:schemeClr w14:val="tx1"/>
            </w14:solidFill>
          </w14:textFill>
        </w:rPr>
      </w:pPr>
    </w:p>
    <w:p w14:paraId="3C948367">
      <w:pPr>
        <w:pStyle w:val="27"/>
        <w:rPr>
          <w:rFonts w:ascii="宋体" w:cs="宋体"/>
          <w:b/>
          <w:color w:val="000000" w:themeColor="text1"/>
          <w:sz w:val="28"/>
          <w:szCs w:val="28"/>
          <w:highlight w:val="none"/>
          <w14:textFill>
            <w14:solidFill>
              <w14:schemeClr w14:val="tx1"/>
            </w14:solidFill>
          </w14:textFill>
        </w:rPr>
      </w:pPr>
    </w:p>
    <w:p w14:paraId="2881D4B8">
      <w:pPr>
        <w:pStyle w:val="27"/>
        <w:rPr>
          <w:rFonts w:ascii="宋体" w:cs="宋体"/>
          <w:b/>
          <w:color w:val="000000" w:themeColor="text1"/>
          <w:sz w:val="28"/>
          <w:szCs w:val="28"/>
          <w:highlight w:val="none"/>
          <w14:textFill>
            <w14:solidFill>
              <w14:schemeClr w14:val="tx1"/>
            </w14:solidFill>
          </w14:textFill>
        </w:rPr>
      </w:pPr>
    </w:p>
    <w:p w14:paraId="17CA6991">
      <w:pPr>
        <w:pStyle w:val="27"/>
        <w:rPr>
          <w:rFonts w:ascii="宋体" w:cs="宋体"/>
          <w:b/>
          <w:color w:val="000000" w:themeColor="text1"/>
          <w:sz w:val="28"/>
          <w:szCs w:val="28"/>
          <w:highlight w:val="none"/>
          <w14:textFill>
            <w14:solidFill>
              <w14:schemeClr w14:val="tx1"/>
            </w14:solidFill>
          </w14:textFill>
        </w:rPr>
      </w:pPr>
    </w:p>
    <w:p w14:paraId="4B40A788">
      <w:pPr>
        <w:pStyle w:val="27"/>
        <w:rPr>
          <w:rFonts w:ascii="宋体" w:cs="宋体"/>
          <w:b/>
          <w:color w:val="000000" w:themeColor="text1"/>
          <w:sz w:val="28"/>
          <w:szCs w:val="28"/>
          <w:highlight w:val="none"/>
          <w14:textFill>
            <w14:solidFill>
              <w14:schemeClr w14:val="tx1"/>
            </w14:solidFill>
          </w14:textFill>
        </w:rPr>
      </w:pPr>
    </w:p>
    <w:p w14:paraId="0A67EDAB">
      <w:pPr>
        <w:pStyle w:val="27"/>
        <w:rPr>
          <w:rFonts w:ascii="宋体" w:cs="宋体"/>
          <w:b/>
          <w:color w:val="000000" w:themeColor="text1"/>
          <w:sz w:val="28"/>
          <w:szCs w:val="28"/>
          <w:highlight w:val="none"/>
          <w14:textFill>
            <w14:solidFill>
              <w14:schemeClr w14:val="tx1"/>
            </w14:solidFill>
          </w14:textFill>
        </w:rPr>
      </w:pPr>
    </w:p>
    <w:p w14:paraId="501563C1">
      <w:pPr>
        <w:pStyle w:val="27"/>
        <w:rPr>
          <w:rFonts w:ascii="宋体" w:cs="宋体"/>
          <w:b/>
          <w:color w:val="000000" w:themeColor="text1"/>
          <w:sz w:val="28"/>
          <w:szCs w:val="28"/>
          <w:highlight w:val="none"/>
          <w14:textFill>
            <w14:solidFill>
              <w14:schemeClr w14:val="tx1"/>
            </w14:solidFill>
          </w14:textFill>
        </w:rPr>
      </w:pPr>
    </w:p>
    <w:p w14:paraId="5FA0CA83">
      <w:pPr>
        <w:pStyle w:val="27"/>
        <w:rPr>
          <w:rFonts w:ascii="宋体" w:cs="宋体"/>
          <w:b/>
          <w:color w:val="000000" w:themeColor="text1"/>
          <w:sz w:val="28"/>
          <w:szCs w:val="28"/>
          <w:highlight w:val="none"/>
          <w14:textFill>
            <w14:solidFill>
              <w14:schemeClr w14:val="tx1"/>
            </w14:solidFill>
          </w14:textFill>
        </w:rPr>
      </w:pPr>
    </w:p>
    <w:p w14:paraId="3685F6E8">
      <w:pPr>
        <w:pStyle w:val="27"/>
        <w:rPr>
          <w:rFonts w:ascii="宋体" w:cs="宋体"/>
          <w:b/>
          <w:color w:val="000000" w:themeColor="text1"/>
          <w:sz w:val="28"/>
          <w:szCs w:val="28"/>
          <w:highlight w:val="none"/>
          <w14:textFill>
            <w14:solidFill>
              <w14:schemeClr w14:val="tx1"/>
            </w14:solidFill>
          </w14:textFill>
        </w:rPr>
      </w:pPr>
    </w:p>
    <w:p w14:paraId="4C5DEAA9">
      <w:pPr>
        <w:pStyle w:val="27"/>
        <w:rPr>
          <w:rFonts w:ascii="宋体" w:cs="宋体"/>
          <w:b/>
          <w:color w:val="000000" w:themeColor="text1"/>
          <w:sz w:val="28"/>
          <w:szCs w:val="28"/>
          <w:highlight w:val="none"/>
          <w14:textFill>
            <w14:solidFill>
              <w14:schemeClr w14:val="tx1"/>
            </w14:solidFill>
          </w14:textFill>
        </w:rPr>
      </w:pPr>
    </w:p>
    <w:p w14:paraId="4A004111">
      <w:pPr>
        <w:pStyle w:val="27"/>
        <w:rPr>
          <w:rFonts w:ascii="宋体" w:cs="宋体"/>
          <w:b/>
          <w:color w:val="000000" w:themeColor="text1"/>
          <w:sz w:val="28"/>
          <w:szCs w:val="28"/>
          <w:highlight w:val="none"/>
          <w14:textFill>
            <w14:solidFill>
              <w14:schemeClr w14:val="tx1"/>
            </w14:solidFill>
          </w14:textFill>
        </w:rPr>
      </w:pPr>
    </w:p>
    <w:p w14:paraId="06CD03B1">
      <w:pPr>
        <w:pStyle w:val="27"/>
        <w:rPr>
          <w:rFonts w:ascii="宋体" w:cs="宋体"/>
          <w:b/>
          <w:color w:val="000000" w:themeColor="text1"/>
          <w:sz w:val="28"/>
          <w:szCs w:val="28"/>
          <w:highlight w:val="none"/>
          <w14:textFill>
            <w14:solidFill>
              <w14:schemeClr w14:val="tx1"/>
            </w14:solidFill>
          </w14:textFill>
        </w:rPr>
      </w:pPr>
    </w:p>
    <w:p w14:paraId="021360F7">
      <w:pPr>
        <w:pStyle w:val="27"/>
        <w:rPr>
          <w:rFonts w:ascii="宋体" w:cs="宋体"/>
          <w:b/>
          <w:color w:val="000000" w:themeColor="text1"/>
          <w:sz w:val="28"/>
          <w:szCs w:val="28"/>
          <w:highlight w:val="none"/>
          <w14:textFill>
            <w14:solidFill>
              <w14:schemeClr w14:val="tx1"/>
            </w14:solidFill>
          </w14:textFill>
        </w:rPr>
      </w:pPr>
    </w:p>
    <w:p w14:paraId="3C7B9808">
      <w:pPr>
        <w:pStyle w:val="27"/>
        <w:rPr>
          <w:rFonts w:ascii="宋体" w:cs="宋体"/>
          <w:b/>
          <w:color w:val="000000" w:themeColor="text1"/>
          <w:sz w:val="28"/>
          <w:szCs w:val="28"/>
          <w:highlight w:val="none"/>
          <w14:textFill>
            <w14:solidFill>
              <w14:schemeClr w14:val="tx1"/>
            </w14:solidFill>
          </w14:textFill>
        </w:rPr>
      </w:pPr>
    </w:p>
    <w:p w14:paraId="6C843C81">
      <w:pPr>
        <w:pStyle w:val="27"/>
        <w:rPr>
          <w:rFonts w:ascii="宋体" w:cs="宋体"/>
          <w:b/>
          <w:color w:val="000000" w:themeColor="text1"/>
          <w:sz w:val="28"/>
          <w:szCs w:val="28"/>
          <w:highlight w:val="none"/>
          <w14:textFill>
            <w14:solidFill>
              <w14:schemeClr w14:val="tx1"/>
            </w14:solidFill>
          </w14:textFill>
        </w:rPr>
      </w:pPr>
    </w:p>
    <w:p w14:paraId="28120A4A">
      <w:pPr>
        <w:pStyle w:val="27"/>
        <w:rPr>
          <w:rFonts w:ascii="宋体" w:cs="宋体"/>
          <w:b/>
          <w:color w:val="000000" w:themeColor="text1"/>
          <w:sz w:val="28"/>
          <w:szCs w:val="28"/>
          <w:highlight w:val="none"/>
          <w14:textFill>
            <w14:solidFill>
              <w14:schemeClr w14:val="tx1"/>
            </w14:solidFill>
          </w14:textFill>
        </w:rPr>
      </w:pPr>
    </w:p>
    <w:p w14:paraId="5721823D">
      <w:pPr>
        <w:pStyle w:val="27"/>
        <w:rPr>
          <w:rFonts w:ascii="宋体" w:cs="宋体"/>
          <w:b/>
          <w:color w:val="000000" w:themeColor="text1"/>
          <w:sz w:val="28"/>
          <w:szCs w:val="28"/>
          <w:highlight w:val="none"/>
          <w14:textFill>
            <w14:solidFill>
              <w14:schemeClr w14:val="tx1"/>
            </w14:solidFill>
          </w14:textFill>
        </w:rPr>
      </w:pPr>
    </w:p>
    <w:p w14:paraId="3B8E3155">
      <w:pPr>
        <w:pStyle w:val="27"/>
        <w:rPr>
          <w:rFonts w:ascii="宋体" w:cs="宋体"/>
          <w:b/>
          <w:color w:val="000000" w:themeColor="text1"/>
          <w:sz w:val="28"/>
          <w:szCs w:val="28"/>
          <w:highlight w:val="none"/>
          <w14:textFill>
            <w14:solidFill>
              <w14:schemeClr w14:val="tx1"/>
            </w14:solidFill>
          </w14:textFill>
        </w:rPr>
      </w:pPr>
    </w:p>
    <w:p w14:paraId="5907552E">
      <w:pPr>
        <w:pStyle w:val="23"/>
        <w:spacing w:line="360" w:lineRule="auto"/>
        <w:ind w:left="354"/>
        <w:jc w:val="left"/>
        <w:rPr>
          <w:rFonts w:cs="Microsoft JhengHei Light"/>
          <w:color w:val="000000" w:themeColor="text1"/>
          <w:spacing w:val="-2"/>
          <w:sz w:val="28"/>
          <w:szCs w:val="28"/>
          <w:highlight w:val="none"/>
          <w14:textFill>
            <w14:solidFill>
              <w14:schemeClr w14:val="tx1"/>
            </w14:solidFill>
          </w14:textFill>
        </w:rPr>
      </w:pPr>
    </w:p>
    <w:p w14:paraId="095BB49C">
      <w:pPr>
        <w:pStyle w:val="23"/>
        <w:spacing w:line="360" w:lineRule="auto"/>
        <w:ind w:left="354"/>
        <w:jc w:val="left"/>
        <w:rPr>
          <w:rFonts w:cs="Microsoft JhengHei Light"/>
          <w:color w:val="000000" w:themeColor="text1"/>
          <w:spacing w:val="-2"/>
          <w:sz w:val="28"/>
          <w:szCs w:val="28"/>
          <w:highlight w:val="none"/>
          <w14:textFill>
            <w14:solidFill>
              <w14:schemeClr w14:val="tx1"/>
            </w14:solidFill>
          </w14:textFill>
        </w:rPr>
      </w:pPr>
      <w:r>
        <w:rPr>
          <w:rFonts w:hint="eastAsia" w:cs="Microsoft JhengHei Light"/>
          <w:color w:val="000000" w:themeColor="text1"/>
          <w:spacing w:val="-2"/>
          <w:sz w:val="28"/>
          <w:szCs w:val="28"/>
          <w:highlight w:val="none"/>
          <w14:textFill>
            <w14:solidFill>
              <w14:schemeClr w14:val="tx1"/>
            </w14:solidFill>
          </w14:textFill>
        </w:rPr>
        <w:t>一、服务方案</w:t>
      </w:r>
    </w:p>
    <w:p w14:paraId="1E2C718E">
      <w:pPr>
        <w:pStyle w:val="23"/>
        <w:spacing w:line="360" w:lineRule="auto"/>
        <w:ind w:left="354"/>
        <w:jc w:val="left"/>
        <w:rPr>
          <w:rFonts w:hint="eastAsia" w:hAnsi="宋体" w:cs="宋体"/>
          <w:color w:val="000000" w:themeColor="text1"/>
          <w:sz w:val="28"/>
          <w:szCs w:val="28"/>
          <w:highlight w:val="none"/>
          <w14:textFill>
            <w14:solidFill>
              <w14:schemeClr w14:val="tx1"/>
            </w14:solidFill>
          </w14:textFill>
        </w:rPr>
      </w:pPr>
      <w:r>
        <w:rPr>
          <w:rFonts w:hint="eastAsia" w:cs="Microsoft JhengHei Light"/>
          <w:color w:val="000000" w:themeColor="text1"/>
          <w:spacing w:val="-2"/>
          <w:sz w:val="28"/>
          <w:szCs w:val="28"/>
          <w:highlight w:val="none"/>
          <w14:textFill>
            <w14:solidFill>
              <w14:schemeClr w14:val="tx1"/>
            </w14:solidFill>
          </w14:textFill>
        </w:rPr>
        <w:t>（格式自拟）</w:t>
      </w:r>
    </w:p>
    <w:p w14:paraId="2A0D26DC">
      <w:pPr>
        <w:pStyle w:val="23"/>
        <w:spacing w:line="360" w:lineRule="auto"/>
        <w:ind w:left="354"/>
        <w:jc w:val="left"/>
        <w:rPr>
          <w:rFonts w:hint="eastAsia" w:hAnsi="宋体" w:cs="宋体"/>
          <w:color w:val="000000" w:themeColor="text1"/>
          <w:sz w:val="28"/>
          <w:szCs w:val="28"/>
          <w:highlight w:val="none"/>
          <w14:textFill>
            <w14:solidFill>
              <w14:schemeClr w14:val="tx1"/>
            </w14:solidFill>
          </w14:textFill>
        </w:rPr>
      </w:pPr>
    </w:p>
    <w:p w14:paraId="55988A55">
      <w:pPr>
        <w:pStyle w:val="23"/>
        <w:spacing w:line="360" w:lineRule="auto"/>
        <w:ind w:left="354"/>
        <w:jc w:val="left"/>
        <w:rPr>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14:textFill>
            <w14:solidFill>
              <w14:schemeClr w14:val="tx1"/>
            </w14:solidFill>
          </w14:textFill>
        </w:rPr>
        <w:t>二、项目实施人员配备</w:t>
      </w:r>
    </w:p>
    <w:p w14:paraId="57FFB27F">
      <w:pPr>
        <w:keepNext/>
        <w:keepLines/>
        <w:tabs>
          <w:tab w:val="left" w:pos="900"/>
          <w:tab w:val="left" w:pos="1588"/>
        </w:tabs>
        <w:spacing w:line="416" w:lineRule="auto"/>
        <w:ind w:firstLine="3373" w:firstLineChars="1400"/>
        <w:rPr>
          <w:b/>
          <w:color w:val="000000" w:themeColor="text1"/>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项目实施人员配备</w:t>
      </w:r>
    </w:p>
    <w:tbl>
      <w:tblPr>
        <w:tblStyle w:val="36"/>
        <w:tblW w:w="8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993"/>
        <w:gridCol w:w="850"/>
        <w:gridCol w:w="1096"/>
        <w:gridCol w:w="3200"/>
        <w:gridCol w:w="1323"/>
      </w:tblGrid>
      <w:tr w14:paraId="79D6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03" w:type="dxa"/>
            <w:vAlign w:val="center"/>
          </w:tcPr>
          <w:p w14:paraId="076FA741">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993" w:type="dxa"/>
            <w:vAlign w:val="center"/>
          </w:tcPr>
          <w:p w14:paraId="6170186A">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姓名</w:t>
            </w:r>
          </w:p>
        </w:tc>
        <w:tc>
          <w:tcPr>
            <w:tcW w:w="850" w:type="dxa"/>
            <w:vAlign w:val="center"/>
          </w:tcPr>
          <w:p w14:paraId="2465965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性别</w:t>
            </w:r>
          </w:p>
        </w:tc>
        <w:tc>
          <w:tcPr>
            <w:tcW w:w="1096" w:type="dxa"/>
            <w:vAlign w:val="center"/>
          </w:tcPr>
          <w:p w14:paraId="6846514A">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职称</w:t>
            </w:r>
          </w:p>
        </w:tc>
        <w:tc>
          <w:tcPr>
            <w:tcW w:w="3200" w:type="dxa"/>
            <w:vAlign w:val="center"/>
          </w:tcPr>
          <w:p w14:paraId="6CA9661D">
            <w:pPr>
              <w:snapToGrid w:val="0"/>
              <w:jc w:val="center"/>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拟在本项目中担任的职务</w:t>
            </w:r>
          </w:p>
        </w:tc>
        <w:tc>
          <w:tcPr>
            <w:tcW w:w="1323" w:type="dxa"/>
            <w:vAlign w:val="center"/>
          </w:tcPr>
          <w:p w14:paraId="39BF456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r>
      <w:tr w14:paraId="263F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03" w:type="dxa"/>
            <w:vAlign w:val="center"/>
          </w:tcPr>
          <w:p w14:paraId="23986EAB">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p>
        </w:tc>
        <w:tc>
          <w:tcPr>
            <w:tcW w:w="993" w:type="dxa"/>
            <w:vAlign w:val="center"/>
          </w:tcPr>
          <w:p w14:paraId="29DA4EFE">
            <w:pPr>
              <w:snapToGrid w:val="0"/>
              <w:spacing w:line="500" w:lineRule="exact"/>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850" w:type="dxa"/>
            <w:vAlign w:val="center"/>
          </w:tcPr>
          <w:p w14:paraId="37153AF1">
            <w:pPr>
              <w:snapToGrid w:val="0"/>
              <w:spacing w:line="500" w:lineRule="exact"/>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1096" w:type="dxa"/>
            <w:vAlign w:val="center"/>
          </w:tcPr>
          <w:p w14:paraId="44831321">
            <w:pPr>
              <w:jc w:val="center"/>
              <w:rPr>
                <w:rFonts w:hint="eastAsia" w:ascii="宋体" w:hAnsi="宋体" w:cs="宋体"/>
                <w:color w:val="000000" w:themeColor="text1"/>
                <w:szCs w:val="21"/>
                <w:highlight w:val="none"/>
                <w14:textFill>
                  <w14:solidFill>
                    <w14:schemeClr w14:val="tx1"/>
                  </w14:solidFill>
                </w14:textFill>
              </w:rPr>
            </w:pPr>
          </w:p>
        </w:tc>
        <w:tc>
          <w:tcPr>
            <w:tcW w:w="3200" w:type="dxa"/>
            <w:vAlign w:val="center"/>
          </w:tcPr>
          <w:p w14:paraId="7381C22F">
            <w:pPr>
              <w:snapToGrid w:val="0"/>
              <w:spacing w:line="500" w:lineRule="exact"/>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1323" w:type="dxa"/>
            <w:vAlign w:val="center"/>
          </w:tcPr>
          <w:p w14:paraId="5403862D">
            <w:pPr>
              <w:snapToGrid w:val="0"/>
              <w:spacing w:line="500" w:lineRule="exact"/>
              <w:jc w:val="center"/>
              <w:textAlignment w:val="baseline"/>
              <w:rPr>
                <w:rFonts w:hint="eastAsia" w:ascii="宋体" w:hAnsi="宋体" w:cs="宋体"/>
                <w:color w:val="000000" w:themeColor="text1"/>
                <w:szCs w:val="21"/>
                <w:highlight w:val="none"/>
                <w14:textFill>
                  <w14:solidFill>
                    <w14:schemeClr w14:val="tx1"/>
                  </w14:solidFill>
                </w14:textFill>
              </w:rPr>
            </w:pPr>
          </w:p>
        </w:tc>
      </w:tr>
      <w:tr w14:paraId="1ACE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03" w:type="dxa"/>
            <w:vAlign w:val="center"/>
          </w:tcPr>
          <w:p w14:paraId="6446732D">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p>
        </w:tc>
        <w:tc>
          <w:tcPr>
            <w:tcW w:w="993" w:type="dxa"/>
            <w:vAlign w:val="center"/>
          </w:tcPr>
          <w:p w14:paraId="7DBD7A4F">
            <w:pPr>
              <w:snapToGrid w:val="0"/>
              <w:spacing w:line="500" w:lineRule="exact"/>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850" w:type="dxa"/>
            <w:vAlign w:val="center"/>
          </w:tcPr>
          <w:p w14:paraId="690A174B">
            <w:pPr>
              <w:snapToGrid w:val="0"/>
              <w:spacing w:line="500" w:lineRule="exact"/>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1096" w:type="dxa"/>
            <w:vAlign w:val="center"/>
          </w:tcPr>
          <w:p w14:paraId="432C75FB">
            <w:pPr>
              <w:jc w:val="center"/>
              <w:rPr>
                <w:rFonts w:hint="eastAsia" w:ascii="宋体" w:hAnsi="宋体" w:cs="宋体"/>
                <w:color w:val="000000" w:themeColor="text1"/>
                <w:szCs w:val="21"/>
                <w:highlight w:val="none"/>
                <w14:textFill>
                  <w14:solidFill>
                    <w14:schemeClr w14:val="tx1"/>
                  </w14:solidFill>
                </w14:textFill>
              </w:rPr>
            </w:pPr>
          </w:p>
        </w:tc>
        <w:tc>
          <w:tcPr>
            <w:tcW w:w="3200" w:type="dxa"/>
            <w:vAlign w:val="center"/>
          </w:tcPr>
          <w:p w14:paraId="1BB700F1">
            <w:pPr>
              <w:snapToGrid w:val="0"/>
              <w:spacing w:line="500" w:lineRule="exact"/>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1323" w:type="dxa"/>
            <w:vAlign w:val="center"/>
          </w:tcPr>
          <w:p w14:paraId="56ABE076">
            <w:pPr>
              <w:snapToGrid w:val="0"/>
              <w:spacing w:line="500" w:lineRule="exact"/>
              <w:jc w:val="center"/>
              <w:textAlignment w:val="baseline"/>
              <w:rPr>
                <w:rFonts w:hint="eastAsia" w:ascii="宋体" w:hAnsi="宋体" w:cs="宋体"/>
                <w:color w:val="000000" w:themeColor="text1"/>
                <w:szCs w:val="21"/>
                <w:highlight w:val="none"/>
                <w14:textFill>
                  <w14:solidFill>
                    <w14:schemeClr w14:val="tx1"/>
                  </w14:solidFill>
                </w14:textFill>
              </w:rPr>
            </w:pPr>
          </w:p>
        </w:tc>
      </w:tr>
      <w:tr w14:paraId="07A7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03" w:type="dxa"/>
            <w:vAlign w:val="center"/>
          </w:tcPr>
          <w:p w14:paraId="0FF00BDA">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p>
        </w:tc>
        <w:tc>
          <w:tcPr>
            <w:tcW w:w="993" w:type="dxa"/>
            <w:vAlign w:val="center"/>
          </w:tcPr>
          <w:p w14:paraId="07035283">
            <w:pPr>
              <w:snapToGrid w:val="0"/>
              <w:spacing w:line="360" w:lineRule="auto"/>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850" w:type="dxa"/>
            <w:vAlign w:val="center"/>
          </w:tcPr>
          <w:p w14:paraId="2581146D">
            <w:pPr>
              <w:snapToGrid w:val="0"/>
              <w:spacing w:line="360" w:lineRule="auto"/>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1096" w:type="dxa"/>
            <w:vAlign w:val="center"/>
          </w:tcPr>
          <w:p w14:paraId="63F97336">
            <w:pPr>
              <w:jc w:val="center"/>
              <w:rPr>
                <w:rFonts w:hint="eastAsia" w:ascii="宋体" w:hAnsi="宋体" w:cs="宋体"/>
                <w:color w:val="000000" w:themeColor="text1"/>
                <w:szCs w:val="21"/>
                <w:highlight w:val="none"/>
                <w14:textFill>
                  <w14:solidFill>
                    <w14:schemeClr w14:val="tx1"/>
                  </w14:solidFill>
                </w14:textFill>
              </w:rPr>
            </w:pPr>
          </w:p>
        </w:tc>
        <w:tc>
          <w:tcPr>
            <w:tcW w:w="3200" w:type="dxa"/>
            <w:vAlign w:val="center"/>
          </w:tcPr>
          <w:p w14:paraId="73C5C1BF">
            <w:pPr>
              <w:snapToGrid w:val="0"/>
              <w:spacing w:line="360" w:lineRule="auto"/>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1323" w:type="dxa"/>
            <w:vAlign w:val="center"/>
          </w:tcPr>
          <w:p w14:paraId="04A6A225">
            <w:pPr>
              <w:snapToGrid w:val="0"/>
              <w:spacing w:line="360" w:lineRule="auto"/>
              <w:jc w:val="center"/>
              <w:textAlignment w:val="baseline"/>
              <w:rPr>
                <w:rFonts w:hint="eastAsia" w:ascii="宋体" w:hAnsi="宋体" w:cs="宋体"/>
                <w:color w:val="000000" w:themeColor="text1"/>
                <w:szCs w:val="21"/>
                <w:highlight w:val="none"/>
                <w14:textFill>
                  <w14:solidFill>
                    <w14:schemeClr w14:val="tx1"/>
                  </w14:solidFill>
                </w14:textFill>
              </w:rPr>
            </w:pPr>
          </w:p>
        </w:tc>
      </w:tr>
      <w:tr w14:paraId="4FD2A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03" w:type="dxa"/>
            <w:vAlign w:val="center"/>
          </w:tcPr>
          <w:p w14:paraId="2E90D6C5">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w:t>
            </w:r>
          </w:p>
        </w:tc>
        <w:tc>
          <w:tcPr>
            <w:tcW w:w="993" w:type="dxa"/>
            <w:vAlign w:val="center"/>
          </w:tcPr>
          <w:p w14:paraId="058C1EC2">
            <w:pPr>
              <w:snapToGrid w:val="0"/>
              <w:spacing w:line="360" w:lineRule="auto"/>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850" w:type="dxa"/>
            <w:vAlign w:val="center"/>
          </w:tcPr>
          <w:p w14:paraId="6B84AE1F">
            <w:pPr>
              <w:snapToGrid w:val="0"/>
              <w:spacing w:line="360" w:lineRule="auto"/>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1096" w:type="dxa"/>
            <w:vAlign w:val="center"/>
          </w:tcPr>
          <w:p w14:paraId="5C18DD90">
            <w:pPr>
              <w:jc w:val="center"/>
              <w:rPr>
                <w:rFonts w:hint="eastAsia" w:ascii="宋体" w:hAnsi="宋体" w:cs="宋体"/>
                <w:color w:val="000000" w:themeColor="text1"/>
                <w:szCs w:val="21"/>
                <w:highlight w:val="none"/>
                <w14:textFill>
                  <w14:solidFill>
                    <w14:schemeClr w14:val="tx1"/>
                  </w14:solidFill>
                </w14:textFill>
              </w:rPr>
            </w:pPr>
          </w:p>
        </w:tc>
        <w:tc>
          <w:tcPr>
            <w:tcW w:w="3200" w:type="dxa"/>
            <w:vAlign w:val="center"/>
          </w:tcPr>
          <w:p w14:paraId="40F8B25B">
            <w:pPr>
              <w:snapToGrid w:val="0"/>
              <w:spacing w:line="360" w:lineRule="auto"/>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1323" w:type="dxa"/>
            <w:vAlign w:val="center"/>
          </w:tcPr>
          <w:p w14:paraId="1FDF2D1E">
            <w:pPr>
              <w:snapToGrid w:val="0"/>
              <w:spacing w:line="360" w:lineRule="auto"/>
              <w:jc w:val="center"/>
              <w:textAlignment w:val="baseline"/>
              <w:rPr>
                <w:rFonts w:hint="eastAsia" w:ascii="宋体" w:hAnsi="宋体" w:cs="宋体"/>
                <w:color w:val="000000" w:themeColor="text1"/>
                <w:szCs w:val="21"/>
                <w:highlight w:val="none"/>
                <w14:textFill>
                  <w14:solidFill>
                    <w14:schemeClr w14:val="tx1"/>
                  </w14:solidFill>
                </w14:textFill>
              </w:rPr>
            </w:pPr>
          </w:p>
        </w:tc>
      </w:tr>
      <w:tr w14:paraId="768F3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03" w:type="dxa"/>
            <w:vAlign w:val="center"/>
          </w:tcPr>
          <w:p w14:paraId="60303A62">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w:t>
            </w:r>
          </w:p>
        </w:tc>
        <w:tc>
          <w:tcPr>
            <w:tcW w:w="993" w:type="dxa"/>
            <w:vAlign w:val="center"/>
          </w:tcPr>
          <w:p w14:paraId="353CAEEC">
            <w:pPr>
              <w:snapToGrid w:val="0"/>
              <w:spacing w:line="360" w:lineRule="auto"/>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850" w:type="dxa"/>
            <w:vAlign w:val="center"/>
          </w:tcPr>
          <w:p w14:paraId="740F6E18">
            <w:pPr>
              <w:snapToGrid w:val="0"/>
              <w:spacing w:line="360" w:lineRule="auto"/>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1096" w:type="dxa"/>
            <w:vAlign w:val="center"/>
          </w:tcPr>
          <w:p w14:paraId="0EFF912C">
            <w:pPr>
              <w:jc w:val="center"/>
              <w:rPr>
                <w:rFonts w:hint="eastAsia" w:ascii="宋体" w:hAnsi="宋体" w:cs="宋体"/>
                <w:color w:val="000000" w:themeColor="text1"/>
                <w:szCs w:val="21"/>
                <w:highlight w:val="none"/>
                <w14:textFill>
                  <w14:solidFill>
                    <w14:schemeClr w14:val="tx1"/>
                  </w14:solidFill>
                </w14:textFill>
              </w:rPr>
            </w:pPr>
          </w:p>
        </w:tc>
        <w:tc>
          <w:tcPr>
            <w:tcW w:w="3200" w:type="dxa"/>
            <w:vAlign w:val="center"/>
          </w:tcPr>
          <w:p w14:paraId="7D710199">
            <w:pPr>
              <w:snapToGrid w:val="0"/>
              <w:spacing w:line="360" w:lineRule="auto"/>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1323" w:type="dxa"/>
            <w:vAlign w:val="center"/>
          </w:tcPr>
          <w:p w14:paraId="735748C2">
            <w:pPr>
              <w:snapToGrid w:val="0"/>
              <w:spacing w:line="360" w:lineRule="auto"/>
              <w:jc w:val="center"/>
              <w:textAlignment w:val="baseline"/>
              <w:rPr>
                <w:rFonts w:hint="eastAsia" w:ascii="宋体" w:hAnsi="宋体" w:cs="宋体"/>
                <w:color w:val="000000" w:themeColor="text1"/>
                <w:szCs w:val="21"/>
                <w:highlight w:val="none"/>
                <w14:textFill>
                  <w14:solidFill>
                    <w14:schemeClr w14:val="tx1"/>
                  </w14:solidFill>
                </w14:textFill>
              </w:rPr>
            </w:pPr>
          </w:p>
        </w:tc>
      </w:tr>
      <w:tr w14:paraId="318D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03" w:type="dxa"/>
            <w:vAlign w:val="center"/>
          </w:tcPr>
          <w:p w14:paraId="6F1E7EB7">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w:t>
            </w:r>
          </w:p>
        </w:tc>
        <w:tc>
          <w:tcPr>
            <w:tcW w:w="993" w:type="dxa"/>
            <w:vAlign w:val="center"/>
          </w:tcPr>
          <w:p w14:paraId="7FF023FE">
            <w:pPr>
              <w:snapToGrid w:val="0"/>
              <w:spacing w:line="360" w:lineRule="auto"/>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850" w:type="dxa"/>
            <w:vAlign w:val="center"/>
          </w:tcPr>
          <w:p w14:paraId="3AA1CEAB">
            <w:pPr>
              <w:snapToGrid w:val="0"/>
              <w:spacing w:line="360" w:lineRule="auto"/>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1096" w:type="dxa"/>
            <w:vAlign w:val="center"/>
          </w:tcPr>
          <w:p w14:paraId="6C8258A6">
            <w:pPr>
              <w:jc w:val="center"/>
              <w:rPr>
                <w:rFonts w:hint="eastAsia" w:ascii="宋体" w:hAnsi="宋体" w:cs="宋体"/>
                <w:color w:val="000000" w:themeColor="text1"/>
                <w:szCs w:val="21"/>
                <w:highlight w:val="none"/>
                <w14:textFill>
                  <w14:solidFill>
                    <w14:schemeClr w14:val="tx1"/>
                  </w14:solidFill>
                </w14:textFill>
              </w:rPr>
            </w:pPr>
          </w:p>
        </w:tc>
        <w:tc>
          <w:tcPr>
            <w:tcW w:w="3200" w:type="dxa"/>
            <w:vAlign w:val="center"/>
          </w:tcPr>
          <w:p w14:paraId="5F8FD309">
            <w:pPr>
              <w:snapToGrid w:val="0"/>
              <w:spacing w:line="360" w:lineRule="auto"/>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1323" w:type="dxa"/>
            <w:vAlign w:val="center"/>
          </w:tcPr>
          <w:p w14:paraId="2B9FEE7E">
            <w:pPr>
              <w:jc w:val="center"/>
              <w:rPr>
                <w:rFonts w:hint="eastAsia" w:ascii="宋体" w:hAnsi="宋体" w:cs="宋体"/>
                <w:color w:val="000000" w:themeColor="text1"/>
                <w:szCs w:val="21"/>
                <w:highlight w:val="none"/>
                <w14:textFill>
                  <w14:solidFill>
                    <w14:schemeClr w14:val="tx1"/>
                  </w14:solidFill>
                </w14:textFill>
              </w:rPr>
            </w:pPr>
          </w:p>
        </w:tc>
      </w:tr>
      <w:tr w14:paraId="580D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03" w:type="dxa"/>
            <w:vAlign w:val="center"/>
          </w:tcPr>
          <w:p w14:paraId="0C11FB1F">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7</w:t>
            </w:r>
          </w:p>
        </w:tc>
        <w:tc>
          <w:tcPr>
            <w:tcW w:w="993" w:type="dxa"/>
            <w:vAlign w:val="center"/>
          </w:tcPr>
          <w:p w14:paraId="28DB954D">
            <w:pPr>
              <w:snapToGrid w:val="0"/>
              <w:spacing w:line="500" w:lineRule="exact"/>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850" w:type="dxa"/>
            <w:vAlign w:val="center"/>
          </w:tcPr>
          <w:p w14:paraId="0AFB77ED">
            <w:pPr>
              <w:snapToGrid w:val="0"/>
              <w:spacing w:line="500" w:lineRule="exact"/>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1096" w:type="dxa"/>
            <w:vAlign w:val="center"/>
          </w:tcPr>
          <w:p w14:paraId="6C34877A">
            <w:pPr>
              <w:jc w:val="center"/>
              <w:rPr>
                <w:rFonts w:hint="eastAsia" w:ascii="宋体" w:hAnsi="宋体" w:cs="宋体"/>
                <w:color w:val="000000" w:themeColor="text1"/>
                <w:szCs w:val="21"/>
                <w:highlight w:val="none"/>
                <w14:textFill>
                  <w14:solidFill>
                    <w14:schemeClr w14:val="tx1"/>
                  </w14:solidFill>
                </w14:textFill>
              </w:rPr>
            </w:pPr>
          </w:p>
        </w:tc>
        <w:tc>
          <w:tcPr>
            <w:tcW w:w="3200" w:type="dxa"/>
            <w:vAlign w:val="center"/>
          </w:tcPr>
          <w:p w14:paraId="363E3EFE">
            <w:pPr>
              <w:snapToGrid w:val="0"/>
              <w:spacing w:line="500" w:lineRule="exact"/>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1323" w:type="dxa"/>
            <w:vAlign w:val="center"/>
          </w:tcPr>
          <w:p w14:paraId="0D0370DD">
            <w:pPr>
              <w:jc w:val="center"/>
              <w:rPr>
                <w:rFonts w:hint="eastAsia" w:ascii="宋体" w:hAnsi="宋体" w:cs="宋体"/>
                <w:color w:val="000000" w:themeColor="text1"/>
                <w:szCs w:val="21"/>
                <w:highlight w:val="none"/>
                <w14:textFill>
                  <w14:solidFill>
                    <w14:schemeClr w14:val="tx1"/>
                  </w14:solidFill>
                </w14:textFill>
              </w:rPr>
            </w:pPr>
          </w:p>
        </w:tc>
      </w:tr>
      <w:tr w14:paraId="7482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03" w:type="dxa"/>
            <w:vAlign w:val="center"/>
          </w:tcPr>
          <w:p w14:paraId="1CB01F8D">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8</w:t>
            </w:r>
          </w:p>
        </w:tc>
        <w:tc>
          <w:tcPr>
            <w:tcW w:w="993" w:type="dxa"/>
            <w:vAlign w:val="center"/>
          </w:tcPr>
          <w:p w14:paraId="2BB73632">
            <w:pPr>
              <w:snapToGrid w:val="0"/>
              <w:spacing w:line="500" w:lineRule="exact"/>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850" w:type="dxa"/>
            <w:vAlign w:val="center"/>
          </w:tcPr>
          <w:p w14:paraId="2EA6EB11">
            <w:pPr>
              <w:snapToGrid w:val="0"/>
              <w:spacing w:line="500" w:lineRule="exact"/>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1096" w:type="dxa"/>
            <w:vAlign w:val="center"/>
          </w:tcPr>
          <w:p w14:paraId="5494A8EA">
            <w:pPr>
              <w:jc w:val="center"/>
              <w:rPr>
                <w:rFonts w:hint="eastAsia" w:ascii="宋体" w:hAnsi="宋体" w:cs="宋体"/>
                <w:color w:val="000000" w:themeColor="text1"/>
                <w:szCs w:val="21"/>
                <w:highlight w:val="none"/>
                <w14:textFill>
                  <w14:solidFill>
                    <w14:schemeClr w14:val="tx1"/>
                  </w14:solidFill>
                </w14:textFill>
              </w:rPr>
            </w:pPr>
          </w:p>
        </w:tc>
        <w:tc>
          <w:tcPr>
            <w:tcW w:w="3200" w:type="dxa"/>
            <w:vAlign w:val="center"/>
          </w:tcPr>
          <w:p w14:paraId="66210C9F">
            <w:pPr>
              <w:snapToGrid w:val="0"/>
              <w:spacing w:line="500" w:lineRule="exact"/>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1323" w:type="dxa"/>
            <w:vAlign w:val="center"/>
          </w:tcPr>
          <w:p w14:paraId="1CEE1405">
            <w:pPr>
              <w:jc w:val="center"/>
              <w:rPr>
                <w:rFonts w:hint="eastAsia" w:ascii="宋体" w:hAnsi="宋体" w:cs="宋体"/>
                <w:color w:val="000000" w:themeColor="text1"/>
                <w:szCs w:val="21"/>
                <w:highlight w:val="none"/>
                <w14:textFill>
                  <w14:solidFill>
                    <w14:schemeClr w14:val="tx1"/>
                  </w14:solidFill>
                </w14:textFill>
              </w:rPr>
            </w:pPr>
          </w:p>
        </w:tc>
      </w:tr>
      <w:tr w14:paraId="2ED3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03" w:type="dxa"/>
            <w:vAlign w:val="center"/>
          </w:tcPr>
          <w:p w14:paraId="55F24797">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9</w:t>
            </w:r>
          </w:p>
        </w:tc>
        <w:tc>
          <w:tcPr>
            <w:tcW w:w="993" w:type="dxa"/>
            <w:vAlign w:val="center"/>
          </w:tcPr>
          <w:p w14:paraId="4AB147CB">
            <w:pPr>
              <w:snapToGrid w:val="0"/>
              <w:spacing w:line="500" w:lineRule="exact"/>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850" w:type="dxa"/>
            <w:vAlign w:val="center"/>
          </w:tcPr>
          <w:p w14:paraId="0E1C0BB8">
            <w:pPr>
              <w:snapToGrid w:val="0"/>
              <w:spacing w:line="500" w:lineRule="exact"/>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1096" w:type="dxa"/>
            <w:vAlign w:val="center"/>
          </w:tcPr>
          <w:p w14:paraId="64FA4491">
            <w:pPr>
              <w:jc w:val="center"/>
              <w:rPr>
                <w:rFonts w:hint="eastAsia" w:ascii="宋体" w:hAnsi="宋体" w:cs="宋体"/>
                <w:color w:val="000000" w:themeColor="text1"/>
                <w:szCs w:val="21"/>
                <w:highlight w:val="none"/>
                <w14:textFill>
                  <w14:solidFill>
                    <w14:schemeClr w14:val="tx1"/>
                  </w14:solidFill>
                </w14:textFill>
              </w:rPr>
            </w:pPr>
          </w:p>
        </w:tc>
        <w:tc>
          <w:tcPr>
            <w:tcW w:w="3200" w:type="dxa"/>
            <w:vAlign w:val="center"/>
          </w:tcPr>
          <w:p w14:paraId="70256DC0">
            <w:pPr>
              <w:snapToGrid w:val="0"/>
              <w:spacing w:line="500" w:lineRule="exact"/>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1323" w:type="dxa"/>
            <w:vAlign w:val="center"/>
          </w:tcPr>
          <w:p w14:paraId="66F06159">
            <w:pPr>
              <w:jc w:val="center"/>
              <w:rPr>
                <w:rFonts w:hint="eastAsia" w:ascii="宋体" w:hAnsi="宋体" w:cs="宋体"/>
                <w:color w:val="000000" w:themeColor="text1"/>
                <w:szCs w:val="21"/>
                <w:highlight w:val="none"/>
                <w14:textFill>
                  <w14:solidFill>
                    <w14:schemeClr w14:val="tx1"/>
                  </w14:solidFill>
                </w14:textFill>
              </w:rPr>
            </w:pPr>
          </w:p>
        </w:tc>
      </w:tr>
      <w:tr w14:paraId="4F1B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03" w:type="dxa"/>
            <w:vAlign w:val="center"/>
          </w:tcPr>
          <w:p w14:paraId="03855AD4">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10</w:t>
            </w:r>
          </w:p>
        </w:tc>
        <w:tc>
          <w:tcPr>
            <w:tcW w:w="993" w:type="dxa"/>
            <w:vAlign w:val="center"/>
          </w:tcPr>
          <w:p w14:paraId="2DFA26BF">
            <w:pPr>
              <w:snapToGrid w:val="0"/>
              <w:spacing w:line="500" w:lineRule="exact"/>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850" w:type="dxa"/>
            <w:vAlign w:val="center"/>
          </w:tcPr>
          <w:p w14:paraId="70AD3BE9">
            <w:pPr>
              <w:snapToGrid w:val="0"/>
              <w:spacing w:line="500" w:lineRule="exact"/>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1096" w:type="dxa"/>
            <w:vAlign w:val="center"/>
          </w:tcPr>
          <w:p w14:paraId="40E04145">
            <w:pPr>
              <w:jc w:val="center"/>
              <w:rPr>
                <w:rFonts w:hint="eastAsia" w:ascii="宋体" w:hAnsi="宋体" w:cs="宋体"/>
                <w:color w:val="000000" w:themeColor="text1"/>
                <w:szCs w:val="21"/>
                <w:highlight w:val="none"/>
                <w14:textFill>
                  <w14:solidFill>
                    <w14:schemeClr w14:val="tx1"/>
                  </w14:solidFill>
                </w14:textFill>
              </w:rPr>
            </w:pPr>
          </w:p>
        </w:tc>
        <w:tc>
          <w:tcPr>
            <w:tcW w:w="3200" w:type="dxa"/>
            <w:vAlign w:val="center"/>
          </w:tcPr>
          <w:p w14:paraId="7634D5FF">
            <w:pPr>
              <w:snapToGrid w:val="0"/>
              <w:spacing w:line="500" w:lineRule="exact"/>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1323" w:type="dxa"/>
            <w:vAlign w:val="center"/>
          </w:tcPr>
          <w:p w14:paraId="640280FC">
            <w:pPr>
              <w:jc w:val="center"/>
              <w:rPr>
                <w:rFonts w:hint="eastAsia" w:ascii="宋体" w:hAnsi="宋体" w:cs="宋体"/>
                <w:color w:val="000000" w:themeColor="text1"/>
                <w:szCs w:val="21"/>
                <w:highlight w:val="none"/>
                <w14:textFill>
                  <w14:solidFill>
                    <w14:schemeClr w14:val="tx1"/>
                  </w14:solidFill>
                </w14:textFill>
              </w:rPr>
            </w:pPr>
          </w:p>
        </w:tc>
      </w:tr>
      <w:tr w14:paraId="67B4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03" w:type="dxa"/>
            <w:vAlign w:val="center"/>
          </w:tcPr>
          <w:p w14:paraId="608216C5">
            <w:pPr>
              <w:jc w:val="center"/>
              <w:rPr>
                <w:rFonts w:hint="eastAsia" w:ascii="宋体" w:hAnsi="宋体" w:cs="宋体"/>
                <w:color w:val="000000" w:themeColor="text1"/>
                <w:szCs w:val="21"/>
                <w:highlight w:val="none"/>
                <w14:textFill>
                  <w14:solidFill>
                    <w14:schemeClr w14:val="tx1"/>
                  </w14:solidFill>
                </w14:textFill>
              </w:rPr>
            </w:pPr>
          </w:p>
        </w:tc>
        <w:tc>
          <w:tcPr>
            <w:tcW w:w="993" w:type="dxa"/>
            <w:vAlign w:val="center"/>
          </w:tcPr>
          <w:p w14:paraId="79B070BC">
            <w:pPr>
              <w:snapToGrid w:val="0"/>
              <w:spacing w:line="500" w:lineRule="exact"/>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850" w:type="dxa"/>
            <w:vAlign w:val="center"/>
          </w:tcPr>
          <w:p w14:paraId="00E1CF17">
            <w:pPr>
              <w:snapToGrid w:val="0"/>
              <w:spacing w:line="500" w:lineRule="exact"/>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1096" w:type="dxa"/>
            <w:vAlign w:val="center"/>
          </w:tcPr>
          <w:p w14:paraId="71D26352">
            <w:pPr>
              <w:jc w:val="center"/>
              <w:rPr>
                <w:rFonts w:hint="eastAsia" w:ascii="宋体" w:hAnsi="宋体" w:cs="宋体"/>
                <w:color w:val="000000" w:themeColor="text1"/>
                <w:szCs w:val="21"/>
                <w:highlight w:val="none"/>
                <w14:textFill>
                  <w14:solidFill>
                    <w14:schemeClr w14:val="tx1"/>
                  </w14:solidFill>
                </w14:textFill>
              </w:rPr>
            </w:pPr>
          </w:p>
        </w:tc>
        <w:tc>
          <w:tcPr>
            <w:tcW w:w="3200" w:type="dxa"/>
            <w:vAlign w:val="center"/>
          </w:tcPr>
          <w:p w14:paraId="2F3922F3">
            <w:pPr>
              <w:snapToGrid w:val="0"/>
              <w:spacing w:line="500" w:lineRule="exact"/>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1323" w:type="dxa"/>
            <w:vAlign w:val="center"/>
          </w:tcPr>
          <w:p w14:paraId="3DFE8158">
            <w:pPr>
              <w:jc w:val="center"/>
              <w:rPr>
                <w:rFonts w:hint="eastAsia" w:ascii="宋体" w:hAnsi="宋体" w:cs="宋体"/>
                <w:color w:val="000000" w:themeColor="text1"/>
                <w:szCs w:val="21"/>
                <w:highlight w:val="none"/>
                <w14:textFill>
                  <w14:solidFill>
                    <w14:schemeClr w14:val="tx1"/>
                  </w14:solidFill>
                </w14:textFill>
              </w:rPr>
            </w:pPr>
          </w:p>
        </w:tc>
      </w:tr>
    </w:tbl>
    <w:p w14:paraId="223E026A">
      <w:pPr>
        <w:pStyle w:val="23"/>
        <w:spacing w:line="600" w:lineRule="exact"/>
        <w:rPr>
          <w:rFonts w:hint="eastAsia" w:hAnsi="宋体"/>
          <w:bCs/>
          <w:color w:val="000000" w:themeColor="text1"/>
          <w:sz w:val="21"/>
          <w:szCs w:val="24"/>
          <w:highlight w:val="none"/>
          <w14:textFill>
            <w14:solidFill>
              <w14:schemeClr w14:val="tx1"/>
            </w14:solidFill>
          </w14:textFill>
        </w:rPr>
      </w:pPr>
    </w:p>
    <w:p w14:paraId="3FEF7453">
      <w:pPr>
        <w:pStyle w:val="23"/>
        <w:spacing w:line="600" w:lineRule="exact"/>
        <w:rPr>
          <w:rFonts w:hint="eastAsia" w:hAnsi="宋体"/>
          <w:bCs/>
          <w:color w:val="000000" w:themeColor="text1"/>
          <w:sz w:val="21"/>
          <w:szCs w:val="24"/>
          <w:highlight w:val="none"/>
          <w14:textFill>
            <w14:solidFill>
              <w14:schemeClr w14:val="tx1"/>
            </w14:solidFill>
          </w14:textFill>
        </w:rPr>
      </w:pPr>
      <w:r>
        <w:rPr>
          <w:rFonts w:hint="eastAsia" w:hAnsi="宋体"/>
          <w:bCs/>
          <w:color w:val="000000" w:themeColor="text1"/>
          <w:sz w:val="21"/>
          <w:szCs w:val="24"/>
          <w:highlight w:val="none"/>
          <w14:textFill>
            <w14:solidFill>
              <w14:schemeClr w14:val="tx1"/>
            </w14:solidFill>
          </w14:textFill>
        </w:rPr>
        <w:t>备注：附投入人员的资格证书（含注册证书）、职称证书等相关证件的复印件，以及供应商认为需要的其他证明材料复印件。以上复印件均须加盖供应商单位公章。</w:t>
      </w:r>
      <w:r>
        <w:rPr>
          <w:rFonts w:hint="eastAsia" w:hAnsi="宋体" w:cs="宋体"/>
          <w:color w:val="000000" w:themeColor="text1"/>
          <w:sz w:val="21"/>
          <w:szCs w:val="24"/>
          <w:highlight w:val="none"/>
          <w14:textFill>
            <w14:solidFill>
              <w14:schemeClr w14:val="tx1"/>
            </w14:solidFill>
          </w14:textFill>
        </w:rPr>
        <w:t>如格式不适用的供应商自行调整。</w:t>
      </w:r>
    </w:p>
    <w:p w14:paraId="604E697E">
      <w:pPr>
        <w:pStyle w:val="23"/>
        <w:spacing w:line="600" w:lineRule="exact"/>
        <w:rPr>
          <w:rFonts w:hint="eastAsia" w:hAnsi="宋体"/>
          <w:color w:val="000000" w:themeColor="text1"/>
          <w:sz w:val="21"/>
          <w:highlight w:val="none"/>
          <w:u w:val="single"/>
          <w14:textFill>
            <w14:solidFill>
              <w14:schemeClr w14:val="tx1"/>
            </w14:solidFill>
          </w14:textFill>
        </w:rPr>
      </w:pPr>
      <w:r>
        <w:rPr>
          <w:rFonts w:hint="eastAsia" w:hAnsi="宋体"/>
          <w:color w:val="000000" w:themeColor="text1"/>
          <w:sz w:val="21"/>
          <w:highlight w:val="none"/>
          <w14:textFill>
            <w14:solidFill>
              <w14:schemeClr w14:val="tx1"/>
            </w14:solidFill>
          </w14:textFill>
        </w:rPr>
        <w:t>供应商（盖单位公章）：</w:t>
      </w:r>
      <w:r>
        <w:rPr>
          <w:rFonts w:hAnsi="宋体"/>
          <w:color w:val="000000" w:themeColor="text1"/>
          <w:sz w:val="21"/>
          <w:highlight w:val="none"/>
          <w:u w:val="single"/>
          <w14:textFill>
            <w14:solidFill>
              <w14:schemeClr w14:val="tx1"/>
            </w14:solidFill>
          </w14:textFill>
        </w:rPr>
        <w:t xml:space="preserve">                                    </w:t>
      </w:r>
    </w:p>
    <w:p w14:paraId="3B3202B5">
      <w:pPr>
        <w:pStyle w:val="23"/>
        <w:spacing w:line="500" w:lineRule="exact"/>
        <w:rPr>
          <w:rFonts w:hint="eastAsia" w:hAnsi="宋体"/>
          <w:color w:val="000000" w:themeColor="text1"/>
          <w:sz w:val="21"/>
          <w:highlight w:val="none"/>
          <w:u w:val="single"/>
          <w14:textFill>
            <w14:solidFill>
              <w14:schemeClr w14:val="tx1"/>
            </w14:solidFill>
          </w14:textFill>
        </w:rPr>
      </w:pPr>
    </w:p>
    <w:p w14:paraId="089E9DDE">
      <w:pPr>
        <w:pStyle w:val="23"/>
        <w:spacing w:line="360" w:lineRule="auto"/>
        <w:rPr>
          <w:rFonts w:hint="eastAsia" w:hAnsi="宋体"/>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481B0565">
      <w:pPr>
        <w:rPr>
          <w:rFonts w:hint="eastAsia" w:ascii="宋体" w:hAnsi="宋体" w:cs="宋体"/>
          <w:color w:val="000000" w:themeColor="text1"/>
          <w:sz w:val="28"/>
          <w:szCs w:val="28"/>
          <w:highlight w:val="none"/>
          <w14:textFill>
            <w14:solidFill>
              <w14:schemeClr w14:val="tx1"/>
            </w14:solidFill>
          </w14:textFill>
        </w:rPr>
      </w:pPr>
    </w:p>
    <w:p w14:paraId="4FAAD2ED">
      <w:pPr>
        <w:pStyle w:val="27"/>
        <w:rPr>
          <w:color w:val="000000" w:themeColor="text1"/>
          <w:highlight w:val="none"/>
          <w14:textFill>
            <w14:solidFill>
              <w14:schemeClr w14:val="tx1"/>
            </w14:solidFill>
          </w14:textFill>
        </w:rPr>
      </w:pPr>
    </w:p>
    <w:p w14:paraId="676AA2C4">
      <w:pPr>
        <w:pStyle w:val="20"/>
        <w:rPr>
          <w:rFonts w:hint="eastAsia" w:ascii="宋体" w:hAnsi="宋体" w:cs="宋体"/>
          <w:color w:val="000000" w:themeColor="text1"/>
          <w:sz w:val="28"/>
          <w:szCs w:val="28"/>
          <w:highlight w:val="none"/>
          <w14:textFill>
            <w14:solidFill>
              <w14:schemeClr w14:val="tx1"/>
            </w14:solidFill>
          </w14:textFill>
        </w:rPr>
      </w:pPr>
    </w:p>
    <w:p w14:paraId="00F31CC9">
      <w:pPr>
        <w:pStyle w:val="20"/>
        <w:rPr>
          <w:rFonts w:hint="eastAsia" w:ascii="宋体" w:hAnsi="宋体" w:cs="宋体"/>
          <w:color w:val="000000" w:themeColor="text1"/>
          <w:sz w:val="28"/>
          <w:szCs w:val="28"/>
          <w:highlight w:val="none"/>
          <w14:textFill>
            <w14:solidFill>
              <w14:schemeClr w14:val="tx1"/>
            </w14:solidFill>
          </w14:textFill>
        </w:rPr>
      </w:pPr>
    </w:p>
    <w:p w14:paraId="09A40DDC">
      <w:pPr>
        <w:pStyle w:val="20"/>
        <w:ind w:firstLine="0"/>
        <w:rPr>
          <w:rFonts w:hint="eastAsia" w:ascii="宋体" w:hAnsi="宋体" w:cs="宋体"/>
          <w:color w:val="000000" w:themeColor="text1"/>
          <w:sz w:val="28"/>
          <w:szCs w:val="28"/>
          <w:highlight w:val="none"/>
          <w14:textFill>
            <w14:solidFill>
              <w14:schemeClr w14:val="tx1"/>
            </w14:solidFill>
          </w14:textFill>
        </w:rPr>
      </w:pPr>
    </w:p>
    <w:p w14:paraId="75B4654C">
      <w:pPr>
        <w:pStyle w:val="20"/>
        <w:ind w:firstLine="0"/>
        <w:rPr>
          <w:rFonts w:hint="eastAsia" w:ascii="宋体" w:hAnsi="宋体" w:cs="宋体"/>
          <w:color w:val="000000" w:themeColor="text1"/>
          <w:sz w:val="28"/>
          <w:szCs w:val="28"/>
          <w:highlight w:val="none"/>
          <w14:textFill>
            <w14:solidFill>
              <w14:schemeClr w14:val="tx1"/>
            </w14:solidFill>
          </w14:textFill>
        </w:rPr>
      </w:pPr>
    </w:p>
    <w:p w14:paraId="249EF8AE">
      <w:pPr>
        <w:pStyle w:val="23"/>
        <w:spacing w:line="360" w:lineRule="auto"/>
        <w:rPr>
          <w:rFonts w:cs="宋体"/>
          <w:b/>
          <w:color w:val="000000" w:themeColor="text1"/>
          <w:sz w:val="28"/>
          <w:szCs w:val="28"/>
          <w:highlight w:val="none"/>
          <w14:textFill>
            <w14:solidFill>
              <w14:schemeClr w14:val="tx1"/>
            </w14:solidFill>
          </w14:textFill>
        </w:rPr>
      </w:pPr>
      <w:r>
        <w:rPr>
          <w:rFonts w:hint="eastAsia" w:cs="Microsoft JhengHei Light"/>
          <w:color w:val="000000" w:themeColor="text1"/>
          <w:spacing w:val="-2"/>
          <w:sz w:val="28"/>
          <w:szCs w:val="28"/>
          <w:highlight w:val="none"/>
          <w14:textFill>
            <w14:solidFill>
              <w14:schemeClr w14:val="tx1"/>
            </w14:solidFill>
          </w14:textFill>
        </w:rPr>
        <w:t>三、供应商认为有必要提供的其他文件及资料；</w:t>
      </w:r>
    </w:p>
    <w:p w14:paraId="01B6E1D6">
      <w:pPr>
        <w:pStyle w:val="27"/>
        <w:rPr>
          <w:rFonts w:ascii="宋体" w:cs="宋体"/>
          <w:b/>
          <w:color w:val="000000" w:themeColor="text1"/>
          <w:sz w:val="28"/>
          <w:szCs w:val="28"/>
          <w:highlight w:val="none"/>
          <w14:textFill>
            <w14:solidFill>
              <w14:schemeClr w14:val="tx1"/>
            </w14:solidFill>
          </w14:textFill>
        </w:rPr>
      </w:pPr>
    </w:p>
    <w:p w14:paraId="6002922D">
      <w:pPr>
        <w:pStyle w:val="27"/>
        <w:rPr>
          <w:rFonts w:ascii="宋体" w:cs="宋体"/>
          <w:b/>
          <w:color w:val="000000" w:themeColor="text1"/>
          <w:sz w:val="28"/>
          <w:szCs w:val="28"/>
          <w:highlight w:val="none"/>
          <w14:textFill>
            <w14:solidFill>
              <w14:schemeClr w14:val="tx1"/>
            </w14:solidFill>
          </w14:textFill>
        </w:rPr>
      </w:pPr>
    </w:p>
    <w:p w14:paraId="5DAEB478">
      <w:pPr>
        <w:pStyle w:val="34"/>
        <w:rPr>
          <w:color w:val="000000" w:themeColor="text1"/>
          <w:highlight w:val="none"/>
          <w14:textFill>
            <w14:solidFill>
              <w14:schemeClr w14:val="tx1"/>
            </w14:solidFill>
          </w14:textFill>
        </w:rPr>
      </w:pPr>
      <w:bookmarkStart w:id="108" w:name="_Toc53654328"/>
      <w:bookmarkStart w:id="109" w:name="_Toc99823393"/>
      <w:r>
        <w:rPr>
          <w:rFonts w:hint="eastAsia"/>
          <w:color w:val="000000" w:themeColor="text1"/>
          <w:highlight w:val="none"/>
          <w14:textFill>
            <w14:solidFill>
              <w14:schemeClr w14:val="tx1"/>
            </w14:solidFill>
          </w14:textFill>
        </w:rPr>
        <w:t>第六章 采购合同条款格式</w:t>
      </w:r>
      <w:bookmarkEnd w:id="108"/>
      <w:bookmarkEnd w:id="109"/>
    </w:p>
    <w:p w14:paraId="124E548F">
      <w:pPr>
        <w:snapToGrid w:val="0"/>
        <w:spacing w:line="400" w:lineRule="exact"/>
        <w:jc w:val="cente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政府采购合同</w:t>
      </w:r>
    </w:p>
    <w:p w14:paraId="620EBA2E">
      <w:pPr>
        <w:snapToGrid w:val="0"/>
        <w:spacing w:line="42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（注：除采购文件规定的实质性条款外，可根据项目实际情况对合同格式做修改）</w:t>
      </w:r>
    </w:p>
    <w:p w14:paraId="6A095472">
      <w:pPr>
        <w:wordWrap w:val="0"/>
        <w:snapToGrid w:val="0"/>
        <w:spacing w:line="420" w:lineRule="exact"/>
        <w:ind w:left="-50" w:right="98"/>
        <w:jc w:val="center"/>
        <w:rPr>
          <w:rFonts w:hint="eastAsia" w:ascii="宋体" w:hAnsi="宋体"/>
          <w:bCs/>
          <w:color w:val="000000" w:themeColor="text1"/>
          <w:sz w:val="24"/>
          <w:szCs w:val="24"/>
          <w:highlight w:val="none"/>
          <w:u w:val="singl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 xml:space="preserve">                                             </w:t>
      </w:r>
    </w:p>
    <w:p w14:paraId="02F97C2C">
      <w:pPr>
        <w:spacing w:line="360" w:lineRule="auto"/>
        <w:ind w:right="800"/>
        <w:rPr>
          <w:rFonts w:hint="eastAsia" w:ascii="宋体" w:hAnsi="宋体" w:cs="宋体"/>
          <w:bCs/>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采购计划号：</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合同编号：</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p>
    <w:p w14:paraId="381D66E5">
      <w:pPr>
        <w:spacing w:line="360" w:lineRule="auto"/>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采购人（甲方）：</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供应商（乙方）：</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14:paraId="5B0140E6">
      <w:pPr>
        <w:spacing w:line="360" w:lineRule="auto"/>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项目编号：</w:t>
      </w:r>
      <w:r>
        <w:rPr>
          <w:rFonts w:ascii="宋体" w:hAnsi="宋体" w:cs="宋体"/>
          <w:color w:val="000000" w:themeColor="text1"/>
          <w:szCs w:val="21"/>
          <w:highlight w:val="none"/>
          <w:u w:val="single"/>
          <w14:textFill>
            <w14:solidFill>
              <w14:schemeClr w14:val="tx1"/>
            </w14:solidFill>
          </w14:textFill>
        </w:rPr>
        <w:t xml:space="preserve">                          </w:t>
      </w:r>
    </w:p>
    <w:p w14:paraId="5A23A300">
      <w:pPr>
        <w:spacing w:line="360" w:lineRule="auto"/>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签订地点：</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签订时间：</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p>
    <w:p w14:paraId="243122F9">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本合同为中小企业预留合同：</w:t>
      </w:r>
      <w:r>
        <w:rPr>
          <w:rFonts w:hint="eastAsia" w:ascii="宋体" w:hAnsi="宋体" w:cs="宋体"/>
          <w:color w:val="000000" w:themeColor="text1"/>
          <w:szCs w:val="21"/>
          <w:highlight w:val="none"/>
          <w:u w:val="single"/>
          <w14:textFill>
            <w14:solidFill>
              <w14:schemeClr w14:val="tx1"/>
            </w14:solidFill>
          </w14:textFill>
        </w:rPr>
        <w:t>（是/否）</w:t>
      </w:r>
      <w:r>
        <w:rPr>
          <w:rFonts w:hint="eastAsia" w:ascii="宋体" w:hAnsi="宋体" w:cs="宋体"/>
          <w:color w:val="000000" w:themeColor="text1"/>
          <w:szCs w:val="21"/>
          <w:highlight w:val="none"/>
          <w14:textFill>
            <w14:solidFill>
              <w14:schemeClr w14:val="tx1"/>
            </w14:solidFill>
          </w14:textFill>
        </w:rPr>
        <w:t>。</w:t>
      </w:r>
    </w:p>
    <w:p w14:paraId="0C177A7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根据《中华人民共和国政府采购法》、《中华人民共和国民法典》等法律、法规规定，按照</w:t>
      </w:r>
      <w:r>
        <w:rPr>
          <w:rFonts w:hint="eastAsia" w:ascii="宋体" w:hAnsi="宋体"/>
          <w:color w:val="000000" w:themeColor="text1"/>
          <w:szCs w:val="21"/>
          <w:highlight w:val="none"/>
          <w14:textFill>
            <w14:solidFill>
              <w14:schemeClr w14:val="tx1"/>
            </w14:solidFill>
          </w14:textFill>
        </w:rPr>
        <w:t>磋商文件规定条款和乙方响应文件及其承诺，甲乙双方签订本合同。</w:t>
      </w:r>
    </w:p>
    <w:p w14:paraId="7BC29A38">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第一条　合同标的</w:t>
      </w:r>
    </w:p>
    <w:p w14:paraId="73A358D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1、项目一览表</w:t>
      </w:r>
    </w:p>
    <w:tbl>
      <w:tblPr>
        <w:tblStyle w:val="36"/>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6C34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5C9526AC">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60F96F39">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w:t>
            </w:r>
          </w:p>
        </w:tc>
        <w:tc>
          <w:tcPr>
            <w:tcW w:w="2400" w:type="dxa"/>
            <w:tcBorders>
              <w:top w:val="single" w:color="auto" w:sz="4" w:space="0"/>
              <w:left w:val="single" w:color="auto" w:sz="4" w:space="0"/>
              <w:bottom w:val="single" w:color="auto" w:sz="4" w:space="0"/>
              <w:right w:val="single" w:color="auto" w:sz="4" w:space="0"/>
            </w:tcBorders>
            <w:vAlign w:val="center"/>
          </w:tcPr>
          <w:p w14:paraId="5C2CB645">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服务内容</w:t>
            </w:r>
          </w:p>
        </w:tc>
        <w:tc>
          <w:tcPr>
            <w:tcW w:w="1320" w:type="dxa"/>
            <w:tcBorders>
              <w:top w:val="single" w:color="auto" w:sz="4" w:space="0"/>
              <w:left w:val="single" w:color="auto" w:sz="4" w:space="0"/>
              <w:bottom w:val="single" w:color="auto" w:sz="4" w:space="0"/>
              <w:right w:val="single" w:color="auto" w:sz="4" w:space="0"/>
            </w:tcBorders>
            <w:vAlign w:val="center"/>
          </w:tcPr>
          <w:p w14:paraId="3A5969BB">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  量</w:t>
            </w:r>
          </w:p>
        </w:tc>
        <w:tc>
          <w:tcPr>
            <w:tcW w:w="1200" w:type="dxa"/>
            <w:tcBorders>
              <w:top w:val="single" w:color="auto" w:sz="4" w:space="0"/>
              <w:left w:val="single" w:color="auto" w:sz="4" w:space="0"/>
              <w:bottom w:val="single" w:color="auto" w:sz="4" w:space="0"/>
              <w:right w:val="single" w:color="auto" w:sz="4" w:space="0"/>
            </w:tcBorders>
            <w:vAlign w:val="center"/>
          </w:tcPr>
          <w:p w14:paraId="1339FDA8">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w:t>
            </w:r>
          </w:p>
        </w:tc>
        <w:tc>
          <w:tcPr>
            <w:tcW w:w="1300" w:type="dxa"/>
            <w:tcBorders>
              <w:top w:val="single" w:color="auto" w:sz="4" w:space="0"/>
              <w:left w:val="single" w:color="auto" w:sz="4" w:space="0"/>
              <w:bottom w:val="single" w:color="auto" w:sz="4" w:space="0"/>
              <w:right w:val="single" w:color="auto" w:sz="4" w:space="0"/>
            </w:tcBorders>
            <w:vAlign w:val="center"/>
          </w:tcPr>
          <w:p w14:paraId="32C4DDE3">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  价</w:t>
            </w:r>
          </w:p>
          <w:p w14:paraId="45812EB9">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（元）</w:t>
            </w:r>
          </w:p>
        </w:tc>
        <w:tc>
          <w:tcPr>
            <w:tcW w:w="1207" w:type="dxa"/>
            <w:tcBorders>
              <w:top w:val="single" w:color="auto" w:sz="4" w:space="0"/>
              <w:left w:val="single" w:color="auto" w:sz="4" w:space="0"/>
              <w:bottom w:val="single" w:color="auto" w:sz="4" w:space="0"/>
              <w:right w:val="single" w:color="auto" w:sz="4" w:space="0"/>
            </w:tcBorders>
            <w:vAlign w:val="center"/>
          </w:tcPr>
          <w:p w14:paraId="07EA4035">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总 </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价</w:t>
            </w:r>
          </w:p>
          <w:p w14:paraId="40ADF24B">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（元）</w:t>
            </w:r>
          </w:p>
        </w:tc>
      </w:tr>
      <w:tr w14:paraId="56B0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468910E8">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13" w:type="dxa"/>
            <w:tcBorders>
              <w:top w:val="single" w:color="auto" w:sz="4" w:space="0"/>
              <w:left w:val="single" w:color="auto" w:sz="4" w:space="0"/>
              <w:bottom w:val="single" w:color="auto" w:sz="4" w:space="0"/>
              <w:right w:val="single" w:color="auto" w:sz="4" w:space="0"/>
            </w:tcBorders>
            <w:vAlign w:val="center"/>
          </w:tcPr>
          <w:p w14:paraId="135A801B">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400" w:type="dxa"/>
            <w:tcBorders>
              <w:top w:val="single" w:color="auto" w:sz="4" w:space="0"/>
              <w:left w:val="single" w:color="auto" w:sz="4" w:space="0"/>
              <w:bottom w:val="single" w:color="auto" w:sz="4" w:space="0"/>
              <w:right w:val="single" w:color="auto" w:sz="4" w:space="0"/>
            </w:tcBorders>
            <w:vAlign w:val="center"/>
          </w:tcPr>
          <w:p w14:paraId="11F14DE6">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vAlign w:val="center"/>
          </w:tcPr>
          <w:p w14:paraId="71462BF8">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14:paraId="2C11CADF">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vAlign w:val="center"/>
          </w:tcPr>
          <w:p w14:paraId="41A09791">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vAlign w:val="center"/>
          </w:tcPr>
          <w:p w14:paraId="48E36540">
            <w:pPr>
              <w:spacing w:line="360" w:lineRule="auto"/>
              <w:jc w:val="center"/>
              <w:rPr>
                <w:rFonts w:hint="eastAsia" w:ascii="宋体" w:hAnsi="宋体" w:cs="宋体"/>
                <w:color w:val="000000" w:themeColor="text1"/>
                <w:szCs w:val="21"/>
                <w:highlight w:val="none"/>
                <w14:textFill>
                  <w14:solidFill>
                    <w14:schemeClr w14:val="tx1"/>
                  </w14:solidFill>
                </w14:textFill>
              </w:rPr>
            </w:pPr>
          </w:p>
        </w:tc>
      </w:tr>
      <w:tr w14:paraId="47B2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3D88E47E">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详见报价表</w:t>
            </w:r>
          </w:p>
        </w:tc>
      </w:tr>
      <w:tr w14:paraId="6ECD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2A4D33EA">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人民币合计金额（大写）：</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元整（¥</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tc>
      </w:tr>
    </w:tbl>
    <w:p w14:paraId="561D56F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2、合同合计金额包括但不限于满足本次竞标全部采购需求所应提供的服务，</w:t>
      </w:r>
      <w:r>
        <w:rPr>
          <w:rFonts w:hint="eastAsia" w:ascii="宋体" w:hAnsi="宋体" w:cs="宋体"/>
          <w:color w:val="000000" w:themeColor="text1"/>
          <w:highlight w:val="none"/>
          <w14:textFill>
            <w14:solidFill>
              <w14:schemeClr w14:val="tx1"/>
            </w14:solidFill>
          </w14:textFill>
        </w:rPr>
        <w:t>服务价款、材料、人工、保险、税金等</w:t>
      </w:r>
      <w:r>
        <w:rPr>
          <w:rFonts w:hint="eastAsia" w:ascii="宋体" w:hAnsi="宋体" w:cs="宋体"/>
          <w:color w:val="000000" w:themeColor="text1"/>
          <w:szCs w:val="21"/>
          <w:highlight w:val="none"/>
          <w14:textFill>
            <w14:solidFill>
              <w14:schemeClr w14:val="tx1"/>
            </w14:solidFill>
          </w14:textFill>
        </w:rPr>
        <w:t>所有费用。如磋商文件对其另有规定的，从其规定。</w:t>
      </w:r>
    </w:p>
    <w:p w14:paraId="3E9E84C5">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第二条　质量保证</w:t>
      </w:r>
    </w:p>
    <w:p w14:paraId="62584C23">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乙方所提供的服务及服务内容必须与响应文件承诺相一致，有国家强制性标准的，还必须符合国家强制性标准的规定，没有国家强制性标准但有其他强制性标准的，必须符合其他强制性标准的规定。</w:t>
      </w:r>
    </w:p>
    <w:p w14:paraId="706DBAFF">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第三条　权利保证</w:t>
      </w:r>
    </w:p>
    <w:p w14:paraId="3CABB223">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1、乙方应保证所提供服务在使用时不会侵犯任何第三方的专利权、商标权、工业设计权等知识产权及其他合法权利，且所有权、处分权等没有受到任何限制。</w:t>
      </w:r>
    </w:p>
    <w:p w14:paraId="21DDB8F7">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520DA3D0">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第四条　交付和验收</w:t>
      </w:r>
    </w:p>
    <w:p w14:paraId="7052325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1、服务期限：</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起至</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，服务地点：</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1C62DE6C">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2、乙方应按响应文件的承诺向甲方提供相应的服务，并提供所服务内容的相关技术资料。</w:t>
      </w:r>
    </w:p>
    <w:p w14:paraId="17FB976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3、乙方提供不符合响应文件和本合同规定的服务成果，甲方有权拒绝接受。</w:t>
      </w:r>
    </w:p>
    <w:p w14:paraId="29EBE671">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59F45457">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5、甲乙双方应按照《</w:t>
      </w:r>
      <w:r>
        <w:rPr>
          <w:rFonts w:ascii="宋体" w:hAnsi="宋体" w:cs="宋体"/>
          <w:color w:val="000000" w:themeColor="text1"/>
          <w:szCs w:val="21"/>
          <w:highlight w:val="none"/>
          <w14:textFill>
            <w14:solidFill>
              <w14:schemeClr w14:val="tx1"/>
            </w14:solidFill>
          </w14:textFill>
        </w:rPr>
        <w:t>广西壮族自治区政府采购项目履约验收管理办法</w:t>
      </w:r>
      <w:r>
        <w:rPr>
          <w:rFonts w:hint="eastAsia" w:ascii="宋体" w:hAnsi="宋体" w:cs="宋体"/>
          <w:color w:val="000000" w:themeColor="text1"/>
          <w:szCs w:val="21"/>
          <w:highlight w:val="none"/>
          <w14:textFill>
            <w14:solidFill>
              <w14:schemeClr w14:val="tx1"/>
            </w14:solidFill>
          </w14:textFill>
        </w:rPr>
        <w:t>》、双方合同、响应文件验收。</w:t>
      </w:r>
    </w:p>
    <w:p w14:paraId="0D547EE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6、甲方在初步验收或者最终验收过程中如发现乙方提供的服务成果不满足响应文件及本合同规定的，可暂缓向乙方付款，直到乙方及时完善并提交相应的服务成果且经甲方验收合格后，方可办理付款。</w:t>
      </w:r>
    </w:p>
    <w:p w14:paraId="7D95099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7、甲方验收时以书面形式提出异议的，乙方应自收到甲方书面异议后五个工作日内及时予以解决，否则甲方有权不出具服务验收合格单。</w:t>
      </w:r>
    </w:p>
    <w:p w14:paraId="599E6728">
      <w:pPr>
        <w:snapToGrid w:val="0"/>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第五条  售后服务</w:t>
      </w:r>
    </w:p>
    <w:p w14:paraId="2CE86072">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乙方应按照国家有关法律法规和本合同所附的《售后服务承诺》要求为甲方提供相应的售后服务。</w:t>
      </w:r>
    </w:p>
    <w:p w14:paraId="69C8B301">
      <w:pPr>
        <w:snapToGrid w:val="0"/>
        <w:spacing w:line="360" w:lineRule="auto"/>
        <w:ind w:firstLine="422"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第六条　付款方式</w:t>
      </w:r>
    </w:p>
    <w:p w14:paraId="5388130A">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1.付款方式：合同签订后，采购人在20个工作日支付合同总价的30％预付款。</w:t>
      </w:r>
    </w:p>
    <w:p w14:paraId="264F5322">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2、成交人提交相关制度、生产安全事故应急预案及专项预案、突发环境事件应急预案、突发事件总体应急预案、自然灾害救助应急预案、消防安全事故专项应急预案，采购人在20个工作日支付合同总价的40％。</w:t>
      </w:r>
    </w:p>
    <w:p w14:paraId="4C34F36D">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3.成交人提交危化品停车场建设需求论证报告、公共管廊建设需求论证报告、化工园区安全风险评估分级报告、医疗救护站专项分析报告、消防专项分析报告，采购人在20个工作日内支付剩余合同金额。</w:t>
      </w:r>
    </w:p>
    <w:p w14:paraId="266B7FA8">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第七条  税费</w:t>
      </w:r>
    </w:p>
    <w:p w14:paraId="050D087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本合同执行中相关的一切税费均由乙方负担，合同另有约定的除外。</w:t>
      </w:r>
    </w:p>
    <w:p w14:paraId="600A1B5C">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第八条　违约责任</w:t>
      </w:r>
    </w:p>
    <w:p w14:paraId="7EC894B9">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1、除不可抗力原因外，乙方没有按照合同规定的时间提供服务的，甲方可要求乙方支付违约金。每推迟一天按合同金额的1‰支付违约金，该违约金累计不超过合同金额的5%。</w:t>
      </w:r>
    </w:p>
    <w:p w14:paraId="6FFE8A85">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2、乙方提供的服务如侵犯了第三方合法权益而引发的任何纠纷或者诉讼，均由乙方负责交涉并承担全部责任。</w:t>
      </w:r>
    </w:p>
    <w:p w14:paraId="13150056">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、甲方延期付款的，每天向乙方偿付延期款额1‰滞纳金，但滞纳金累计不得超过延期款额5%。</w:t>
      </w:r>
    </w:p>
    <w:p w14:paraId="27BAAC00">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第九条  不可抗力事件处理</w:t>
      </w:r>
    </w:p>
    <w:p w14:paraId="3F653DC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1、在合同有效期内，任何一方因不可抗力事件导致不能履行合同，则合同履行期可延长，其延长期与不可抗力影响期相同。</w:t>
      </w:r>
    </w:p>
    <w:p w14:paraId="2A00344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2、不可抗力事件发生后，应立即通知对方，并寄送有关权威机构出具的证明。</w:t>
      </w:r>
    </w:p>
    <w:p w14:paraId="64E2E6C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3、不可抗力事件延续一百二十天以上，双方应通过友好协商，确定是否继续履行合同。</w:t>
      </w:r>
    </w:p>
    <w:p w14:paraId="6FBC4FB5">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第十条  合同争议解决</w:t>
      </w:r>
    </w:p>
    <w:p w14:paraId="264AD6C8">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1、因服务质量问题发生争议的，应邀请国家认可的质量检测机构进行鉴定。服务符合标准的，鉴定费由甲方承担；服务不符合标准的，鉴定费由乙方承担。</w:t>
      </w:r>
    </w:p>
    <w:p w14:paraId="201E6C3B">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2、因履行本合同引起的或者与本合同有关的争议，甲乙双方应首先通过友好协商解决，如果协商不能解决，可向甲方所在地有管辖权的人民法院提起诉讼。</w:t>
      </w:r>
    </w:p>
    <w:p w14:paraId="4A2AE867">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3、诉讼期间，本合同继续履行。</w:t>
      </w:r>
    </w:p>
    <w:p w14:paraId="6B229081">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第十一条  合同生效及其它</w:t>
      </w:r>
    </w:p>
    <w:p w14:paraId="280EA3F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1、合同经双方法定代表人或者授权代表签字并加盖单位公章后生效（委托代理人签字的需后附授权委托书，格式自拟）。</w:t>
      </w:r>
    </w:p>
    <w:p w14:paraId="54B430C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2、合同执行中涉及采购资金和采购内容修改或者补充的，须经财政部门审批，并签书面补充协议报财政部门备案，方可作为主合同不可分割的一部分。</w:t>
      </w:r>
    </w:p>
    <w:p w14:paraId="1FC07FD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3、本合同未尽事宜，遵照《中华人民共和国民法典》有关条文执行。</w:t>
      </w:r>
    </w:p>
    <w:p w14:paraId="36F609E4">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第十二条　合同的变更、终止与转让</w:t>
      </w:r>
    </w:p>
    <w:p w14:paraId="17E64A0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1、除《中华人民共和国政府采购法》第五十条规定的情形外，本合同一经签订，甲乙双方不得擅自变更、中止或者终止。</w:t>
      </w:r>
    </w:p>
    <w:p w14:paraId="78B3562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2、乙方不得擅自转让其应履行的合同义务。</w:t>
      </w:r>
    </w:p>
    <w:p w14:paraId="12FCB498">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第十三条　签订本合同依据</w:t>
      </w:r>
    </w:p>
    <w:p w14:paraId="03A8D51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成交通知书</w:t>
      </w:r>
      <w:r>
        <w:rPr>
          <w:rFonts w:hint="eastAsia" w:ascii="宋体" w:hAnsi="宋体" w:cs="宋体"/>
          <w:color w:val="000000" w:themeColor="text1"/>
          <w:szCs w:val="21"/>
          <w:highlight w:val="none"/>
          <w14:textFill>
            <w14:solidFill>
              <w14:schemeClr w14:val="tx1"/>
            </w14:solidFill>
          </w14:textFill>
        </w:rPr>
        <w:t>；</w:t>
      </w:r>
    </w:p>
    <w:p w14:paraId="7F0434E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2、竞标报价表；</w:t>
      </w:r>
    </w:p>
    <w:p w14:paraId="5F6DDEA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3、商务要求偏离表和技术要求偏离表；</w:t>
      </w:r>
    </w:p>
    <w:p w14:paraId="15028B3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、服务方案；</w:t>
      </w:r>
    </w:p>
    <w:p w14:paraId="1DA2ECA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5、响应文件中的其他相关文件。</w:t>
      </w:r>
    </w:p>
    <w:p w14:paraId="0E5DCDA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、上述合同文件互相补充和解释。如果合同文件之间存在矛盾或者不一致之处，以上述文件的排列顺序在先者为准。</w:t>
      </w:r>
    </w:p>
    <w:p w14:paraId="3FA7A410">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第十四条　</w:t>
      </w:r>
      <w:r>
        <w:rPr>
          <w:rFonts w:hint="eastAsia" w:ascii="宋体" w:hAnsi="宋体" w:cs="宋体"/>
          <w:color w:val="000000" w:themeColor="text1"/>
          <w:szCs w:val="21"/>
          <w:highlight w:val="none"/>
          <w14:textFill>
            <w14:solidFill>
              <w14:schemeClr w14:val="tx1"/>
            </w14:solidFill>
          </w14:textFill>
        </w:rPr>
        <w:t>本合同一式六份，具有同等法律效力，财政部门（政府采购监管部门）、采购代理机构各一份，甲乙双方各二份（可根据需要另增加）。</w:t>
      </w:r>
    </w:p>
    <w:p w14:paraId="1D4DC13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本合同甲乙双方签字盖章后生效，自签订之日起七个工作日内，甲方应当将合同副本报同级财政部门备案。</w:t>
      </w:r>
    </w:p>
    <w:p w14:paraId="4AFA5F2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本合同自签订之日起2个工作日内，甲方应当将采购合同在广西壮族自治区财政厅指定的媒体上公告。</w:t>
      </w:r>
    </w:p>
    <w:tbl>
      <w:tblPr>
        <w:tblStyle w:val="36"/>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7B8D0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9" w:hRule="atLeast"/>
        </w:trPr>
        <w:tc>
          <w:tcPr>
            <w:tcW w:w="4582" w:type="dxa"/>
            <w:tcBorders>
              <w:top w:val="single" w:color="auto" w:sz="4" w:space="0"/>
              <w:left w:val="single" w:color="auto" w:sz="4" w:space="0"/>
              <w:bottom w:val="single" w:color="auto" w:sz="4" w:space="0"/>
              <w:right w:val="single" w:color="auto" w:sz="4" w:space="0"/>
            </w:tcBorders>
            <w:vAlign w:val="center"/>
          </w:tcPr>
          <w:p w14:paraId="022144E5">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甲方：（章）</w:t>
            </w:r>
          </w:p>
          <w:p w14:paraId="515CC3FB">
            <w:pPr>
              <w:snapToGrid w:val="0"/>
              <w:spacing w:line="360" w:lineRule="auto"/>
              <w:rPr>
                <w:rFonts w:hint="eastAsia" w:ascii="宋体" w:hAnsi="宋体" w:cs="宋体"/>
                <w:color w:val="000000" w:themeColor="text1"/>
                <w:szCs w:val="21"/>
                <w:highlight w:val="none"/>
                <w14:textFill>
                  <w14:solidFill>
                    <w14:schemeClr w14:val="tx1"/>
                  </w14:solidFill>
                </w14:textFill>
              </w:rPr>
            </w:pPr>
          </w:p>
          <w:p w14:paraId="6ED75644">
            <w:pPr>
              <w:snapToGrid w:val="0"/>
              <w:spacing w:line="360" w:lineRule="auto"/>
              <w:ind w:firstLine="945" w:firstLineChars="450"/>
              <w:jc w:val="right"/>
              <w:rPr>
                <w:rFonts w:hint="eastAsia" w:ascii="宋体" w:hAnsi="宋体" w:cs="宋体"/>
                <w:color w:val="000000" w:themeColor="text1"/>
                <w:szCs w:val="21"/>
                <w:highlight w:val="none"/>
                <w14:textFill>
                  <w14:solidFill>
                    <w14:schemeClr w14:val="tx1"/>
                  </w14:solidFill>
                </w14:textFill>
              </w:rPr>
            </w:pPr>
          </w:p>
          <w:p w14:paraId="561556A1">
            <w:pPr>
              <w:snapToGrid w:val="0"/>
              <w:spacing w:line="360" w:lineRule="auto"/>
              <w:ind w:firstLine="945" w:firstLineChars="450"/>
              <w:jc w:val="righ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c>
          <w:tcPr>
            <w:tcW w:w="4583" w:type="dxa"/>
            <w:tcBorders>
              <w:top w:val="single" w:color="auto" w:sz="4" w:space="0"/>
              <w:left w:val="single" w:color="auto" w:sz="4" w:space="0"/>
              <w:bottom w:val="single" w:color="auto" w:sz="4" w:space="0"/>
              <w:right w:val="single" w:color="auto" w:sz="4" w:space="0"/>
            </w:tcBorders>
            <w:vAlign w:val="center"/>
          </w:tcPr>
          <w:p w14:paraId="0BA935EF">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乙方：（章）       </w:t>
            </w:r>
          </w:p>
          <w:p w14:paraId="7586C453">
            <w:pPr>
              <w:snapToGrid w:val="0"/>
              <w:spacing w:line="360" w:lineRule="auto"/>
              <w:rPr>
                <w:rFonts w:hint="eastAsia" w:ascii="宋体" w:hAnsi="宋体" w:cs="宋体"/>
                <w:color w:val="000000" w:themeColor="text1"/>
                <w:szCs w:val="21"/>
                <w:highlight w:val="none"/>
                <w14:textFill>
                  <w14:solidFill>
                    <w14:schemeClr w14:val="tx1"/>
                  </w14:solidFill>
                </w14:textFill>
              </w:rPr>
            </w:pPr>
          </w:p>
          <w:p w14:paraId="4E268E53">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14:paraId="382EEED4">
            <w:pPr>
              <w:snapToGrid w:val="0"/>
              <w:spacing w:line="360" w:lineRule="auto"/>
              <w:jc w:val="righ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w:t>
            </w:r>
          </w:p>
        </w:tc>
      </w:tr>
      <w:tr w14:paraId="49E1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6CF8D7A7">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单位地址：</w:t>
            </w:r>
            <w:r>
              <w:rPr>
                <w:rFonts w:ascii="宋体" w:hAnsi="宋体" w:cs="宋体"/>
                <w:color w:val="000000" w:themeColor="text1"/>
                <w:szCs w:val="21"/>
                <w:highlight w:val="none"/>
                <w14:textFill>
                  <w14:solidFill>
                    <w14:schemeClr w14:val="tx1"/>
                  </w14:solidFill>
                </w14:textFill>
              </w:rPr>
              <w:t xml:space="preserve"> </w:t>
            </w:r>
          </w:p>
        </w:tc>
        <w:tc>
          <w:tcPr>
            <w:tcW w:w="4583" w:type="dxa"/>
            <w:tcBorders>
              <w:top w:val="single" w:color="auto" w:sz="4" w:space="0"/>
              <w:left w:val="single" w:color="auto" w:sz="4" w:space="0"/>
              <w:bottom w:val="single" w:color="auto" w:sz="4" w:space="0"/>
              <w:right w:val="single" w:color="auto" w:sz="4" w:space="0"/>
            </w:tcBorders>
            <w:vAlign w:val="center"/>
          </w:tcPr>
          <w:p w14:paraId="217613C9">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单位地址： </w:t>
            </w:r>
          </w:p>
        </w:tc>
      </w:tr>
      <w:tr w14:paraId="31F4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7744E463">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w:t>
            </w:r>
          </w:p>
        </w:tc>
        <w:tc>
          <w:tcPr>
            <w:tcW w:w="4583" w:type="dxa"/>
            <w:tcBorders>
              <w:top w:val="single" w:color="auto" w:sz="4" w:space="0"/>
              <w:left w:val="single" w:color="auto" w:sz="4" w:space="0"/>
              <w:bottom w:val="single" w:color="auto" w:sz="4" w:space="0"/>
              <w:right w:val="single" w:color="auto" w:sz="4" w:space="0"/>
            </w:tcBorders>
            <w:vAlign w:val="center"/>
          </w:tcPr>
          <w:p w14:paraId="28FAA0BA">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w:t>
            </w:r>
          </w:p>
        </w:tc>
      </w:tr>
      <w:tr w14:paraId="1272D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8B5A949">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委托代理人：</w:t>
            </w:r>
          </w:p>
        </w:tc>
        <w:tc>
          <w:tcPr>
            <w:tcW w:w="4583" w:type="dxa"/>
            <w:tcBorders>
              <w:top w:val="single" w:color="auto" w:sz="4" w:space="0"/>
              <w:left w:val="single" w:color="auto" w:sz="4" w:space="0"/>
              <w:bottom w:val="single" w:color="auto" w:sz="4" w:space="0"/>
              <w:right w:val="single" w:color="auto" w:sz="4" w:space="0"/>
            </w:tcBorders>
            <w:vAlign w:val="center"/>
          </w:tcPr>
          <w:p w14:paraId="0C2C16C9">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委托代理人：</w:t>
            </w:r>
          </w:p>
        </w:tc>
      </w:tr>
      <w:tr w14:paraId="12E1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5AE8FBF8">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p>
        </w:tc>
        <w:tc>
          <w:tcPr>
            <w:tcW w:w="4583" w:type="dxa"/>
            <w:tcBorders>
              <w:top w:val="single" w:color="auto" w:sz="4" w:space="0"/>
              <w:left w:val="single" w:color="auto" w:sz="4" w:space="0"/>
              <w:bottom w:val="single" w:color="auto" w:sz="4" w:space="0"/>
              <w:right w:val="single" w:color="auto" w:sz="4" w:space="0"/>
            </w:tcBorders>
            <w:vAlign w:val="center"/>
          </w:tcPr>
          <w:p w14:paraId="371745E4">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p>
        </w:tc>
      </w:tr>
      <w:tr w14:paraId="3A17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5E8DA3DD">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开户银行： </w:t>
            </w:r>
          </w:p>
        </w:tc>
        <w:tc>
          <w:tcPr>
            <w:tcW w:w="4583" w:type="dxa"/>
            <w:tcBorders>
              <w:top w:val="single" w:color="auto" w:sz="4" w:space="0"/>
              <w:left w:val="single" w:color="auto" w:sz="4" w:space="0"/>
              <w:bottom w:val="single" w:color="auto" w:sz="4" w:space="0"/>
              <w:right w:val="single" w:color="auto" w:sz="4" w:space="0"/>
            </w:tcBorders>
            <w:vAlign w:val="center"/>
          </w:tcPr>
          <w:p w14:paraId="7AD43591">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开户银行： </w:t>
            </w:r>
          </w:p>
        </w:tc>
      </w:tr>
      <w:tr w14:paraId="748D0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41BFBF99">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账号：</w:t>
            </w:r>
          </w:p>
        </w:tc>
        <w:tc>
          <w:tcPr>
            <w:tcW w:w="4583" w:type="dxa"/>
            <w:tcBorders>
              <w:top w:val="single" w:color="auto" w:sz="4" w:space="0"/>
              <w:left w:val="single" w:color="auto" w:sz="4" w:space="0"/>
              <w:bottom w:val="single" w:color="auto" w:sz="4" w:space="0"/>
              <w:right w:val="single" w:color="auto" w:sz="4" w:space="0"/>
            </w:tcBorders>
            <w:vAlign w:val="center"/>
          </w:tcPr>
          <w:p w14:paraId="742618A9">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账号：</w:t>
            </w:r>
          </w:p>
        </w:tc>
      </w:tr>
      <w:tr w14:paraId="3D70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60818FA8">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邮政编码：</w:t>
            </w:r>
          </w:p>
        </w:tc>
        <w:tc>
          <w:tcPr>
            <w:tcW w:w="4583" w:type="dxa"/>
            <w:tcBorders>
              <w:top w:val="single" w:color="auto" w:sz="4" w:space="0"/>
              <w:left w:val="single" w:color="auto" w:sz="4" w:space="0"/>
              <w:bottom w:val="single" w:color="auto" w:sz="4" w:space="0"/>
              <w:right w:val="single" w:color="auto" w:sz="4" w:space="0"/>
            </w:tcBorders>
            <w:vAlign w:val="center"/>
          </w:tcPr>
          <w:p w14:paraId="65710F99">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邮政编码：</w:t>
            </w:r>
          </w:p>
        </w:tc>
      </w:tr>
    </w:tbl>
    <w:p w14:paraId="18275442">
      <w:pPr>
        <w:widowControl/>
        <w:jc w:val="left"/>
        <w:rPr>
          <w:rFonts w:hint="eastAsia" w:ascii="宋体" w:hAnsi="宋体" w:cs="宋体"/>
          <w:color w:val="000000" w:themeColor="text1"/>
          <w:sz w:val="20"/>
          <w:szCs w:val="20"/>
          <w:highlight w:val="none"/>
          <w14:textFill>
            <w14:solidFill>
              <w14:schemeClr w14:val="tx1"/>
            </w14:solidFill>
          </w14:textFill>
        </w:rPr>
      </w:pPr>
    </w:p>
    <w:p w14:paraId="37D82FC2">
      <w:pPr>
        <w:spacing w:before="4"/>
        <w:rPr>
          <w:rFonts w:hint="eastAsia" w:ascii="宋体" w:hAnsi="宋体" w:cs="宋体"/>
          <w:color w:val="000000" w:themeColor="text1"/>
          <w:sz w:val="6"/>
          <w:szCs w:val="6"/>
          <w:highlight w:val="none"/>
          <w14:textFill>
            <w14:solidFill>
              <w14:schemeClr w14:val="tx1"/>
            </w14:solidFill>
          </w14:textFill>
        </w:rPr>
      </w:pPr>
    </w:p>
    <w:p w14:paraId="7BACFFC3">
      <w:pPr>
        <w:snapToGrid w:val="0"/>
        <w:jc w:val="center"/>
        <w:rPr>
          <w:rFonts w:hint="eastAsia" w:ascii="宋体" w:hAnsi="宋体"/>
          <w:bCs/>
          <w:color w:val="000000" w:themeColor="text1"/>
          <w:sz w:val="32"/>
          <w:szCs w:val="32"/>
          <w:highlight w:val="none"/>
          <w14:textFill>
            <w14:solidFill>
              <w14:schemeClr w14:val="tx1"/>
            </w14:solidFill>
          </w14:textFill>
        </w:rPr>
      </w:pPr>
      <w:r>
        <w:rPr>
          <w:rFonts w:ascii="宋体" w:hAnsi="宋体"/>
          <w:b/>
          <w:color w:val="000000" w:themeColor="text1"/>
          <w:sz w:val="32"/>
          <w:szCs w:val="32"/>
          <w:highlight w:val="none"/>
          <w14:textFill>
            <w14:solidFill>
              <w14:schemeClr w14:val="tx1"/>
            </w14:solidFill>
          </w14:textFill>
        </w:rPr>
        <w:br w:type="page"/>
      </w:r>
    </w:p>
    <w:p w14:paraId="36DCD753">
      <w:pPr>
        <w:spacing w:after="120"/>
        <w:ind w:firstLine="240" w:firstLineChars="100"/>
        <w:rPr>
          <w:rFonts w:ascii="宋体"/>
          <w:color w:val="000000" w:themeColor="text1"/>
          <w:sz w:val="24"/>
          <w:szCs w:val="24"/>
          <w:highlight w:val="none"/>
          <w14:textFill>
            <w14:solidFill>
              <w14:schemeClr w14:val="tx1"/>
            </w14:solidFill>
          </w14:textFill>
        </w:rPr>
      </w:pPr>
    </w:p>
    <w:p w14:paraId="513D4BD1">
      <w:pPr>
        <w:pStyle w:val="63"/>
        <w:ind w:left="420" w:firstLine="480"/>
        <w:rPr>
          <w:color w:val="000000" w:themeColor="text1"/>
          <w:highlight w:val="none"/>
          <w14:textFill>
            <w14:solidFill>
              <w14:schemeClr w14:val="tx1"/>
            </w14:solidFill>
          </w14:textFill>
        </w:rPr>
      </w:pPr>
    </w:p>
    <w:p w14:paraId="37926166">
      <w:pPr>
        <w:pStyle w:val="63"/>
        <w:ind w:left="420" w:firstLine="480"/>
        <w:rPr>
          <w:color w:val="000000" w:themeColor="text1"/>
          <w:highlight w:val="none"/>
          <w14:textFill>
            <w14:solidFill>
              <w14:schemeClr w14:val="tx1"/>
            </w14:solidFill>
          </w14:textFill>
        </w:rPr>
      </w:pPr>
    </w:p>
    <w:p w14:paraId="05AF630B">
      <w:pPr>
        <w:rPr>
          <w:rFonts w:hint="eastAsia" w:ascii="宋体" w:hAnsi="宋体" w:cs="新宋体"/>
          <w:bCs/>
          <w:color w:val="000000" w:themeColor="text1"/>
          <w:kern w:val="0"/>
          <w:sz w:val="24"/>
          <w:szCs w:val="24"/>
          <w:highlight w:val="none"/>
          <w14:textFill>
            <w14:solidFill>
              <w14:schemeClr w14:val="tx1"/>
            </w14:solidFill>
          </w14:textFill>
        </w:rPr>
      </w:pPr>
      <w:r>
        <w:rPr>
          <w:rFonts w:hint="eastAsia" w:ascii="宋体" w:hAnsi="宋体" w:cs="新宋体"/>
          <w:bCs/>
          <w:color w:val="000000" w:themeColor="text1"/>
          <w:kern w:val="0"/>
          <w:sz w:val="24"/>
          <w:szCs w:val="24"/>
          <w:highlight w:val="none"/>
          <w14:textFill>
            <w14:solidFill>
              <w14:schemeClr w14:val="tx1"/>
            </w14:solidFill>
          </w14:textFill>
        </w:rPr>
        <w:t>附件</w:t>
      </w:r>
    </w:p>
    <w:p w14:paraId="3477606F">
      <w:pPr>
        <w:widowControl/>
        <w:jc w:val="center"/>
        <w:rPr>
          <w:rFonts w:hint="eastAsia" w:ascii="宋体" w:hAnsi="宋体" w:cs="新宋体"/>
          <w:b/>
          <w:bCs/>
          <w:color w:val="000000" w:themeColor="text1"/>
          <w:kern w:val="0"/>
          <w:sz w:val="24"/>
          <w:szCs w:val="24"/>
          <w:highlight w:val="none"/>
          <w14:textFill>
            <w14:solidFill>
              <w14:schemeClr w14:val="tx1"/>
            </w14:solidFill>
          </w14:textFill>
        </w:rPr>
      </w:pPr>
      <w:r>
        <w:rPr>
          <w:rFonts w:hint="eastAsia" w:ascii="宋体" w:hAnsi="宋体" w:cs="新宋体"/>
          <w:b/>
          <w:bCs/>
          <w:color w:val="000000" w:themeColor="text1"/>
          <w:kern w:val="0"/>
          <w:sz w:val="24"/>
          <w:szCs w:val="24"/>
          <w:highlight w:val="none"/>
          <w14:textFill>
            <w14:solidFill>
              <w14:schemeClr w14:val="tx1"/>
            </w14:solidFill>
          </w14:textFill>
        </w:rPr>
        <w:t>广西壮族自治区政府采购项目</w:t>
      </w:r>
      <w:r>
        <w:rPr>
          <w:rFonts w:hint="eastAsia" w:ascii="宋体" w:hAnsi="宋体" w:cs="宋体"/>
          <w:b/>
          <w:color w:val="000000" w:themeColor="text1"/>
          <w:kern w:val="0"/>
          <w:sz w:val="24"/>
          <w:szCs w:val="24"/>
          <w:highlight w:val="none"/>
          <w14:textFill>
            <w14:solidFill>
              <w14:schemeClr w14:val="tx1"/>
            </w14:solidFill>
          </w14:textFill>
        </w:rPr>
        <w:t>合同验收书（格式）</w:t>
      </w:r>
    </w:p>
    <w:p w14:paraId="62BB4815">
      <w:pPr>
        <w:widowControl/>
        <w:snapToGrid w:val="0"/>
        <w:spacing w:before="100" w:beforeAutospacing="1" w:after="100" w:afterAutospacing="1" w:line="320" w:lineRule="exact"/>
        <w:ind w:left="-359" w:leftChars="-171"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根据政府采购项目（</w:t>
      </w:r>
      <w:r>
        <w:rPr>
          <w:rFonts w:hint="eastAsia" w:ascii="宋体" w:hAnsi="宋体" w:cs="宋体"/>
          <w:color w:val="000000" w:themeColor="text1"/>
          <w:kern w:val="0"/>
          <w:sz w:val="24"/>
          <w:szCs w:val="24"/>
          <w:highlight w:val="none"/>
          <w:u w:val="single"/>
          <w14:textFill>
            <w14:solidFill>
              <w14:schemeClr w14:val="tx1"/>
            </w14:solidFill>
          </w14:textFill>
        </w:rPr>
        <w:t>采购合同编号：</w:t>
      </w:r>
      <w:r>
        <w:rPr>
          <w:rFonts w:hint="eastAsia" w:ascii="宋体" w:hAnsi="宋体" w:cs="宋体"/>
          <w:color w:val="000000" w:themeColor="text1"/>
          <w:kern w:val="0"/>
          <w:sz w:val="24"/>
          <w:szCs w:val="24"/>
          <w:highlight w:val="none"/>
          <w:u w:val="single"/>
          <w14:textFill>
            <w14:solidFill>
              <w14:schemeClr w14:val="tx1"/>
            </w14:solidFill>
          </w14:textFill>
        </w:rPr>
        <w:softHyphen/>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）的约定，我单位对（</w:t>
      </w:r>
      <w:r>
        <w:rPr>
          <w:rFonts w:hint="eastAsia" w:ascii="宋体" w:hAnsi="宋体" w:cs="宋体"/>
          <w:color w:val="000000" w:themeColor="text1"/>
          <w:kern w:val="0"/>
          <w:sz w:val="24"/>
          <w:szCs w:val="24"/>
          <w:highlight w:val="none"/>
          <w:u w:val="single"/>
          <w14:textFill>
            <w14:solidFill>
              <w14:schemeClr w14:val="tx1"/>
            </w14:solidFill>
          </w14:textFill>
        </w:rPr>
        <w:t xml:space="preserve">  项目名称   </w:t>
      </w:r>
      <w:r>
        <w:rPr>
          <w:rFonts w:hint="eastAsia" w:ascii="宋体" w:hAnsi="宋体" w:cs="宋体"/>
          <w:color w:val="000000" w:themeColor="text1"/>
          <w:kern w:val="0"/>
          <w:sz w:val="24"/>
          <w:szCs w:val="24"/>
          <w:highlight w:val="none"/>
          <w14:textFill>
            <w14:solidFill>
              <w14:schemeClr w14:val="tx1"/>
            </w14:solidFill>
          </w14:textFill>
        </w:rPr>
        <w:t>）政府采购项目中标（或成交）供应商（</w:t>
      </w:r>
      <w:r>
        <w:rPr>
          <w:rFonts w:hint="eastAsia" w:ascii="宋体" w:hAnsi="宋体" w:cs="宋体"/>
          <w:color w:val="000000" w:themeColor="text1"/>
          <w:kern w:val="0"/>
          <w:sz w:val="24"/>
          <w:szCs w:val="24"/>
          <w:highlight w:val="none"/>
          <w:u w:val="single"/>
          <w14:textFill>
            <w14:solidFill>
              <w14:schemeClr w14:val="tx1"/>
            </w14:solidFill>
          </w14:textFill>
        </w:rPr>
        <w:t xml:space="preserve">      公司名称        </w:t>
      </w:r>
      <w:r>
        <w:rPr>
          <w:rFonts w:hint="eastAsia" w:ascii="宋体" w:hAnsi="宋体" w:cs="宋体"/>
          <w:color w:val="000000" w:themeColor="text1"/>
          <w:kern w:val="0"/>
          <w:sz w:val="24"/>
          <w:szCs w:val="24"/>
          <w:highlight w:val="none"/>
          <w14:textFill>
            <w14:solidFill>
              <w14:schemeClr w14:val="tx1"/>
            </w14:solidFill>
          </w14:textFill>
        </w:rPr>
        <w:t>）提供的货物（或工程、服务）进行了验收，验收情况如下：</w:t>
      </w:r>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1E90E2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821" w:type="dxa"/>
            <w:gridSpan w:val="2"/>
            <w:tcBorders>
              <w:top w:val="single" w:color="auto" w:sz="8" w:space="0"/>
              <w:left w:val="single" w:color="auto" w:sz="8" w:space="0"/>
              <w:bottom w:val="single" w:color="auto" w:sz="8" w:space="0"/>
              <w:right w:val="single" w:color="auto" w:sz="8" w:space="0"/>
            </w:tcBorders>
            <w:vAlign w:val="center"/>
          </w:tcPr>
          <w:p w14:paraId="45C92B97">
            <w:pPr>
              <w:widowControl/>
              <w:snapToGrid w:val="0"/>
              <w:spacing w:before="100" w:beforeAutospacing="1" w:after="100" w:afterAutospacing="1" w:line="320" w:lineRule="exact"/>
              <w:ind w:left="-3" w:firstLine="4" w:firstLineChars="2"/>
              <w:jc w:val="center"/>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验收方式：</w:t>
            </w:r>
          </w:p>
        </w:tc>
        <w:tc>
          <w:tcPr>
            <w:tcW w:w="5806" w:type="dxa"/>
            <w:gridSpan w:val="5"/>
            <w:tcBorders>
              <w:top w:val="single" w:color="auto" w:sz="8" w:space="0"/>
              <w:left w:val="single" w:color="auto" w:sz="8" w:space="0"/>
              <w:bottom w:val="single" w:color="auto" w:sz="8" w:space="0"/>
              <w:right w:val="single" w:color="auto" w:sz="8" w:space="0"/>
            </w:tcBorders>
            <w:vAlign w:val="center"/>
          </w:tcPr>
          <w:p w14:paraId="519A1127">
            <w:pPr>
              <w:widowControl/>
              <w:snapToGrid w:val="0"/>
              <w:spacing w:before="100" w:beforeAutospacing="1" w:after="100" w:afterAutospacing="1" w:line="320" w:lineRule="exact"/>
              <w:ind w:left="-3" w:firstLine="480" w:firstLineChars="200"/>
              <w:jc w:val="center"/>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□自行验收         □委托验收</w:t>
            </w:r>
          </w:p>
        </w:tc>
      </w:tr>
      <w:tr w14:paraId="078735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373DFC19">
            <w:pPr>
              <w:widowControl/>
              <w:snapToGrid w:val="0"/>
              <w:spacing w:before="100" w:beforeAutospacing="1" w:after="100" w:afterAutospacing="1" w:line="320" w:lineRule="exact"/>
              <w:ind w:firstLine="2" w:firstLineChars="1"/>
              <w:jc w:val="center"/>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序号</w:t>
            </w:r>
          </w:p>
        </w:tc>
        <w:tc>
          <w:tcPr>
            <w:tcW w:w="2294" w:type="dxa"/>
            <w:tcBorders>
              <w:top w:val="single" w:color="auto" w:sz="8" w:space="0"/>
              <w:left w:val="single" w:color="auto" w:sz="8" w:space="0"/>
              <w:bottom w:val="single" w:color="auto" w:sz="8" w:space="0"/>
              <w:right w:val="single" w:color="auto" w:sz="8" w:space="0"/>
            </w:tcBorders>
            <w:vAlign w:val="center"/>
          </w:tcPr>
          <w:p w14:paraId="5FFD14F6">
            <w:pPr>
              <w:widowControl/>
              <w:snapToGrid w:val="0"/>
              <w:spacing w:before="100" w:beforeAutospacing="1" w:after="100" w:afterAutospacing="1" w:line="320" w:lineRule="exact"/>
              <w:ind w:left="-3" w:firstLine="2" w:firstLineChars="1"/>
              <w:jc w:val="center"/>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名  称</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0B19FEF5">
            <w:pPr>
              <w:widowControl/>
              <w:snapToGrid w:val="0"/>
              <w:spacing w:before="100" w:beforeAutospacing="1" w:after="100" w:afterAutospacing="1" w:line="320" w:lineRule="exact"/>
              <w:ind w:left="-3" w:firstLine="2" w:firstLineChars="1"/>
              <w:jc w:val="center"/>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货物型号规格、标准及配置等（或服务内容、标准）</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7F56AB75">
            <w:pPr>
              <w:widowControl/>
              <w:snapToGrid w:val="0"/>
              <w:spacing w:before="100" w:beforeAutospacing="1" w:after="100" w:afterAutospacing="1" w:line="320" w:lineRule="exact"/>
              <w:jc w:val="center"/>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数量</w:t>
            </w:r>
          </w:p>
        </w:tc>
        <w:tc>
          <w:tcPr>
            <w:tcW w:w="1367" w:type="dxa"/>
            <w:tcBorders>
              <w:top w:val="single" w:color="auto" w:sz="8" w:space="0"/>
              <w:left w:val="single" w:color="auto" w:sz="8" w:space="0"/>
              <w:bottom w:val="single" w:color="auto" w:sz="8" w:space="0"/>
              <w:right w:val="single" w:color="auto" w:sz="8" w:space="0"/>
            </w:tcBorders>
            <w:vAlign w:val="center"/>
          </w:tcPr>
          <w:p w14:paraId="3AFC9905">
            <w:pPr>
              <w:widowControl/>
              <w:snapToGrid w:val="0"/>
              <w:spacing w:before="100" w:beforeAutospacing="1" w:after="100" w:afterAutospacing="1" w:line="320" w:lineRule="exact"/>
              <w:ind w:left="-3" w:firstLine="2" w:firstLineChars="1"/>
              <w:jc w:val="center"/>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金  额</w:t>
            </w:r>
          </w:p>
        </w:tc>
      </w:tr>
      <w:tr w14:paraId="02FF25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6929A849">
            <w:pPr>
              <w:widowControl/>
              <w:snapToGrid w:val="0"/>
              <w:spacing w:before="100" w:beforeAutospacing="1" w:after="100" w:afterAutospacing="1" w:line="320" w:lineRule="exact"/>
              <w:ind w:left="-3" w:firstLine="4" w:firstLineChars="2"/>
              <w:rPr>
                <w:rFonts w:hint="eastAsia" w:ascii="宋体" w:hAnsi="宋体" w:cs="宋体"/>
                <w:color w:val="000000" w:themeColor="text1"/>
                <w:kern w:val="0"/>
                <w:sz w:val="24"/>
                <w:szCs w:val="24"/>
                <w:highlight w:val="none"/>
                <w14:textFill>
                  <w14:solidFill>
                    <w14:schemeClr w14:val="tx1"/>
                  </w14:solidFill>
                </w14:textFill>
              </w:rPr>
            </w:pPr>
          </w:p>
        </w:tc>
        <w:tc>
          <w:tcPr>
            <w:tcW w:w="2294" w:type="dxa"/>
            <w:tcBorders>
              <w:top w:val="single" w:color="auto" w:sz="8" w:space="0"/>
              <w:left w:val="single" w:color="auto" w:sz="8" w:space="0"/>
              <w:bottom w:val="single" w:color="auto" w:sz="8" w:space="0"/>
              <w:right w:val="single" w:color="auto" w:sz="8" w:space="0"/>
            </w:tcBorders>
            <w:vAlign w:val="center"/>
          </w:tcPr>
          <w:p w14:paraId="7E29EC48">
            <w:pPr>
              <w:widowControl/>
              <w:snapToGrid w:val="0"/>
              <w:spacing w:before="100" w:beforeAutospacing="1" w:after="100" w:afterAutospacing="1" w:line="320" w:lineRule="exact"/>
              <w:ind w:left="-3"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295A7859">
            <w:pPr>
              <w:widowControl/>
              <w:snapToGrid w:val="0"/>
              <w:spacing w:before="100" w:beforeAutospacing="1" w:after="100" w:afterAutospacing="1" w:line="320" w:lineRule="exact"/>
              <w:ind w:left="-3"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0EC7C148">
            <w:pPr>
              <w:widowControl/>
              <w:snapToGrid w:val="0"/>
              <w:spacing w:before="100" w:beforeAutospacing="1" w:after="100" w:afterAutospacing="1" w:line="320" w:lineRule="exact"/>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367" w:type="dxa"/>
            <w:tcBorders>
              <w:top w:val="single" w:color="auto" w:sz="8" w:space="0"/>
              <w:left w:val="single" w:color="auto" w:sz="8" w:space="0"/>
              <w:bottom w:val="single" w:color="auto" w:sz="8" w:space="0"/>
              <w:right w:val="single" w:color="auto" w:sz="8" w:space="0"/>
            </w:tcBorders>
            <w:vAlign w:val="center"/>
          </w:tcPr>
          <w:p w14:paraId="204E9D8E">
            <w:pPr>
              <w:widowControl/>
              <w:snapToGrid w:val="0"/>
              <w:spacing w:before="100" w:beforeAutospacing="1" w:after="100" w:afterAutospacing="1" w:line="320" w:lineRule="exact"/>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574BAA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114DB1CF">
            <w:pPr>
              <w:widowControl/>
              <w:snapToGrid w:val="0"/>
              <w:spacing w:before="100" w:beforeAutospacing="1" w:after="100" w:afterAutospacing="1" w:line="320" w:lineRule="exact"/>
              <w:ind w:left="-3"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294" w:type="dxa"/>
            <w:tcBorders>
              <w:top w:val="single" w:color="auto" w:sz="8" w:space="0"/>
              <w:left w:val="single" w:color="auto" w:sz="8" w:space="0"/>
              <w:bottom w:val="single" w:color="auto" w:sz="8" w:space="0"/>
              <w:right w:val="single" w:color="auto" w:sz="8" w:space="0"/>
            </w:tcBorders>
            <w:vAlign w:val="center"/>
          </w:tcPr>
          <w:p w14:paraId="6CAB08AC">
            <w:pPr>
              <w:widowControl/>
              <w:snapToGrid w:val="0"/>
              <w:spacing w:before="100" w:beforeAutospacing="1" w:after="100" w:afterAutospacing="1" w:line="320" w:lineRule="exact"/>
              <w:ind w:left="-3"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7878A159">
            <w:pPr>
              <w:widowControl/>
              <w:snapToGrid w:val="0"/>
              <w:spacing w:before="100" w:beforeAutospacing="1" w:after="100" w:afterAutospacing="1" w:line="320" w:lineRule="exact"/>
              <w:ind w:left="-3"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46D2BEB4">
            <w:pPr>
              <w:widowControl/>
              <w:snapToGrid w:val="0"/>
              <w:spacing w:before="100" w:beforeAutospacing="1" w:after="100" w:afterAutospacing="1" w:line="320" w:lineRule="exact"/>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367" w:type="dxa"/>
            <w:tcBorders>
              <w:top w:val="single" w:color="auto" w:sz="8" w:space="0"/>
              <w:left w:val="single" w:color="auto" w:sz="8" w:space="0"/>
              <w:bottom w:val="single" w:color="auto" w:sz="8" w:space="0"/>
              <w:right w:val="single" w:color="auto" w:sz="8" w:space="0"/>
            </w:tcBorders>
            <w:vAlign w:val="center"/>
          </w:tcPr>
          <w:p w14:paraId="1DEAE479">
            <w:pPr>
              <w:widowControl/>
              <w:snapToGrid w:val="0"/>
              <w:spacing w:before="100" w:beforeAutospacing="1" w:after="100" w:afterAutospacing="1" w:line="320" w:lineRule="exact"/>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52EC86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0CE0B6CD">
            <w:pPr>
              <w:widowControl/>
              <w:snapToGrid w:val="0"/>
              <w:spacing w:before="100" w:beforeAutospacing="1" w:after="100" w:afterAutospacing="1" w:line="320" w:lineRule="exact"/>
              <w:ind w:left="-3"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294" w:type="dxa"/>
            <w:tcBorders>
              <w:top w:val="single" w:color="auto" w:sz="8" w:space="0"/>
              <w:left w:val="single" w:color="auto" w:sz="8" w:space="0"/>
              <w:bottom w:val="single" w:color="auto" w:sz="8" w:space="0"/>
              <w:right w:val="single" w:color="auto" w:sz="8" w:space="0"/>
            </w:tcBorders>
            <w:vAlign w:val="center"/>
          </w:tcPr>
          <w:p w14:paraId="23D1902B">
            <w:pPr>
              <w:widowControl/>
              <w:snapToGrid w:val="0"/>
              <w:spacing w:before="100" w:beforeAutospacing="1" w:after="100" w:afterAutospacing="1" w:line="320" w:lineRule="exact"/>
              <w:ind w:left="-3"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39949637">
            <w:pPr>
              <w:widowControl/>
              <w:snapToGrid w:val="0"/>
              <w:spacing w:before="100" w:beforeAutospacing="1" w:after="100" w:afterAutospacing="1" w:line="320" w:lineRule="exact"/>
              <w:ind w:left="-3"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14539898">
            <w:pPr>
              <w:widowControl/>
              <w:snapToGrid w:val="0"/>
              <w:spacing w:before="100" w:beforeAutospacing="1" w:after="100" w:afterAutospacing="1" w:line="320" w:lineRule="exact"/>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367" w:type="dxa"/>
            <w:tcBorders>
              <w:top w:val="single" w:color="auto" w:sz="8" w:space="0"/>
              <w:left w:val="single" w:color="auto" w:sz="8" w:space="0"/>
              <w:bottom w:val="single" w:color="auto" w:sz="8" w:space="0"/>
              <w:right w:val="single" w:color="auto" w:sz="8" w:space="0"/>
            </w:tcBorders>
            <w:vAlign w:val="center"/>
          </w:tcPr>
          <w:p w14:paraId="6611C62D">
            <w:pPr>
              <w:widowControl/>
              <w:snapToGrid w:val="0"/>
              <w:spacing w:before="100" w:beforeAutospacing="1" w:after="100" w:afterAutospacing="1" w:line="320" w:lineRule="exact"/>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9D10F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7262" w:type="dxa"/>
            <w:gridSpan w:val="4"/>
            <w:tcBorders>
              <w:top w:val="single" w:color="auto" w:sz="8" w:space="0"/>
              <w:left w:val="single" w:color="auto" w:sz="8" w:space="0"/>
              <w:bottom w:val="single" w:color="auto" w:sz="8" w:space="0"/>
              <w:right w:val="single" w:color="auto" w:sz="8" w:space="0"/>
            </w:tcBorders>
            <w:vAlign w:val="center"/>
          </w:tcPr>
          <w:p w14:paraId="56F8D034">
            <w:pPr>
              <w:widowControl/>
              <w:snapToGrid w:val="0"/>
              <w:spacing w:before="100" w:beforeAutospacing="1" w:after="100" w:afterAutospacing="1" w:line="320" w:lineRule="exact"/>
              <w:ind w:left="-3" w:firstLine="4" w:firstLineChars="2"/>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合  计：</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22583DCC">
            <w:pPr>
              <w:widowControl/>
              <w:snapToGrid w:val="0"/>
              <w:spacing w:before="100" w:beforeAutospacing="1" w:after="100" w:afterAutospacing="1" w:line="320" w:lineRule="exact"/>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367" w:type="dxa"/>
            <w:tcBorders>
              <w:top w:val="single" w:color="auto" w:sz="8" w:space="0"/>
              <w:left w:val="single" w:color="auto" w:sz="8" w:space="0"/>
              <w:bottom w:val="single" w:color="auto" w:sz="8" w:space="0"/>
              <w:right w:val="single" w:color="auto" w:sz="8" w:space="0"/>
            </w:tcBorders>
            <w:vAlign w:val="center"/>
          </w:tcPr>
          <w:p w14:paraId="2E478BF5">
            <w:pPr>
              <w:widowControl/>
              <w:snapToGrid w:val="0"/>
              <w:spacing w:before="100" w:beforeAutospacing="1" w:after="100" w:afterAutospacing="1" w:line="320" w:lineRule="exact"/>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467464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9627" w:type="dxa"/>
            <w:gridSpan w:val="7"/>
            <w:tcBorders>
              <w:top w:val="single" w:color="auto" w:sz="8" w:space="0"/>
              <w:left w:val="single" w:color="auto" w:sz="8" w:space="0"/>
              <w:bottom w:val="single" w:color="auto" w:sz="8" w:space="0"/>
              <w:right w:val="single" w:color="auto" w:sz="8" w:space="0"/>
            </w:tcBorders>
            <w:vAlign w:val="center"/>
          </w:tcPr>
          <w:p w14:paraId="344B43CA">
            <w:pPr>
              <w:widowControl/>
              <w:snapToGrid w:val="0"/>
              <w:spacing w:before="100" w:beforeAutospacing="1" w:after="100" w:afterAutospacing="1" w:line="320" w:lineRule="exact"/>
              <w:ind w:firstLine="2" w:firstLineChars="1"/>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合计大写金额：  </w:t>
            </w:r>
          </w:p>
        </w:tc>
      </w:tr>
      <w:tr w14:paraId="153895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43"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7A2DB9CD">
            <w:pPr>
              <w:widowControl/>
              <w:snapToGrid w:val="0"/>
              <w:spacing w:before="100" w:beforeAutospacing="1" w:after="100" w:afterAutospacing="1" w:line="320" w:lineRule="exact"/>
              <w:ind w:firstLine="2" w:firstLineChars="1"/>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实际供货日期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473DF132">
            <w:pPr>
              <w:snapToGrid w:val="0"/>
              <w:spacing w:before="100" w:beforeAutospacing="1" w:after="100" w:afterAutospacing="1" w:line="320" w:lineRule="exact"/>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p>
        </w:tc>
        <w:tc>
          <w:tcPr>
            <w:tcW w:w="2700" w:type="dxa"/>
            <w:gridSpan w:val="2"/>
            <w:tcBorders>
              <w:top w:val="single" w:color="auto" w:sz="8" w:space="0"/>
              <w:left w:val="single" w:color="auto" w:sz="8" w:space="0"/>
              <w:bottom w:val="single" w:color="auto" w:sz="8" w:space="0"/>
              <w:right w:val="single" w:color="auto" w:sz="8" w:space="0"/>
            </w:tcBorders>
            <w:vAlign w:val="center"/>
          </w:tcPr>
          <w:p w14:paraId="2E5AF198">
            <w:pPr>
              <w:snapToGrid w:val="0"/>
              <w:spacing w:before="100" w:beforeAutospacing="1" w:after="100" w:afterAutospacing="1" w:line="320" w:lineRule="exact"/>
              <w:ind w:firstLine="45" w:firstLineChars="19"/>
              <w:jc w:val="center"/>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合同交货验收日期</w:t>
            </w:r>
          </w:p>
        </w:tc>
        <w:tc>
          <w:tcPr>
            <w:tcW w:w="2160" w:type="dxa"/>
            <w:gridSpan w:val="2"/>
            <w:tcBorders>
              <w:top w:val="single" w:color="auto" w:sz="8" w:space="0"/>
              <w:left w:val="single" w:color="auto" w:sz="8" w:space="0"/>
              <w:bottom w:val="single" w:color="auto" w:sz="8" w:space="0"/>
              <w:right w:val="single" w:color="auto" w:sz="8" w:space="0"/>
            </w:tcBorders>
            <w:vAlign w:val="center"/>
          </w:tcPr>
          <w:p w14:paraId="71F3134E">
            <w:pPr>
              <w:snapToGrid w:val="0"/>
              <w:spacing w:before="100" w:beforeAutospacing="1" w:after="100" w:afterAutospacing="1" w:line="320" w:lineRule="exact"/>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p>
        </w:tc>
      </w:tr>
      <w:tr w14:paraId="267A97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36C41EC3">
            <w:pPr>
              <w:widowControl/>
              <w:snapToGrid w:val="0"/>
              <w:spacing w:before="100" w:beforeAutospacing="1" w:after="100" w:afterAutospacing="1" w:line="320" w:lineRule="exact"/>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1CDCE161">
            <w:pPr>
              <w:snapToGrid w:val="0"/>
              <w:spacing w:before="100" w:beforeAutospacing="1" w:after="100" w:afterAutospacing="1" w:line="320" w:lineRule="exact"/>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p>
        </w:tc>
        <w:tc>
          <w:tcPr>
            <w:tcW w:w="2700" w:type="dxa"/>
            <w:gridSpan w:val="2"/>
            <w:tcBorders>
              <w:top w:val="single" w:color="auto" w:sz="8" w:space="0"/>
              <w:left w:val="single" w:color="auto" w:sz="8" w:space="0"/>
              <w:bottom w:val="single" w:color="auto" w:sz="8" w:space="0"/>
              <w:right w:val="single" w:color="auto" w:sz="8" w:space="0"/>
            </w:tcBorders>
            <w:vAlign w:val="center"/>
          </w:tcPr>
          <w:p w14:paraId="60BF051A">
            <w:pPr>
              <w:snapToGrid w:val="0"/>
              <w:spacing w:before="100" w:beforeAutospacing="1" w:after="100" w:afterAutospacing="1" w:line="320" w:lineRule="exact"/>
              <w:ind w:left="590"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p>
        </w:tc>
        <w:tc>
          <w:tcPr>
            <w:tcW w:w="2160" w:type="dxa"/>
            <w:gridSpan w:val="2"/>
            <w:tcBorders>
              <w:top w:val="single" w:color="auto" w:sz="8" w:space="0"/>
              <w:left w:val="single" w:color="auto" w:sz="8" w:space="0"/>
              <w:bottom w:val="single" w:color="auto" w:sz="8" w:space="0"/>
              <w:right w:val="single" w:color="auto" w:sz="8" w:space="0"/>
            </w:tcBorders>
            <w:vAlign w:val="center"/>
          </w:tcPr>
          <w:p w14:paraId="1B339F7F">
            <w:pPr>
              <w:snapToGrid w:val="0"/>
              <w:spacing w:before="100" w:beforeAutospacing="1" w:after="100" w:afterAutospacing="1" w:line="320" w:lineRule="exact"/>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p>
        </w:tc>
      </w:tr>
      <w:tr w14:paraId="5BA541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23B2FF">
            <w:pPr>
              <w:widowControl/>
              <w:snapToGrid w:val="0"/>
              <w:spacing w:before="100" w:beforeAutospacing="1" w:after="100" w:afterAutospacing="1" w:line="320" w:lineRule="exact"/>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96AE31">
            <w:pPr>
              <w:widowControl/>
              <w:snapToGrid w:val="0"/>
              <w:spacing w:before="100" w:beforeAutospacing="1" w:after="100" w:afterAutospacing="1" w:line="320" w:lineRule="exact"/>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（应</w:t>
            </w:r>
            <w:r>
              <w:rPr>
                <w:rFonts w:hint="eastAsia" w:ascii="宋体" w:hAnsi="宋体" w:cs="宋体"/>
                <w:color w:val="000000" w:themeColor="text1"/>
                <w:kern w:val="0"/>
                <w:sz w:val="24"/>
                <w:szCs w:val="24"/>
                <w:highlight w:val="none"/>
                <w14:textFill>
                  <w14:solidFill>
                    <w14:schemeClr w14:val="tx1"/>
                  </w14:solidFill>
                </w14:textFill>
              </w:rPr>
              <w:t>按采购合同、采购文件、磋商响应文件及验收方案等进行验收；并核对</w:t>
            </w:r>
            <w:r>
              <w:rPr>
                <w:rFonts w:hint="eastAsia" w:ascii="宋体" w:hAnsi="宋体"/>
                <w:color w:val="000000" w:themeColor="text1"/>
                <w:sz w:val="24"/>
                <w:szCs w:val="24"/>
                <w:highlight w:val="none"/>
                <w14:textFill>
                  <w14:solidFill>
                    <w14:schemeClr w14:val="tx1"/>
                  </w14:solidFill>
                </w14:textFill>
              </w:rPr>
              <w:t>中标或者成交供应商在安装调试等方面是否违反合同约定或服务规范要求、提供的质量保证证明材料是否齐全、应有的配件及附件是否达到合同约定等</w:t>
            </w:r>
            <w:r>
              <w:rPr>
                <w:rFonts w:hint="eastAsia" w:ascii="宋体" w:hAnsi="宋体" w:cs="宋体"/>
                <w:color w:val="000000" w:themeColor="text1"/>
                <w:kern w:val="0"/>
                <w:sz w:val="24"/>
                <w:szCs w:val="24"/>
                <w:highlight w:val="none"/>
                <w14:textFill>
                  <w14:solidFill>
                    <w14:schemeClr w14:val="tx1"/>
                  </w14:solidFill>
                </w14:textFill>
              </w:rPr>
              <w:t>。可附件)</w:t>
            </w:r>
          </w:p>
        </w:tc>
      </w:tr>
      <w:tr w14:paraId="599FA9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1527"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DC33297">
            <w:pPr>
              <w:widowControl/>
              <w:spacing w:before="100" w:beforeAutospacing="1" w:after="100" w:afterAutospacing="1" w:line="320" w:lineRule="exact"/>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14:paraId="7478CEBA">
            <w:pPr>
              <w:widowControl/>
              <w:spacing w:before="100" w:beforeAutospacing="1" w:after="100" w:afterAutospacing="1" w:line="320" w:lineRule="exact"/>
              <w:ind w:firstLine="120" w:firstLineChars="5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验收结论性意见：</w:t>
            </w:r>
          </w:p>
        </w:tc>
      </w:tr>
      <w:tr w14:paraId="186014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40" w:hRule="atLeast"/>
          <w:jc w:val="center"/>
        </w:trPr>
        <w:tc>
          <w:tcPr>
            <w:tcW w:w="1527" w:type="dxa"/>
            <w:vMerge w:val="continue"/>
            <w:tcBorders>
              <w:top w:val="single" w:color="auto" w:sz="8" w:space="0"/>
              <w:left w:val="single" w:color="auto" w:sz="8" w:space="0"/>
              <w:bottom w:val="single" w:color="auto" w:sz="8" w:space="0"/>
              <w:right w:val="single" w:color="auto" w:sz="8" w:space="0"/>
            </w:tcBorders>
            <w:vAlign w:val="center"/>
          </w:tcPr>
          <w:p w14:paraId="5D41535E">
            <w:pPr>
              <w:widowControl/>
              <w:spacing w:line="320" w:lineRule="exact"/>
              <w:jc w:val="left"/>
              <w:rPr>
                <w:rFonts w:hint="eastAsia" w:ascii="宋体" w:hAnsi="宋体" w:cs="宋体"/>
                <w:color w:val="000000" w:themeColor="text1"/>
                <w:kern w:val="0"/>
                <w:sz w:val="24"/>
                <w:szCs w:val="24"/>
                <w:highlight w:val="none"/>
                <w14:textFill>
                  <w14:solidFill>
                    <w14:schemeClr w14:val="tx1"/>
                  </w14:solidFill>
                </w14:textFill>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14:paraId="2E2824B3">
            <w:pPr>
              <w:spacing w:before="100" w:beforeAutospacing="1" w:after="100" w:afterAutospacing="1" w:line="320" w:lineRule="exact"/>
              <w:ind w:firstLine="96" w:firstLineChars="4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有异议的意见和说明理由：</w:t>
            </w:r>
          </w:p>
          <w:p w14:paraId="5514C1EA">
            <w:pPr>
              <w:spacing w:before="100" w:beforeAutospacing="1" w:after="100" w:afterAutospacing="1" w:line="320" w:lineRule="exact"/>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签字：</w:t>
            </w:r>
          </w:p>
        </w:tc>
      </w:tr>
      <w:tr w14:paraId="4368D2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7" w:hRule="atLeast"/>
          <w:jc w:val="center"/>
        </w:trPr>
        <w:tc>
          <w:tcPr>
            <w:tcW w:w="9627"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FFABA6">
            <w:pPr>
              <w:widowControl/>
              <w:spacing w:before="100" w:beforeAutospacing="1" w:after="100" w:afterAutospacing="1" w:line="320" w:lineRule="exact"/>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验收小组成员签字：</w:t>
            </w:r>
          </w:p>
        </w:tc>
      </w:tr>
      <w:tr w14:paraId="2E06C0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6" w:hRule="atLeast"/>
          <w:jc w:val="center"/>
        </w:trPr>
        <w:tc>
          <w:tcPr>
            <w:tcW w:w="9627"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6ADD1C">
            <w:pPr>
              <w:widowControl/>
              <w:spacing w:before="100" w:beforeAutospacing="1" w:after="100" w:afterAutospacing="1" w:line="320" w:lineRule="exact"/>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监督人员或其他相关人员签字：</w:t>
            </w:r>
          </w:p>
          <w:p w14:paraId="49B13338">
            <w:pPr>
              <w:widowControl/>
              <w:spacing w:before="100" w:beforeAutospacing="1" w:after="100" w:afterAutospacing="1" w:line="320" w:lineRule="exact"/>
              <w:ind w:firstLine="74" w:firstLineChars="31"/>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或受邀机构的意见（盖章）：</w:t>
            </w:r>
          </w:p>
        </w:tc>
      </w:tr>
      <w:tr w14:paraId="2C373F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4767" w:type="dxa"/>
            <w:gridSpan w:val="3"/>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5403F68A">
            <w:pPr>
              <w:widowControl/>
              <w:spacing w:before="100" w:beforeAutospacing="1" w:after="100" w:afterAutospacing="1" w:line="320" w:lineRule="exact"/>
              <w:ind w:firstLine="74" w:firstLineChars="31"/>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中标或者成交供应商负责人签字或盖章：</w:t>
            </w:r>
          </w:p>
          <w:p w14:paraId="3715F136">
            <w:pPr>
              <w:widowControl/>
              <w:spacing w:before="100" w:beforeAutospacing="1" w:after="100" w:afterAutospacing="1" w:line="320" w:lineRule="exact"/>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联系电话：         年 月 日</w:t>
            </w:r>
          </w:p>
        </w:tc>
        <w:tc>
          <w:tcPr>
            <w:tcW w:w="4860" w:type="dxa"/>
            <w:gridSpan w:val="4"/>
            <w:tcBorders>
              <w:top w:val="single" w:color="auto" w:sz="8" w:space="0"/>
              <w:left w:val="nil"/>
              <w:bottom w:val="single" w:color="auto" w:sz="8" w:space="0"/>
              <w:right w:val="single" w:color="auto" w:sz="8" w:space="0"/>
            </w:tcBorders>
            <w:vAlign w:val="center"/>
          </w:tcPr>
          <w:p w14:paraId="5FD37FBA">
            <w:pPr>
              <w:widowControl/>
              <w:spacing w:before="100" w:beforeAutospacing="1" w:after="100" w:afterAutospacing="1" w:line="320" w:lineRule="exact"/>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采购人或受托机构的意见（盖章）：</w:t>
            </w:r>
          </w:p>
          <w:p w14:paraId="4FD7FDFA">
            <w:pPr>
              <w:widowControl/>
              <w:spacing w:before="100" w:beforeAutospacing="1" w:after="100" w:afterAutospacing="1" w:line="320" w:lineRule="exact"/>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联系电话：                 年   月   日</w:t>
            </w:r>
          </w:p>
        </w:tc>
      </w:tr>
    </w:tbl>
    <w:p w14:paraId="5E9A6F55">
      <w:pPr>
        <w:spacing w:after="120"/>
        <w:ind w:firstLine="240" w:firstLineChars="100"/>
        <w:rPr>
          <w:rFonts w:ascii="宋体"/>
          <w:color w:val="000000" w:themeColor="text1"/>
          <w:sz w:val="24"/>
          <w:szCs w:val="24"/>
          <w:highlight w:val="none"/>
          <w14:textFill>
            <w14:solidFill>
              <w14:schemeClr w14:val="tx1"/>
            </w14:solidFill>
          </w14:textFill>
        </w:rPr>
      </w:pPr>
    </w:p>
    <w:sectPr>
      <w:footerReference r:id="rId5" w:type="default"/>
      <w:footerReference r:id="rId6" w:type="even"/>
      <w:pgSz w:w="11906" w:h="16838"/>
      <w:pgMar w:top="1134" w:right="1304" w:bottom="1134" w:left="1701" w:header="851" w:footer="992" w:gutter="17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ont-weight : 400">
    <w:altName w:val="宋体"/>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华文新魏">
    <w:panose1 w:val="02010800040101010101"/>
    <w:charset w:val="86"/>
    <w:family w:val="auto"/>
    <w:pitch w:val="default"/>
    <w:sig w:usb0="00000001" w:usb1="080F0000" w:usb2="00000000" w:usb3="00000000" w:csb0="00040000" w:csb1="00000000"/>
  </w:font>
  <w:font w:name="Microsoft JhengHei Light">
    <w:panose1 w:val="020B0304030504040204"/>
    <w:charset w:val="88"/>
    <w:family w:val="swiss"/>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1FB33">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3810" b="0"/>
              <wp:wrapNone/>
              <wp:docPr id="76943356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699079EC">
                          <w:pPr>
                            <w:pStyle w:val="27"/>
                          </w:pPr>
                          <w:r>
                            <w:fldChar w:fldCharType="begin"/>
                          </w:r>
                          <w:r>
                            <w:instrText xml:space="preserve"> PAGE  \* MERGEFORMAT </w:instrText>
                          </w:r>
                          <w:r>
                            <w:fldChar w:fldCharType="separate"/>
                          </w:r>
                          <w:r>
                            <w:t>25</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GnbIgWAgAAFwQAAA4AAABkcnMvZTJvRG9jLnhtbK1TzY7TMBC+I/EO&#10;lu80TX+XqOlq2aoIafmRFh7AdZzGIvZYttukPAC8AScu3HmuPgdjJynLctkDF2tsz3wz3+fPq+tW&#10;1eQorJOgc5qOxpQIzaGQep/TTx+3L64ocZ7pgtWgRU5PwtHr9fNnq8ZkYgIV1IWwBEG0yxqT08p7&#10;kyWJ45VQzI3ACI2XJVjFPG7tPiksaxBd1clkPF4kDdjCWODCOTzddJe0R7RPAYSylFxsgB+U0L5D&#10;taJmHim5ShpH13HashTcvy9LJzypc4pMfVyxCca7sCbrFcv2lplK8n4E9pQRHnFSTGpseoHaMM/I&#10;wcp/oJTkFhyUfsRBJR2RqAiySMePtLmvmBGRC0rtzEV09/9g+bvjB0tkkdPl4uVsOp0vZpRopvDh&#10;z9+/nX/8Ov/8SiZBpsa4DLPvDeb79hW0aJ5I2Zk74J8d0XBbMb0XN9ZCUwlW4JhpqEwelHY4LoDs&#10;mrdQYB928BCB2tKqoCGqQhAdn+h0eSLResLxcL5cXs0p4XiTTtPZbB4bsGyoNdb51wIUCUFOLRog&#10;YrPjnfNhFpYNKaGVhq2s62iCWv91gIndiYgu6qsDkzB8R8O3u7ZXZgfFCTlZ6ByG/wuDCuwXShp0&#10;V041fiZK6jcaVQlGHAI7BLshYJpjYU49JV146zvDHoyV+wpxB91vULmtjLTCYN0Mvd7ol8i293Yw&#10;5MN9zPrzn9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L3UTQAAAAAgEAAA8AAAAAAAAAAQAg&#10;AAAAIgAAAGRycy9kb3ducmV2LnhtbFBLAQIUABQAAAAIAIdO4kDhp2yIFgIAABcEAAAOAAAAAAAA&#10;AAEAIAAAAB8BAABkcnMvZTJvRG9jLnhtbFBLBQYAAAAABgAGAFkBAACnBQAAAAA=&#10;">
              <v:fill on="f" focussize="0,0"/>
              <v:stroke on="f"/>
              <v:imagedata o:title=""/>
              <o:lock v:ext="edit" aspectratio="f"/>
              <v:textbox inset="0mm,0mm,0mm,0mm" style="mso-fit-shape-to-text:t;">
                <w:txbxContent>
                  <w:p w14:paraId="699079EC">
                    <w:pPr>
                      <w:pStyle w:val="2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A542A">
    <w:pPr>
      <w:pStyle w:val="27"/>
      <w:tabs>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4445" r="635" b="0"/>
              <wp:wrapNone/>
              <wp:docPr id="114751174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79E1EF0D">
                          <w:pPr>
                            <w:pStyle w:val="27"/>
                          </w:pPr>
                          <w:r>
                            <w:fldChar w:fldCharType="begin"/>
                          </w:r>
                          <w:r>
                            <w:instrText xml:space="preserve"> PAGE  \* MERGEFORMAT </w:instrText>
                          </w:r>
                          <w:r>
                            <w:fldChar w:fldCharType="separate"/>
                          </w:r>
                          <w:r>
                            <w:t>27</w:t>
                          </w:r>
                          <w: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BKNJnARAgAACwQAAA4AAABkcnMvZTJvRG9jLnhtbK1TS27bMBDdF+gd&#10;CO5rWYncpILlII3hokD6AdIegKYoi6jEIYa0JfcA7Q266qb7nsvnyJCy3DTdZNGNMCI5b957fJxf&#10;9W3DdgqdBlPwdDLlTBkJpTabgn/+tHpxyZnzwpSiAaMKvleOXy2eP5t3NldnUENTKmQEYlze2YLX&#10;3ts8SZysVSvcBKwytFkBtsLTL26SEkVH6G2TnE2nL5MOsLQIUjlHq8thkx8R8SmAUFVaqiXIbauM&#10;H1BRNcKTJFdr6/gisq0qJf2HqnLKs6bgpNTHLw2heh2+yWIu8g0KW2t5pCCeQuGRplZoQ0NPUEvh&#10;Bdui/geq1RLBQeUnEtpkEBIdIRXp9JE3d7WwKmohq509me7+H6x8v/uITJeUhDS7mKXpRZZxZkRL&#10;N3/48f3w8/fh1zeWBZ8663I6fmepwfevoaeeqNnZW5BfHDNwUwuzUdeI0NVKlMQzDZ3Jg9YBxwWQ&#10;dfcOSpojth4iUF9hG0wkWxih0x3tT3ekes9kGJlmr85nnEnaSs/TLJvFCSIfmy06/0ZBy0JRcKQI&#10;RHCxu3U+kBH5eCTMMrDSTRNj0Ji/FuhgWInkA9+Bue/X/dGMNZR7koEwpIreFBU14FfOOkpUwQ09&#10;IM6at4aMCOEbCxyL9VgII6mx4J6zobzxQ0i3FvWmJtzR6msya6WjkODqwOHIkjIS9R3zHEL48D+e&#10;+vOGF/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D5X5J0AAAAAMBAAAPAAAAAAAAAAEAIAAAACIA&#10;AABkcnMvZG93bnJldi54bWxQSwECFAAUAAAACACHTuJAEo0mcBECAAALBAAADgAAAAAAAAABACAA&#10;AAAfAQAAZHJzL2Uyb0RvYy54bWxQSwUGAAAAAAYABgBZAQAAogUAAAAA&#10;">
              <v:fill on="f" focussize="0,0"/>
              <v:stroke on="f"/>
              <v:imagedata o:title=""/>
              <o:lock v:ext="edit" aspectratio="f"/>
              <v:textbox inset="0mm,0mm,0mm,0mm" style="mso-fit-shape-to-text:t;">
                <w:txbxContent>
                  <w:p w14:paraId="79E1EF0D">
                    <w:pPr>
                      <w:pStyle w:val="2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50B81">
    <w:pPr>
      <w:pStyle w:val="27"/>
      <w:ind w:right="-199"/>
      <w:jc w:val="center"/>
      <w:rPr>
        <w:rFonts w:ascii="宋体"/>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2540" r="1905" b="0"/>
              <wp:wrapNone/>
              <wp:docPr id="203396553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74F80E28">
                          <w:pPr>
                            <w:pStyle w:val="27"/>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eQ6BIXAgAAGQQAAA4AAABkcnMvZTJvRG9jLnhtbK1TS27bMBDdF+gd&#10;CO5rWf4EiWA5SGO4KJB+gLQHoClKIipyCJK25B6gvUFX2XTfc/kcHVKSm6abLLohhp95M+/N4+q6&#10;Uw05COsk6JymkyklQnMopK5y+vnT9tUlJc4zXbAGtMjpUTh6vX75YtWaTMyghqYQliCIdllrclp7&#10;b7IkcbwWirkJGKHxsgSrmMetrZLCshbRVZPMptOLpAVbGAtcOIenm/6SDoj2OYBQlpKLDfC9Etr3&#10;qFY0zCMlV0vj6Dp2W5aC+w9l6YQnTU6RqY8rFsF4F9ZkvWJZZZmpJR9aYM9p4QknxaTGomeoDfOM&#10;7K38B0pJbsFB6SccVNITiYogi3T6RJv7mhkRuaDUzpxFd/8Plr8/fLREFjmdTefzq4vlco7z10zh&#10;5E8/vp8efp1+fiOXQafWuAyf3xtM8N1r6NA9kbMzd8C/OKLhtma6EjfWQlsLVmCfachMHqX2OC6A&#10;7Np3UGAdtvcQgbrSqiAiykIQHWd0PM9IdJ7wUDJdXM2XlHC8SufpYrGMFVg2Jhvr/BsBioQgpxYt&#10;EMHZ4c750AzLxiehloatbJpog0b/dYAP+xMRfTRkByqh+56H73bdIM0OiiOSstB7DH8YBjXYr5S0&#10;6K+cavxOlDRvNcoSrDgGdgx2Y8A0x8Scekr68Nb3lt0bK6sacUfhb1C6rYy0QmN9D4Pg6JjIdnB3&#10;sOTjfXz150ev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D5X5J0AAAAAMBAAAPAAAAAAAAAAEA&#10;IAAAACIAAABkcnMvZG93bnJldi54bWxQSwECFAAUAAAACACHTuJAp5DoEhcCAAAZBAAADgAAAAAA&#10;AAABACAAAAAfAQAAZHJzL2Uyb0RvYy54bWxQSwUGAAAAAAYABgBZAQAAqAUAAAAA&#10;">
              <v:fill on="f" focussize="0,0"/>
              <v:stroke on="f"/>
              <v:imagedata o:title=""/>
              <o:lock v:ext="edit" aspectratio="f"/>
              <v:textbox inset="0mm,0mm,0mm,0mm" style="mso-fit-shape-to-text:t;">
                <w:txbxContent>
                  <w:p w14:paraId="74F80E28">
                    <w:pPr>
                      <w:pStyle w:val="27"/>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1E64A">
    <w:pPr>
      <w:pStyle w:val="2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150" cy="131445"/>
              <wp:effectExtent l="0" t="0" r="0" b="1905"/>
              <wp:wrapNone/>
              <wp:docPr id="658972694" name="文本框 9"/>
              <wp:cNvGraphicFramePr/>
              <a:graphic xmlns:a="http://schemas.openxmlformats.org/drawingml/2006/main">
                <a:graphicData uri="http://schemas.microsoft.com/office/word/2010/wordprocessingShape">
                  <wps:wsp>
                    <wps:cNvSpPr txBox="1">
                      <a:spLocks noChangeArrowheads="1"/>
                    </wps:cNvSpPr>
                    <wps:spPr bwMode="auto">
                      <a:xfrm>
                        <a:off x="0" y="0"/>
                        <a:ext cx="57150" cy="131445"/>
                      </a:xfrm>
                      <a:prstGeom prst="rect">
                        <a:avLst/>
                      </a:prstGeom>
                      <a:noFill/>
                      <a:ln>
                        <a:noFill/>
                      </a:ln>
                      <a:effectLst/>
                    </wps:spPr>
                    <wps:txbx>
                      <w:txbxContent>
                        <w:p w14:paraId="2CDF4D6D">
                          <w:pPr>
                            <w:pStyle w:val="27"/>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9" o:spid="_x0000_s1026" o:spt="202" type="#_x0000_t202" style="position:absolute;left:0pt;margin-top:0pt;height:10.35pt;width:4.5pt;mso-position-horizontal:center;mso-position-horizontal-relative:margin;mso-wrap-style:none;z-index:251662336;mso-width-relative:page;mso-height-relative:page;" filled="f" stroked="f" coordsize="21600,21600" o:gfxdata="UEsDBAoAAAAAAIdO4kAAAAAAAAAAAAAAAAAEAAAAZHJzL1BLAwQUAAAACACHTuJAjpBRKs8AAAAC&#10;AQAADwAAAGRycy9kb3ducmV2LnhtbE2PMU/DMBCFd6T+B+sqsVG7HWgb4nSoxMJGQUhsbnyNI+xz&#10;ZLtp8u85WGB50tM7vfddfZiCFyOm3EfSsF4pEEhttD11Gt7fnh92IHIxZI2PhBpmzHBoFne1qWy8&#10;0SuOp9IJLqFcGQ2ulKGSMrcOg8mrOCBxdokpmMI2ddImc+Py4OVGqUcZTE+84MyAR4ft1+kaNGyn&#10;j4hDxiN+XsY2uX7e+ZdZ6/vlWj2BKDiVv2P4wWd0aJjpHK9ks/Aa+JHyq5zt2Zw1bNQWZFPL/+jN&#10;N1BLAwQUAAAACACHTuJAU5c0XxYCAAAXBAAADgAAAGRycy9lMm9Eb2MueG1srVPBjtMwEL0j8Q+W&#10;7zRNabvbqOlq2aoIaYGVFj7AdZzGIvZYttukfAD8AScu3PmufseOnaQsy2UPXKyxPfNm3vPz8qpV&#10;NTkI6yTonKajMSVCcyik3uX086fNq0tKnGe6YDVokdOjcPRq9fLFsjGZmEAFdSEsQRDtssbktPLe&#10;ZEnieCUUcyMwQuNlCVYxj1u7SwrLGkRXdTIZj+dJA7YwFrhwDk/X3SXtEe1zAKEsJRdr4HsltO9Q&#10;raiZR0quksbRVZy2LAX3H8vSCU/qnCJTH1dsgvE2rMlqybKdZaaSvB+BPWeEJ5wUkxqbnqHWzDOy&#10;t/IfKCW5BQelH3FQSUckKoIs0vETbe4rZkTkglI7cxbd/T9Y/uFwZ4kscjqfXS4uJvPFlBLNFD78&#10;6cf308/fp1/fyCLI1BiXYfa9wXzfvoEWzRMpO3ML/IsjGm4qpnfi2lpoKsEKHDMNlcmj0g7HBZBt&#10;8x4K7MP2HiJQW1oVNERVCKLjEx3PTyRaTzgezi7SGV5wvElfp9PpLDZg2VBrrPNvBSgSgpxaNEDE&#10;Zodb58MsLBtSQisNG1nX0QS1/usAE7sTEV3UVwcmYfiOhm+3ba/MFoojcrLQOQz/FwYV2K+UNOiu&#10;nGr8TJTU7zSqEow4BHYItkPANMfCnHpKuvDGd4bdGyt3FeIOul+jchsZaYXBuhl6vdEvkW3v7WDI&#10;x/uY9ec/rx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jpBRKs8AAAACAQAADwAAAAAAAAABACAA&#10;AAAiAAAAZHJzL2Rvd25yZXYueG1sUEsBAhQAFAAAAAgAh07iQFOXNF8WAgAAFwQAAA4AAAAAAAAA&#10;AQAgAAAAHgEAAGRycy9lMm9Eb2MueG1sUEsFBgAAAAAGAAYAWQEAAKYFAAAAAA==&#10;">
              <v:fill on="f" focussize="0,0"/>
              <v:stroke on="f"/>
              <v:imagedata o:title=""/>
              <o:lock v:ext="edit" aspectratio="f"/>
              <v:textbox inset="0mm,0mm,0mm,0mm" style="mso-fit-shape-to-text:t;">
                <w:txbxContent>
                  <w:p w14:paraId="2CDF4D6D">
                    <w:pPr>
                      <w:pStyle w:val="27"/>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C074B"/>
    <w:multiLevelType w:val="singleLevel"/>
    <w:tmpl w:val="BB7C074B"/>
    <w:lvl w:ilvl="0" w:tentative="0">
      <w:start w:val="2"/>
      <w:numFmt w:val="chineseCounting"/>
      <w:suff w:val="nothing"/>
      <w:lvlText w:val="%1、"/>
      <w:lvlJc w:val="left"/>
      <w:rPr>
        <w:rFonts w:hint="eastAsia"/>
      </w:rPr>
    </w:lvl>
  </w:abstractNum>
  <w:abstractNum w:abstractNumId="1">
    <w:nsid w:val="E124A65C"/>
    <w:multiLevelType w:val="singleLevel"/>
    <w:tmpl w:val="E124A65C"/>
    <w:lvl w:ilvl="0" w:tentative="0">
      <w:start w:val="1"/>
      <w:numFmt w:val="chineseCounting"/>
      <w:suff w:val="nothing"/>
      <w:lvlText w:val="%1、"/>
      <w:lvlJc w:val="left"/>
      <w:rPr>
        <w:rFonts w:hint="eastAsia"/>
      </w:rPr>
    </w:lvl>
  </w:abstractNum>
  <w:abstractNum w:abstractNumId="2">
    <w:nsid w:val="EB12704C"/>
    <w:multiLevelType w:val="singleLevel"/>
    <w:tmpl w:val="EB12704C"/>
    <w:lvl w:ilvl="0" w:tentative="0">
      <w:start w:val="1"/>
      <w:numFmt w:val="decimal"/>
      <w:pStyle w:val="142"/>
      <w:lvlText w:val="%1."/>
      <w:lvlJc w:val="left"/>
      <w:pPr>
        <w:tabs>
          <w:tab w:val="left" w:pos="480"/>
        </w:tabs>
        <w:ind w:left="480" w:hanging="480"/>
      </w:pPr>
      <w:rPr>
        <w:rFonts w:hint="default" w:cs="Times New Roman"/>
        <w:sz w:val="23"/>
        <w:szCs w:val="23"/>
      </w:rPr>
    </w:lvl>
  </w:abstractNum>
  <w:abstractNum w:abstractNumId="3">
    <w:nsid w:val="01A42B64"/>
    <w:multiLevelType w:val="multilevel"/>
    <w:tmpl w:val="01A42B64"/>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49E55D1"/>
    <w:multiLevelType w:val="multilevel"/>
    <w:tmpl w:val="049E55D1"/>
    <w:lvl w:ilvl="0" w:tentative="0">
      <w:start w:val="1"/>
      <w:numFmt w:val="decimal"/>
      <w:pStyle w:val="127"/>
      <w:lvlText w:val="%1."/>
      <w:lvlJc w:val="left"/>
      <w:pPr>
        <w:tabs>
          <w:tab w:val="left" w:pos="624"/>
        </w:tabs>
        <w:ind w:left="624" w:hanging="624"/>
      </w:pPr>
      <w:rPr>
        <w:rFonts w:hint="default" w:ascii="Arial" w:hAnsi="Arial" w:cs="Arial"/>
        <w:b/>
        <w:bCs/>
        <w:i w:val="0"/>
        <w:iCs w:val="0"/>
        <w:sz w:val="24"/>
        <w:szCs w:val="24"/>
      </w:rPr>
    </w:lvl>
    <w:lvl w:ilvl="1" w:tentative="0">
      <w:start w:val="1"/>
      <w:numFmt w:val="decimal"/>
      <w:pStyle w:val="152"/>
      <w:lvlText w:val="%1.%2"/>
      <w:lvlJc w:val="left"/>
      <w:pPr>
        <w:tabs>
          <w:tab w:val="left" w:pos="624"/>
        </w:tabs>
        <w:ind w:left="624" w:hanging="624"/>
      </w:pPr>
      <w:rPr>
        <w:rFonts w:hint="default" w:ascii="Arial" w:hAnsi="Arial" w:cs="Arial"/>
        <w:b w:val="0"/>
        <w:bCs w:val="0"/>
        <w:i w:val="0"/>
        <w:iCs w:val="0"/>
        <w:sz w:val="24"/>
        <w:szCs w:val="24"/>
      </w:rPr>
    </w:lvl>
    <w:lvl w:ilvl="2" w:tentative="0">
      <w:start w:val="1"/>
      <w:numFmt w:val="decimal"/>
      <w:pStyle w:val="148"/>
      <w:lvlText w:val="(%3)"/>
      <w:lvlJc w:val="left"/>
      <w:pPr>
        <w:tabs>
          <w:tab w:val="left" w:pos="624"/>
        </w:tabs>
        <w:ind w:left="624" w:hanging="624"/>
      </w:pPr>
      <w:rPr>
        <w:rFonts w:hint="default" w:ascii="Arial" w:hAnsi="Arial" w:cs="Arial"/>
        <w:b w:val="0"/>
        <w:bCs w:val="0"/>
        <w:i w:val="0"/>
        <w:iCs w:val="0"/>
        <w:sz w:val="24"/>
        <w:szCs w:val="24"/>
      </w:rPr>
    </w:lvl>
    <w:lvl w:ilvl="3" w:tentative="0">
      <w:start w:val="1"/>
      <w:numFmt w:val="decimal"/>
      <w:pStyle w:val="132"/>
      <w:lvlText w:val="%1.%2.%4"/>
      <w:lvlJc w:val="left"/>
      <w:pPr>
        <w:tabs>
          <w:tab w:val="left" w:pos="1361"/>
        </w:tabs>
        <w:ind w:left="1361" w:hanging="737"/>
      </w:pPr>
      <w:rPr>
        <w:rFonts w:hint="default" w:ascii="Arial" w:hAnsi="Arial" w:cs="Arial"/>
        <w:b w:val="0"/>
        <w:bCs w:val="0"/>
        <w:i w:val="0"/>
        <w:iCs w:val="0"/>
        <w:sz w:val="24"/>
        <w:szCs w:val="24"/>
      </w:rPr>
    </w:lvl>
    <w:lvl w:ilvl="4" w:tentative="0">
      <w:start w:val="1"/>
      <w:numFmt w:val="lowerLetter"/>
      <w:pStyle w:val="131"/>
      <w:lvlText w:val="(%5)"/>
      <w:lvlJc w:val="left"/>
      <w:pPr>
        <w:tabs>
          <w:tab w:val="left" w:pos="1361"/>
        </w:tabs>
        <w:ind w:left="1361" w:hanging="737"/>
      </w:pPr>
      <w:rPr>
        <w:rFonts w:hint="default" w:ascii="Arial" w:hAnsi="Arial" w:cs="Arial"/>
        <w:b w:val="0"/>
        <w:bCs w:val="0"/>
        <w:i w:val="0"/>
        <w:iCs w:val="0"/>
        <w:sz w:val="20"/>
        <w:szCs w:val="20"/>
      </w:rPr>
    </w:lvl>
    <w:lvl w:ilvl="5" w:tentative="0">
      <w:start w:val="1"/>
      <w:numFmt w:val="lowerRoman"/>
      <w:pStyle w:val="139"/>
      <w:lvlText w:val="(%6)"/>
      <w:lvlJc w:val="left"/>
      <w:pPr>
        <w:tabs>
          <w:tab w:val="left" w:pos="2041"/>
        </w:tabs>
        <w:ind w:left="2041" w:hanging="680"/>
      </w:pPr>
      <w:rPr>
        <w:rFonts w:hint="default" w:ascii="Arial" w:hAnsi="Arial" w:cs="Arial"/>
        <w:b w:val="0"/>
        <w:bCs w:val="0"/>
        <w:i w:val="0"/>
        <w:iCs w:val="0"/>
        <w:sz w:val="20"/>
        <w:szCs w:val="20"/>
      </w:rPr>
    </w:lvl>
    <w:lvl w:ilvl="6" w:tentative="0">
      <w:start w:val="1"/>
      <w:numFmt w:val="upperLetter"/>
      <w:pStyle w:val="140"/>
      <w:lvlText w:val="(%7)"/>
      <w:lvlJc w:val="left"/>
      <w:pPr>
        <w:tabs>
          <w:tab w:val="left" w:pos="2041"/>
        </w:tabs>
        <w:ind w:left="2041" w:hanging="680"/>
      </w:pPr>
      <w:rPr>
        <w:rFonts w:hint="default" w:ascii="Arial" w:hAnsi="Arial" w:cs="Arial"/>
        <w:b w:val="0"/>
        <w:bCs w:val="0"/>
        <w:i w:val="0"/>
        <w:iCs w:val="0"/>
        <w:sz w:val="20"/>
        <w:szCs w:val="20"/>
      </w:rPr>
    </w:lvl>
    <w:lvl w:ilvl="7" w:tentative="0">
      <w:start w:val="1"/>
      <w:numFmt w:val="upperLetter"/>
      <w:pStyle w:val="128"/>
      <w:lvlText w:val="(%8)"/>
      <w:lvlJc w:val="left"/>
      <w:pPr>
        <w:tabs>
          <w:tab w:val="left" w:pos="2722"/>
        </w:tabs>
        <w:ind w:left="2722" w:hanging="681"/>
      </w:pPr>
      <w:rPr>
        <w:rFonts w:hint="default" w:ascii="Arial" w:hAnsi="Arial" w:cs="Arial"/>
        <w:b w:val="0"/>
        <w:bCs w:val="0"/>
        <w:i w:val="0"/>
        <w:iCs w:val="0"/>
        <w:sz w:val="20"/>
        <w:szCs w:val="20"/>
      </w:rPr>
    </w:lvl>
    <w:lvl w:ilvl="8" w:tentative="0">
      <w:start w:val="1"/>
      <w:numFmt w:val="none"/>
      <w:lvlText w:val=""/>
      <w:lvlJc w:val="left"/>
      <w:pPr>
        <w:tabs>
          <w:tab w:val="left" w:pos="4320"/>
        </w:tabs>
        <w:ind w:left="4320" w:hanging="1440"/>
      </w:pPr>
      <w:rPr>
        <w:rFonts w:hint="eastAsia" w:cs="Times New Roman"/>
      </w:rPr>
    </w:lvl>
  </w:abstractNum>
  <w:abstractNum w:abstractNumId="5">
    <w:nsid w:val="0C48645C"/>
    <w:multiLevelType w:val="multilevel"/>
    <w:tmpl w:val="0C48645C"/>
    <w:lvl w:ilvl="0" w:tentative="0">
      <w:start w:val="1"/>
      <w:numFmt w:val="decimal"/>
      <w:pStyle w:val="130"/>
      <w:lvlText w:val="(%1)"/>
      <w:lvlJc w:val="left"/>
      <w:pPr>
        <w:tabs>
          <w:tab w:val="left" w:pos="680"/>
        </w:tabs>
        <w:ind w:left="680" w:hanging="680"/>
      </w:pPr>
      <w:rPr>
        <w:rFonts w:hint="default" w:cs="Times New Roman"/>
        <w:b/>
        <w:bCs/>
        <w:i w:val="0"/>
        <w:iCs w:val="0"/>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1BBF2A47"/>
    <w:multiLevelType w:val="multilevel"/>
    <w:tmpl w:val="1BBF2A4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3CF21C3"/>
    <w:multiLevelType w:val="singleLevel"/>
    <w:tmpl w:val="53CF21C3"/>
    <w:lvl w:ilvl="0" w:tentative="0">
      <w:start w:val="1"/>
      <w:numFmt w:val="chineseCounting"/>
      <w:suff w:val="nothing"/>
      <w:lvlText w:val="%1、"/>
      <w:lvlJc w:val="left"/>
      <w:rPr>
        <w:rFonts w:hint="eastAsia"/>
      </w:rPr>
    </w:lvl>
  </w:abstractNum>
  <w:abstractNum w:abstractNumId="8">
    <w:nsid w:val="6B5030ED"/>
    <w:multiLevelType w:val="singleLevel"/>
    <w:tmpl w:val="6B5030ED"/>
    <w:lvl w:ilvl="0" w:tentative="0">
      <w:start w:val="1"/>
      <w:numFmt w:val="decimal"/>
      <w:pStyle w:val="145"/>
      <w:lvlText w:val="(%1)"/>
      <w:lvlJc w:val="left"/>
      <w:pPr>
        <w:tabs>
          <w:tab w:val="left" w:pos="567"/>
        </w:tabs>
        <w:ind w:left="567" w:hanging="567"/>
      </w:pPr>
      <w:rPr>
        <w:rFonts w:hint="eastAsia" w:cs="Times New Roman"/>
        <w:b/>
        <w:bCs/>
        <w:i w:val="0"/>
        <w:iCs w:val="0"/>
        <w:sz w:val="23"/>
        <w:szCs w:val="23"/>
      </w:rPr>
    </w:lvl>
  </w:abstractNum>
  <w:num w:numId="1">
    <w:abstractNumId w:val="4"/>
  </w:num>
  <w:num w:numId="2">
    <w:abstractNumId w:val="5"/>
  </w:num>
  <w:num w:numId="3">
    <w:abstractNumId w:val="2"/>
  </w:num>
  <w:num w:numId="4">
    <w:abstractNumId w:val="8"/>
  </w:num>
  <w:num w:numId="5">
    <w:abstractNumId w:val="6"/>
  </w:num>
  <w:num w:numId="6">
    <w:abstractNumId w:val="3"/>
    <w:lvlOverride w:ilvl="0">
      <w:startOverride w:val="1"/>
      <w:lvl w:ilvl="0" w:tentative="1">
        <w:start w:val="1"/>
        <w:numFmt w:val="decimal"/>
        <w:lvlText w:val="（%1）"/>
        <w:lvlJc w:val="left"/>
        <w:pPr>
          <w:tabs>
            <w:tab w:val="left" w:pos="1140"/>
          </w:tabs>
          <w:ind w:left="1140" w:hanging="720"/>
        </w:pPr>
        <w:rPr>
          <w:rFonts w:ascii="宋体" w:hAnsi="宋体" w:eastAsia="宋体" w:cs="Times New Roman"/>
        </w:rPr>
      </w:lvl>
    </w:lvlOverride>
    <w:lvlOverride w:ilvl="1">
      <w:startOverride w:val="1"/>
      <w:lvl w:ilvl="1" w:tentative="1">
        <w:start w:val="1"/>
        <w:numFmt w:val="lowerLetter"/>
        <w:lvlText w:val="%2)"/>
        <w:lvlJc w:val="left"/>
        <w:pPr>
          <w:tabs>
            <w:tab w:val="left" w:pos="1260"/>
          </w:tabs>
          <w:ind w:left="1260" w:hanging="420"/>
        </w:pPr>
      </w:lvl>
    </w:lvlOverride>
    <w:lvlOverride w:ilvl="2">
      <w:startOverride w:val="1"/>
      <w:lvl w:ilvl="2" w:tentative="1">
        <w:start w:val="1"/>
        <w:numFmt w:val="lowerRoman"/>
        <w:lvlText w:val="%3."/>
        <w:lvlJc w:val="right"/>
        <w:pPr>
          <w:tabs>
            <w:tab w:val="left" w:pos="1680"/>
          </w:tabs>
          <w:ind w:left="1680" w:hanging="420"/>
        </w:pPr>
      </w:lvl>
    </w:lvlOverride>
    <w:lvlOverride w:ilvl="3">
      <w:startOverride w:val="1"/>
      <w:lvl w:ilvl="3" w:tentative="1">
        <w:start w:val="1"/>
        <w:numFmt w:val="decimal"/>
        <w:lvlText w:val="%4."/>
        <w:lvlJc w:val="left"/>
        <w:pPr>
          <w:tabs>
            <w:tab w:val="left" w:pos="2100"/>
          </w:tabs>
          <w:ind w:left="2100" w:hanging="420"/>
        </w:pPr>
      </w:lvl>
    </w:lvlOverride>
    <w:lvlOverride w:ilvl="4">
      <w:startOverride w:val="1"/>
      <w:lvl w:ilvl="4" w:tentative="1">
        <w:start w:val="1"/>
        <w:numFmt w:val="lowerLetter"/>
        <w:lvlText w:val="%5)"/>
        <w:lvlJc w:val="left"/>
        <w:pPr>
          <w:tabs>
            <w:tab w:val="left" w:pos="2520"/>
          </w:tabs>
          <w:ind w:left="2520" w:hanging="420"/>
        </w:pPr>
      </w:lvl>
    </w:lvlOverride>
    <w:lvlOverride w:ilvl="5">
      <w:startOverride w:val="1"/>
      <w:lvl w:ilvl="5" w:tentative="1">
        <w:start w:val="1"/>
        <w:numFmt w:val="lowerRoman"/>
        <w:lvlText w:val="%6."/>
        <w:lvlJc w:val="right"/>
        <w:pPr>
          <w:tabs>
            <w:tab w:val="left" w:pos="2940"/>
          </w:tabs>
          <w:ind w:left="2940" w:hanging="420"/>
        </w:pPr>
      </w:lvl>
    </w:lvlOverride>
    <w:lvlOverride w:ilvl="6">
      <w:startOverride w:val="1"/>
      <w:lvl w:ilvl="6" w:tentative="1">
        <w:start w:val="1"/>
        <w:numFmt w:val="decimal"/>
        <w:lvlText w:val="%7."/>
        <w:lvlJc w:val="left"/>
        <w:pPr>
          <w:tabs>
            <w:tab w:val="left" w:pos="3360"/>
          </w:tabs>
          <w:ind w:left="3360" w:hanging="420"/>
        </w:pPr>
      </w:lvl>
    </w:lvlOverride>
    <w:lvlOverride w:ilvl="7">
      <w:startOverride w:val="1"/>
      <w:lvl w:ilvl="7" w:tentative="1">
        <w:start w:val="1"/>
        <w:numFmt w:val="lowerLetter"/>
        <w:lvlText w:val="%8)"/>
        <w:lvlJc w:val="left"/>
        <w:pPr>
          <w:tabs>
            <w:tab w:val="left" w:pos="3780"/>
          </w:tabs>
          <w:ind w:left="3780" w:hanging="420"/>
        </w:pPr>
      </w:lvl>
    </w:lvlOverride>
    <w:lvlOverride w:ilvl="8">
      <w:startOverride w:val="1"/>
      <w:lvl w:ilvl="8" w:tentative="1">
        <w:start w:val="1"/>
        <w:numFmt w:val="lowerRoman"/>
        <w:lvlText w:val="%9."/>
        <w:lvlJc w:val="right"/>
        <w:pPr>
          <w:tabs>
            <w:tab w:val="left" w:pos="4200"/>
          </w:tabs>
          <w:ind w:left="4200" w:hanging="420"/>
        </w:pPr>
      </w:lvl>
    </w:lvlOverride>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331"/>
  <w:displayHorizont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hYWIyYmEyYTc4OWVhZWNiYTdmMGZhZWVjZTFhNjAifQ=="/>
  </w:docVars>
  <w:rsids>
    <w:rsidRoot w:val="00E64BE4"/>
    <w:rsid w:val="00021A5C"/>
    <w:rsid w:val="000253E5"/>
    <w:rsid w:val="0003440A"/>
    <w:rsid w:val="00041A16"/>
    <w:rsid w:val="00043144"/>
    <w:rsid w:val="00047F55"/>
    <w:rsid w:val="00054FB4"/>
    <w:rsid w:val="00064CA9"/>
    <w:rsid w:val="00070C90"/>
    <w:rsid w:val="0007257C"/>
    <w:rsid w:val="00073855"/>
    <w:rsid w:val="00076F41"/>
    <w:rsid w:val="000817F8"/>
    <w:rsid w:val="00090902"/>
    <w:rsid w:val="00093DD3"/>
    <w:rsid w:val="0009531B"/>
    <w:rsid w:val="000A6BFC"/>
    <w:rsid w:val="000B47D3"/>
    <w:rsid w:val="000B5AEB"/>
    <w:rsid w:val="000D7D9C"/>
    <w:rsid w:val="000E680B"/>
    <w:rsid w:val="000F26E4"/>
    <w:rsid w:val="000F6062"/>
    <w:rsid w:val="00115ED0"/>
    <w:rsid w:val="0011760F"/>
    <w:rsid w:val="00121ED8"/>
    <w:rsid w:val="00125A92"/>
    <w:rsid w:val="001315D9"/>
    <w:rsid w:val="00132C74"/>
    <w:rsid w:val="0014360E"/>
    <w:rsid w:val="00145F02"/>
    <w:rsid w:val="00146F36"/>
    <w:rsid w:val="00157047"/>
    <w:rsid w:val="001576E3"/>
    <w:rsid w:val="001623D7"/>
    <w:rsid w:val="00163587"/>
    <w:rsid w:val="001663EC"/>
    <w:rsid w:val="00177149"/>
    <w:rsid w:val="001865E7"/>
    <w:rsid w:val="001948EE"/>
    <w:rsid w:val="001976C5"/>
    <w:rsid w:val="001A1EC8"/>
    <w:rsid w:val="001A6F84"/>
    <w:rsid w:val="001B6C66"/>
    <w:rsid w:val="001D2740"/>
    <w:rsid w:val="001D623A"/>
    <w:rsid w:val="001E01E9"/>
    <w:rsid w:val="001E14C3"/>
    <w:rsid w:val="001E6262"/>
    <w:rsid w:val="001E7CA4"/>
    <w:rsid w:val="001F30D7"/>
    <w:rsid w:val="001F78C6"/>
    <w:rsid w:val="00207860"/>
    <w:rsid w:val="00211650"/>
    <w:rsid w:val="00225CD6"/>
    <w:rsid w:val="0023443E"/>
    <w:rsid w:val="00252275"/>
    <w:rsid w:val="00262A88"/>
    <w:rsid w:val="00276448"/>
    <w:rsid w:val="00286180"/>
    <w:rsid w:val="002A4E95"/>
    <w:rsid w:val="002A641C"/>
    <w:rsid w:val="002B278B"/>
    <w:rsid w:val="002B5C01"/>
    <w:rsid w:val="002B682F"/>
    <w:rsid w:val="002C02A8"/>
    <w:rsid w:val="002C7499"/>
    <w:rsid w:val="002D358F"/>
    <w:rsid w:val="002D57E8"/>
    <w:rsid w:val="002E744B"/>
    <w:rsid w:val="002F6052"/>
    <w:rsid w:val="002F61EB"/>
    <w:rsid w:val="00302E3E"/>
    <w:rsid w:val="00311E70"/>
    <w:rsid w:val="003125FB"/>
    <w:rsid w:val="0031575A"/>
    <w:rsid w:val="003307B1"/>
    <w:rsid w:val="0033366E"/>
    <w:rsid w:val="00357977"/>
    <w:rsid w:val="00357D6D"/>
    <w:rsid w:val="003630C5"/>
    <w:rsid w:val="00385E9B"/>
    <w:rsid w:val="003942D9"/>
    <w:rsid w:val="003968D5"/>
    <w:rsid w:val="003B07CE"/>
    <w:rsid w:val="003B58C4"/>
    <w:rsid w:val="003B5F3D"/>
    <w:rsid w:val="003B799C"/>
    <w:rsid w:val="003C7863"/>
    <w:rsid w:val="003D1C88"/>
    <w:rsid w:val="003D2AC7"/>
    <w:rsid w:val="003D43C1"/>
    <w:rsid w:val="003E2067"/>
    <w:rsid w:val="003E769D"/>
    <w:rsid w:val="003E7969"/>
    <w:rsid w:val="003F083B"/>
    <w:rsid w:val="00412A3A"/>
    <w:rsid w:val="00414039"/>
    <w:rsid w:val="0041491F"/>
    <w:rsid w:val="00420E4D"/>
    <w:rsid w:val="00432530"/>
    <w:rsid w:val="00432656"/>
    <w:rsid w:val="00434A9C"/>
    <w:rsid w:val="00436A8E"/>
    <w:rsid w:val="0043775E"/>
    <w:rsid w:val="004445B3"/>
    <w:rsid w:val="0045130E"/>
    <w:rsid w:val="00451D67"/>
    <w:rsid w:val="00453269"/>
    <w:rsid w:val="004618AF"/>
    <w:rsid w:val="004765A4"/>
    <w:rsid w:val="00481D83"/>
    <w:rsid w:val="0048761B"/>
    <w:rsid w:val="0049157E"/>
    <w:rsid w:val="004A7ADA"/>
    <w:rsid w:val="004B6AFE"/>
    <w:rsid w:val="004F4FDA"/>
    <w:rsid w:val="005247F2"/>
    <w:rsid w:val="00526A30"/>
    <w:rsid w:val="00530D50"/>
    <w:rsid w:val="00530DC8"/>
    <w:rsid w:val="00574602"/>
    <w:rsid w:val="00585B47"/>
    <w:rsid w:val="005D0E74"/>
    <w:rsid w:val="005E51F6"/>
    <w:rsid w:val="006046E6"/>
    <w:rsid w:val="0060798D"/>
    <w:rsid w:val="00623A7E"/>
    <w:rsid w:val="00623C8B"/>
    <w:rsid w:val="006245C8"/>
    <w:rsid w:val="00632E2C"/>
    <w:rsid w:val="00640931"/>
    <w:rsid w:val="00644F41"/>
    <w:rsid w:val="00651203"/>
    <w:rsid w:val="00654F3F"/>
    <w:rsid w:val="00657B2E"/>
    <w:rsid w:val="00661172"/>
    <w:rsid w:val="00667617"/>
    <w:rsid w:val="00676D9E"/>
    <w:rsid w:val="00690AFC"/>
    <w:rsid w:val="00691A06"/>
    <w:rsid w:val="006920C7"/>
    <w:rsid w:val="00692CCF"/>
    <w:rsid w:val="00693714"/>
    <w:rsid w:val="006B1E30"/>
    <w:rsid w:val="006C058B"/>
    <w:rsid w:val="006C42D0"/>
    <w:rsid w:val="006C45E7"/>
    <w:rsid w:val="006F0167"/>
    <w:rsid w:val="006F29FC"/>
    <w:rsid w:val="006F2CBE"/>
    <w:rsid w:val="00701AC0"/>
    <w:rsid w:val="00704E48"/>
    <w:rsid w:val="007115FA"/>
    <w:rsid w:val="007119C4"/>
    <w:rsid w:val="00711F06"/>
    <w:rsid w:val="0072118A"/>
    <w:rsid w:val="00732907"/>
    <w:rsid w:val="00741C76"/>
    <w:rsid w:val="0075190A"/>
    <w:rsid w:val="00760038"/>
    <w:rsid w:val="0076102D"/>
    <w:rsid w:val="007718F0"/>
    <w:rsid w:val="00773912"/>
    <w:rsid w:val="00781031"/>
    <w:rsid w:val="00796407"/>
    <w:rsid w:val="0079642A"/>
    <w:rsid w:val="007A51B4"/>
    <w:rsid w:val="007B6CC7"/>
    <w:rsid w:val="007C0C2E"/>
    <w:rsid w:val="007C2511"/>
    <w:rsid w:val="007C4EDF"/>
    <w:rsid w:val="007C5623"/>
    <w:rsid w:val="007C5F30"/>
    <w:rsid w:val="007D2570"/>
    <w:rsid w:val="007D5D68"/>
    <w:rsid w:val="007E373A"/>
    <w:rsid w:val="007F1047"/>
    <w:rsid w:val="007F1CE1"/>
    <w:rsid w:val="007F2581"/>
    <w:rsid w:val="007F3243"/>
    <w:rsid w:val="007F4090"/>
    <w:rsid w:val="007F6C3C"/>
    <w:rsid w:val="008041E5"/>
    <w:rsid w:val="00822D2C"/>
    <w:rsid w:val="008241A4"/>
    <w:rsid w:val="008334B0"/>
    <w:rsid w:val="00835F29"/>
    <w:rsid w:val="0083740D"/>
    <w:rsid w:val="00843FDE"/>
    <w:rsid w:val="00854BF2"/>
    <w:rsid w:val="00857484"/>
    <w:rsid w:val="00865090"/>
    <w:rsid w:val="00866EF1"/>
    <w:rsid w:val="0087041E"/>
    <w:rsid w:val="00871844"/>
    <w:rsid w:val="00871957"/>
    <w:rsid w:val="0087309E"/>
    <w:rsid w:val="00874F4F"/>
    <w:rsid w:val="00882AE7"/>
    <w:rsid w:val="008915E1"/>
    <w:rsid w:val="008C73E2"/>
    <w:rsid w:val="008D13F7"/>
    <w:rsid w:val="008D5DD9"/>
    <w:rsid w:val="008E11AD"/>
    <w:rsid w:val="008E6A2F"/>
    <w:rsid w:val="008F50EE"/>
    <w:rsid w:val="0090188D"/>
    <w:rsid w:val="0091473C"/>
    <w:rsid w:val="009233C0"/>
    <w:rsid w:val="00940823"/>
    <w:rsid w:val="00941B80"/>
    <w:rsid w:val="009420D7"/>
    <w:rsid w:val="0096023C"/>
    <w:rsid w:val="00964967"/>
    <w:rsid w:val="00965340"/>
    <w:rsid w:val="00977E0F"/>
    <w:rsid w:val="00982144"/>
    <w:rsid w:val="00991139"/>
    <w:rsid w:val="009914C9"/>
    <w:rsid w:val="009925E7"/>
    <w:rsid w:val="009944D1"/>
    <w:rsid w:val="00995EED"/>
    <w:rsid w:val="009B3D46"/>
    <w:rsid w:val="009C12D6"/>
    <w:rsid w:val="009D3C38"/>
    <w:rsid w:val="009E225B"/>
    <w:rsid w:val="009E5299"/>
    <w:rsid w:val="009E5B5B"/>
    <w:rsid w:val="009F5759"/>
    <w:rsid w:val="00A048AA"/>
    <w:rsid w:val="00A10713"/>
    <w:rsid w:val="00A14FC9"/>
    <w:rsid w:val="00A25AAA"/>
    <w:rsid w:val="00A27ABD"/>
    <w:rsid w:val="00A34B0B"/>
    <w:rsid w:val="00A364B9"/>
    <w:rsid w:val="00A36AAA"/>
    <w:rsid w:val="00A37457"/>
    <w:rsid w:val="00A427C0"/>
    <w:rsid w:val="00A4356D"/>
    <w:rsid w:val="00A44657"/>
    <w:rsid w:val="00A46274"/>
    <w:rsid w:val="00A616B8"/>
    <w:rsid w:val="00A62ECB"/>
    <w:rsid w:val="00A65D30"/>
    <w:rsid w:val="00A66B18"/>
    <w:rsid w:val="00A7096E"/>
    <w:rsid w:val="00A75A23"/>
    <w:rsid w:val="00A81A0C"/>
    <w:rsid w:val="00A83B1F"/>
    <w:rsid w:val="00A87709"/>
    <w:rsid w:val="00A91CAB"/>
    <w:rsid w:val="00AB40E1"/>
    <w:rsid w:val="00AC16E7"/>
    <w:rsid w:val="00AC1900"/>
    <w:rsid w:val="00AD5562"/>
    <w:rsid w:val="00AE1AD4"/>
    <w:rsid w:val="00AF6AE6"/>
    <w:rsid w:val="00B15786"/>
    <w:rsid w:val="00B17AAA"/>
    <w:rsid w:val="00B43FC5"/>
    <w:rsid w:val="00B503B7"/>
    <w:rsid w:val="00B5109D"/>
    <w:rsid w:val="00B5443F"/>
    <w:rsid w:val="00B57AF1"/>
    <w:rsid w:val="00B610E3"/>
    <w:rsid w:val="00B75504"/>
    <w:rsid w:val="00B760A8"/>
    <w:rsid w:val="00B80D08"/>
    <w:rsid w:val="00B8303C"/>
    <w:rsid w:val="00B84866"/>
    <w:rsid w:val="00B85C5C"/>
    <w:rsid w:val="00B87529"/>
    <w:rsid w:val="00B91772"/>
    <w:rsid w:val="00BA538C"/>
    <w:rsid w:val="00BA6241"/>
    <w:rsid w:val="00BA6F96"/>
    <w:rsid w:val="00BB1F29"/>
    <w:rsid w:val="00BC2E04"/>
    <w:rsid w:val="00BC58BA"/>
    <w:rsid w:val="00BD4F7F"/>
    <w:rsid w:val="00BE3828"/>
    <w:rsid w:val="00BF1679"/>
    <w:rsid w:val="00BF5528"/>
    <w:rsid w:val="00C05A4D"/>
    <w:rsid w:val="00C05B72"/>
    <w:rsid w:val="00C073BA"/>
    <w:rsid w:val="00C11338"/>
    <w:rsid w:val="00C24E2E"/>
    <w:rsid w:val="00C27ED3"/>
    <w:rsid w:val="00C31B08"/>
    <w:rsid w:val="00C33AFE"/>
    <w:rsid w:val="00C34706"/>
    <w:rsid w:val="00C34A20"/>
    <w:rsid w:val="00C355C6"/>
    <w:rsid w:val="00C35AC8"/>
    <w:rsid w:val="00C368CB"/>
    <w:rsid w:val="00C40A64"/>
    <w:rsid w:val="00C42FB2"/>
    <w:rsid w:val="00C5542E"/>
    <w:rsid w:val="00C56E38"/>
    <w:rsid w:val="00C64036"/>
    <w:rsid w:val="00C67B13"/>
    <w:rsid w:val="00C702B8"/>
    <w:rsid w:val="00C84DDF"/>
    <w:rsid w:val="00C9620E"/>
    <w:rsid w:val="00CA1E23"/>
    <w:rsid w:val="00CA4791"/>
    <w:rsid w:val="00CB3618"/>
    <w:rsid w:val="00CB60B7"/>
    <w:rsid w:val="00CC0582"/>
    <w:rsid w:val="00CC4845"/>
    <w:rsid w:val="00CE1173"/>
    <w:rsid w:val="00CE20B5"/>
    <w:rsid w:val="00CE5168"/>
    <w:rsid w:val="00CE584D"/>
    <w:rsid w:val="00D00B8F"/>
    <w:rsid w:val="00D016A0"/>
    <w:rsid w:val="00D146C2"/>
    <w:rsid w:val="00D16859"/>
    <w:rsid w:val="00D22C97"/>
    <w:rsid w:val="00D23242"/>
    <w:rsid w:val="00D23F24"/>
    <w:rsid w:val="00D3004A"/>
    <w:rsid w:val="00D30495"/>
    <w:rsid w:val="00D426E7"/>
    <w:rsid w:val="00D458BF"/>
    <w:rsid w:val="00D6172E"/>
    <w:rsid w:val="00D65FCC"/>
    <w:rsid w:val="00D743B5"/>
    <w:rsid w:val="00D76199"/>
    <w:rsid w:val="00DA1199"/>
    <w:rsid w:val="00DA49DD"/>
    <w:rsid w:val="00DA60AF"/>
    <w:rsid w:val="00DA64E1"/>
    <w:rsid w:val="00DA7065"/>
    <w:rsid w:val="00DC3EB1"/>
    <w:rsid w:val="00DD61BB"/>
    <w:rsid w:val="00DE0B60"/>
    <w:rsid w:val="00DE3166"/>
    <w:rsid w:val="00DF1D34"/>
    <w:rsid w:val="00DF3816"/>
    <w:rsid w:val="00DF7558"/>
    <w:rsid w:val="00DF7C94"/>
    <w:rsid w:val="00E00D81"/>
    <w:rsid w:val="00E34B31"/>
    <w:rsid w:val="00E4770B"/>
    <w:rsid w:val="00E53FA2"/>
    <w:rsid w:val="00E572B2"/>
    <w:rsid w:val="00E627B2"/>
    <w:rsid w:val="00E64BE4"/>
    <w:rsid w:val="00E703C1"/>
    <w:rsid w:val="00E72567"/>
    <w:rsid w:val="00E77FDA"/>
    <w:rsid w:val="00E8031F"/>
    <w:rsid w:val="00E8035A"/>
    <w:rsid w:val="00E828AE"/>
    <w:rsid w:val="00E8306C"/>
    <w:rsid w:val="00E875BE"/>
    <w:rsid w:val="00E87944"/>
    <w:rsid w:val="00E919FE"/>
    <w:rsid w:val="00E921A7"/>
    <w:rsid w:val="00E93DAD"/>
    <w:rsid w:val="00E97D8C"/>
    <w:rsid w:val="00EB060B"/>
    <w:rsid w:val="00EB7B3D"/>
    <w:rsid w:val="00ED070E"/>
    <w:rsid w:val="00ED7391"/>
    <w:rsid w:val="00EE27B8"/>
    <w:rsid w:val="00EE4722"/>
    <w:rsid w:val="00EE7288"/>
    <w:rsid w:val="00EF08D8"/>
    <w:rsid w:val="00EF6D5B"/>
    <w:rsid w:val="00F063C8"/>
    <w:rsid w:val="00F066EC"/>
    <w:rsid w:val="00F32E3B"/>
    <w:rsid w:val="00F33303"/>
    <w:rsid w:val="00F3334E"/>
    <w:rsid w:val="00F35399"/>
    <w:rsid w:val="00F44907"/>
    <w:rsid w:val="00F450EE"/>
    <w:rsid w:val="00F53162"/>
    <w:rsid w:val="00F645D5"/>
    <w:rsid w:val="00F818FD"/>
    <w:rsid w:val="00F8779A"/>
    <w:rsid w:val="00F87C23"/>
    <w:rsid w:val="00F91680"/>
    <w:rsid w:val="00FA2A3B"/>
    <w:rsid w:val="00FA2FF5"/>
    <w:rsid w:val="00FB164D"/>
    <w:rsid w:val="00FB47E6"/>
    <w:rsid w:val="00FB5A75"/>
    <w:rsid w:val="00FC0087"/>
    <w:rsid w:val="00FC398C"/>
    <w:rsid w:val="00FC3AFB"/>
    <w:rsid w:val="00FC4E3C"/>
    <w:rsid w:val="00FC6C3D"/>
    <w:rsid w:val="00FC7E62"/>
    <w:rsid w:val="00FD01AA"/>
    <w:rsid w:val="00FE4E86"/>
    <w:rsid w:val="00FF43C3"/>
    <w:rsid w:val="01D120D3"/>
    <w:rsid w:val="01FD5F42"/>
    <w:rsid w:val="02054E39"/>
    <w:rsid w:val="02145195"/>
    <w:rsid w:val="021827A5"/>
    <w:rsid w:val="021A27AB"/>
    <w:rsid w:val="02427F54"/>
    <w:rsid w:val="02641C78"/>
    <w:rsid w:val="02816CCE"/>
    <w:rsid w:val="029F7154"/>
    <w:rsid w:val="02A824AD"/>
    <w:rsid w:val="02AF383B"/>
    <w:rsid w:val="02C80459"/>
    <w:rsid w:val="02C941D1"/>
    <w:rsid w:val="02D917F0"/>
    <w:rsid w:val="02DC3C61"/>
    <w:rsid w:val="03261624"/>
    <w:rsid w:val="03345AEF"/>
    <w:rsid w:val="034D4E02"/>
    <w:rsid w:val="035241C7"/>
    <w:rsid w:val="03595555"/>
    <w:rsid w:val="03863E70"/>
    <w:rsid w:val="038C592B"/>
    <w:rsid w:val="03AA23C3"/>
    <w:rsid w:val="03B94246"/>
    <w:rsid w:val="03C52BEB"/>
    <w:rsid w:val="03D17DD3"/>
    <w:rsid w:val="03D673E3"/>
    <w:rsid w:val="03E07A24"/>
    <w:rsid w:val="04005CFB"/>
    <w:rsid w:val="04074FB1"/>
    <w:rsid w:val="041B646A"/>
    <w:rsid w:val="041B6CAE"/>
    <w:rsid w:val="043778C3"/>
    <w:rsid w:val="04387415"/>
    <w:rsid w:val="043F0BEF"/>
    <w:rsid w:val="043F299D"/>
    <w:rsid w:val="04AF1BB9"/>
    <w:rsid w:val="04B30C95"/>
    <w:rsid w:val="04BF3029"/>
    <w:rsid w:val="04E35A1E"/>
    <w:rsid w:val="04E57E5F"/>
    <w:rsid w:val="04FF3EDA"/>
    <w:rsid w:val="050F6813"/>
    <w:rsid w:val="051A0D14"/>
    <w:rsid w:val="051E2198"/>
    <w:rsid w:val="051E6A56"/>
    <w:rsid w:val="052851DF"/>
    <w:rsid w:val="053022E6"/>
    <w:rsid w:val="05613F3D"/>
    <w:rsid w:val="05726DA2"/>
    <w:rsid w:val="058057C6"/>
    <w:rsid w:val="058F1340"/>
    <w:rsid w:val="05900FD6"/>
    <w:rsid w:val="05A21435"/>
    <w:rsid w:val="05C164AF"/>
    <w:rsid w:val="05C649F8"/>
    <w:rsid w:val="05C75B8C"/>
    <w:rsid w:val="05C869C2"/>
    <w:rsid w:val="05D244A8"/>
    <w:rsid w:val="05DC4EA1"/>
    <w:rsid w:val="05DD246D"/>
    <w:rsid w:val="05E05ABA"/>
    <w:rsid w:val="065F0D96"/>
    <w:rsid w:val="06625228"/>
    <w:rsid w:val="069D39AB"/>
    <w:rsid w:val="06AD62E4"/>
    <w:rsid w:val="06B238FA"/>
    <w:rsid w:val="06C90782"/>
    <w:rsid w:val="06CB49BC"/>
    <w:rsid w:val="06DE3B4B"/>
    <w:rsid w:val="06E65352"/>
    <w:rsid w:val="06EB6E0C"/>
    <w:rsid w:val="06F2019A"/>
    <w:rsid w:val="06F82C62"/>
    <w:rsid w:val="070C28DE"/>
    <w:rsid w:val="070E6657"/>
    <w:rsid w:val="07117EF5"/>
    <w:rsid w:val="073562D9"/>
    <w:rsid w:val="07436660"/>
    <w:rsid w:val="0755A66E"/>
    <w:rsid w:val="07666493"/>
    <w:rsid w:val="076D5A73"/>
    <w:rsid w:val="077010BF"/>
    <w:rsid w:val="07773341"/>
    <w:rsid w:val="077A7FD0"/>
    <w:rsid w:val="077C1812"/>
    <w:rsid w:val="07A31495"/>
    <w:rsid w:val="07AC4D73"/>
    <w:rsid w:val="07E31891"/>
    <w:rsid w:val="07E55609"/>
    <w:rsid w:val="08057A5A"/>
    <w:rsid w:val="081F6A2B"/>
    <w:rsid w:val="082779D0"/>
    <w:rsid w:val="08346591"/>
    <w:rsid w:val="084E593B"/>
    <w:rsid w:val="0869623A"/>
    <w:rsid w:val="0870581B"/>
    <w:rsid w:val="088F37C7"/>
    <w:rsid w:val="08B84ACC"/>
    <w:rsid w:val="08D062B9"/>
    <w:rsid w:val="08D631A4"/>
    <w:rsid w:val="08EB4EA1"/>
    <w:rsid w:val="08F85810"/>
    <w:rsid w:val="09376339"/>
    <w:rsid w:val="09903C9B"/>
    <w:rsid w:val="099F7A3A"/>
    <w:rsid w:val="09A34265"/>
    <w:rsid w:val="09A45050"/>
    <w:rsid w:val="09A6701A"/>
    <w:rsid w:val="09CB4CD3"/>
    <w:rsid w:val="09D26061"/>
    <w:rsid w:val="09D73678"/>
    <w:rsid w:val="09D90354"/>
    <w:rsid w:val="09D93A7D"/>
    <w:rsid w:val="0A0F1D09"/>
    <w:rsid w:val="0A23066B"/>
    <w:rsid w:val="0A29106A"/>
    <w:rsid w:val="0A44050A"/>
    <w:rsid w:val="0A4A3E4A"/>
    <w:rsid w:val="0A59408D"/>
    <w:rsid w:val="0A60366D"/>
    <w:rsid w:val="0A7D5943"/>
    <w:rsid w:val="0A816876"/>
    <w:rsid w:val="0A821835"/>
    <w:rsid w:val="0A874887"/>
    <w:rsid w:val="0A93759F"/>
    <w:rsid w:val="0ABD461B"/>
    <w:rsid w:val="0ABE5714"/>
    <w:rsid w:val="0AE222D4"/>
    <w:rsid w:val="0AEC6CAF"/>
    <w:rsid w:val="0AFC15E8"/>
    <w:rsid w:val="0AFD62FB"/>
    <w:rsid w:val="0AFE5564"/>
    <w:rsid w:val="0B04049C"/>
    <w:rsid w:val="0B0646FA"/>
    <w:rsid w:val="0B065FC2"/>
    <w:rsid w:val="0B192EB8"/>
    <w:rsid w:val="0B1A7CC0"/>
    <w:rsid w:val="0B2823DD"/>
    <w:rsid w:val="0B422D73"/>
    <w:rsid w:val="0B555FA2"/>
    <w:rsid w:val="0B692851"/>
    <w:rsid w:val="0B7E024F"/>
    <w:rsid w:val="0B882E7B"/>
    <w:rsid w:val="0B896BF3"/>
    <w:rsid w:val="0B8B6B46"/>
    <w:rsid w:val="0B9B6894"/>
    <w:rsid w:val="0B9D61FB"/>
    <w:rsid w:val="0BBC750B"/>
    <w:rsid w:val="0BD87233"/>
    <w:rsid w:val="0BFB3656"/>
    <w:rsid w:val="0C0727E4"/>
    <w:rsid w:val="0C1110C3"/>
    <w:rsid w:val="0C177D5B"/>
    <w:rsid w:val="0C2801BA"/>
    <w:rsid w:val="0C30706F"/>
    <w:rsid w:val="0C3E178C"/>
    <w:rsid w:val="0C476893"/>
    <w:rsid w:val="0C4A6383"/>
    <w:rsid w:val="0C7D3CE3"/>
    <w:rsid w:val="0C8F023A"/>
    <w:rsid w:val="0C9B273A"/>
    <w:rsid w:val="0CA75583"/>
    <w:rsid w:val="0CA84E57"/>
    <w:rsid w:val="0CAA6E21"/>
    <w:rsid w:val="0CAD06C0"/>
    <w:rsid w:val="0CB67574"/>
    <w:rsid w:val="0CC31C91"/>
    <w:rsid w:val="0CCE2B10"/>
    <w:rsid w:val="0CD67C16"/>
    <w:rsid w:val="0CDC16FF"/>
    <w:rsid w:val="0CDD52A8"/>
    <w:rsid w:val="0CE642FD"/>
    <w:rsid w:val="0D076907"/>
    <w:rsid w:val="0D093B48"/>
    <w:rsid w:val="0D0C634F"/>
    <w:rsid w:val="0D2F64E3"/>
    <w:rsid w:val="0D444B80"/>
    <w:rsid w:val="0D5079C9"/>
    <w:rsid w:val="0D533015"/>
    <w:rsid w:val="0D6F03F4"/>
    <w:rsid w:val="0D8E04F1"/>
    <w:rsid w:val="0D95362E"/>
    <w:rsid w:val="0D9773A6"/>
    <w:rsid w:val="0DD405FA"/>
    <w:rsid w:val="0DF5231E"/>
    <w:rsid w:val="0E124C7E"/>
    <w:rsid w:val="0E194F31"/>
    <w:rsid w:val="0E24520E"/>
    <w:rsid w:val="0E3D4D49"/>
    <w:rsid w:val="0E415563"/>
    <w:rsid w:val="0E462B7A"/>
    <w:rsid w:val="0E6574A4"/>
    <w:rsid w:val="0E924011"/>
    <w:rsid w:val="0EB934CB"/>
    <w:rsid w:val="0EDC703A"/>
    <w:rsid w:val="0EE04D7C"/>
    <w:rsid w:val="0EF44384"/>
    <w:rsid w:val="0EF826DC"/>
    <w:rsid w:val="0EFB3583"/>
    <w:rsid w:val="0F0270BA"/>
    <w:rsid w:val="0F056591"/>
    <w:rsid w:val="0F130CAE"/>
    <w:rsid w:val="0F184516"/>
    <w:rsid w:val="0F2033CB"/>
    <w:rsid w:val="0F225395"/>
    <w:rsid w:val="0F44355D"/>
    <w:rsid w:val="0F4F5A5E"/>
    <w:rsid w:val="0F5A4B2F"/>
    <w:rsid w:val="0F6A2898"/>
    <w:rsid w:val="0F711E78"/>
    <w:rsid w:val="0F76123D"/>
    <w:rsid w:val="0F7D25CB"/>
    <w:rsid w:val="0F8120BC"/>
    <w:rsid w:val="0F9718DF"/>
    <w:rsid w:val="0FA638D0"/>
    <w:rsid w:val="0FB56209"/>
    <w:rsid w:val="0FF02D9D"/>
    <w:rsid w:val="104C5959"/>
    <w:rsid w:val="10576C35"/>
    <w:rsid w:val="10616317"/>
    <w:rsid w:val="10811E74"/>
    <w:rsid w:val="108A1444"/>
    <w:rsid w:val="1095271D"/>
    <w:rsid w:val="10A55A69"/>
    <w:rsid w:val="10AA3690"/>
    <w:rsid w:val="10FA2C0C"/>
    <w:rsid w:val="11020FDA"/>
    <w:rsid w:val="111B27FB"/>
    <w:rsid w:val="111E3477"/>
    <w:rsid w:val="112847B9"/>
    <w:rsid w:val="113118BF"/>
    <w:rsid w:val="1131366D"/>
    <w:rsid w:val="11366ED6"/>
    <w:rsid w:val="114333A1"/>
    <w:rsid w:val="11454AFE"/>
    <w:rsid w:val="11731ED8"/>
    <w:rsid w:val="117C274F"/>
    <w:rsid w:val="11834FC5"/>
    <w:rsid w:val="11AE2F10"/>
    <w:rsid w:val="11B12A00"/>
    <w:rsid w:val="11BC6517"/>
    <w:rsid w:val="11DB182B"/>
    <w:rsid w:val="11E06E41"/>
    <w:rsid w:val="11E903EC"/>
    <w:rsid w:val="11ED566F"/>
    <w:rsid w:val="11F72B09"/>
    <w:rsid w:val="12080872"/>
    <w:rsid w:val="120F7DA9"/>
    <w:rsid w:val="12176D07"/>
    <w:rsid w:val="12251997"/>
    <w:rsid w:val="1226519C"/>
    <w:rsid w:val="12333415"/>
    <w:rsid w:val="124C16CC"/>
    <w:rsid w:val="12524142"/>
    <w:rsid w:val="129E40C9"/>
    <w:rsid w:val="12B502CE"/>
    <w:rsid w:val="12CA3D79"/>
    <w:rsid w:val="12D375B3"/>
    <w:rsid w:val="12F72695"/>
    <w:rsid w:val="13004415"/>
    <w:rsid w:val="130A23C8"/>
    <w:rsid w:val="130C4392"/>
    <w:rsid w:val="13155288"/>
    <w:rsid w:val="131B45D5"/>
    <w:rsid w:val="13294F44"/>
    <w:rsid w:val="132E255A"/>
    <w:rsid w:val="133D16DF"/>
    <w:rsid w:val="13497F22"/>
    <w:rsid w:val="13531FC1"/>
    <w:rsid w:val="13653AA2"/>
    <w:rsid w:val="136F4921"/>
    <w:rsid w:val="13734411"/>
    <w:rsid w:val="13767A5D"/>
    <w:rsid w:val="13AF2F6F"/>
    <w:rsid w:val="13D12EE6"/>
    <w:rsid w:val="13E1581F"/>
    <w:rsid w:val="13F53078"/>
    <w:rsid w:val="141839BA"/>
    <w:rsid w:val="141F0531"/>
    <w:rsid w:val="145558C5"/>
    <w:rsid w:val="145E4453"/>
    <w:rsid w:val="146B333A"/>
    <w:rsid w:val="146C7CA8"/>
    <w:rsid w:val="1481490C"/>
    <w:rsid w:val="149A3C1F"/>
    <w:rsid w:val="149F2FE4"/>
    <w:rsid w:val="14A40884"/>
    <w:rsid w:val="14BF5434"/>
    <w:rsid w:val="14D56A06"/>
    <w:rsid w:val="15003A82"/>
    <w:rsid w:val="150572EB"/>
    <w:rsid w:val="150A66AF"/>
    <w:rsid w:val="152D05F0"/>
    <w:rsid w:val="152E4A94"/>
    <w:rsid w:val="153B4ABB"/>
    <w:rsid w:val="153D4CD7"/>
    <w:rsid w:val="155B6F0B"/>
    <w:rsid w:val="155D0C2B"/>
    <w:rsid w:val="15763D45"/>
    <w:rsid w:val="158A4676"/>
    <w:rsid w:val="158E72E0"/>
    <w:rsid w:val="15925237"/>
    <w:rsid w:val="159E329B"/>
    <w:rsid w:val="15A9411A"/>
    <w:rsid w:val="15AC3C0A"/>
    <w:rsid w:val="15C17E18"/>
    <w:rsid w:val="15C9656A"/>
    <w:rsid w:val="15CA0C03"/>
    <w:rsid w:val="15D97860"/>
    <w:rsid w:val="15ED4701"/>
    <w:rsid w:val="162D27B7"/>
    <w:rsid w:val="165B0B3D"/>
    <w:rsid w:val="167F4E7B"/>
    <w:rsid w:val="168626AD"/>
    <w:rsid w:val="16A3369E"/>
    <w:rsid w:val="16F77107"/>
    <w:rsid w:val="17033ECD"/>
    <w:rsid w:val="170E337C"/>
    <w:rsid w:val="172872C1"/>
    <w:rsid w:val="174E079F"/>
    <w:rsid w:val="175E7186"/>
    <w:rsid w:val="17773DA4"/>
    <w:rsid w:val="177A1C19"/>
    <w:rsid w:val="178B40C0"/>
    <w:rsid w:val="17A27073"/>
    <w:rsid w:val="17BD3EAD"/>
    <w:rsid w:val="17F57981"/>
    <w:rsid w:val="17FFC110"/>
    <w:rsid w:val="18090EA0"/>
    <w:rsid w:val="1809601B"/>
    <w:rsid w:val="180F222F"/>
    <w:rsid w:val="18267CA4"/>
    <w:rsid w:val="18550589"/>
    <w:rsid w:val="18552337"/>
    <w:rsid w:val="185760AF"/>
    <w:rsid w:val="185F6D12"/>
    <w:rsid w:val="18745D12"/>
    <w:rsid w:val="188A200B"/>
    <w:rsid w:val="189270E7"/>
    <w:rsid w:val="18BE612E"/>
    <w:rsid w:val="18C354F3"/>
    <w:rsid w:val="18D00879"/>
    <w:rsid w:val="18F27B86"/>
    <w:rsid w:val="190C4699"/>
    <w:rsid w:val="195D1ADE"/>
    <w:rsid w:val="19963CC1"/>
    <w:rsid w:val="19996254"/>
    <w:rsid w:val="199C5D44"/>
    <w:rsid w:val="19A8293B"/>
    <w:rsid w:val="19B23480"/>
    <w:rsid w:val="19B7492C"/>
    <w:rsid w:val="19EFE9A8"/>
    <w:rsid w:val="1A0538E9"/>
    <w:rsid w:val="1A121B15"/>
    <w:rsid w:val="1A1E49AB"/>
    <w:rsid w:val="1A1F2117"/>
    <w:rsid w:val="1A2C531A"/>
    <w:rsid w:val="1A69712D"/>
    <w:rsid w:val="1A845156"/>
    <w:rsid w:val="1A943AA6"/>
    <w:rsid w:val="1AC64E46"/>
    <w:rsid w:val="1AD0039B"/>
    <w:rsid w:val="1ADE4866"/>
    <w:rsid w:val="1B171B26"/>
    <w:rsid w:val="1B1A1616"/>
    <w:rsid w:val="1B1C713C"/>
    <w:rsid w:val="1B3A5814"/>
    <w:rsid w:val="1B3E5305"/>
    <w:rsid w:val="1B46240B"/>
    <w:rsid w:val="1B4B17D0"/>
    <w:rsid w:val="1B55264E"/>
    <w:rsid w:val="1B7E1BA5"/>
    <w:rsid w:val="1B8A054A"/>
    <w:rsid w:val="1B944F25"/>
    <w:rsid w:val="1B9F1506"/>
    <w:rsid w:val="1BA84E74"/>
    <w:rsid w:val="1BA86144"/>
    <w:rsid w:val="1BAA15EE"/>
    <w:rsid w:val="1BB11F7A"/>
    <w:rsid w:val="1BB36401"/>
    <w:rsid w:val="1BEF4851"/>
    <w:rsid w:val="1BF110CA"/>
    <w:rsid w:val="1BF56A73"/>
    <w:rsid w:val="1C444B9D"/>
    <w:rsid w:val="1C536B8E"/>
    <w:rsid w:val="1C56667E"/>
    <w:rsid w:val="1C625023"/>
    <w:rsid w:val="1C771F9A"/>
    <w:rsid w:val="1C7B4336"/>
    <w:rsid w:val="1C9F6277"/>
    <w:rsid w:val="1CB6711D"/>
    <w:rsid w:val="1CC655B2"/>
    <w:rsid w:val="1CC7757C"/>
    <w:rsid w:val="1CE26164"/>
    <w:rsid w:val="1CF07340"/>
    <w:rsid w:val="1D063C00"/>
    <w:rsid w:val="1D3E0D00"/>
    <w:rsid w:val="1D515296"/>
    <w:rsid w:val="1D74435A"/>
    <w:rsid w:val="1D976F4E"/>
    <w:rsid w:val="1DC76601"/>
    <w:rsid w:val="1DE823FA"/>
    <w:rsid w:val="1E3E561C"/>
    <w:rsid w:val="1E4A2212"/>
    <w:rsid w:val="1E674B72"/>
    <w:rsid w:val="1E8361A2"/>
    <w:rsid w:val="1E8F43B0"/>
    <w:rsid w:val="1E9B392A"/>
    <w:rsid w:val="1EAA2CB1"/>
    <w:rsid w:val="1EB42688"/>
    <w:rsid w:val="1EBA1146"/>
    <w:rsid w:val="1ED63AA6"/>
    <w:rsid w:val="1F036BC8"/>
    <w:rsid w:val="1F100D66"/>
    <w:rsid w:val="1F2133A4"/>
    <w:rsid w:val="1F291E28"/>
    <w:rsid w:val="1F2D7DF1"/>
    <w:rsid w:val="1F3802BD"/>
    <w:rsid w:val="1F4A49B2"/>
    <w:rsid w:val="1F524DB7"/>
    <w:rsid w:val="1F550E6F"/>
    <w:rsid w:val="1F671582"/>
    <w:rsid w:val="1F6966C8"/>
    <w:rsid w:val="1F6D440A"/>
    <w:rsid w:val="1F6DBB02"/>
    <w:rsid w:val="1F925C1F"/>
    <w:rsid w:val="1F980D5B"/>
    <w:rsid w:val="1F9E1EB6"/>
    <w:rsid w:val="1FB262C1"/>
    <w:rsid w:val="1FC41B50"/>
    <w:rsid w:val="1FDE1F85"/>
    <w:rsid w:val="1FEA19E8"/>
    <w:rsid w:val="1FEB6605"/>
    <w:rsid w:val="1FED0DB4"/>
    <w:rsid w:val="2000527E"/>
    <w:rsid w:val="20020548"/>
    <w:rsid w:val="202076CF"/>
    <w:rsid w:val="20216FA3"/>
    <w:rsid w:val="20234AC9"/>
    <w:rsid w:val="20A025BE"/>
    <w:rsid w:val="20A83220"/>
    <w:rsid w:val="20AA343C"/>
    <w:rsid w:val="20B147CB"/>
    <w:rsid w:val="20BC20AE"/>
    <w:rsid w:val="20CA6559"/>
    <w:rsid w:val="20DD736E"/>
    <w:rsid w:val="20E04BCA"/>
    <w:rsid w:val="2120552D"/>
    <w:rsid w:val="21274A8D"/>
    <w:rsid w:val="212E1977"/>
    <w:rsid w:val="216C7669"/>
    <w:rsid w:val="218E7B03"/>
    <w:rsid w:val="21902632"/>
    <w:rsid w:val="219519F6"/>
    <w:rsid w:val="21977506"/>
    <w:rsid w:val="21AE627B"/>
    <w:rsid w:val="21C978F2"/>
    <w:rsid w:val="21E76F54"/>
    <w:rsid w:val="21EC6558"/>
    <w:rsid w:val="21FE134A"/>
    <w:rsid w:val="22174B37"/>
    <w:rsid w:val="22327245"/>
    <w:rsid w:val="22370B39"/>
    <w:rsid w:val="22456F79"/>
    <w:rsid w:val="22723AE6"/>
    <w:rsid w:val="227A4620"/>
    <w:rsid w:val="22852710"/>
    <w:rsid w:val="229E0D7F"/>
    <w:rsid w:val="22A939AB"/>
    <w:rsid w:val="22B64134"/>
    <w:rsid w:val="22C407E5"/>
    <w:rsid w:val="22D24584"/>
    <w:rsid w:val="22DD5403"/>
    <w:rsid w:val="22FD5AA5"/>
    <w:rsid w:val="230B6414"/>
    <w:rsid w:val="230D51C2"/>
    <w:rsid w:val="232B3AF7"/>
    <w:rsid w:val="23333275"/>
    <w:rsid w:val="233D3D5B"/>
    <w:rsid w:val="2346744C"/>
    <w:rsid w:val="2363459D"/>
    <w:rsid w:val="23652F67"/>
    <w:rsid w:val="237F5DD2"/>
    <w:rsid w:val="238E2BA1"/>
    <w:rsid w:val="23A423C5"/>
    <w:rsid w:val="23B24AE2"/>
    <w:rsid w:val="23C63481"/>
    <w:rsid w:val="23F64669"/>
    <w:rsid w:val="24064BC6"/>
    <w:rsid w:val="24101808"/>
    <w:rsid w:val="241237D2"/>
    <w:rsid w:val="24294678"/>
    <w:rsid w:val="244F40DF"/>
    <w:rsid w:val="24547947"/>
    <w:rsid w:val="246A53BC"/>
    <w:rsid w:val="246D0A09"/>
    <w:rsid w:val="2472490D"/>
    <w:rsid w:val="249917FE"/>
    <w:rsid w:val="249935AC"/>
    <w:rsid w:val="249A0015"/>
    <w:rsid w:val="24A02316"/>
    <w:rsid w:val="24C0322E"/>
    <w:rsid w:val="24C95CAB"/>
    <w:rsid w:val="2503311B"/>
    <w:rsid w:val="25207829"/>
    <w:rsid w:val="25292B82"/>
    <w:rsid w:val="253F4153"/>
    <w:rsid w:val="25461985"/>
    <w:rsid w:val="25646017"/>
    <w:rsid w:val="257162D7"/>
    <w:rsid w:val="259D531E"/>
    <w:rsid w:val="25B06DFF"/>
    <w:rsid w:val="25B13A45"/>
    <w:rsid w:val="25FA5E65"/>
    <w:rsid w:val="25FC2044"/>
    <w:rsid w:val="2612768C"/>
    <w:rsid w:val="26190E48"/>
    <w:rsid w:val="2629095F"/>
    <w:rsid w:val="262F7A52"/>
    <w:rsid w:val="26301CEE"/>
    <w:rsid w:val="263C0693"/>
    <w:rsid w:val="26445799"/>
    <w:rsid w:val="268D5392"/>
    <w:rsid w:val="26A12BEB"/>
    <w:rsid w:val="26AB75C6"/>
    <w:rsid w:val="26B50445"/>
    <w:rsid w:val="26BE72FA"/>
    <w:rsid w:val="26D533C7"/>
    <w:rsid w:val="26FA1706"/>
    <w:rsid w:val="27335A2C"/>
    <w:rsid w:val="27400656"/>
    <w:rsid w:val="274459DA"/>
    <w:rsid w:val="2745789D"/>
    <w:rsid w:val="277976C4"/>
    <w:rsid w:val="277D5407"/>
    <w:rsid w:val="27870033"/>
    <w:rsid w:val="27A110F5"/>
    <w:rsid w:val="27A26C1B"/>
    <w:rsid w:val="27A97FAA"/>
    <w:rsid w:val="27B5694E"/>
    <w:rsid w:val="27D3D030"/>
    <w:rsid w:val="27E05A24"/>
    <w:rsid w:val="27E86D24"/>
    <w:rsid w:val="28243AD4"/>
    <w:rsid w:val="28247630"/>
    <w:rsid w:val="28355CE1"/>
    <w:rsid w:val="283A6824"/>
    <w:rsid w:val="283A6E54"/>
    <w:rsid w:val="284101E2"/>
    <w:rsid w:val="28421235"/>
    <w:rsid w:val="28447CD2"/>
    <w:rsid w:val="285D2B42"/>
    <w:rsid w:val="286454B7"/>
    <w:rsid w:val="287B7B98"/>
    <w:rsid w:val="287C309D"/>
    <w:rsid w:val="288E0F4E"/>
    <w:rsid w:val="28920A3E"/>
    <w:rsid w:val="28991DCC"/>
    <w:rsid w:val="289F3D45"/>
    <w:rsid w:val="28C52BC1"/>
    <w:rsid w:val="28C826B1"/>
    <w:rsid w:val="28EA2628"/>
    <w:rsid w:val="28F251D8"/>
    <w:rsid w:val="293D309F"/>
    <w:rsid w:val="29437F8A"/>
    <w:rsid w:val="29521EFB"/>
    <w:rsid w:val="29626696"/>
    <w:rsid w:val="296C52D4"/>
    <w:rsid w:val="29833596"/>
    <w:rsid w:val="298E56A9"/>
    <w:rsid w:val="299B6018"/>
    <w:rsid w:val="299F31F6"/>
    <w:rsid w:val="29B570DA"/>
    <w:rsid w:val="29BD5F8E"/>
    <w:rsid w:val="29CB06AB"/>
    <w:rsid w:val="29CE5AA6"/>
    <w:rsid w:val="29DE1A40"/>
    <w:rsid w:val="29F23E8A"/>
    <w:rsid w:val="29F338D8"/>
    <w:rsid w:val="29F51284"/>
    <w:rsid w:val="29FA2D3E"/>
    <w:rsid w:val="2A0E0B36"/>
    <w:rsid w:val="2A1F09F7"/>
    <w:rsid w:val="2A28013C"/>
    <w:rsid w:val="2A3B4CF9"/>
    <w:rsid w:val="2A4E6BE6"/>
    <w:rsid w:val="2A7214C5"/>
    <w:rsid w:val="2A791A7E"/>
    <w:rsid w:val="2A8F1EBF"/>
    <w:rsid w:val="2A952A67"/>
    <w:rsid w:val="2AA075F4"/>
    <w:rsid w:val="2AB070B1"/>
    <w:rsid w:val="2AD43590"/>
    <w:rsid w:val="2AF754D0"/>
    <w:rsid w:val="2AFA0B1C"/>
    <w:rsid w:val="2B0D4CF3"/>
    <w:rsid w:val="2B2362C5"/>
    <w:rsid w:val="2B326508"/>
    <w:rsid w:val="2B5B780D"/>
    <w:rsid w:val="2B626DED"/>
    <w:rsid w:val="2B7E34FB"/>
    <w:rsid w:val="2B823C4A"/>
    <w:rsid w:val="2B977B28"/>
    <w:rsid w:val="2B98280F"/>
    <w:rsid w:val="2B9D6077"/>
    <w:rsid w:val="2BC27EEC"/>
    <w:rsid w:val="2C0C1DAF"/>
    <w:rsid w:val="2C210A56"/>
    <w:rsid w:val="2C424529"/>
    <w:rsid w:val="2C43682A"/>
    <w:rsid w:val="2C5D1363"/>
    <w:rsid w:val="2C6426F1"/>
    <w:rsid w:val="2C6E531E"/>
    <w:rsid w:val="2C7A3CC3"/>
    <w:rsid w:val="2C9805ED"/>
    <w:rsid w:val="2C9C259E"/>
    <w:rsid w:val="2CCD64E8"/>
    <w:rsid w:val="2CD86C3B"/>
    <w:rsid w:val="2CE11F94"/>
    <w:rsid w:val="2CF0667B"/>
    <w:rsid w:val="2D0634AE"/>
    <w:rsid w:val="2D1660E1"/>
    <w:rsid w:val="2D19172E"/>
    <w:rsid w:val="2D21575B"/>
    <w:rsid w:val="2D3B5B48"/>
    <w:rsid w:val="2D3D2872"/>
    <w:rsid w:val="2D517119"/>
    <w:rsid w:val="2D5B74A2"/>
    <w:rsid w:val="2D7758D2"/>
    <w:rsid w:val="2DA059AB"/>
    <w:rsid w:val="2DA27975"/>
    <w:rsid w:val="2DA74F8B"/>
    <w:rsid w:val="2DDA097C"/>
    <w:rsid w:val="2DE61DFA"/>
    <w:rsid w:val="2DE735DA"/>
    <w:rsid w:val="2DF81343"/>
    <w:rsid w:val="2DFB7085"/>
    <w:rsid w:val="2E01423D"/>
    <w:rsid w:val="2E210D34"/>
    <w:rsid w:val="2E5026D4"/>
    <w:rsid w:val="2E5F2E41"/>
    <w:rsid w:val="2E6966E5"/>
    <w:rsid w:val="2E933762"/>
    <w:rsid w:val="2E9B5BE0"/>
    <w:rsid w:val="2EA72D69"/>
    <w:rsid w:val="2EA8720D"/>
    <w:rsid w:val="2ED784A1"/>
    <w:rsid w:val="2EE6563F"/>
    <w:rsid w:val="2EED3A12"/>
    <w:rsid w:val="2EF04B1B"/>
    <w:rsid w:val="2F06651E"/>
    <w:rsid w:val="2F155F25"/>
    <w:rsid w:val="2F2820FC"/>
    <w:rsid w:val="2F356F3E"/>
    <w:rsid w:val="2F391C13"/>
    <w:rsid w:val="2F3F11F4"/>
    <w:rsid w:val="2F482F9E"/>
    <w:rsid w:val="2F634EE2"/>
    <w:rsid w:val="2F950E14"/>
    <w:rsid w:val="2FDB53C0"/>
    <w:rsid w:val="2FDFFFD3"/>
    <w:rsid w:val="2FF34047"/>
    <w:rsid w:val="30202DD3"/>
    <w:rsid w:val="302058CB"/>
    <w:rsid w:val="3022262C"/>
    <w:rsid w:val="30224D9D"/>
    <w:rsid w:val="3034687E"/>
    <w:rsid w:val="30466CDD"/>
    <w:rsid w:val="306058C5"/>
    <w:rsid w:val="30874C00"/>
    <w:rsid w:val="309C4B4F"/>
    <w:rsid w:val="30A05CC2"/>
    <w:rsid w:val="30C15C2C"/>
    <w:rsid w:val="30C23ADA"/>
    <w:rsid w:val="30C23E8A"/>
    <w:rsid w:val="30D2349F"/>
    <w:rsid w:val="30DC13F0"/>
    <w:rsid w:val="30EC7553"/>
    <w:rsid w:val="31101099"/>
    <w:rsid w:val="31327262"/>
    <w:rsid w:val="31352C79"/>
    <w:rsid w:val="31556AAC"/>
    <w:rsid w:val="315947EF"/>
    <w:rsid w:val="31604053"/>
    <w:rsid w:val="316867E0"/>
    <w:rsid w:val="319F5F79"/>
    <w:rsid w:val="31A33CBC"/>
    <w:rsid w:val="31A46759"/>
    <w:rsid w:val="31B25CAD"/>
    <w:rsid w:val="31B56C44"/>
    <w:rsid w:val="31C559E0"/>
    <w:rsid w:val="31D71BB7"/>
    <w:rsid w:val="31EFB5EC"/>
    <w:rsid w:val="32024E86"/>
    <w:rsid w:val="321626E0"/>
    <w:rsid w:val="321B7CF6"/>
    <w:rsid w:val="32544FB6"/>
    <w:rsid w:val="32611D42"/>
    <w:rsid w:val="326A3AC0"/>
    <w:rsid w:val="3276317E"/>
    <w:rsid w:val="329D695D"/>
    <w:rsid w:val="32BD2B5B"/>
    <w:rsid w:val="32D22AAA"/>
    <w:rsid w:val="32D3237F"/>
    <w:rsid w:val="32DF2AD1"/>
    <w:rsid w:val="32EB1476"/>
    <w:rsid w:val="32EB591A"/>
    <w:rsid w:val="32F37D51"/>
    <w:rsid w:val="32FD5D76"/>
    <w:rsid w:val="3307027A"/>
    <w:rsid w:val="3330157F"/>
    <w:rsid w:val="33661445"/>
    <w:rsid w:val="336851BD"/>
    <w:rsid w:val="33686F6B"/>
    <w:rsid w:val="336F654B"/>
    <w:rsid w:val="337006CA"/>
    <w:rsid w:val="337E38A4"/>
    <w:rsid w:val="337F5394"/>
    <w:rsid w:val="339C09C3"/>
    <w:rsid w:val="33C046C3"/>
    <w:rsid w:val="33D20888"/>
    <w:rsid w:val="33F407FF"/>
    <w:rsid w:val="33F56325"/>
    <w:rsid w:val="34060532"/>
    <w:rsid w:val="341744ED"/>
    <w:rsid w:val="341C0DF6"/>
    <w:rsid w:val="341E3ACD"/>
    <w:rsid w:val="341F569D"/>
    <w:rsid w:val="34332C6E"/>
    <w:rsid w:val="345918E6"/>
    <w:rsid w:val="347D6A46"/>
    <w:rsid w:val="3498562E"/>
    <w:rsid w:val="349A13A6"/>
    <w:rsid w:val="34A02EBF"/>
    <w:rsid w:val="34C93AC9"/>
    <w:rsid w:val="34CF34ED"/>
    <w:rsid w:val="34EC7728"/>
    <w:rsid w:val="34EF1738"/>
    <w:rsid w:val="34F10DC9"/>
    <w:rsid w:val="34F16990"/>
    <w:rsid w:val="35223149"/>
    <w:rsid w:val="352944D8"/>
    <w:rsid w:val="35590355"/>
    <w:rsid w:val="356D0868"/>
    <w:rsid w:val="356F6F7E"/>
    <w:rsid w:val="357C1742"/>
    <w:rsid w:val="35831E3A"/>
    <w:rsid w:val="3589141A"/>
    <w:rsid w:val="35A87AF3"/>
    <w:rsid w:val="35B24E79"/>
    <w:rsid w:val="35C97A69"/>
    <w:rsid w:val="35E36D7D"/>
    <w:rsid w:val="360C62D3"/>
    <w:rsid w:val="361D6B92"/>
    <w:rsid w:val="36280C33"/>
    <w:rsid w:val="36401AD9"/>
    <w:rsid w:val="36694216"/>
    <w:rsid w:val="36696115"/>
    <w:rsid w:val="366A793A"/>
    <w:rsid w:val="3679148F"/>
    <w:rsid w:val="367E2601"/>
    <w:rsid w:val="368D6CE8"/>
    <w:rsid w:val="36910587"/>
    <w:rsid w:val="369736C3"/>
    <w:rsid w:val="36A302BA"/>
    <w:rsid w:val="36AB44F2"/>
    <w:rsid w:val="36B8386E"/>
    <w:rsid w:val="36C721FA"/>
    <w:rsid w:val="36E74454"/>
    <w:rsid w:val="36ED684B"/>
    <w:rsid w:val="36F62AE0"/>
    <w:rsid w:val="36FB00F6"/>
    <w:rsid w:val="37023232"/>
    <w:rsid w:val="37096FD0"/>
    <w:rsid w:val="37272C99"/>
    <w:rsid w:val="372C4D71"/>
    <w:rsid w:val="372F04E9"/>
    <w:rsid w:val="375F51C5"/>
    <w:rsid w:val="37751C56"/>
    <w:rsid w:val="37A442EA"/>
    <w:rsid w:val="37C441EB"/>
    <w:rsid w:val="37D270A9"/>
    <w:rsid w:val="37DF5322"/>
    <w:rsid w:val="37E62B54"/>
    <w:rsid w:val="37F647BD"/>
    <w:rsid w:val="38523D46"/>
    <w:rsid w:val="385955B4"/>
    <w:rsid w:val="385C6972"/>
    <w:rsid w:val="386A1F3A"/>
    <w:rsid w:val="386B499E"/>
    <w:rsid w:val="38776BCB"/>
    <w:rsid w:val="38797524"/>
    <w:rsid w:val="387B14EE"/>
    <w:rsid w:val="38871C41"/>
    <w:rsid w:val="388C7258"/>
    <w:rsid w:val="389D0C7A"/>
    <w:rsid w:val="38A24CCD"/>
    <w:rsid w:val="38A81BB8"/>
    <w:rsid w:val="38D16444"/>
    <w:rsid w:val="38EE0DFE"/>
    <w:rsid w:val="38F90665"/>
    <w:rsid w:val="3925145A"/>
    <w:rsid w:val="3949339B"/>
    <w:rsid w:val="394E6A33"/>
    <w:rsid w:val="39513FFD"/>
    <w:rsid w:val="395D0BF4"/>
    <w:rsid w:val="3961660D"/>
    <w:rsid w:val="39882115"/>
    <w:rsid w:val="398C14D9"/>
    <w:rsid w:val="39A64349"/>
    <w:rsid w:val="39DA4DC2"/>
    <w:rsid w:val="39F33306"/>
    <w:rsid w:val="39F8091D"/>
    <w:rsid w:val="3A0579C1"/>
    <w:rsid w:val="3A1A1EE4"/>
    <w:rsid w:val="3A2257D5"/>
    <w:rsid w:val="3A252801"/>
    <w:rsid w:val="3A2E1AC9"/>
    <w:rsid w:val="3A331955"/>
    <w:rsid w:val="3A5D7777"/>
    <w:rsid w:val="3A61159F"/>
    <w:rsid w:val="3AB74334"/>
    <w:rsid w:val="3ABD5FAB"/>
    <w:rsid w:val="3ACF78CF"/>
    <w:rsid w:val="3AD44EE6"/>
    <w:rsid w:val="3ADC3D9A"/>
    <w:rsid w:val="3B025A66"/>
    <w:rsid w:val="3B0512FD"/>
    <w:rsid w:val="3B220A43"/>
    <w:rsid w:val="3B247C1B"/>
    <w:rsid w:val="3B295232"/>
    <w:rsid w:val="3B351E28"/>
    <w:rsid w:val="3B3B4F65"/>
    <w:rsid w:val="3B3D1DAB"/>
    <w:rsid w:val="3B4756B8"/>
    <w:rsid w:val="3B4C6D41"/>
    <w:rsid w:val="3B507D11"/>
    <w:rsid w:val="3B653D90"/>
    <w:rsid w:val="3B895CD0"/>
    <w:rsid w:val="3BB15227"/>
    <w:rsid w:val="3BBB7E54"/>
    <w:rsid w:val="3BBD1E1E"/>
    <w:rsid w:val="3BEB24E7"/>
    <w:rsid w:val="3BF07AFD"/>
    <w:rsid w:val="3BFC64A2"/>
    <w:rsid w:val="3BFE10C8"/>
    <w:rsid w:val="3C0161AE"/>
    <w:rsid w:val="3C0417FB"/>
    <w:rsid w:val="3C0D06AF"/>
    <w:rsid w:val="3C0D4B53"/>
    <w:rsid w:val="3C0E61D6"/>
    <w:rsid w:val="3C4B11D8"/>
    <w:rsid w:val="3C577B7C"/>
    <w:rsid w:val="3C5C4AD8"/>
    <w:rsid w:val="3C6504EB"/>
    <w:rsid w:val="3C771FCD"/>
    <w:rsid w:val="3C8A1D00"/>
    <w:rsid w:val="3C963C48"/>
    <w:rsid w:val="3C991F43"/>
    <w:rsid w:val="3C9E1C4F"/>
    <w:rsid w:val="3CAB1C76"/>
    <w:rsid w:val="3CBA103E"/>
    <w:rsid w:val="3CC05722"/>
    <w:rsid w:val="3CDC4526"/>
    <w:rsid w:val="3CE2379A"/>
    <w:rsid w:val="3CED228F"/>
    <w:rsid w:val="3CFB569D"/>
    <w:rsid w:val="3D380960"/>
    <w:rsid w:val="3D567E34"/>
    <w:rsid w:val="3D673DEF"/>
    <w:rsid w:val="3D714C6E"/>
    <w:rsid w:val="3D7F55DD"/>
    <w:rsid w:val="3D820C29"/>
    <w:rsid w:val="3D873286"/>
    <w:rsid w:val="3D956BAE"/>
    <w:rsid w:val="3D9F17DB"/>
    <w:rsid w:val="3DA908AC"/>
    <w:rsid w:val="3DAA2205"/>
    <w:rsid w:val="3DB17760"/>
    <w:rsid w:val="3DB8289D"/>
    <w:rsid w:val="3DBD7EB3"/>
    <w:rsid w:val="3DDE4DB4"/>
    <w:rsid w:val="3DE931A4"/>
    <w:rsid w:val="3E546A69"/>
    <w:rsid w:val="3E682515"/>
    <w:rsid w:val="3E7C1B1C"/>
    <w:rsid w:val="3E7CC922"/>
    <w:rsid w:val="3E7F562E"/>
    <w:rsid w:val="3E885AA9"/>
    <w:rsid w:val="3E9B36AB"/>
    <w:rsid w:val="3EB70DA6"/>
    <w:rsid w:val="3EDC25BB"/>
    <w:rsid w:val="3EE659E3"/>
    <w:rsid w:val="3EF618CF"/>
    <w:rsid w:val="3F2F4DE1"/>
    <w:rsid w:val="3F485EA2"/>
    <w:rsid w:val="3F6D68B1"/>
    <w:rsid w:val="3F9B4224"/>
    <w:rsid w:val="3FAB733B"/>
    <w:rsid w:val="3FAC6431"/>
    <w:rsid w:val="3FB5178A"/>
    <w:rsid w:val="3FB86AAD"/>
    <w:rsid w:val="3FBA8796"/>
    <w:rsid w:val="3FC82D0C"/>
    <w:rsid w:val="3FCC0881"/>
    <w:rsid w:val="3FD61AE1"/>
    <w:rsid w:val="3FF43934"/>
    <w:rsid w:val="3FFE7A12"/>
    <w:rsid w:val="3FFF985B"/>
    <w:rsid w:val="40532D51"/>
    <w:rsid w:val="405A40DF"/>
    <w:rsid w:val="405E3BCF"/>
    <w:rsid w:val="406C497A"/>
    <w:rsid w:val="406D3E12"/>
    <w:rsid w:val="40763B34"/>
    <w:rsid w:val="4081166C"/>
    <w:rsid w:val="408B1731"/>
    <w:rsid w:val="409217D2"/>
    <w:rsid w:val="40C15F0C"/>
    <w:rsid w:val="40E33F87"/>
    <w:rsid w:val="40F71911"/>
    <w:rsid w:val="40F77B80"/>
    <w:rsid w:val="412532A9"/>
    <w:rsid w:val="419453CF"/>
    <w:rsid w:val="41AC44C7"/>
    <w:rsid w:val="41B521B1"/>
    <w:rsid w:val="41C932CA"/>
    <w:rsid w:val="41E07784"/>
    <w:rsid w:val="41F61DBD"/>
    <w:rsid w:val="41F92E32"/>
    <w:rsid w:val="42051E29"/>
    <w:rsid w:val="42132798"/>
    <w:rsid w:val="4214206C"/>
    <w:rsid w:val="421502BE"/>
    <w:rsid w:val="42310E70"/>
    <w:rsid w:val="42322470"/>
    <w:rsid w:val="42366486"/>
    <w:rsid w:val="424524DD"/>
    <w:rsid w:val="424E1331"/>
    <w:rsid w:val="42502995"/>
    <w:rsid w:val="425C5EED"/>
    <w:rsid w:val="425F59DD"/>
    <w:rsid w:val="426254CD"/>
    <w:rsid w:val="42700D85"/>
    <w:rsid w:val="42733236"/>
    <w:rsid w:val="427F607F"/>
    <w:rsid w:val="428471F1"/>
    <w:rsid w:val="428768FA"/>
    <w:rsid w:val="42B775C7"/>
    <w:rsid w:val="42C4138D"/>
    <w:rsid w:val="42DA32B5"/>
    <w:rsid w:val="42E31BD5"/>
    <w:rsid w:val="42F8373B"/>
    <w:rsid w:val="43077056"/>
    <w:rsid w:val="43120CA1"/>
    <w:rsid w:val="431B5635"/>
    <w:rsid w:val="433E3844"/>
    <w:rsid w:val="433E41BA"/>
    <w:rsid w:val="43456981"/>
    <w:rsid w:val="434B5F61"/>
    <w:rsid w:val="43574906"/>
    <w:rsid w:val="435D3695"/>
    <w:rsid w:val="43762FDE"/>
    <w:rsid w:val="43770B04"/>
    <w:rsid w:val="438C5A78"/>
    <w:rsid w:val="438F22F2"/>
    <w:rsid w:val="43924AAC"/>
    <w:rsid w:val="43947908"/>
    <w:rsid w:val="43994F1E"/>
    <w:rsid w:val="43ED0DC6"/>
    <w:rsid w:val="442C54CA"/>
    <w:rsid w:val="443609BF"/>
    <w:rsid w:val="44507190"/>
    <w:rsid w:val="445B70BD"/>
    <w:rsid w:val="44604013"/>
    <w:rsid w:val="446612A5"/>
    <w:rsid w:val="44753296"/>
    <w:rsid w:val="449C4CC6"/>
    <w:rsid w:val="449F0313"/>
    <w:rsid w:val="44A92F3F"/>
    <w:rsid w:val="44B02520"/>
    <w:rsid w:val="44D51F86"/>
    <w:rsid w:val="44D53D34"/>
    <w:rsid w:val="44F56185"/>
    <w:rsid w:val="44F61827"/>
    <w:rsid w:val="44FF5255"/>
    <w:rsid w:val="450B3BFA"/>
    <w:rsid w:val="452A22D2"/>
    <w:rsid w:val="453749EF"/>
    <w:rsid w:val="45413AC1"/>
    <w:rsid w:val="45723C79"/>
    <w:rsid w:val="458539AC"/>
    <w:rsid w:val="458651EA"/>
    <w:rsid w:val="45A858ED"/>
    <w:rsid w:val="45B7168C"/>
    <w:rsid w:val="45BB73CE"/>
    <w:rsid w:val="45C15FF3"/>
    <w:rsid w:val="45D466E2"/>
    <w:rsid w:val="45EA1A61"/>
    <w:rsid w:val="45F428E0"/>
    <w:rsid w:val="45FD1795"/>
    <w:rsid w:val="460348D1"/>
    <w:rsid w:val="46132D66"/>
    <w:rsid w:val="46252A99"/>
    <w:rsid w:val="462A7EAE"/>
    <w:rsid w:val="46416859"/>
    <w:rsid w:val="465810C1"/>
    <w:rsid w:val="46620559"/>
    <w:rsid w:val="4692129C"/>
    <w:rsid w:val="46D54510"/>
    <w:rsid w:val="47086643"/>
    <w:rsid w:val="47205CAF"/>
    <w:rsid w:val="472B386C"/>
    <w:rsid w:val="472D60AA"/>
    <w:rsid w:val="47407C18"/>
    <w:rsid w:val="4770243A"/>
    <w:rsid w:val="4777180B"/>
    <w:rsid w:val="47777325"/>
    <w:rsid w:val="47782969"/>
    <w:rsid w:val="47A7340E"/>
    <w:rsid w:val="47D22BC7"/>
    <w:rsid w:val="47DC187E"/>
    <w:rsid w:val="47EF15B1"/>
    <w:rsid w:val="47F6293F"/>
    <w:rsid w:val="48054931"/>
    <w:rsid w:val="48082673"/>
    <w:rsid w:val="480D3C6D"/>
    <w:rsid w:val="48161217"/>
    <w:rsid w:val="482C788B"/>
    <w:rsid w:val="48303D17"/>
    <w:rsid w:val="48392779"/>
    <w:rsid w:val="48501F5A"/>
    <w:rsid w:val="486D24D6"/>
    <w:rsid w:val="48945CB4"/>
    <w:rsid w:val="48A8695E"/>
    <w:rsid w:val="48BF0CE9"/>
    <w:rsid w:val="48D2515B"/>
    <w:rsid w:val="48D507A7"/>
    <w:rsid w:val="490270C2"/>
    <w:rsid w:val="490966A2"/>
    <w:rsid w:val="49143594"/>
    <w:rsid w:val="49177011"/>
    <w:rsid w:val="493279A7"/>
    <w:rsid w:val="4953791E"/>
    <w:rsid w:val="495D7415"/>
    <w:rsid w:val="49667651"/>
    <w:rsid w:val="49B26D3A"/>
    <w:rsid w:val="49B760FE"/>
    <w:rsid w:val="49CD76D0"/>
    <w:rsid w:val="49CF3448"/>
    <w:rsid w:val="49CF51F6"/>
    <w:rsid w:val="49D243BC"/>
    <w:rsid w:val="49D767A1"/>
    <w:rsid w:val="49F84D68"/>
    <w:rsid w:val="4A007AA5"/>
    <w:rsid w:val="4A2429E0"/>
    <w:rsid w:val="4A2C089A"/>
    <w:rsid w:val="4A340B07"/>
    <w:rsid w:val="4A3459A1"/>
    <w:rsid w:val="4A3E6776"/>
    <w:rsid w:val="4A54225A"/>
    <w:rsid w:val="4A54394D"/>
    <w:rsid w:val="4A5B4CDC"/>
    <w:rsid w:val="4A6A3688"/>
    <w:rsid w:val="4A7212D4"/>
    <w:rsid w:val="4A7D4C52"/>
    <w:rsid w:val="4A8E50B1"/>
    <w:rsid w:val="4AA743C5"/>
    <w:rsid w:val="4AB5108D"/>
    <w:rsid w:val="4ACF6F1F"/>
    <w:rsid w:val="4ADA20A4"/>
    <w:rsid w:val="4AE271AB"/>
    <w:rsid w:val="4AEA4C8F"/>
    <w:rsid w:val="4AF13892"/>
    <w:rsid w:val="4AF84C20"/>
    <w:rsid w:val="4B0A753C"/>
    <w:rsid w:val="4B117E4E"/>
    <w:rsid w:val="4B133808"/>
    <w:rsid w:val="4B5E33B5"/>
    <w:rsid w:val="4B7C7600"/>
    <w:rsid w:val="4B820492"/>
    <w:rsid w:val="4BA6642B"/>
    <w:rsid w:val="4BE17463"/>
    <w:rsid w:val="4BFD8418"/>
    <w:rsid w:val="4C1A4723"/>
    <w:rsid w:val="4C2D4456"/>
    <w:rsid w:val="4C8147A2"/>
    <w:rsid w:val="4C830758"/>
    <w:rsid w:val="4C8C3872"/>
    <w:rsid w:val="4CB56EFC"/>
    <w:rsid w:val="4CCC1EC1"/>
    <w:rsid w:val="4CFA6A2E"/>
    <w:rsid w:val="4CFD02CC"/>
    <w:rsid w:val="4D1D271C"/>
    <w:rsid w:val="4D2F41FE"/>
    <w:rsid w:val="4D3F2693"/>
    <w:rsid w:val="4D5D0D6B"/>
    <w:rsid w:val="4D7D140D"/>
    <w:rsid w:val="4D7F33D7"/>
    <w:rsid w:val="4D891B60"/>
    <w:rsid w:val="4D9724CF"/>
    <w:rsid w:val="4D987FF5"/>
    <w:rsid w:val="4DB34E2F"/>
    <w:rsid w:val="4DE51EDE"/>
    <w:rsid w:val="4DEF230B"/>
    <w:rsid w:val="4E035DB6"/>
    <w:rsid w:val="4E1C0C26"/>
    <w:rsid w:val="4E2B70BB"/>
    <w:rsid w:val="4E353A96"/>
    <w:rsid w:val="4E5E2372"/>
    <w:rsid w:val="4E600B13"/>
    <w:rsid w:val="4E636855"/>
    <w:rsid w:val="4E712D20"/>
    <w:rsid w:val="4E737099"/>
    <w:rsid w:val="4E920EE8"/>
    <w:rsid w:val="4EBB3F9B"/>
    <w:rsid w:val="4EC5306C"/>
    <w:rsid w:val="4ED84B4D"/>
    <w:rsid w:val="4ED96B17"/>
    <w:rsid w:val="4EDD2163"/>
    <w:rsid w:val="4EF15C0F"/>
    <w:rsid w:val="4EFA0F67"/>
    <w:rsid w:val="4F064903"/>
    <w:rsid w:val="4F6208BA"/>
    <w:rsid w:val="4F701229"/>
    <w:rsid w:val="4FA76B7F"/>
    <w:rsid w:val="4FB37368"/>
    <w:rsid w:val="4FC60E49"/>
    <w:rsid w:val="500158E5"/>
    <w:rsid w:val="500B71A4"/>
    <w:rsid w:val="50153A8C"/>
    <w:rsid w:val="501871CB"/>
    <w:rsid w:val="50324731"/>
    <w:rsid w:val="50812FC2"/>
    <w:rsid w:val="508763E9"/>
    <w:rsid w:val="508979FA"/>
    <w:rsid w:val="508A00C9"/>
    <w:rsid w:val="50AD37BD"/>
    <w:rsid w:val="50B663B2"/>
    <w:rsid w:val="50C01D3C"/>
    <w:rsid w:val="50C4699C"/>
    <w:rsid w:val="50FE4613"/>
    <w:rsid w:val="51126E6A"/>
    <w:rsid w:val="51361FFF"/>
    <w:rsid w:val="5144471C"/>
    <w:rsid w:val="51621446"/>
    <w:rsid w:val="516528E4"/>
    <w:rsid w:val="51710C88"/>
    <w:rsid w:val="51842D6A"/>
    <w:rsid w:val="519136D9"/>
    <w:rsid w:val="51976F41"/>
    <w:rsid w:val="519E0A1C"/>
    <w:rsid w:val="51B55619"/>
    <w:rsid w:val="51B64EEE"/>
    <w:rsid w:val="51D11D27"/>
    <w:rsid w:val="51EB7D48"/>
    <w:rsid w:val="51F55A16"/>
    <w:rsid w:val="51FC4FF6"/>
    <w:rsid w:val="5201260D"/>
    <w:rsid w:val="521A36CE"/>
    <w:rsid w:val="52285DEB"/>
    <w:rsid w:val="522B768A"/>
    <w:rsid w:val="52303EB6"/>
    <w:rsid w:val="52304CA0"/>
    <w:rsid w:val="52447B1D"/>
    <w:rsid w:val="52466271"/>
    <w:rsid w:val="525070F0"/>
    <w:rsid w:val="525766D1"/>
    <w:rsid w:val="527728CF"/>
    <w:rsid w:val="528B0128"/>
    <w:rsid w:val="529C2335"/>
    <w:rsid w:val="52A03BD4"/>
    <w:rsid w:val="52A82A88"/>
    <w:rsid w:val="52B633F7"/>
    <w:rsid w:val="52C14961"/>
    <w:rsid w:val="52E42E4C"/>
    <w:rsid w:val="52E86D5F"/>
    <w:rsid w:val="52EFCE25"/>
    <w:rsid w:val="5325232B"/>
    <w:rsid w:val="5329178B"/>
    <w:rsid w:val="53364538"/>
    <w:rsid w:val="534764ED"/>
    <w:rsid w:val="534C5B09"/>
    <w:rsid w:val="534C78B7"/>
    <w:rsid w:val="534F73A8"/>
    <w:rsid w:val="5358625C"/>
    <w:rsid w:val="53762B86"/>
    <w:rsid w:val="538047FB"/>
    <w:rsid w:val="538434F5"/>
    <w:rsid w:val="53933A1C"/>
    <w:rsid w:val="53B37937"/>
    <w:rsid w:val="53C90F08"/>
    <w:rsid w:val="53DF6122"/>
    <w:rsid w:val="540D34EB"/>
    <w:rsid w:val="541C54DC"/>
    <w:rsid w:val="5452714F"/>
    <w:rsid w:val="54705828"/>
    <w:rsid w:val="547F3CBD"/>
    <w:rsid w:val="54AB0D10"/>
    <w:rsid w:val="54B41BB8"/>
    <w:rsid w:val="54E67898"/>
    <w:rsid w:val="54EA310D"/>
    <w:rsid w:val="54ED0C26"/>
    <w:rsid w:val="55096170"/>
    <w:rsid w:val="55242A68"/>
    <w:rsid w:val="55264138"/>
    <w:rsid w:val="552F7491"/>
    <w:rsid w:val="554B3AD7"/>
    <w:rsid w:val="55690BF5"/>
    <w:rsid w:val="557719AF"/>
    <w:rsid w:val="55A90FF1"/>
    <w:rsid w:val="55AF2380"/>
    <w:rsid w:val="55B53669"/>
    <w:rsid w:val="55B654BC"/>
    <w:rsid w:val="55D04519"/>
    <w:rsid w:val="55DA38A0"/>
    <w:rsid w:val="55DEC3BF"/>
    <w:rsid w:val="55E069DD"/>
    <w:rsid w:val="560B3A5A"/>
    <w:rsid w:val="561A6EC7"/>
    <w:rsid w:val="564D24B9"/>
    <w:rsid w:val="565C42B5"/>
    <w:rsid w:val="566273F2"/>
    <w:rsid w:val="56682C5A"/>
    <w:rsid w:val="56692B0A"/>
    <w:rsid w:val="566C774E"/>
    <w:rsid w:val="56A417B8"/>
    <w:rsid w:val="56A65531"/>
    <w:rsid w:val="56C41E5B"/>
    <w:rsid w:val="56E80371"/>
    <w:rsid w:val="56FF3220"/>
    <w:rsid w:val="570D55B0"/>
    <w:rsid w:val="57234DD3"/>
    <w:rsid w:val="57325016"/>
    <w:rsid w:val="574D1E50"/>
    <w:rsid w:val="574F02B3"/>
    <w:rsid w:val="5773EF81"/>
    <w:rsid w:val="577F26EB"/>
    <w:rsid w:val="5789732C"/>
    <w:rsid w:val="578F1707"/>
    <w:rsid w:val="57B33C9C"/>
    <w:rsid w:val="57BE68AA"/>
    <w:rsid w:val="57D165DD"/>
    <w:rsid w:val="57D305A7"/>
    <w:rsid w:val="57D936E4"/>
    <w:rsid w:val="57DA4B1E"/>
    <w:rsid w:val="58115D78"/>
    <w:rsid w:val="58156E12"/>
    <w:rsid w:val="58550FBC"/>
    <w:rsid w:val="586132E0"/>
    <w:rsid w:val="58627CD5"/>
    <w:rsid w:val="588502C1"/>
    <w:rsid w:val="58976D88"/>
    <w:rsid w:val="589E717C"/>
    <w:rsid w:val="58A27F7A"/>
    <w:rsid w:val="58A36A0F"/>
    <w:rsid w:val="58A90EFF"/>
    <w:rsid w:val="58AE691E"/>
    <w:rsid w:val="58B02697"/>
    <w:rsid w:val="58CA7BFC"/>
    <w:rsid w:val="58E6255C"/>
    <w:rsid w:val="58ED5699"/>
    <w:rsid w:val="58EF1411"/>
    <w:rsid w:val="59172716"/>
    <w:rsid w:val="591C41D0"/>
    <w:rsid w:val="592941F7"/>
    <w:rsid w:val="59635B98"/>
    <w:rsid w:val="596A1660"/>
    <w:rsid w:val="596D2336"/>
    <w:rsid w:val="597A07DE"/>
    <w:rsid w:val="597D4C6F"/>
    <w:rsid w:val="59B461B6"/>
    <w:rsid w:val="59D6437F"/>
    <w:rsid w:val="59D6612D"/>
    <w:rsid w:val="59FB712C"/>
    <w:rsid w:val="5A0802B0"/>
    <w:rsid w:val="5A0E3B19"/>
    <w:rsid w:val="5A1D0200"/>
    <w:rsid w:val="5A3410A5"/>
    <w:rsid w:val="5A3F1A99"/>
    <w:rsid w:val="5A5A0B0C"/>
    <w:rsid w:val="5A681280"/>
    <w:rsid w:val="5A897643"/>
    <w:rsid w:val="5A8B33BB"/>
    <w:rsid w:val="5A92360C"/>
    <w:rsid w:val="5AB56F51"/>
    <w:rsid w:val="5AB75F5E"/>
    <w:rsid w:val="5AB7FB3A"/>
    <w:rsid w:val="5AC8371E"/>
    <w:rsid w:val="5B2555BE"/>
    <w:rsid w:val="5B3A6B8F"/>
    <w:rsid w:val="5B3E042E"/>
    <w:rsid w:val="5B5B0FE0"/>
    <w:rsid w:val="5B697EEF"/>
    <w:rsid w:val="5B7E0535"/>
    <w:rsid w:val="5B9C33A6"/>
    <w:rsid w:val="5BA54009"/>
    <w:rsid w:val="5BAD7361"/>
    <w:rsid w:val="5BBB7CD0"/>
    <w:rsid w:val="5BC934AE"/>
    <w:rsid w:val="5BDE751B"/>
    <w:rsid w:val="5BF60D08"/>
    <w:rsid w:val="5C4B3703"/>
    <w:rsid w:val="5C514191"/>
    <w:rsid w:val="5C78171D"/>
    <w:rsid w:val="5C835F64"/>
    <w:rsid w:val="5CA6221C"/>
    <w:rsid w:val="5CA644DC"/>
    <w:rsid w:val="5CBD35D4"/>
    <w:rsid w:val="5CC44962"/>
    <w:rsid w:val="5CC46711"/>
    <w:rsid w:val="5D117F51"/>
    <w:rsid w:val="5D142A5E"/>
    <w:rsid w:val="5D292A17"/>
    <w:rsid w:val="5D467A6D"/>
    <w:rsid w:val="5D5C2DED"/>
    <w:rsid w:val="5D665A1A"/>
    <w:rsid w:val="5D6D0B56"/>
    <w:rsid w:val="5D794C6F"/>
    <w:rsid w:val="5D9612B8"/>
    <w:rsid w:val="5DA07680"/>
    <w:rsid w:val="5DA7A473"/>
    <w:rsid w:val="5DE76F41"/>
    <w:rsid w:val="5DEF5A0F"/>
    <w:rsid w:val="5E0A7F37"/>
    <w:rsid w:val="5E3A0EE7"/>
    <w:rsid w:val="5E457D25"/>
    <w:rsid w:val="5E644E45"/>
    <w:rsid w:val="5E807125"/>
    <w:rsid w:val="5E8214EC"/>
    <w:rsid w:val="5E824AD5"/>
    <w:rsid w:val="5E826883"/>
    <w:rsid w:val="5E8F2D4E"/>
    <w:rsid w:val="5E962E6D"/>
    <w:rsid w:val="5E9F5687"/>
    <w:rsid w:val="5EAC56AE"/>
    <w:rsid w:val="5ECE1AC8"/>
    <w:rsid w:val="5EEB522C"/>
    <w:rsid w:val="5F1A6ABC"/>
    <w:rsid w:val="5F245B8C"/>
    <w:rsid w:val="5F2F220E"/>
    <w:rsid w:val="5F2F76C0"/>
    <w:rsid w:val="5F304531"/>
    <w:rsid w:val="5F4E49B7"/>
    <w:rsid w:val="5F781A34"/>
    <w:rsid w:val="5F7F2A1D"/>
    <w:rsid w:val="5FB30363"/>
    <w:rsid w:val="5FD362BC"/>
    <w:rsid w:val="5FF40A7C"/>
    <w:rsid w:val="5FF92B75"/>
    <w:rsid w:val="5FFB4B3F"/>
    <w:rsid w:val="5FFE1F39"/>
    <w:rsid w:val="60116FB1"/>
    <w:rsid w:val="601F2496"/>
    <w:rsid w:val="60213E7A"/>
    <w:rsid w:val="604007A4"/>
    <w:rsid w:val="604030F9"/>
    <w:rsid w:val="6047761F"/>
    <w:rsid w:val="604D0A90"/>
    <w:rsid w:val="60624BBE"/>
    <w:rsid w:val="60697694"/>
    <w:rsid w:val="6072708B"/>
    <w:rsid w:val="6089047D"/>
    <w:rsid w:val="609E5A0A"/>
    <w:rsid w:val="60A46F85"/>
    <w:rsid w:val="60BB607C"/>
    <w:rsid w:val="60C07B37"/>
    <w:rsid w:val="60CE5DB0"/>
    <w:rsid w:val="60E70789"/>
    <w:rsid w:val="60F872D1"/>
    <w:rsid w:val="60FF065F"/>
    <w:rsid w:val="610B0DB2"/>
    <w:rsid w:val="61161505"/>
    <w:rsid w:val="611D2893"/>
    <w:rsid w:val="611F485D"/>
    <w:rsid w:val="61355E2F"/>
    <w:rsid w:val="613F0A5C"/>
    <w:rsid w:val="6142054C"/>
    <w:rsid w:val="614B5652"/>
    <w:rsid w:val="616C7377"/>
    <w:rsid w:val="616D55C9"/>
    <w:rsid w:val="61850845"/>
    <w:rsid w:val="61885763"/>
    <w:rsid w:val="61A905CB"/>
    <w:rsid w:val="61AD00BB"/>
    <w:rsid w:val="61BE31A4"/>
    <w:rsid w:val="61C15914"/>
    <w:rsid w:val="61DF5D9B"/>
    <w:rsid w:val="622F6D22"/>
    <w:rsid w:val="6247406C"/>
    <w:rsid w:val="62487DE4"/>
    <w:rsid w:val="624A76B8"/>
    <w:rsid w:val="62650996"/>
    <w:rsid w:val="629E17B2"/>
    <w:rsid w:val="62B86D17"/>
    <w:rsid w:val="62DE42A4"/>
    <w:rsid w:val="62E90397"/>
    <w:rsid w:val="62EB5AFE"/>
    <w:rsid w:val="62EE2739"/>
    <w:rsid w:val="632A1297"/>
    <w:rsid w:val="633A3BD0"/>
    <w:rsid w:val="634577E3"/>
    <w:rsid w:val="63620A31"/>
    <w:rsid w:val="636E5628"/>
    <w:rsid w:val="63AD43A2"/>
    <w:rsid w:val="63AE3A29"/>
    <w:rsid w:val="63C35974"/>
    <w:rsid w:val="63C60FC0"/>
    <w:rsid w:val="63CD05A1"/>
    <w:rsid w:val="63EE6769"/>
    <w:rsid w:val="640A35A3"/>
    <w:rsid w:val="641328C2"/>
    <w:rsid w:val="642B28D2"/>
    <w:rsid w:val="64341D26"/>
    <w:rsid w:val="644F2D4F"/>
    <w:rsid w:val="645A2780"/>
    <w:rsid w:val="64664551"/>
    <w:rsid w:val="647C5B23"/>
    <w:rsid w:val="6480755C"/>
    <w:rsid w:val="64BB1C4F"/>
    <w:rsid w:val="64DF5226"/>
    <w:rsid w:val="650C6EA7"/>
    <w:rsid w:val="65387C9C"/>
    <w:rsid w:val="65510D5D"/>
    <w:rsid w:val="6569254B"/>
    <w:rsid w:val="657E41EC"/>
    <w:rsid w:val="658F6897"/>
    <w:rsid w:val="659D0447"/>
    <w:rsid w:val="65A15240"/>
    <w:rsid w:val="65B23EF2"/>
    <w:rsid w:val="65B512EC"/>
    <w:rsid w:val="65C55BD3"/>
    <w:rsid w:val="65CE491E"/>
    <w:rsid w:val="65E63B9C"/>
    <w:rsid w:val="66042274"/>
    <w:rsid w:val="66140709"/>
    <w:rsid w:val="661C75BD"/>
    <w:rsid w:val="66391F1D"/>
    <w:rsid w:val="6646288C"/>
    <w:rsid w:val="66544FA9"/>
    <w:rsid w:val="665705F5"/>
    <w:rsid w:val="665F56FC"/>
    <w:rsid w:val="66703465"/>
    <w:rsid w:val="667967BE"/>
    <w:rsid w:val="668F5FE1"/>
    <w:rsid w:val="668F7D8F"/>
    <w:rsid w:val="6695111E"/>
    <w:rsid w:val="66A849A9"/>
    <w:rsid w:val="66CC5842"/>
    <w:rsid w:val="66D734E4"/>
    <w:rsid w:val="66D75B6D"/>
    <w:rsid w:val="66DB2FD4"/>
    <w:rsid w:val="66E83943"/>
    <w:rsid w:val="66F619F9"/>
    <w:rsid w:val="67663AC8"/>
    <w:rsid w:val="676A4358"/>
    <w:rsid w:val="676E3E49"/>
    <w:rsid w:val="676E5F98"/>
    <w:rsid w:val="677B5CA9"/>
    <w:rsid w:val="67873FE1"/>
    <w:rsid w:val="680B6629"/>
    <w:rsid w:val="68110444"/>
    <w:rsid w:val="68126ECA"/>
    <w:rsid w:val="68142C42"/>
    <w:rsid w:val="681542C4"/>
    <w:rsid w:val="681F15E7"/>
    <w:rsid w:val="685409C3"/>
    <w:rsid w:val="687F5BE1"/>
    <w:rsid w:val="688928BA"/>
    <w:rsid w:val="6889476E"/>
    <w:rsid w:val="688F051A"/>
    <w:rsid w:val="689C6793"/>
    <w:rsid w:val="68B87806"/>
    <w:rsid w:val="68E63EB3"/>
    <w:rsid w:val="68EF3BEF"/>
    <w:rsid w:val="690031C6"/>
    <w:rsid w:val="69096BB1"/>
    <w:rsid w:val="691C78D4"/>
    <w:rsid w:val="691E53FA"/>
    <w:rsid w:val="693C4933"/>
    <w:rsid w:val="69434B02"/>
    <w:rsid w:val="698F1BF9"/>
    <w:rsid w:val="69F5427C"/>
    <w:rsid w:val="6A024D1C"/>
    <w:rsid w:val="6A2E4F5B"/>
    <w:rsid w:val="6A31115D"/>
    <w:rsid w:val="6A3F7D1E"/>
    <w:rsid w:val="6A4A3798"/>
    <w:rsid w:val="6A647785"/>
    <w:rsid w:val="6A7379C8"/>
    <w:rsid w:val="6A7C687C"/>
    <w:rsid w:val="6AB5996B"/>
    <w:rsid w:val="6ACD3A45"/>
    <w:rsid w:val="6AD55F8D"/>
    <w:rsid w:val="6ADF0BB9"/>
    <w:rsid w:val="6AE11491"/>
    <w:rsid w:val="6AEA1A38"/>
    <w:rsid w:val="6AF74155"/>
    <w:rsid w:val="6AFE3735"/>
    <w:rsid w:val="6AFFDD76"/>
    <w:rsid w:val="6B5F0C75"/>
    <w:rsid w:val="6B60619E"/>
    <w:rsid w:val="6B691C97"/>
    <w:rsid w:val="6B721A2E"/>
    <w:rsid w:val="6B7D28AC"/>
    <w:rsid w:val="6B7F9F4F"/>
    <w:rsid w:val="6BA02A3F"/>
    <w:rsid w:val="6BAC13E3"/>
    <w:rsid w:val="6BC02799"/>
    <w:rsid w:val="6BE75F78"/>
    <w:rsid w:val="6BF3491C"/>
    <w:rsid w:val="6C2B7079"/>
    <w:rsid w:val="6C3A689C"/>
    <w:rsid w:val="6C3C4515"/>
    <w:rsid w:val="6C3E7C9B"/>
    <w:rsid w:val="6C547ACA"/>
    <w:rsid w:val="6C627CF4"/>
    <w:rsid w:val="6C830396"/>
    <w:rsid w:val="6C97145E"/>
    <w:rsid w:val="6C9D4212"/>
    <w:rsid w:val="6CB93DB8"/>
    <w:rsid w:val="6CC87B57"/>
    <w:rsid w:val="6CDC0624"/>
    <w:rsid w:val="6D286848"/>
    <w:rsid w:val="6D2F407A"/>
    <w:rsid w:val="6D30394E"/>
    <w:rsid w:val="6D47E026"/>
    <w:rsid w:val="6D486EEA"/>
    <w:rsid w:val="6D4B6498"/>
    <w:rsid w:val="6D5238C5"/>
    <w:rsid w:val="6D885538"/>
    <w:rsid w:val="6D9914F3"/>
    <w:rsid w:val="6DB427D1"/>
    <w:rsid w:val="6DC347C2"/>
    <w:rsid w:val="6DC72505"/>
    <w:rsid w:val="6DC81DD9"/>
    <w:rsid w:val="6DE36C13"/>
    <w:rsid w:val="6E063FA6"/>
    <w:rsid w:val="6E0E1EE1"/>
    <w:rsid w:val="6E0E3C8F"/>
    <w:rsid w:val="6E1233F3"/>
    <w:rsid w:val="6E354B34"/>
    <w:rsid w:val="6E3556C0"/>
    <w:rsid w:val="6E4A0A40"/>
    <w:rsid w:val="6E574DBC"/>
    <w:rsid w:val="6E602011"/>
    <w:rsid w:val="6E78655E"/>
    <w:rsid w:val="6E95615F"/>
    <w:rsid w:val="6E9A0B31"/>
    <w:rsid w:val="6EB74CEA"/>
    <w:rsid w:val="6EBA3E17"/>
    <w:rsid w:val="6EC03BD0"/>
    <w:rsid w:val="6EC86FE9"/>
    <w:rsid w:val="6ECC2670"/>
    <w:rsid w:val="6ED0363B"/>
    <w:rsid w:val="6ED547AD"/>
    <w:rsid w:val="6EDA37A5"/>
    <w:rsid w:val="6EDFDB2F"/>
    <w:rsid w:val="6EE333C2"/>
    <w:rsid w:val="6EF47329"/>
    <w:rsid w:val="6EFEF156"/>
    <w:rsid w:val="6F016C00"/>
    <w:rsid w:val="6F12155D"/>
    <w:rsid w:val="6F26325B"/>
    <w:rsid w:val="6F2A2D4B"/>
    <w:rsid w:val="6F5C0A2B"/>
    <w:rsid w:val="6F6E3EE2"/>
    <w:rsid w:val="6F8561D3"/>
    <w:rsid w:val="6FAD1EDF"/>
    <w:rsid w:val="6FB42615"/>
    <w:rsid w:val="6FBFDFCF"/>
    <w:rsid w:val="6FD76303"/>
    <w:rsid w:val="6FDD8BE3"/>
    <w:rsid w:val="6FE078AE"/>
    <w:rsid w:val="6FE4739E"/>
    <w:rsid w:val="6FFBBD54"/>
    <w:rsid w:val="70027824"/>
    <w:rsid w:val="70187047"/>
    <w:rsid w:val="701D2125"/>
    <w:rsid w:val="703B29DD"/>
    <w:rsid w:val="70790B1A"/>
    <w:rsid w:val="70820965"/>
    <w:rsid w:val="709A5ECC"/>
    <w:rsid w:val="70AD3C34"/>
    <w:rsid w:val="70C920F0"/>
    <w:rsid w:val="70CC02E9"/>
    <w:rsid w:val="70D909E2"/>
    <w:rsid w:val="70E21403"/>
    <w:rsid w:val="70E84C6C"/>
    <w:rsid w:val="70F058CE"/>
    <w:rsid w:val="70F80C27"/>
    <w:rsid w:val="70FB7200"/>
    <w:rsid w:val="71017ADB"/>
    <w:rsid w:val="7102137F"/>
    <w:rsid w:val="710677BC"/>
    <w:rsid w:val="711E68DF"/>
    <w:rsid w:val="712455AF"/>
    <w:rsid w:val="712E63F7"/>
    <w:rsid w:val="713C6D66"/>
    <w:rsid w:val="716B31A7"/>
    <w:rsid w:val="717920DE"/>
    <w:rsid w:val="718D136F"/>
    <w:rsid w:val="71C0151E"/>
    <w:rsid w:val="71CB1E97"/>
    <w:rsid w:val="71DD2BF9"/>
    <w:rsid w:val="71F15DA2"/>
    <w:rsid w:val="71FEB150"/>
    <w:rsid w:val="72037883"/>
    <w:rsid w:val="7205184D"/>
    <w:rsid w:val="721750DD"/>
    <w:rsid w:val="72343EE1"/>
    <w:rsid w:val="724F4877"/>
    <w:rsid w:val="727D3192"/>
    <w:rsid w:val="72901ADD"/>
    <w:rsid w:val="72952BD1"/>
    <w:rsid w:val="72E94CCB"/>
    <w:rsid w:val="72EE22E1"/>
    <w:rsid w:val="7329331A"/>
    <w:rsid w:val="732D4BB8"/>
    <w:rsid w:val="733F0D8F"/>
    <w:rsid w:val="736425A4"/>
    <w:rsid w:val="737C78ED"/>
    <w:rsid w:val="738D5710"/>
    <w:rsid w:val="73943F10"/>
    <w:rsid w:val="73CD639B"/>
    <w:rsid w:val="73D6524F"/>
    <w:rsid w:val="73E5E92F"/>
    <w:rsid w:val="73E97A4A"/>
    <w:rsid w:val="73F956D6"/>
    <w:rsid w:val="7400051E"/>
    <w:rsid w:val="740A6CA7"/>
    <w:rsid w:val="741953E8"/>
    <w:rsid w:val="741B7D3F"/>
    <w:rsid w:val="74201AD3"/>
    <w:rsid w:val="74597C2E"/>
    <w:rsid w:val="746858F3"/>
    <w:rsid w:val="74687E72"/>
    <w:rsid w:val="746C1710"/>
    <w:rsid w:val="747E724F"/>
    <w:rsid w:val="7484771C"/>
    <w:rsid w:val="748C0004"/>
    <w:rsid w:val="74B9247B"/>
    <w:rsid w:val="74C87F8C"/>
    <w:rsid w:val="74D63387"/>
    <w:rsid w:val="74DF6386"/>
    <w:rsid w:val="74E530B6"/>
    <w:rsid w:val="74F94E1B"/>
    <w:rsid w:val="74FF7A32"/>
    <w:rsid w:val="751D6EAE"/>
    <w:rsid w:val="75241FEA"/>
    <w:rsid w:val="75267B11"/>
    <w:rsid w:val="753D30AC"/>
    <w:rsid w:val="75581E70"/>
    <w:rsid w:val="755F3023"/>
    <w:rsid w:val="75695C4F"/>
    <w:rsid w:val="757ACF3E"/>
    <w:rsid w:val="75B3511C"/>
    <w:rsid w:val="75E55C1E"/>
    <w:rsid w:val="75ED062E"/>
    <w:rsid w:val="75F7E559"/>
    <w:rsid w:val="75F920DA"/>
    <w:rsid w:val="7610256F"/>
    <w:rsid w:val="762F7FF7"/>
    <w:rsid w:val="763901F3"/>
    <w:rsid w:val="764741E2"/>
    <w:rsid w:val="76544B51"/>
    <w:rsid w:val="76562678"/>
    <w:rsid w:val="76634D94"/>
    <w:rsid w:val="76767137"/>
    <w:rsid w:val="76780840"/>
    <w:rsid w:val="767945B8"/>
    <w:rsid w:val="767A323B"/>
    <w:rsid w:val="767E397C"/>
    <w:rsid w:val="768725EE"/>
    <w:rsid w:val="76D161A2"/>
    <w:rsid w:val="76D37824"/>
    <w:rsid w:val="76DD4B47"/>
    <w:rsid w:val="76EFEED7"/>
    <w:rsid w:val="76FF2D0F"/>
    <w:rsid w:val="77090569"/>
    <w:rsid w:val="770E6AAE"/>
    <w:rsid w:val="77275DC2"/>
    <w:rsid w:val="773D7394"/>
    <w:rsid w:val="775275D7"/>
    <w:rsid w:val="777026B5"/>
    <w:rsid w:val="77A25449"/>
    <w:rsid w:val="77A6531A"/>
    <w:rsid w:val="77BD2282"/>
    <w:rsid w:val="77C802D7"/>
    <w:rsid w:val="77CA37E1"/>
    <w:rsid w:val="77CB499F"/>
    <w:rsid w:val="77D31AA6"/>
    <w:rsid w:val="77DB72D8"/>
    <w:rsid w:val="77EA751B"/>
    <w:rsid w:val="77F24D32"/>
    <w:rsid w:val="77F43EF6"/>
    <w:rsid w:val="77FA34D6"/>
    <w:rsid w:val="77FF2EEB"/>
    <w:rsid w:val="78013B7F"/>
    <w:rsid w:val="780305DD"/>
    <w:rsid w:val="78047EB1"/>
    <w:rsid w:val="78191BAF"/>
    <w:rsid w:val="7847671C"/>
    <w:rsid w:val="785E1CB7"/>
    <w:rsid w:val="786170B2"/>
    <w:rsid w:val="78762B5D"/>
    <w:rsid w:val="787740CA"/>
    <w:rsid w:val="7879264D"/>
    <w:rsid w:val="788A6608"/>
    <w:rsid w:val="78900F2E"/>
    <w:rsid w:val="78941235"/>
    <w:rsid w:val="78A3591C"/>
    <w:rsid w:val="78BFDBAF"/>
    <w:rsid w:val="78D12489"/>
    <w:rsid w:val="78F6E277"/>
    <w:rsid w:val="78FE6DDC"/>
    <w:rsid w:val="79087FA7"/>
    <w:rsid w:val="79390854"/>
    <w:rsid w:val="793F73F3"/>
    <w:rsid w:val="79444A09"/>
    <w:rsid w:val="79554E68"/>
    <w:rsid w:val="795A247F"/>
    <w:rsid w:val="795F7A95"/>
    <w:rsid w:val="79A96F62"/>
    <w:rsid w:val="79B06543"/>
    <w:rsid w:val="79BE4561"/>
    <w:rsid w:val="79C21DD2"/>
    <w:rsid w:val="79C773E8"/>
    <w:rsid w:val="79C913B2"/>
    <w:rsid w:val="79F93A46"/>
    <w:rsid w:val="7A291E51"/>
    <w:rsid w:val="7A3A5E0C"/>
    <w:rsid w:val="7A7A53C3"/>
    <w:rsid w:val="7A861051"/>
    <w:rsid w:val="7A862E00"/>
    <w:rsid w:val="7A8744BF"/>
    <w:rsid w:val="7A8D0632"/>
    <w:rsid w:val="7A903C7E"/>
    <w:rsid w:val="7A9674E6"/>
    <w:rsid w:val="7AA8546C"/>
    <w:rsid w:val="7AAC0AB8"/>
    <w:rsid w:val="7AB0585B"/>
    <w:rsid w:val="7AC34C78"/>
    <w:rsid w:val="7AC92325"/>
    <w:rsid w:val="7AFF3D34"/>
    <w:rsid w:val="7B0326A2"/>
    <w:rsid w:val="7B0474FD"/>
    <w:rsid w:val="7B226FCC"/>
    <w:rsid w:val="7B8732D3"/>
    <w:rsid w:val="7B9A3006"/>
    <w:rsid w:val="7B9C48CE"/>
    <w:rsid w:val="7BB408EF"/>
    <w:rsid w:val="7BD55DED"/>
    <w:rsid w:val="7BDD2EF3"/>
    <w:rsid w:val="7BDEB212"/>
    <w:rsid w:val="7BE87157"/>
    <w:rsid w:val="7BF22E42"/>
    <w:rsid w:val="7BF32717"/>
    <w:rsid w:val="7BFA1CF7"/>
    <w:rsid w:val="7BFB689E"/>
    <w:rsid w:val="7C1E3C37"/>
    <w:rsid w:val="7C2B375B"/>
    <w:rsid w:val="7C2E56C3"/>
    <w:rsid w:val="7C370855"/>
    <w:rsid w:val="7C43369E"/>
    <w:rsid w:val="7C4D62CB"/>
    <w:rsid w:val="7C5331B5"/>
    <w:rsid w:val="7C5C5ADB"/>
    <w:rsid w:val="7C645B4E"/>
    <w:rsid w:val="7C7D7310"/>
    <w:rsid w:val="7C815F74"/>
    <w:rsid w:val="7C824924"/>
    <w:rsid w:val="7CAF2AE1"/>
    <w:rsid w:val="7CC61BD9"/>
    <w:rsid w:val="7CDFAFAC"/>
    <w:rsid w:val="7CE803B8"/>
    <w:rsid w:val="7CED74C6"/>
    <w:rsid w:val="7CF624BE"/>
    <w:rsid w:val="7D0270B5"/>
    <w:rsid w:val="7D14035D"/>
    <w:rsid w:val="7D197F5B"/>
    <w:rsid w:val="7D2863F0"/>
    <w:rsid w:val="7D3C4F78"/>
    <w:rsid w:val="7D4B0B0D"/>
    <w:rsid w:val="7D741635"/>
    <w:rsid w:val="7D7635FF"/>
    <w:rsid w:val="7D851A94"/>
    <w:rsid w:val="7D8C4BD1"/>
    <w:rsid w:val="7D9F2B56"/>
    <w:rsid w:val="7DA243F4"/>
    <w:rsid w:val="7DB008BF"/>
    <w:rsid w:val="7DB04CD2"/>
    <w:rsid w:val="7DC51E91"/>
    <w:rsid w:val="7DCD7AE4"/>
    <w:rsid w:val="7DD00F61"/>
    <w:rsid w:val="7DDC1195"/>
    <w:rsid w:val="7DE467BB"/>
    <w:rsid w:val="7DF5AB3C"/>
    <w:rsid w:val="7DFF7932"/>
    <w:rsid w:val="7E1150D6"/>
    <w:rsid w:val="7E1564F7"/>
    <w:rsid w:val="7E2117BD"/>
    <w:rsid w:val="7E332161"/>
    <w:rsid w:val="7E4E1E86"/>
    <w:rsid w:val="7E5C27F5"/>
    <w:rsid w:val="7E5F4093"/>
    <w:rsid w:val="7E696CC0"/>
    <w:rsid w:val="7E867872"/>
    <w:rsid w:val="7E8F4979"/>
    <w:rsid w:val="7EA06B86"/>
    <w:rsid w:val="7ECF237A"/>
    <w:rsid w:val="7ED20D09"/>
    <w:rsid w:val="7EE1668D"/>
    <w:rsid w:val="7EF02F3D"/>
    <w:rsid w:val="7EF52DD8"/>
    <w:rsid w:val="7F054C3B"/>
    <w:rsid w:val="7F076C05"/>
    <w:rsid w:val="7F0E7B6D"/>
    <w:rsid w:val="7F111831"/>
    <w:rsid w:val="7F2E23E3"/>
    <w:rsid w:val="7F4A08A0"/>
    <w:rsid w:val="7F56A130"/>
    <w:rsid w:val="7F71407E"/>
    <w:rsid w:val="7F7D3972"/>
    <w:rsid w:val="7F842003"/>
    <w:rsid w:val="7F9908EC"/>
    <w:rsid w:val="7F9D70B2"/>
    <w:rsid w:val="7FA36700"/>
    <w:rsid w:val="7FAC6129"/>
    <w:rsid w:val="7FBB9116"/>
    <w:rsid w:val="7FD76576"/>
    <w:rsid w:val="7FDE2069"/>
    <w:rsid w:val="7FDFF897"/>
    <w:rsid w:val="7FF64583"/>
    <w:rsid w:val="7FFA4840"/>
    <w:rsid w:val="7FFB4DD2"/>
    <w:rsid w:val="7FFC500D"/>
    <w:rsid w:val="7FFEB743"/>
    <w:rsid w:val="7FFF379F"/>
    <w:rsid w:val="7FFF5C49"/>
    <w:rsid w:val="7FFF7018"/>
    <w:rsid w:val="A7BB4624"/>
    <w:rsid w:val="B3F7C6D2"/>
    <w:rsid w:val="B5F22FAE"/>
    <w:rsid w:val="B79F7FDA"/>
    <w:rsid w:val="B7BCF8BB"/>
    <w:rsid w:val="B7C77D60"/>
    <w:rsid w:val="BB2FF09E"/>
    <w:rsid w:val="BCFF1D58"/>
    <w:rsid w:val="BEED0B58"/>
    <w:rsid w:val="BF7CEF8E"/>
    <w:rsid w:val="BFBD7AE9"/>
    <w:rsid w:val="C7AFB6E3"/>
    <w:rsid w:val="CF3B07A5"/>
    <w:rsid w:val="CF59060F"/>
    <w:rsid w:val="CF731208"/>
    <w:rsid w:val="D43F3AA5"/>
    <w:rsid w:val="D5EFE0E7"/>
    <w:rsid w:val="D9ED45B2"/>
    <w:rsid w:val="DA6FF0F5"/>
    <w:rsid w:val="DBED15C0"/>
    <w:rsid w:val="DD725B95"/>
    <w:rsid w:val="DDDFB092"/>
    <w:rsid w:val="DDF52F9D"/>
    <w:rsid w:val="DDFF1F5F"/>
    <w:rsid w:val="DEF5EF84"/>
    <w:rsid w:val="E33F7368"/>
    <w:rsid w:val="E3BDDE0A"/>
    <w:rsid w:val="E4FF67BD"/>
    <w:rsid w:val="E7AFDDAA"/>
    <w:rsid w:val="EBD74923"/>
    <w:rsid w:val="ED7D0BED"/>
    <w:rsid w:val="EF763FC2"/>
    <w:rsid w:val="EFBF79DB"/>
    <w:rsid w:val="F37B890D"/>
    <w:rsid w:val="F3EB0674"/>
    <w:rsid w:val="F43BB8DB"/>
    <w:rsid w:val="F4FF989F"/>
    <w:rsid w:val="F52E31D8"/>
    <w:rsid w:val="F5BF4EA4"/>
    <w:rsid w:val="F77D8DAB"/>
    <w:rsid w:val="F7EBD7B2"/>
    <w:rsid w:val="F7FB4654"/>
    <w:rsid w:val="F7FDE447"/>
    <w:rsid w:val="F7FF8F36"/>
    <w:rsid w:val="F92FE599"/>
    <w:rsid w:val="F93F078D"/>
    <w:rsid w:val="F99FC1E4"/>
    <w:rsid w:val="F9FC23F5"/>
    <w:rsid w:val="FBD70121"/>
    <w:rsid w:val="FBEFD6DE"/>
    <w:rsid w:val="FC79B3B1"/>
    <w:rsid w:val="FCFDBA08"/>
    <w:rsid w:val="FEBD1EB0"/>
    <w:rsid w:val="FEFA2132"/>
    <w:rsid w:val="FEFFFCD3"/>
    <w:rsid w:val="FF7F789A"/>
    <w:rsid w:val="FF8F9937"/>
    <w:rsid w:val="FF955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qFormat="1" w:unhideWhenUsed="0" w:uiPriority="0" w:semiHidden="0" w:name="index 8"/>
    <w:lsdException w:uiPriority="99"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99" w:semiHidden="0" w:name="HTML Sample"/>
    <w:lsdException w:qFormat="1" w:unhideWhenUsed="0" w:uiPriority="0" w:semiHidden="0" w:name="HTML Typewriter"/>
    <w:lsdException w:qFormat="1"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52"/>
    <w:qFormat/>
    <w:uiPriority w:val="0"/>
    <w:pPr>
      <w:keepNext/>
      <w:keepLines/>
      <w:tabs>
        <w:tab w:val="left" w:pos="360"/>
      </w:tabs>
      <w:adjustRightInd w:val="0"/>
      <w:spacing w:before="120" w:line="360" w:lineRule="auto"/>
      <w:ind w:left="284" w:hanging="284"/>
      <w:outlineLvl w:val="0"/>
    </w:pPr>
    <w:rPr>
      <w:rFonts w:eastAsia="黑体"/>
      <w:b/>
      <w:kern w:val="44"/>
      <w:sz w:val="28"/>
      <w:szCs w:val="20"/>
    </w:rPr>
  </w:style>
  <w:style w:type="paragraph" w:styleId="5">
    <w:name w:val="heading 2"/>
    <w:basedOn w:val="1"/>
    <w:next w:val="1"/>
    <w:qFormat/>
    <w:uiPriority w:val="0"/>
    <w:pPr>
      <w:keepNext/>
      <w:tabs>
        <w:tab w:val="left" w:pos="1021"/>
      </w:tabs>
      <w:adjustRightInd w:val="0"/>
      <w:spacing w:before="120" w:line="360" w:lineRule="auto"/>
      <w:ind w:left="1021" w:hanging="596"/>
      <w:outlineLvl w:val="1"/>
    </w:pPr>
    <w:rPr>
      <w:rFonts w:eastAsia="黑体"/>
      <w:b/>
      <w:kern w:val="0"/>
      <w:sz w:val="28"/>
      <w:szCs w:val="20"/>
    </w:rPr>
  </w:style>
  <w:style w:type="paragraph" w:styleId="6">
    <w:name w:val="heading 3"/>
    <w:basedOn w:val="1"/>
    <w:next w:val="1"/>
    <w:qFormat/>
    <w:uiPriority w:val="0"/>
    <w:pPr>
      <w:tabs>
        <w:tab w:val="left" w:pos="900"/>
        <w:tab w:val="left" w:pos="1588"/>
      </w:tabs>
      <w:adjustRightInd w:val="0"/>
      <w:spacing w:before="120" w:line="360" w:lineRule="auto"/>
      <w:ind w:left="1588" w:hanging="737"/>
      <w:outlineLvl w:val="2"/>
    </w:pPr>
    <w:rPr>
      <w:rFonts w:eastAsia="黑体"/>
      <w:b/>
      <w:kern w:val="0"/>
      <w:sz w:val="28"/>
      <w:szCs w:val="20"/>
    </w:rPr>
  </w:style>
  <w:style w:type="paragraph" w:styleId="7">
    <w:name w:val="heading 4"/>
    <w:basedOn w:val="1"/>
    <w:next w:val="1"/>
    <w:qFormat/>
    <w:uiPriority w:val="0"/>
    <w:pPr>
      <w:tabs>
        <w:tab w:val="left" w:pos="2155"/>
      </w:tabs>
      <w:adjustRightInd w:val="0"/>
      <w:spacing w:before="120" w:line="360" w:lineRule="auto"/>
      <w:ind w:left="2155" w:hanging="1078"/>
      <w:outlineLvl w:val="3"/>
    </w:pPr>
    <w:rPr>
      <w:rFonts w:ascii="Arial" w:hAnsi="Arial" w:eastAsia="黑体"/>
      <w:kern w:val="0"/>
      <w:sz w:val="28"/>
      <w:szCs w:val="20"/>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paragraph" w:styleId="9">
    <w:name w:val="heading 6"/>
    <w:basedOn w:val="1"/>
    <w:next w:val="1"/>
    <w:qFormat/>
    <w:uiPriority w:val="0"/>
    <w:pPr>
      <w:keepNext/>
      <w:keepLines/>
      <w:spacing w:before="240" w:after="64" w:line="316" w:lineRule="auto"/>
      <w:outlineLvl w:val="5"/>
    </w:pPr>
    <w:rPr>
      <w:rFonts w:ascii="Cambria" w:hAnsi="Cambria" w:cs="Cambria"/>
      <w:b/>
      <w:bCs/>
      <w:sz w:val="24"/>
      <w:szCs w:val="24"/>
    </w:rPr>
  </w:style>
  <w:style w:type="paragraph" w:styleId="10">
    <w:name w:val="heading 7"/>
    <w:basedOn w:val="1"/>
    <w:next w:val="1"/>
    <w:qFormat/>
    <w:uiPriority w:val="0"/>
    <w:pPr>
      <w:spacing w:before="45"/>
      <w:ind w:left="532"/>
      <w:outlineLvl w:val="6"/>
    </w:pPr>
    <w:rPr>
      <w:b/>
      <w:bCs/>
      <w:szCs w:val="21"/>
    </w:rPr>
  </w:style>
  <w:style w:type="paragraph" w:styleId="11">
    <w:name w:val="heading 8"/>
    <w:basedOn w:val="1"/>
    <w:next w:val="1"/>
    <w:qFormat/>
    <w:uiPriority w:val="0"/>
    <w:pPr>
      <w:keepNext/>
      <w:keepLines/>
      <w:spacing w:before="240" w:after="64" w:line="316" w:lineRule="auto"/>
      <w:outlineLvl w:val="7"/>
    </w:pPr>
    <w:rPr>
      <w:rFonts w:ascii="Cambria" w:hAnsi="Cambria" w:cs="Cambria"/>
      <w:sz w:val="24"/>
      <w:szCs w:val="24"/>
    </w:rPr>
  </w:style>
  <w:style w:type="paragraph" w:styleId="12">
    <w:name w:val="heading 9"/>
    <w:basedOn w:val="1"/>
    <w:next w:val="1"/>
    <w:qFormat/>
    <w:uiPriority w:val="0"/>
    <w:pPr>
      <w:keepNext/>
      <w:keepLines/>
      <w:spacing w:before="240" w:after="64" w:line="316" w:lineRule="auto"/>
      <w:outlineLvl w:val="8"/>
    </w:pPr>
    <w:rPr>
      <w:rFonts w:ascii="Cambria" w:hAnsi="Cambria" w:cs="Cambria"/>
      <w:szCs w:val="21"/>
    </w:rPr>
  </w:style>
  <w:style w:type="character" w:default="1" w:styleId="37">
    <w:name w:val="Default Paragraph Font"/>
    <w:semiHidden/>
    <w:unhideWhenUsed/>
    <w:uiPriority w:val="1"/>
  </w:style>
  <w:style w:type="table" w:default="1" w:styleId="3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next w:val="3"/>
    <w:qFormat/>
    <w:uiPriority w:val="0"/>
    <w:pPr>
      <w:spacing w:before="25" w:after="25"/>
      <w:jc w:val="left"/>
    </w:pPr>
    <w:rPr>
      <w:bCs/>
      <w:spacing w:val="10"/>
      <w:kern w:val="0"/>
      <w:sz w:val="24"/>
    </w:rPr>
  </w:style>
  <w:style w:type="paragraph" w:styleId="3">
    <w:name w:val="Body Text"/>
    <w:basedOn w:val="1"/>
    <w:next w:val="1"/>
    <w:qFormat/>
    <w:uiPriority w:val="0"/>
    <w:pPr>
      <w:spacing w:after="120"/>
    </w:pPr>
    <w:rPr>
      <w:kern w:val="0"/>
      <w:sz w:val="20"/>
      <w:szCs w:val="20"/>
    </w:rPr>
  </w:style>
  <w:style w:type="paragraph" w:styleId="13">
    <w:name w:val="Note Heading"/>
    <w:basedOn w:val="1"/>
    <w:next w:val="1"/>
    <w:qFormat/>
    <w:uiPriority w:val="0"/>
    <w:pPr>
      <w:spacing w:before="20" w:after="50"/>
      <w:jc w:val="center"/>
    </w:pPr>
    <w:rPr>
      <w:rFonts w:cs="Calibri"/>
      <w:sz w:val="24"/>
      <w:szCs w:val="24"/>
    </w:rPr>
  </w:style>
  <w:style w:type="paragraph" w:styleId="14">
    <w:name w:val="index 8"/>
    <w:basedOn w:val="1"/>
    <w:next w:val="1"/>
    <w:qFormat/>
    <w:uiPriority w:val="0"/>
    <w:pPr>
      <w:ind w:left="2940"/>
    </w:pPr>
  </w:style>
  <w:style w:type="paragraph" w:styleId="15">
    <w:name w:val="Normal Indent"/>
    <w:basedOn w:val="1"/>
    <w:qFormat/>
    <w:uiPriority w:val="0"/>
    <w:pPr>
      <w:widowControl/>
      <w:ind w:firstLine="420"/>
      <w:jc w:val="left"/>
    </w:pPr>
    <w:rPr>
      <w:sz w:val="20"/>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qFormat/>
    <w:uiPriority w:val="0"/>
    <w:pPr>
      <w:shd w:val="clear" w:color="auto" w:fill="000080"/>
    </w:pPr>
    <w:rPr>
      <w:rFonts w:ascii="宋体"/>
      <w:kern w:val="0"/>
      <w:sz w:val="18"/>
      <w:szCs w:val="18"/>
    </w:rPr>
  </w:style>
  <w:style w:type="paragraph" w:styleId="18">
    <w:name w:val="annotation text"/>
    <w:basedOn w:val="1"/>
    <w:qFormat/>
    <w:uiPriority w:val="0"/>
    <w:pPr>
      <w:jc w:val="left"/>
    </w:pPr>
    <w:rPr>
      <w:kern w:val="0"/>
      <w:sz w:val="20"/>
      <w:szCs w:val="20"/>
    </w:rPr>
  </w:style>
  <w:style w:type="paragraph" w:styleId="19">
    <w:name w:val="Salutation"/>
    <w:basedOn w:val="1"/>
    <w:next w:val="1"/>
    <w:qFormat/>
    <w:uiPriority w:val="0"/>
    <w:rPr>
      <w:rFonts w:cs="Calibri"/>
      <w:sz w:val="24"/>
      <w:szCs w:val="24"/>
    </w:rPr>
  </w:style>
  <w:style w:type="paragraph" w:styleId="20">
    <w:name w:val="Body Text Indent"/>
    <w:basedOn w:val="1"/>
    <w:next w:val="21"/>
    <w:qFormat/>
    <w:uiPriority w:val="0"/>
    <w:pPr>
      <w:spacing w:line="200" w:lineRule="exact"/>
      <w:ind w:firstLine="301"/>
    </w:pPr>
    <w:rPr>
      <w:kern w:val="0"/>
      <w:sz w:val="20"/>
      <w:szCs w:val="20"/>
    </w:rPr>
  </w:style>
  <w:style w:type="paragraph" w:customStyle="1" w:styleId="21">
    <w:name w:val="目录 42"/>
    <w:next w:val="1"/>
    <w:qFormat/>
    <w:uiPriority w:val="99"/>
    <w:pPr>
      <w:wordWrap w:val="0"/>
      <w:ind w:left="850"/>
      <w:jc w:val="both"/>
    </w:pPr>
    <w:rPr>
      <w:rFonts w:ascii="Times New Roman" w:hAnsi="Times New Roman" w:eastAsia="宋体" w:cs="Times New Roman"/>
      <w:sz w:val="21"/>
      <w:lang w:val="en-US" w:eastAsia="zh-CN" w:bidi="ar-SA"/>
    </w:rPr>
  </w:style>
  <w:style w:type="paragraph" w:styleId="22">
    <w:name w:val="index 4"/>
    <w:basedOn w:val="1"/>
    <w:next w:val="1"/>
    <w:qFormat/>
    <w:uiPriority w:val="0"/>
    <w:pPr>
      <w:ind w:left="600" w:leftChars="600"/>
    </w:pPr>
    <w:rPr>
      <w:szCs w:val="21"/>
    </w:rPr>
  </w:style>
  <w:style w:type="paragraph" w:styleId="23">
    <w:name w:val="Plain Text"/>
    <w:basedOn w:val="1"/>
    <w:next w:val="1"/>
    <w:link w:val="290"/>
    <w:qFormat/>
    <w:uiPriority w:val="0"/>
    <w:rPr>
      <w:rFonts w:ascii="宋体"/>
      <w:kern w:val="0"/>
      <w:sz w:val="20"/>
      <w:szCs w:val="21"/>
    </w:rPr>
  </w:style>
  <w:style w:type="paragraph" w:styleId="24">
    <w:name w:val="Date"/>
    <w:basedOn w:val="1"/>
    <w:next w:val="1"/>
    <w:qFormat/>
    <w:uiPriority w:val="0"/>
    <w:rPr>
      <w:kern w:val="0"/>
      <w:sz w:val="20"/>
      <w:szCs w:val="20"/>
    </w:rPr>
  </w:style>
  <w:style w:type="paragraph" w:styleId="25">
    <w:name w:val="Body Text Indent 2"/>
    <w:basedOn w:val="1"/>
    <w:qFormat/>
    <w:uiPriority w:val="0"/>
    <w:pPr>
      <w:spacing w:after="120" w:line="480" w:lineRule="auto"/>
      <w:ind w:left="200" w:leftChars="200"/>
    </w:pPr>
    <w:rPr>
      <w:kern w:val="0"/>
      <w:sz w:val="20"/>
      <w:szCs w:val="20"/>
    </w:rPr>
  </w:style>
  <w:style w:type="paragraph" w:styleId="26">
    <w:name w:val="Balloon Text"/>
    <w:basedOn w:val="1"/>
    <w:qFormat/>
    <w:uiPriority w:val="0"/>
    <w:rPr>
      <w:kern w:val="0"/>
      <w:sz w:val="18"/>
      <w:szCs w:val="18"/>
    </w:rPr>
  </w:style>
  <w:style w:type="paragraph" w:styleId="27">
    <w:name w:val="footer"/>
    <w:basedOn w:val="1"/>
    <w:qFormat/>
    <w:uiPriority w:val="0"/>
    <w:pPr>
      <w:tabs>
        <w:tab w:val="center" w:pos="4153"/>
        <w:tab w:val="right" w:pos="8306"/>
      </w:tabs>
      <w:snapToGrid w:val="0"/>
      <w:jc w:val="left"/>
    </w:pPr>
    <w:rPr>
      <w:kern w:val="0"/>
      <w:sz w:val="18"/>
      <w:szCs w:val="18"/>
    </w:rPr>
  </w:style>
  <w:style w:type="paragraph" w:styleId="28">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Subtitle"/>
    <w:basedOn w:val="1"/>
    <w:next w:val="1"/>
    <w:qFormat/>
    <w:uiPriority w:val="0"/>
    <w:pPr>
      <w:spacing w:before="240" w:after="60" w:line="312" w:lineRule="auto"/>
      <w:jc w:val="center"/>
      <w:outlineLvl w:val="1"/>
    </w:pPr>
    <w:rPr>
      <w:rFonts w:ascii="Cambria" w:hAnsi="Cambria" w:cs="Cambria"/>
      <w:b/>
      <w:bCs/>
      <w:kern w:val="28"/>
      <w:sz w:val="32"/>
      <w:szCs w:val="32"/>
    </w:rPr>
  </w:style>
  <w:style w:type="paragraph" w:styleId="30">
    <w:name w:val="footnote text"/>
    <w:basedOn w:val="1"/>
    <w:qFormat/>
    <w:uiPriority w:val="0"/>
    <w:pPr>
      <w:adjustRightInd w:val="0"/>
      <w:spacing w:line="312" w:lineRule="atLeast"/>
      <w:jc w:val="left"/>
    </w:pPr>
    <w:rPr>
      <w:rFonts w:cs="Calibri"/>
      <w:sz w:val="18"/>
      <w:szCs w:val="18"/>
    </w:rPr>
  </w:style>
  <w:style w:type="paragraph" w:styleId="31">
    <w:name w:val="Body Text Indent 3"/>
    <w:basedOn w:val="1"/>
    <w:qFormat/>
    <w:uiPriority w:val="0"/>
    <w:pPr>
      <w:adjustRightInd w:val="0"/>
      <w:spacing w:line="360" w:lineRule="auto"/>
      <w:ind w:firstLine="480"/>
      <w:textAlignment w:val="baseline"/>
    </w:pPr>
    <w:rPr>
      <w:rFonts w:ascii="宋体" w:cs="宋体"/>
      <w:sz w:val="28"/>
      <w:szCs w:val="28"/>
    </w:rPr>
  </w:style>
  <w:style w:type="paragraph" w:styleId="32">
    <w:name w:val="Normal (Web)"/>
    <w:basedOn w:val="1"/>
    <w:qFormat/>
    <w:uiPriority w:val="99"/>
    <w:pPr>
      <w:widowControl/>
      <w:spacing w:before="100" w:beforeAutospacing="1" w:after="100" w:afterAutospacing="1"/>
      <w:jc w:val="left"/>
    </w:pPr>
    <w:rPr>
      <w:rFonts w:ascii="宋体"/>
      <w:kern w:val="0"/>
      <w:sz w:val="24"/>
      <w:szCs w:val="24"/>
    </w:rPr>
  </w:style>
  <w:style w:type="paragraph" w:styleId="33">
    <w:name w:val="index 1"/>
    <w:basedOn w:val="1"/>
    <w:next w:val="1"/>
    <w:qFormat/>
    <w:uiPriority w:val="0"/>
    <w:rPr>
      <w:szCs w:val="24"/>
    </w:rPr>
  </w:style>
  <w:style w:type="paragraph" w:styleId="34">
    <w:name w:val="Title"/>
    <w:basedOn w:val="1"/>
    <w:next w:val="1"/>
    <w:qFormat/>
    <w:uiPriority w:val="0"/>
    <w:pPr>
      <w:spacing w:before="240" w:after="60"/>
      <w:jc w:val="center"/>
      <w:outlineLvl w:val="0"/>
    </w:pPr>
    <w:rPr>
      <w:rFonts w:ascii="Arial" w:hAnsi="Arial" w:cs="Arial"/>
      <w:b/>
      <w:bCs/>
      <w:sz w:val="44"/>
      <w:szCs w:val="44"/>
    </w:rPr>
  </w:style>
  <w:style w:type="paragraph" w:styleId="35">
    <w:name w:val="annotation subject"/>
    <w:basedOn w:val="18"/>
    <w:next w:val="18"/>
    <w:qFormat/>
    <w:uiPriority w:val="0"/>
    <w:rPr>
      <w:b/>
      <w:bCs/>
    </w:rPr>
  </w:style>
  <w:style w:type="character" w:styleId="38">
    <w:name w:val="Strong"/>
    <w:qFormat/>
    <w:uiPriority w:val="0"/>
    <w:rPr>
      <w:b/>
      <w:bCs/>
    </w:rPr>
  </w:style>
  <w:style w:type="character" w:styleId="39">
    <w:name w:val="page number"/>
    <w:qFormat/>
    <w:uiPriority w:val="0"/>
    <w:rPr>
      <w:rFonts w:cs="Times New Roman"/>
      <w:lang w:bidi="ar-SA"/>
    </w:rPr>
  </w:style>
  <w:style w:type="character" w:styleId="40">
    <w:name w:val="FollowedHyperlink"/>
    <w:qFormat/>
    <w:uiPriority w:val="0"/>
    <w:rPr>
      <w:color w:val="800080"/>
      <w:u w:val="none"/>
    </w:rPr>
  </w:style>
  <w:style w:type="character" w:styleId="41">
    <w:name w:val="Emphasis"/>
    <w:qFormat/>
    <w:uiPriority w:val="0"/>
  </w:style>
  <w:style w:type="character" w:styleId="42">
    <w:name w:val="HTML Definition"/>
    <w:qFormat/>
    <w:uiPriority w:val="0"/>
    <w:rPr>
      <w:rFonts w:cs="Times New Roman"/>
      <w:lang w:bidi="ar-SA"/>
    </w:rPr>
  </w:style>
  <w:style w:type="character" w:styleId="43">
    <w:name w:val="HTML Typewriter"/>
    <w:qFormat/>
    <w:uiPriority w:val="0"/>
    <w:rPr>
      <w:rFonts w:ascii="monospace" w:hAnsi="monospace" w:cs="monospace"/>
      <w:sz w:val="20"/>
      <w:szCs w:val="20"/>
      <w:lang w:bidi="ar-SA"/>
    </w:rPr>
  </w:style>
  <w:style w:type="character" w:styleId="44">
    <w:name w:val="HTML Acronym"/>
    <w:qFormat/>
    <w:uiPriority w:val="0"/>
    <w:rPr>
      <w:rFonts w:cs="Times New Roman"/>
      <w:lang w:bidi="ar-SA"/>
    </w:rPr>
  </w:style>
  <w:style w:type="character" w:styleId="45">
    <w:name w:val="HTML Variable"/>
    <w:qFormat/>
    <w:uiPriority w:val="0"/>
    <w:rPr>
      <w:rFonts w:cs="Times New Roman"/>
      <w:lang w:bidi="ar-SA"/>
    </w:rPr>
  </w:style>
  <w:style w:type="character" w:styleId="46">
    <w:name w:val="Hyperlink"/>
    <w:qFormat/>
    <w:uiPriority w:val="0"/>
    <w:rPr>
      <w:color w:val="0000FF"/>
      <w:u w:val="none"/>
    </w:rPr>
  </w:style>
  <w:style w:type="character" w:styleId="47">
    <w:name w:val="HTML Code"/>
    <w:qFormat/>
    <w:uiPriority w:val="0"/>
    <w:rPr>
      <w:rFonts w:ascii="monospace" w:hAnsi="monospace" w:cs="monospace"/>
      <w:sz w:val="20"/>
      <w:szCs w:val="20"/>
      <w:lang w:bidi="ar-SA"/>
    </w:rPr>
  </w:style>
  <w:style w:type="character" w:styleId="48">
    <w:name w:val="annotation reference"/>
    <w:qFormat/>
    <w:uiPriority w:val="0"/>
    <w:rPr>
      <w:sz w:val="21"/>
      <w:szCs w:val="21"/>
    </w:rPr>
  </w:style>
  <w:style w:type="character" w:styleId="49">
    <w:name w:val="HTML Cite"/>
    <w:qFormat/>
    <w:uiPriority w:val="0"/>
    <w:rPr>
      <w:rFonts w:cs="Times New Roman"/>
      <w:lang w:bidi="ar-SA"/>
    </w:rPr>
  </w:style>
  <w:style w:type="character" w:styleId="50">
    <w:name w:val="HTML Keyboard"/>
    <w:qFormat/>
    <w:uiPriority w:val="0"/>
    <w:rPr>
      <w:rFonts w:ascii="monospace" w:hAnsi="monospace" w:cs="monospace"/>
      <w:sz w:val="20"/>
      <w:szCs w:val="20"/>
      <w:lang w:bidi="ar-SA"/>
    </w:rPr>
  </w:style>
  <w:style w:type="character" w:styleId="51">
    <w:name w:val="HTML Sample"/>
    <w:qFormat/>
    <w:uiPriority w:val="99"/>
    <w:rPr>
      <w:rFonts w:ascii="monospace" w:hAnsi="monospace" w:cs="monospace"/>
      <w:lang w:bidi="ar-SA"/>
    </w:rPr>
  </w:style>
  <w:style w:type="character" w:customStyle="1" w:styleId="52">
    <w:name w:val="标题 1 字符"/>
    <w:link w:val="4"/>
    <w:qFormat/>
    <w:uiPriority w:val="0"/>
    <w:rPr>
      <w:rFonts w:eastAsia="黑体"/>
      <w:b/>
      <w:kern w:val="44"/>
      <w:sz w:val="28"/>
    </w:rPr>
  </w:style>
  <w:style w:type="paragraph" w:customStyle="1" w:styleId="53">
    <w:name w:val="目录 71"/>
    <w:basedOn w:val="1"/>
    <w:next w:val="1"/>
    <w:qFormat/>
    <w:uiPriority w:val="0"/>
    <w:pPr>
      <w:adjustRightInd w:val="0"/>
      <w:spacing w:line="312" w:lineRule="atLeast"/>
      <w:ind w:left="1260"/>
      <w:jc w:val="left"/>
      <w:textAlignment w:val="baseline"/>
    </w:pPr>
    <w:rPr>
      <w:kern w:val="0"/>
      <w:sz w:val="18"/>
      <w:szCs w:val="18"/>
    </w:rPr>
  </w:style>
  <w:style w:type="paragraph" w:customStyle="1" w:styleId="54">
    <w:name w:val="目录 51"/>
    <w:basedOn w:val="1"/>
    <w:next w:val="1"/>
    <w:qFormat/>
    <w:uiPriority w:val="0"/>
    <w:pPr>
      <w:adjustRightInd w:val="0"/>
      <w:spacing w:line="312" w:lineRule="atLeast"/>
      <w:ind w:left="840"/>
      <w:jc w:val="left"/>
      <w:textAlignment w:val="baseline"/>
    </w:pPr>
    <w:rPr>
      <w:kern w:val="0"/>
      <w:sz w:val="18"/>
      <w:szCs w:val="18"/>
    </w:rPr>
  </w:style>
  <w:style w:type="paragraph" w:customStyle="1" w:styleId="55">
    <w:name w:val="目录 31"/>
    <w:basedOn w:val="1"/>
    <w:next w:val="1"/>
    <w:qFormat/>
    <w:uiPriority w:val="0"/>
    <w:pPr>
      <w:widowControl/>
      <w:spacing w:after="100" w:line="276" w:lineRule="auto"/>
      <w:ind w:left="440"/>
      <w:jc w:val="left"/>
    </w:pPr>
    <w:rPr>
      <w:rFonts w:ascii="Calibri" w:hAnsi="Calibri"/>
      <w:kern w:val="0"/>
      <w:sz w:val="22"/>
    </w:rPr>
  </w:style>
  <w:style w:type="paragraph" w:customStyle="1" w:styleId="56">
    <w:name w:val="目录 81"/>
    <w:basedOn w:val="1"/>
    <w:next w:val="1"/>
    <w:qFormat/>
    <w:uiPriority w:val="0"/>
    <w:pPr>
      <w:adjustRightInd w:val="0"/>
      <w:spacing w:line="312" w:lineRule="atLeast"/>
      <w:ind w:left="1470"/>
      <w:jc w:val="left"/>
      <w:textAlignment w:val="baseline"/>
    </w:pPr>
    <w:rPr>
      <w:kern w:val="0"/>
      <w:sz w:val="18"/>
      <w:szCs w:val="18"/>
    </w:rPr>
  </w:style>
  <w:style w:type="paragraph" w:customStyle="1" w:styleId="57">
    <w:name w:val="目录 11"/>
    <w:basedOn w:val="1"/>
    <w:next w:val="1"/>
    <w:qFormat/>
    <w:uiPriority w:val="0"/>
    <w:pPr>
      <w:spacing w:before="120" w:after="120"/>
      <w:jc w:val="left"/>
    </w:pPr>
    <w:rPr>
      <w:b/>
      <w:bCs/>
      <w:caps/>
      <w:sz w:val="20"/>
      <w:szCs w:val="20"/>
    </w:rPr>
  </w:style>
  <w:style w:type="paragraph" w:customStyle="1" w:styleId="58">
    <w:name w:val="目录 41"/>
    <w:basedOn w:val="1"/>
    <w:next w:val="1"/>
    <w:qFormat/>
    <w:uiPriority w:val="0"/>
    <w:pPr>
      <w:adjustRightInd w:val="0"/>
      <w:spacing w:line="312" w:lineRule="atLeast"/>
      <w:ind w:left="630"/>
      <w:jc w:val="left"/>
      <w:textAlignment w:val="baseline"/>
    </w:pPr>
    <w:rPr>
      <w:kern w:val="0"/>
      <w:sz w:val="18"/>
      <w:szCs w:val="18"/>
    </w:rPr>
  </w:style>
  <w:style w:type="paragraph" w:customStyle="1" w:styleId="59">
    <w:name w:val="目录 61"/>
    <w:basedOn w:val="1"/>
    <w:next w:val="1"/>
    <w:qFormat/>
    <w:uiPriority w:val="0"/>
    <w:pPr>
      <w:adjustRightInd w:val="0"/>
      <w:spacing w:line="312" w:lineRule="atLeast"/>
      <w:ind w:left="1050"/>
      <w:jc w:val="left"/>
      <w:textAlignment w:val="baseline"/>
    </w:pPr>
    <w:rPr>
      <w:kern w:val="0"/>
      <w:sz w:val="18"/>
      <w:szCs w:val="18"/>
    </w:rPr>
  </w:style>
  <w:style w:type="paragraph" w:customStyle="1" w:styleId="60">
    <w:name w:val="目录 21"/>
    <w:basedOn w:val="1"/>
    <w:next w:val="1"/>
    <w:qFormat/>
    <w:uiPriority w:val="0"/>
    <w:pPr>
      <w:tabs>
        <w:tab w:val="right" w:leader="dot" w:pos="9628"/>
      </w:tabs>
      <w:ind w:left="420" w:firstLine="120"/>
      <w:jc w:val="left"/>
    </w:pPr>
    <w:rPr>
      <w:smallCaps/>
      <w:sz w:val="20"/>
      <w:szCs w:val="20"/>
    </w:rPr>
  </w:style>
  <w:style w:type="paragraph" w:customStyle="1" w:styleId="61">
    <w:name w:val="目录 91"/>
    <w:basedOn w:val="1"/>
    <w:next w:val="1"/>
    <w:qFormat/>
    <w:uiPriority w:val="0"/>
    <w:pPr>
      <w:adjustRightInd w:val="0"/>
      <w:spacing w:line="312" w:lineRule="atLeast"/>
      <w:ind w:left="1680"/>
      <w:jc w:val="left"/>
      <w:textAlignment w:val="baseline"/>
    </w:pPr>
    <w:rPr>
      <w:kern w:val="0"/>
      <w:sz w:val="18"/>
      <w:szCs w:val="18"/>
    </w:rPr>
  </w:style>
  <w:style w:type="paragraph" w:customStyle="1" w:styleId="62">
    <w:name w:val="正文首行缩进1"/>
    <w:basedOn w:val="1"/>
    <w:qFormat/>
    <w:uiPriority w:val="0"/>
    <w:pPr>
      <w:spacing w:line="360" w:lineRule="auto"/>
      <w:ind w:firstLine="200" w:firstLineChars="200"/>
    </w:pPr>
    <w:rPr>
      <w:rFonts w:ascii="Arial" w:hAnsi="Arial"/>
      <w:szCs w:val="21"/>
    </w:rPr>
  </w:style>
  <w:style w:type="paragraph" w:customStyle="1" w:styleId="63">
    <w:name w:val="正文首行缩进 21"/>
    <w:basedOn w:val="1"/>
    <w:qFormat/>
    <w:uiPriority w:val="0"/>
    <w:pPr>
      <w:ind w:left="200" w:leftChars="200" w:firstLine="200" w:firstLineChars="200"/>
      <w:jc w:val="left"/>
    </w:pPr>
    <w:rPr>
      <w:rFonts w:cs="Calibri"/>
      <w:sz w:val="24"/>
      <w:szCs w:val="24"/>
    </w:rPr>
  </w:style>
  <w:style w:type="character" w:customStyle="1" w:styleId="64">
    <w:name w:val="Char Char5"/>
    <w:qFormat/>
    <w:uiPriority w:val="0"/>
    <w:rPr>
      <w:rFonts w:ascii="仿宋_GB2312" w:eastAsia="仿宋_GB2312"/>
      <w:kern w:val="2"/>
      <w:sz w:val="32"/>
      <w:lang w:val="en-US" w:eastAsia="zh-CN" w:bidi="ar-SA"/>
    </w:rPr>
  </w:style>
  <w:style w:type="character" w:customStyle="1" w:styleId="65">
    <w:name w:val="first-child"/>
    <w:qFormat/>
    <w:uiPriority w:val="0"/>
  </w:style>
  <w:style w:type="character" w:customStyle="1" w:styleId="66">
    <w:name w:val="纯文本 Char"/>
    <w:qFormat/>
    <w:uiPriority w:val="0"/>
    <w:rPr>
      <w:rFonts w:ascii="宋体" w:eastAsia="宋体" w:cs="Courier New"/>
      <w:szCs w:val="21"/>
      <w:lang w:bidi="ar-SA"/>
    </w:rPr>
  </w:style>
  <w:style w:type="character" w:customStyle="1" w:styleId="67">
    <w:name w:val="标题 Char"/>
    <w:qFormat/>
    <w:uiPriority w:val="0"/>
    <w:rPr>
      <w:rFonts w:ascii="Arial" w:hAnsi="Arial"/>
      <w:b/>
      <w:sz w:val="32"/>
    </w:rPr>
  </w:style>
  <w:style w:type="character" w:customStyle="1" w:styleId="68">
    <w:name w:val="批注主题 Char1"/>
    <w:qFormat/>
    <w:uiPriority w:val="0"/>
    <w:rPr>
      <w:rFonts w:ascii="Times New Roman" w:hAnsi="Times New Roman" w:eastAsia="宋体" w:cs="Times New Roman"/>
      <w:b/>
      <w:bCs/>
      <w:szCs w:val="24"/>
      <w:lang w:bidi="ar-SA"/>
    </w:rPr>
  </w:style>
  <w:style w:type="paragraph" w:customStyle="1" w:styleId="69">
    <w:name w:val="标题5"/>
    <w:basedOn w:val="6"/>
    <w:qFormat/>
    <w:uiPriority w:val="0"/>
    <w:pPr>
      <w:keepNext/>
      <w:keepLines/>
      <w:tabs>
        <w:tab w:val="clear" w:pos="900"/>
        <w:tab w:val="clear" w:pos="1588"/>
      </w:tabs>
      <w:adjustRightInd/>
      <w:spacing w:before="260" w:after="260" w:line="412" w:lineRule="auto"/>
      <w:ind w:left="0" w:firstLine="0"/>
    </w:pPr>
    <w:rPr>
      <w:rFonts w:ascii="Arial" w:hAnsi="Arial" w:eastAsia="宋体"/>
      <w:sz w:val="32"/>
    </w:rPr>
  </w:style>
  <w:style w:type="character" w:customStyle="1" w:styleId="70">
    <w:name w:val="正文文本缩进 2 Char1"/>
    <w:qFormat/>
    <w:uiPriority w:val="0"/>
    <w:rPr>
      <w:rFonts w:ascii="Times New Roman" w:hAnsi="Times New Roman" w:eastAsia="宋体" w:cs="Times New Roman"/>
      <w:szCs w:val="24"/>
      <w:lang w:bidi="ar-SA"/>
    </w:rPr>
  </w:style>
  <w:style w:type="character" w:customStyle="1" w:styleId="71">
    <w:name w:val="l"/>
    <w:qFormat/>
    <w:uiPriority w:val="0"/>
  </w:style>
  <w:style w:type="character" w:customStyle="1" w:styleId="72">
    <w:name w:val="UserStyle_15"/>
    <w:qFormat/>
    <w:uiPriority w:val="0"/>
  </w:style>
  <w:style w:type="character" w:customStyle="1" w:styleId="73">
    <w:name w:val="纯文本 Char1"/>
    <w:qFormat/>
    <w:uiPriority w:val="0"/>
    <w:rPr>
      <w:rFonts w:ascii="宋体" w:eastAsia="宋体"/>
    </w:rPr>
  </w:style>
  <w:style w:type="character" w:customStyle="1" w:styleId="74">
    <w:name w:val="Char Char51"/>
    <w:qFormat/>
    <w:uiPriority w:val="0"/>
    <w:rPr>
      <w:rFonts w:ascii="宋体" w:eastAsia="宋体"/>
      <w:spacing w:val="-4"/>
      <w:kern w:val="2"/>
      <w:sz w:val="18"/>
      <w:lang w:bidi="ar-SA"/>
    </w:rPr>
  </w:style>
  <w:style w:type="paragraph" w:customStyle="1" w:styleId="75">
    <w:name w:val="列出段落1"/>
    <w:basedOn w:val="1"/>
    <w:qFormat/>
    <w:uiPriority w:val="0"/>
    <w:pPr>
      <w:widowControl/>
      <w:ind w:firstLine="200" w:firstLineChars="200"/>
    </w:pPr>
    <w:rPr>
      <w:kern w:val="0"/>
      <w:szCs w:val="21"/>
    </w:rPr>
  </w:style>
  <w:style w:type="character" w:customStyle="1" w:styleId="76">
    <w:name w:val="未处理的提及1"/>
    <w:qFormat/>
    <w:uiPriority w:val="0"/>
    <w:rPr>
      <w:color w:val="605E5C"/>
      <w:shd w:val="clear" w:color="auto" w:fill="E1DFDD"/>
    </w:rPr>
  </w:style>
  <w:style w:type="character" w:customStyle="1" w:styleId="77">
    <w:name w:val="l2"/>
    <w:qFormat/>
    <w:uiPriority w:val="0"/>
    <w:rPr>
      <w:rFonts w:cs="Times New Roman"/>
      <w:lang w:bidi="ar-SA"/>
    </w:rPr>
  </w:style>
  <w:style w:type="character" w:customStyle="1" w:styleId="78">
    <w:name w:val="脚注文本 Char1"/>
    <w:qFormat/>
    <w:uiPriority w:val="0"/>
    <w:rPr>
      <w:rFonts w:cs="Times New Roman"/>
      <w:sz w:val="18"/>
      <w:szCs w:val="18"/>
      <w:lang w:bidi="ar-SA"/>
    </w:rPr>
  </w:style>
  <w:style w:type="character" w:customStyle="1" w:styleId="79">
    <w:name w:val="日期 Char"/>
    <w:qFormat/>
    <w:uiPriority w:val="0"/>
    <w:rPr>
      <w:rFonts w:ascii="Calibri" w:hAnsi="Calibri" w:eastAsia="宋体" w:cs="Times New Roman"/>
      <w:lang w:bidi="ar-SA"/>
    </w:rPr>
  </w:style>
  <w:style w:type="character" w:customStyle="1" w:styleId="80">
    <w:name w:val="批注文字 Char"/>
    <w:qFormat/>
    <w:uiPriority w:val="0"/>
    <w:rPr>
      <w:rFonts w:ascii="Times New Roman" w:hAnsi="Times New Roman" w:eastAsia="宋体" w:cs="Times New Roman"/>
      <w:szCs w:val="24"/>
      <w:lang w:bidi="ar-SA"/>
    </w:rPr>
  </w:style>
  <w:style w:type="character" w:customStyle="1" w:styleId="81">
    <w:name w:val="副标题 Char"/>
    <w:qFormat/>
    <w:uiPriority w:val="0"/>
    <w:rPr>
      <w:rFonts w:ascii="Cambria" w:hAnsi="Cambria" w:cs="Cambria"/>
      <w:b/>
      <w:bCs/>
      <w:kern w:val="28"/>
      <w:sz w:val="32"/>
      <w:szCs w:val="32"/>
      <w:lang w:bidi="ar-SA"/>
    </w:rPr>
  </w:style>
  <w:style w:type="character" w:customStyle="1" w:styleId="82">
    <w:name w:val="正文文本缩进 2 Char"/>
    <w:qFormat/>
    <w:uiPriority w:val="0"/>
    <w:rPr>
      <w:rFonts w:ascii="Calibri" w:hAnsi="Calibri" w:eastAsia="宋体" w:cs="Times New Roman"/>
      <w:lang w:bidi="ar-SA"/>
    </w:rPr>
  </w:style>
  <w:style w:type="character" w:customStyle="1" w:styleId="83">
    <w:name w:val="明显引用 Char1"/>
    <w:qFormat/>
    <w:uiPriority w:val="0"/>
    <w:rPr>
      <w:rFonts w:cs="Times New Roman"/>
      <w:b/>
      <w:bCs/>
      <w:i/>
      <w:iCs/>
      <w:color w:val="4F81BD"/>
      <w:lang w:bidi="ar-SA"/>
    </w:rPr>
  </w:style>
  <w:style w:type="character" w:customStyle="1" w:styleId="84">
    <w:name w:val="font21"/>
    <w:qFormat/>
    <w:uiPriority w:val="0"/>
    <w:rPr>
      <w:rFonts w:ascii="宋体" w:eastAsia="宋体" w:cs="宋体"/>
      <w:color w:val="000000"/>
      <w:sz w:val="24"/>
      <w:szCs w:val="24"/>
      <w:u w:val="none"/>
      <w:lang w:bidi="ar-SA"/>
    </w:rPr>
  </w:style>
  <w:style w:type="paragraph" w:customStyle="1" w:styleId="85">
    <w:name w:val="标题4"/>
    <w:basedOn w:val="5"/>
    <w:next w:val="22"/>
    <w:qFormat/>
    <w:uiPriority w:val="0"/>
    <w:pPr>
      <w:keepLines/>
      <w:tabs>
        <w:tab w:val="clear" w:pos="1021"/>
      </w:tabs>
      <w:adjustRightInd/>
      <w:spacing w:before="60" w:after="60" w:line="412" w:lineRule="auto"/>
      <w:ind w:left="0" w:firstLine="0"/>
    </w:pPr>
    <w:rPr>
      <w:rFonts w:ascii="Arial" w:hAnsi="Arial" w:eastAsia="宋体"/>
      <w:sz w:val="32"/>
    </w:rPr>
  </w:style>
  <w:style w:type="character" w:customStyle="1" w:styleId="86">
    <w:name w:val="日期 Char1"/>
    <w:qFormat/>
    <w:uiPriority w:val="0"/>
    <w:rPr>
      <w:rFonts w:ascii="Times New Roman" w:hAnsi="Times New Roman" w:eastAsia="宋体" w:cs="Times New Roman"/>
      <w:szCs w:val="24"/>
      <w:lang w:bidi="ar-SA"/>
    </w:rPr>
  </w:style>
  <w:style w:type="character" w:customStyle="1" w:styleId="87">
    <w:name w:val="layui-layer-tabnow"/>
    <w:qFormat/>
    <w:uiPriority w:val="0"/>
    <w:rPr>
      <w:bdr w:val="single" w:color="CCCCCC" w:sz="6" w:space="0"/>
      <w:shd w:val="clear" w:color="auto" w:fill="FFFFFF"/>
    </w:rPr>
  </w:style>
  <w:style w:type="character" w:customStyle="1" w:styleId="88">
    <w:name w:val="副标题 Char1"/>
    <w:qFormat/>
    <w:uiPriority w:val="0"/>
    <w:rPr>
      <w:rFonts w:ascii="Cambria" w:hAnsi="Cambria" w:cs="Cambria"/>
      <w:b/>
      <w:bCs/>
      <w:kern w:val="28"/>
      <w:sz w:val="32"/>
      <w:szCs w:val="32"/>
      <w:lang w:bidi="ar-SA"/>
    </w:rPr>
  </w:style>
  <w:style w:type="character" w:customStyle="1" w:styleId="89">
    <w:name w:val="普通文字 Char Char2"/>
    <w:qFormat/>
    <w:uiPriority w:val="0"/>
    <w:rPr>
      <w:rFonts w:ascii="宋体" w:eastAsia="宋体"/>
      <w:kern w:val="2"/>
      <w:sz w:val="21"/>
      <w:lang w:val="en-US" w:eastAsia="zh-CN"/>
    </w:rPr>
  </w:style>
  <w:style w:type="character" w:customStyle="1" w:styleId="90">
    <w:name w:val="Char Char7"/>
    <w:qFormat/>
    <w:uiPriority w:val="0"/>
    <w:rPr>
      <w:rFonts w:ascii="宋体" w:eastAsia="宋体"/>
      <w:kern w:val="2"/>
      <w:sz w:val="21"/>
      <w:szCs w:val="24"/>
      <w:lang w:val="en-US" w:eastAsia="zh-CN" w:bidi="ar-SA"/>
    </w:rPr>
  </w:style>
  <w:style w:type="character" w:customStyle="1" w:styleId="91">
    <w:name w:val="r"/>
    <w:qFormat/>
    <w:uiPriority w:val="0"/>
  </w:style>
  <w:style w:type="character" w:customStyle="1" w:styleId="92">
    <w:name w:val="NormalCharacter"/>
    <w:qFormat/>
    <w:uiPriority w:val="0"/>
    <w:rPr>
      <w:kern w:val="2"/>
      <w:sz w:val="21"/>
      <w:szCs w:val="24"/>
      <w:lang w:val="en-US" w:eastAsia="zh-CN" w:bidi="ar-SA"/>
    </w:rPr>
  </w:style>
  <w:style w:type="character" w:customStyle="1" w:styleId="93">
    <w:name w:val="r2"/>
    <w:qFormat/>
    <w:uiPriority w:val="0"/>
    <w:rPr>
      <w:rFonts w:cs="Times New Roman"/>
      <w:lang w:bidi="ar-SA"/>
    </w:rPr>
  </w:style>
  <w:style w:type="character" w:customStyle="1" w:styleId="94">
    <w:name w:val="正文文本 Char"/>
    <w:qFormat/>
    <w:uiPriority w:val="0"/>
    <w:rPr>
      <w:rFonts w:ascii="Times New Roman" w:hAnsi="Times New Roman" w:eastAsia="宋体" w:cs="Times New Roman"/>
      <w:szCs w:val="24"/>
      <w:lang w:bidi="ar-SA"/>
    </w:rPr>
  </w:style>
  <w:style w:type="character" w:customStyle="1" w:styleId="95">
    <w:name w:val="正文文本 Char1"/>
    <w:qFormat/>
    <w:uiPriority w:val="0"/>
    <w:rPr>
      <w:rFonts w:cs="Times New Roman"/>
      <w:kern w:val="2"/>
      <w:sz w:val="22"/>
      <w:szCs w:val="22"/>
      <w:lang w:bidi="ar-SA"/>
    </w:rPr>
  </w:style>
  <w:style w:type="paragraph" w:customStyle="1" w:styleId="96">
    <w:name w:val="明显引用1"/>
    <w:basedOn w:val="1"/>
    <w:next w:val="1"/>
    <w:qFormat/>
    <w:uiPriority w:val="0"/>
    <w:pPr>
      <w:pBdr>
        <w:bottom w:val="single" w:color="4F81BD" w:sz="4" w:space="4"/>
      </w:pBdr>
      <w:spacing w:before="200" w:after="280"/>
      <w:ind w:left="936" w:right="936"/>
    </w:pPr>
    <w:rPr>
      <w:rFonts w:cs="Calibri"/>
      <w:b/>
      <w:bCs/>
      <w:i/>
      <w:iCs/>
      <w:color w:val="4F81BD"/>
      <w:szCs w:val="21"/>
    </w:rPr>
  </w:style>
  <w:style w:type="character" w:customStyle="1" w:styleId="97">
    <w:name w:val="正文文本缩进 Char1"/>
    <w:qFormat/>
    <w:uiPriority w:val="0"/>
    <w:rPr>
      <w:rFonts w:ascii="Calibri" w:hAnsi="Calibri" w:eastAsia="宋体" w:cs="Times New Roman"/>
      <w:lang w:bidi="ar-SA"/>
    </w:rPr>
  </w:style>
  <w:style w:type="character" w:customStyle="1" w:styleId="98">
    <w:name w:val="页眉 Char"/>
    <w:qFormat/>
    <w:uiPriority w:val="0"/>
    <w:rPr>
      <w:sz w:val="18"/>
    </w:rPr>
  </w:style>
  <w:style w:type="character" w:customStyle="1" w:styleId="99">
    <w:name w:val="引用 Char1"/>
    <w:qFormat/>
    <w:uiPriority w:val="0"/>
    <w:rPr>
      <w:rFonts w:cs="Times New Roman"/>
      <w:i/>
      <w:iCs/>
      <w:color w:val="000000"/>
      <w:lang w:bidi="ar-SA"/>
    </w:rPr>
  </w:style>
  <w:style w:type="character" w:customStyle="1" w:styleId="100">
    <w:name w:val="脚注文本 Char"/>
    <w:qFormat/>
    <w:uiPriority w:val="0"/>
    <w:rPr>
      <w:rFonts w:cs="Times New Roman"/>
      <w:kern w:val="2"/>
      <w:sz w:val="18"/>
      <w:szCs w:val="18"/>
      <w:lang w:bidi="ar-SA"/>
    </w:rPr>
  </w:style>
  <w:style w:type="character" w:customStyle="1" w:styleId="101">
    <w:name w:val="正文文本缩进 3 Char"/>
    <w:qFormat/>
    <w:uiPriority w:val="0"/>
    <w:rPr>
      <w:rFonts w:ascii="宋体"/>
      <w:sz w:val="28"/>
    </w:rPr>
  </w:style>
  <w:style w:type="character" w:customStyle="1" w:styleId="102">
    <w:name w:val="纯文本 Char2"/>
    <w:qFormat/>
    <w:uiPriority w:val="0"/>
    <w:rPr>
      <w:rFonts w:ascii="宋体"/>
      <w:kern w:val="2"/>
      <w:sz w:val="21"/>
    </w:rPr>
  </w:style>
  <w:style w:type="character" w:customStyle="1" w:styleId="103">
    <w:name w:val="fontstyle01"/>
    <w:qFormat/>
    <w:uiPriority w:val="0"/>
    <w:rPr>
      <w:rFonts w:ascii="Times New Roman" w:hAnsi="Times New Roman" w:eastAsia="宋体"/>
      <w:color w:val="000000"/>
      <w:sz w:val="22"/>
    </w:rPr>
  </w:style>
  <w:style w:type="character" w:customStyle="1" w:styleId="104">
    <w:name w:val="批注框文本 Char"/>
    <w:qFormat/>
    <w:uiPriority w:val="0"/>
    <w:rPr>
      <w:rFonts w:ascii="Times New Roman" w:hAnsi="Times New Roman" w:eastAsia="宋体" w:cs="Times New Roman"/>
      <w:sz w:val="18"/>
      <w:szCs w:val="18"/>
      <w:lang w:bidi="ar-SA"/>
    </w:rPr>
  </w:style>
  <w:style w:type="character" w:customStyle="1" w:styleId="105">
    <w:name w:val="正文文本缩进 Char"/>
    <w:qFormat/>
    <w:uiPriority w:val="0"/>
    <w:rPr>
      <w:rFonts w:ascii="宋体" w:eastAsia="宋体"/>
      <w:spacing w:val="-4"/>
      <w:sz w:val="18"/>
    </w:rPr>
  </w:style>
  <w:style w:type="paragraph" w:customStyle="1" w:styleId="106">
    <w:name w:val="引用1"/>
    <w:basedOn w:val="1"/>
    <w:next w:val="1"/>
    <w:qFormat/>
    <w:uiPriority w:val="0"/>
    <w:rPr>
      <w:rFonts w:cs="Calibri"/>
      <w:i/>
      <w:iCs/>
      <w:color w:val="000000"/>
      <w:szCs w:val="21"/>
    </w:rPr>
  </w:style>
  <w:style w:type="character" w:customStyle="1" w:styleId="107">
    <w:name w:val="称呼 Char"/>
    <w:qFormat/>
    <w:uiPriority w:val="0"/>
    <w:rPr>
      <w:sz w:val="24"/>
    </w:rPr>
  </w:style>
  <w:style w:type="character" w:customStyle="1" w:styleId="108">
    <w:name w:val="页脚 Char"/>
    <w:qFormat/>
    <w:uiPriority w:val="0"/>
    <w:rPr>
      <w:sz w:val="18"/>
    </w:rPr>
  </w:style>
  <w:style w:type="character" w:customStyle="1" w:styleId="109">
    <w:name w:val="文档结构图 Char"/>
    <w:qFormat/>
    <w:uiPriority w:val="0"/>
    <w:rPr>
      <w:rFonts w:ascii="Times New Roman" w:hAnsi="Times New Roman" w:eastAsia="宋体" w:cs="Times New Roman"/>
      <w:szCs w:val="24"/>
      <w:shd w:val="clear" w:color="auto" w:fill="000080"/>
      <w:lang w:bidi="ar-SA"/>
    </w:rPr>
  </w:style>
  <w:style w:type="character" w:customStyle="1" w:styleId="110">
    <w:name w:val="批注主题 Char"/>
    <w:qFormat/>
    <w:uiPriority w:val="0"/>
    <w:rPr>
      <w:rFonts w:ascii="Times New Roman" w:hAnsi="Times New Roman" w:eastAsia="宋体" w:cs="Times New Roman"/>
      <w:b/>
      <w:bCs/>
      <w:szCs w:val="24"/>
      <w:lang w:bidi="ar-SA"/>
    </w:rPr>
  </w:style>
  <w:style w:type="character" w:customStyle="1" w:styleId="111">
    <w:name w:val="font91"/>
    <w:qFormat/>
    <w:uiPriority w:val="0"/>
    <w:rPr>
      <w:rFonts w:ascii="font-weight : 400" w:hAnsi="font-weight : 400" w:eastAsia="font-weight : 400" w:cs="font-weight : 400"/>
      <w:color w:val="FF0000"/>
      <w:sz w:val="24"/>
      <w:szCs w:val="24"/>
      <w:u w:val="none"/>
      <w:lang w:bidi="ar-SA"/>
    </w:rPr>
  </w:style>
  <w:style w:type="character" w:customStyle="1" w:styleId="112">
    <w:name w:val="注释标题 Char"/>
    <w:qFormat/>
    <w:uiPriority w:val="0"/>
    <w:rPr>
      <w:sz w:val="24"/>
    </w:rPr>
  </w:style>
  <w:style w:type="paragraph" w:customStyle="1" w:styleId="113">
    <w:name w:val="Table Paragraph"/>
    <w:basedOn w:val="1"/>
    <w:qFormat/>
    <w:uiPriority w:val="0"/>
  </w:style>
  <w:style w:type="paragraph" w:customStyle="1" w:styleId="114">
    <w:name w:val="修订1"/>
    <w:qFormat/>
    <w:uiPriority w:val="0"/>
    <w:rPr>
      <w:rFonts w:ascii="Times New Roman" w:hAnsi="Times New Roman" w:eastAsia="宋体" w:cs="Times New Roman"/>
      <w:kern w:val="2"/>
      <w:sz w:val="21"/>
      <w:szCs w:val="22"/>
      <w:lang w:val="en-US" w:eastAsia="zh-CN" w:bidi="ar-SA"/>
    </w:rPr>
  </w:style>
  <w:style w:type="paragraph" w:customStyle="1" w:styleId="115">
    <w:name w:val="列表段落1"/>
    <w:basedOn w:val="1"/>
    <w:qFormat/>
    <w:uiPriority w:val="0"/>
    <w:pPr>
      <w:ind w:firstLine="200" w:firstLineChars="200"/>
    </w:pPr>
  </w:style>
  <w:style w:type="paragraph" w:customStyle="1" w:styleId="116">
    <w:name w:val="Char Char Char1 Char"/>
    <w:basedOn w:val="1"/>
    <w:qFormat/>
    <w:uiPriority w:val="0"/>
    <w:rPr>
      <w:szCs w:val="21"/>
    </w:rPr>
  </w:style>
  <w:style w:type="paragraph" w:customStyle="1" w:styleId="117">
    <w:name w:val="正文段"/>
    <w:basedOn w:val="1"/>
    <w:qFormat/>
    <w:uiPriority w:val="0"/>
    <w:pPr>
      <w:widowControl/>
      <w:snapToGrid w:val="0"/>
      <w:spacing w:after="50"/>
      <w:ind w:firstLine="200" w:firstLineChars="200"/>
    </w:pPr>
    <w:rPr>
      <w:kern w:val="0"/>
      <w:sz w:val="24"/>
      <w:szCs w:val="20"/>
    </w:rPr>
  </w:style>
  <w:style w:type="paragraph" w:customStyle="1" w:styleId="118">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9">
    <w:name w:val="p0"/>
    <w:basedOn w:val="1"/>
    <w:qFormat/>
    <w:uiPriority w:val="0"/>
    <w:pPr>
      <w:widowControl/>
      <w:jc w:val="left"/>
    </w:pPr>
    <w:rPr>
      <w:kern w:val="0"/>
      <w:szCs w:val="21"/>
    </w:rPr>
  </w:style>
  <w:style w:type="paragraph" w:customStyle="1" w:styleId="120">
    <w:name w:val="reader-word-layer reader-word-s1-7"/>
    <w:basedOn w:val="1"/>
    <w:qFormat/>
    <w:uiPriority w:val="0"/>
    <w:pPr>
      <w:widowControl/>
      <w:spacing w:before="100" w:beforeAutospacing="1" w:after="100" w:afterAutospacing="1"/>
      <w:jc w:val="left"/>
    </w:pPr>
    <w:rPr>
      <w:rFonts w:ascii="宋体" w:cs="宋体"/>
      <w:kern w:val="0"/>
      <w:sz w:val="24"/>
    </w:rPr>
  </w:style>
  <w:style w:type="paragraph" w:customStyle="1" w:styleId="1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2">
    <w:name w:val="UserStyle_39"/>
    <w:basedOn w:val="1"/>
    <w:qFormat/>
    <w:uiPriority w:val="0"/>
    <w:pPr>
      <w:textAlignment w:val="baseline"/>
    </w:pPr>
  </w:style>
  <w:style w:type="paragraph" w:customStyle="1" w:styleId="123">
    <w:name w:val="WPSOffice手动目录 1"/>
    <w:qFormat/>
    <w:uiPriority w:val="0"/>
    <w:rPr>
      <w:rFonts w:ascii="Times New Roman" w:hAnsi="Times New Roman" w:eastAsia="宋体" w:cs="Times New Roman"/>
      <w:lang w:val="en-US" w:eastAsia="zh-CN" w:bidi="ar-SA"/>
    </w:rPr>
  </w:style>
  <w:style w:type="paragraph" w:customStyle="1" w:styleId="124">
    <w:name w:val="TOC6"/>
    <w:basedOn w:val="1"/>
    <w:next w:val="1"/>
    <w:qFormat/>
    <w:uiPriority w:val="0"/>
    <w:pPr>
      <w:widowControl/>
      <w:spacing w:line="312" w:lineRule="atLeast"/>
      <w:ind w:left="1050"/>
      <w:jc w:val="left"/>
      <w:textAlignment w:val="baseline"/>
    </w:pPr>
    <w:rPr>
      <w:kern w:val="0"/>
      <w:sz w:val="18"/>
      <w:szCs w:val="18"/>
    </w:rPr>
  </w:style>
  <w:style w:type="paragraph" w:customStyle="1" w:styleId="125">
    <w:name w:val="TOC 标题1"/>
    <w:basedOn w:val="4"/>
    <w:next w:val="1"/>
    <w:qFormat/>
    <w:uiPriority w:val="0"/>
    <w:pPr>
      <w:widowControl/>
      <w:tabs>
        <w:tab w:val="clear" w:pos="360"/>
      </w:tabs>
      <w:adjustRightInd/>
      <w:spacing w:before="480" w:line="276" w:lineRule="auto"/>
      <w:ind w:left="0" w:firstLine="0"/>
      <w:jc w:val="left"/>
      <w:outlineLvl w:val="9"/>
    </w:pPr>
    <w:rPr>
      <w:rFonts w:ascii="Cambria" w:hAnsi="Cambria" w:eastAsia="宋体"/>
      <w:bCs/>
      <w:color w:val="366091"/>
      <w:kern w:val="0"/>
      <w:szCs w:val="28"/>
    </w:rPr>
  </w:style>
  <w:style w:type="paragraph" w:customStyle="1" w:styleId="126">
    <w:name w:val="Heading4"/>
    <w:basedOn w:val="1"/>
    <w:next w:val="1"/>
    <w:qFormat/>
    <w:uiPriority w:val="0"/>
    <w:pPr>
      <w:keepNext/>
      <w:keepLines/>
      <w:spacing w:before="280" w:after="290" w:line="376" w:lineRule="auto"/>
    </w:pPr>
    <w:rPr>
      <w:rFonts w:ascii="宋体" w:hAnsi="宋体" w:eastAsia="黑体"/>
      <w:b/>
      <w:sz w:val="24"/>
      <w:szCs w:val="21"/>
    </w:rPr>
  </w:style>
  <w:style w:type="paragraph" w:customStyle="1" w:styleId="127">
    <w:name w:val="Level 1"/>
    <w:basedOn w:val="1"/>
    <w:next w:val="1"/>
    <w:qFormat/>
    <w:uiPriority w:val="0"/>
    <w:pPr>
      <w:keepNext/>
      <w:widowControl/>
      <w:numPr>
        <w:ilvl w:val="0"/>
        <w:numId w:val="1"/>
      </w:numPr>
      <w:spacing w:line="360" w:lineRule="auto"/>
      <w:outlineLvl w:val="0"/>
    </w:pPr>
    <w:rPr>
      <w:rFonts w:ascii="Arial" w:hAnsi="Arial" w:eastAsia="黑体" w:cs="Arial"/>
      <w:b/>
      <w:bCs/>
      <w:caps/>
      <w:w w:val="104"/>
      <w:kern w:val="20"/>
      <w:sz w:val="24"/>
      <w:szCs w:val="24"/>
      <w:lang w:val="en-GB" w:eastAsia="en-US"/>
    </w:rPr>
  </w:style>
  <w:style w:type="paragraph" w:customStyle="1" w:styleId="128">
    <w:name w:val="Level 8"/>
    <w:basedOn w:val="1"/>
    <w:qFormat/>
    <w:uiPriority w:val="0"/>
    <w:pPr>
      <w:widowControl/>
      <w:numPr>
        <w:ilvl w:val="7"/>
        <w:numId w:val="1"/>
      </w:numPr>
      <w:spacing w:after="120" w:line="336" w:lineRule="auto"/>
      <w:outlineLvl w:val="7"/>
    </w:pPr>
    <w:rPr>
      <w:rFonts w:ascii="Arial" w:hAnsi="Arial" w:cs="Arial"/>
      <w:w w:val="104"/>
      <w:kern w:val="20"/>
      <w:sz w:val="24"/>
      <w:szCs w:val="24"/>
      <w:lang w:val="en-GB" w:eastAsia="en-US"/>
    </w:rPr>
  </w:style>
  <w:style w:type="paragraph" w:customStyle="1" w:styleId="129">
    <w:name w:val="05 Body"/>
    <w:basedOn w:val="1"/>
    <w:qFormat/>
    <w:uiPriority w:val="0"/>
    <w:pPr>
      <w:widowControl/>
      <w:spacing w:line="290" w:lineRule="auto"/>
    </w:pPr>
    <w:rPr>
      <w:rFonts w:ascii="Arial" w:hAnsi="Arial" w:cs="Arial"/>
      <w:kern w:val="20"/>
      <w:sz w:val="24"/>
      <w:szCs w:val="24"/>
      <w:lang w:val="en-GB" w:eastAsia="en-US"/>
    </w:rPr>
  </w:style>
  <w:style w:type="paragraph" w:customStyle="1" w:styleId="130">
    <w:name w:val="Parties"/>
    <w:basedOn w:val="1"/>
    <w:qFormat/>
    <w:uiPriority w:val="0"/>
    <w:pPr>
      <w:widowControl/>
      <w:numPr>
        <w:ilvl w:val="0"/>
        <w:numId w:val="2"/>
      </w:numPr>
      <w:spacing w:after="140" w:line="290" w:lineRule="auto"/>
    </w:pPr>
    <w:rPr>
      <w:rFonts w:ascii="Arial" w:hAnsi="Arial" w:cs="Arial"/>
      <w:kern w:val="20"/>
      <w:sz w:val="20"/>
      <w:szCs w:val="20"/>
      <w:lang w:val="en-GB" w:eastAsia="en-US"/>
    </w:rPr>
  </w:style>
  <w:style w:type="paragraph" w:customStyle="1" w:styleId="131">
    <w:name w:val="Level 5"/>
    <w:basedOn w:val="132"/>
    <w:qFormat/>
    <w:uiPriority w:val="0"/>
    <w:pPr>
      <w:numPr>
        <w:ilvl w:val="4"/>
      </w:numPr>
      <w:tabs>
        <w:tab w:val="left" w:pos="1361"/>
      </w:tabs>
      <w:outlineLvl w:val="4"/>
    </w:pPr>
  </w:style>
  <w:style w:type="paragraph" w:customStyle="1" w:styleId="132">
    <w:name w:val="Level 4"/>
    <w:basedOn w:val="1"/>
    <w:qFormat/>
    <w:uiPriority w:val="0"/>
    <w:pPr>
      <w:numPr>
        <w:ilvl w:val="3"/>
        <w:numId w:val="1"/>
      </w:numPr>
      <w:spacing w:after="120" w:line="336" w:lineRule="auto"/>
      <w:outlineLvl w:val="3"/>
    </w:pPr>
    <w:rPr>
      <w:rFonts w:ascii="Arial" w:hAnsi="Arial" w:cs="Arial"/>
      <w:w w:val="104"/>
      <w:kern w:val="20"/>
      <w:sz w:val="24"/>
      <w:szCs w:val="24"/>
      <w:lang w:val="en-GB" w:eastAsia="en-US"/>
    </w:rPr>
  </w:style>
  <w:style w:type="paragraph" w:customStyle="1" w:styleId="133">
    <w:name w:val="Body"/>
    <w:basedOn w:val="1"/>
    <w:qFormat/>
    <w:uiPriority w:val="0"/>
    <w:pPr>
      <w:widowControl/>
      <w:spacing w:after="140" w:line="290" w:lineRule="auto"/>
    </w:pPr>
    <w:rPr>
      <w:rFonts w:ascii="Arial" w:hAnsi="Arial" w:cs="Arial"/>
      <w:kern w:val="20"/>
      <w:sz w:val="20"/>
      <w:szCs w:val="20"/>
      <w:lang w:val="en-GB" w:eastAsia="en-US"/>
    </w:rPr>
  </w:style>
  <w:style w:type="paragraph" w:customStyle="1" w:styleId="134">
    <w:name w:val="Char"/>
    <w:basedOn w:val="1"/>
    <w:qFormat/>
    <w:uiPriority w:val="0"/>
    <w:pPr>
      <w:snapToGrid w:val="0"/>
      <w:spacing w:line="440" w:lineRule="atLeast"/>
    </w:pPr>
    <w:rPr>
      <w:rFonts w:ascii="宋体" w:cs="宋体"/>
      <w:sz w:val="24"/>
      <w:szCs w:val="24"/>
    </w:rPr>
  </w:style>
  <w:style w:type="paragraph" w:customStyle="1" w:styleId="135">
    <w:name w:val="样式 标题 2 + Times New Roman 四号 非加粗 段前: 5 磅 段后: 0 磅 行距: 固定值 20..."/>
    <w:basedOn w:val="5"/>
    <w:next w:val="1"/>
    <w:qFormat/>
    <w:uiPriority w:val="0"/>
    <w:pPr>
      <w:keepLines/>
      <w:tabs>
        <w:tab w:val="clear" w:pos="1021"/>
      </w:tabs>
      <w:adjustRightInd/>
      <w:spacing w:before="100" w:line="400" w:lineRule="exact"/>
      <w:ind w:left="0" w:firstLine="0"/>
    </w:pPr>
    <w:rPr>
      <w:b w:val="0"/>
      <w:kern w:val="2"/>
      <w:szCs w:val="28"/>
    </w:rPr>
  </w:style>
  <w:style w:type="paragraph" w:customStyle="1" w:styleId="136">
    <w:name w:val="xl81"/>
    <w:basedOn w:val="1"/>
    <w:qFormat/>
    <w:uiPriority w:val="0"/>
    <w:pPr>
      <w:widowControl/>
      <w:spacing w:before="100" w:beforeAutospacing="1" w:after="100" w:afterAutospacing="1"/>
      <w:jc w:val="left"/>
    </w:pPr>
    <w:rPr>
      <w:rFonts w:ascii="宋体" w:cs="宋体"/>
      <w:kern w:val="0"/>
      <w:sz w:val="22"/>
    </w:rPr>
  </w:style>
  <w:style w:type="paragraph" w:customStyle="1" w:styleId="137">
    <w:name w:val="03 Wheras"/>
    <w:basedOn w:val="1"/>
    <w:qFormat/>
    <w:uiPriority w:val="0"/>
    <w:pPr>
      <w:widowControl/>
      <w:spacing w:line="290" w:lineRule="auto"/>
    </w:pPr>
    <w:rPr>
      <w:rFonts w:ascii="Arial" w:hAnsi="Arial" w:eastAsia="黑体" w:cs="Arial"/>
      <w:b/>
      <w:bCs/>
      <w:kern w:val="20"/>
      <w:sz w:val="24"/>
      <w:szCs w:val="24"/>
      <w:lang w:val="en-GB" w:eastAsia="en-US"/>
    </w:rPr>
  </w:style>
  <w:style w:type="paragraph" w:customStyle="1" w:styleId="13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8"/>
      <w:szCs w:val="28"/>
    </w:rPr>
  </w:style>
  <w:style w:type="paragraph" w:customStyle="1" w:styleId="139">
    <w:name w:val="Level 6"/>
    <w:basedOn w:val="131"/>
    <w:qFormat/>
    <w:uiPriority w:val="0"/>
    <w:pPr>
      <w:numPr>
        <w:ilvl w:val="5"/>
      </w:numPr>
      <w:outlineLvl w:val="5"/>
    </w:pPr>
  </w:style>
  <w:style w:type="paragraph" w:customStyle="1" w:styleId="140">
    <w:name w:val="Level 7"/>
    <w:basedOn w:val="1"/>
    <w:qFormat/>
    <w:uiPriority w:val="0"/>
    <w:pPr>
      <w:widowControl/>
      <w:numPr>
        <w:ilvl w:val="6"/>
        <w:numId w:val="1"/>
      </w:numPr>
      <w:spacing w:after="120" w:line="336" w:lineRule="auto"/>
      <w:outlineLvl w:val="6"/>
    </w:pPr>
    <w:rPr>
      <w:rFonts w:ascii="Arial" w:hAnsi="Arial" w:cs="Arial"/>
      <w:w w:val="104"/>
      <w:kern w:val="20"/>
      <w:sz w:val="24"/>
      <w:szCs w:val="24"/>
      <w:lang w:val="en-GB" w:eastAsia="en-US"/>
    </w:rPr>
  </w:style>
  <w:style w:type="paragraph" w:customStyle="1" w:styleId="141">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8"/>
      <w:szCs w:val="28"/>
    </w:rPr>
  </w:style>
  <w:style w:type="paragraph" w:customStyle="1" w:styleId="142">
    <w:name w:val="04 Recitals"/>
    <w:basedOn w:val="129"/>
    <w:qFormat/>
    <w:uiPriority w:val="0"/>
    <w:pPr>
      <w:numPr>
        <w:ilvl w:val="0"/>
        <w:numId w:val="3"/>
      </w:numPr>
    </w:pPr>
  </w:style>
  <w:style w:type="paragraph" w:customStyle="1" w:styleId="143">
    <w:name w:val="xl83"/>
    <w:basedOn w:val="1"/>
    <w:qFormat/>
    <w:uiPriority w:val="0"/>
    <w:pPr>
      <w:widowControl/>
      <w:spacing w:before="100" w:beforeAutospacing="1" w:after="100" w:afterAutospacing="1"/>
      <w:jc w:val="left"/>
    </w:pPr>
    <w:rPr>
      <w:rFonts w:ascii="宋体" w:cs="宋体"/>
      <w:kern w:val="0"/>
      <w:sz w:val="24"/>
      <w:szCs w:val="24"/>
    </w:rPr>
  </w:style>
  <w:style w:type="paragraph" w:customStyle="1" w:styleId="144">
    <w:name w:val="zFSNarrative"/>
    <w:basedOn w:val="1"/>
    <w:qFormat/>
    <w:uiPriority w:val="0"/>
    <w:pPr>
      <w:widowControl/>
      <w:spacing w:before="120" w:after="120" w:line="290" w:lineRule="auto"/>
      <w:jc w:val="center"/>
    </w:pPr>
    <w:rPr>
      <w:rFonts w:ascii="Arial" w:hAnsi="Arial" w:cs="Arial"/>
      <w:kern w:val="20"/>
      <w:sz w:val="20"/>
      <w:szCs w:val="20"/>
      <w:lang w:val="en-GB" w:eastAsia="en-US"/>
    </w:rPr>
  </w:style>
  <w:style w:type="paragraph" w:customStyle="1" w:styleId="145">
    <w:name w:val="02 Parties"/>
    <w:basedOn w:val="1"/>
    <w:qFormat/>
    <w:uiPriority w:val="0"/>
    <w:pPr>
      <w:widowControl/>
      <w:numPr>
        <w:ilvl w:val="0"/>
        <w:numId w:val="4"/>
      </w:numPr>
      <w:spacing w:line="290" w:lineRule="auto"/>
    </w:pPr>
    <w:rPr>
      <w:rFonts w:ascii="Arial" w:hAnsi="Arial" w:cs="Arial"/>
      <w:kern w:val="20"/>
      <w:sz w:val="24"/>
      <w:szCs w:val="24"/>
      <w:lang w:val="en-GB" w:eastAsia="en-US"/>
    </w:rPr>
  </w:style>
  <w:style w:type="paragraph" w:customStyle="1" w:styleId="146">
    <w:name w:val="修订11"/>
    <w:qFormat/>
    <w:uiPriority w:val="0"/>
    <w:rPr>
      <w:rFonts w:ascii="Times New Roman" w:hAnsi="Times New Roman" w:eastAsia="宋体" w:cs="Times New Roman"/>
      <w:kern w:val="2"/>
      <w:sz w:val="21"/>
      <w:szCs w:val="21"/>
      <w:lang w:val="en-US" w:eastAsia="zh-CN" w:bidi="ar-SA"/>
    </w:rPr>
  </w:style>
  <w:style w:type="paragraph" w:customStyle="1" w:styleId="147">
    <w:name w:val="Char Char Char Char Char Char Char"/>
    <w:basedOn w:val="1"/>
    <w:qFormat/>
    <w:uiPriority w:val="0"/>
    <w:rPr>
      <w:rFonts w:ascii="仿宋_GB2312" w:eastAsia="仿宋_GB2312" w:cs="仿宋_GB2312"/>
      <w:spacing w:val="-4"/>
      <w:sz w:val="32"/>
      <w:szCs w:val="32"/>
    </w:rPr>
  </w:style>
  <w:style w:type="paragraph" w:customStyle="1" w:styleId="148">
    <w:name w:val="Level 3"/>
    <w:basedOn w:val="1"/>
    <w:qFormat/>
    <w:uiPriority w:val="0"/>
    <w:pPr>
      <w:numPr>
        <w:ilvl w:val="2"/>
        <w:numId w:val="1"/>
      </w:numPr>
      <w:spacing w:after="120" w:line="336" w:lineRule="auto"/>
      <w:outlineLvl w:val="2"/>
    </w:pPr>
    <w:rPr>
      <w:rFonts w:ascii="Arial" w:hAnsi="Arial" w:cs="Arial"/>
      <w:w w:val="104"/>
      <w:kern w:val="20"/>
      <w:sz w:val="24"/>
      <w:szCs w:val="24"/>
      <w:lang w:val="en-GB" w:eastAsia="en-US"/>
    </w:rPr>
  </w:style>
  <w:style w:type="paragraph" w:customStyle="1" w:styleId="149">
    <w:name w:val="xl12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8"/>
      <w:szCs w:val="28"/>
    </w:rPr>
  </w:style>
  <w:style w:type="paragraph" w:customStyle="1" w:styleId="150">
    <w:name w:val="xl80"/>
    <w:basedOn w:val="1"/>
    <w:qFormat/>
    <w:uiPriority w:val="0"/>
    <w:pPr>
      <w:widowControl/>
      <w:spacing w:before="100" w:beforeAutospacing="1" w:after="100" w:afterAutospacing="1"/>
      <w:jc w:val="left"/>
    </w:pPr>
    <w:rPr>
      <w:rFonts w:ascii="宋体" w:cs="宋体"/>
      <w:kern w:val="0"/>
      <w:sz w:val="22"/>
    </w:rPr>
  </w:style>
  <w:style w:type="paragraph" w:customStyle="1" w:styleId="151">
    <w:name w:val="zFSco-names"/>
    <w:basedOn w:val="1"/>
    <w:next w:val="1"/>
    <w:qFormat/>
    <w:uiPriority w:val="0"/>
    <w:pPr>
      <w:widowControl/>
      <w:spacing w:before="120" w:after="120" w:line="290" w:lineRule="auto"/>
      <w:jc w:val="center"/>
    </w:pPr>
    <w:rPr>
      <w:rFonts w:ascii="Arial" w:hAnsi="Arial" w:cs="Arial"/>
      <w:kern w:val="24"/>
      <w:sz w:val="24"/>
      <w:szCs w:val="24"/>
      <w:lang w:val="en-GB" w:eastAsia="en-US"/>
    </w:rPr>
  </w:style>
  <w:style w:type="paragraph" w:customStyle="1" w:styleId="152">
    <w:name w:val="Level 2"/>
    <w:basedOn w:val="1"/>
    <w:next w:val="1"/>
    <w:qFormat/>
    <w:uiPriority w:val="0"/>
    <w:pPr>
      <w:numPr>
        <w:ilvl w:val="1"/>
        <w:numId w:val="1"/>
      </w:numPr>
      <w:spacing w:line="360" w:lineRule="auto"/>
      <w:outlineLvl w:val="1"/>
    </w:pPr>
    <w:rPr>
      <w:rFonts w:ascii="Arial" w:hAnsi="Arial" w:cs="Arial"/>
      <w:w w:val="104"/>
      <w:kern w:val="20"/>
      <w:sz w:val="24"/>
      <w:szCs w:val="24"/>
      <w:lang w:val="en-GB" w:eastAsia="en-US"/>
    </w:rPr>
  </w:style>
  <w:style w:type="paragraph" w:customStyle="1" w:styleId="153">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8"/>
      <w:szCs w:val="28"/>
    </w:rPr>
  </w:style>
  <w:style w:type="paragraph" w:customStyle="1" w:styleId="154">
    <w:name w:val="标题 81"/>
    <w:basedOn w:val="1"/>
    <w:qFormat/>
    <w:uiPriority w:val="0"/>
    <w:pPr>
      <w:autoSpaceDE w:val="0"/>
      <w:autoSpaceDN w:val="0"/>
      <w:ind w:left="765"/>
      <w:jc w:val="left"/>
      <w:outlineLvl w:val="8"/>
    </w:pPr>
    <w:rPr>
      <w:rFonts w:ascii="宋体" w:cs="宋体"/>
      <w:b/>
      <w:bCs/>
      <w:kern w:val="0"/>
      <w:szCs w:val="21"/>
      <w:lang w:val="zh-CN"/>
    </w:rPr>
  </w:style>
  <w:style w:type="paragraph" w:customStyle="1" w:styleId="155">
    <w:name w:val="xl13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cs="宋体"/>
      <w:kern w:val="0"/>
      <w:sz w:val="28"/>
      <w:szCs w:val="28"/>
    </w:rPr>
  </w:style>
  <w:style w:type="paragraph" w:customStyle="1" w:styleId="156">
    <w:name w:val="列出段落2"/>
    <w:basedOn w:val="1"/>
    <w:qFormat/>
    <w:uiPriority w:val="0"/>
    <w:pPr>
      <w:ind w:firstLine="200" w:firstLineChars="200"/>
    </w:pPr>
    <w:rPr>
      <w:szCs w:val="21"/>
    </w:rPr>
  </w:style>
  <w:style w:type="paragraph" w:customStyle="1" w:styleId="157">
    <w:name w:val="xl135"/>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宋体" w:cs="宋体"/>
      <w:color w:val="FF0000"/>
      <w:kern w:val="0"/>
      <w:sz w:val="28"/>
      <w:szCs w:val="28"/>
    </w:rPr>
  </w:style>
  <w:style w:type="paragraph" w:customStyle="1" w:styleId="158">
    <w:name w:val="列出段落"/>
    <w:basedOn w:val="1"/>
    <w:qFormat/>
    <w:uiPriority w:val="0"/>
    <w:pPr>
      <w:ind w:left="217" w:firstLine="480"/>
    </w:pPr>
    <w:rPr>
      <w:rFonts w:ascii="宋体" w:cs="宋体"/>
      <w:szCs w:val="21"/>
      <w:lang w:val="zh-CN" w:bidi="zh-CN"/>
    </w:rPr>
  </w:style>
  <w:style w:type="paragraph" w:customStyle="1" w:styleId="159">
    <w:name w:val="PlainText"/>
    <w:basedOn w:val="1"/>
    <w:next w:val="24"/>
    <w:qFormat/>
    <w:uiPriority w:val="0"/>
    <w:rPr>
      <w:rFonts w:ascii="宋体"/>
      <w:szCs w:val="21"/>
    </w:rPr>
  </w:style>
  <w:style w:type="paragraph" w:customStyle="1" w:styleId="160">
    <w:name w:val="font0"/>
    <w:basedOn w:val="1"/>
    <w:qFormat/>
    <w:uiPriority w:val="0"/>
    <w:pPr>
      <w:widowControl/>
      <w:spacing w:before="100" w:beforeAutospacing="1" w:after="100" w:afterAutospacing="1"/>
      <w:jc w:val="left"/>
    </w:pPr>
    <w:rPr>
      <w:rFonts w:ascii="宋体" w:cs="宋体"/>
      <w:kern w:val="0"/>
      <w:sz w:val="24"/>
      <w:szCs w:val="24"/>
    </w:rPr>
  </w:style>
  <w:style w:type="paragraph" w:customStyle="1" w:styleId="161">
    <w:name w:val="xl12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4"/>
      <w:szCs w:val="24"/>
    </w:rPr>
  </w:style>
  <w:style w:type="paragraph" w:customStyle="1" w:styleId="16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2"/>
    </w:rPr>
  </w:style>
  <w:style w:type="paragraph" w:customStyle="1" w:styleId="163">
    <w:name w:val="font5"/>
    <w:basedOn w:val="1"/>
    <w:qFormat/>
    <w:uiPriority w:val="0"/>
    <w:pPr>
      <w:widowControl/>
      <w:spacing w:before="100" w:beforeAutospacing="1" w:after="100" w:afterAutospacing="1"/>
      <w:jc w:val="left"/>
    </w:pPr>
    <w:rPr>
      <w:rFonts w:ascii="宋体" w:cs="宋体"/>
      <w:kern w:val="0"/>
      <w:sz w:val="28"/>
      <w:szCs w:val="28"/>
    </w:rPr>
  </w:style>
  <w:style w:type="paragraph" w:customStyle="1" w:styleId="164">
    <w:name w:val="font6"/>
    <w:basedOn w:val="1"/>
    <w:qFormat/>
    <w:uiPriority w:val="0"/>
    <w:pPr>
      <w:widowControl/>
      <w:spacing w:before="100" w:beforeAutospacing="1" w:after="100" w:afterAutospacing="1"/>
      <w:jc w:val="left"/>
    </w:pPr>
    <w:rPr>
      <w:rFonts w:ascii="宋体" w:cs="宋体"/>
      <w:kern w:val="0"/>
      <w:sz w:val="28"/>
      <w:szCs w:val="28"/>
    </w:rPr>
  </w:style>
  <w:style w:type="paragraph" w:customStyle="1" w:styleId="165">
    <w:name w:val="xl124"/>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4"/>
      <w:szCs w:val="24"/>
    </w:rPr>
  </w:style>
  <w:style w:type="paragraph" w:customStyle="1" w:styleId="166">
    <w:name w:val="font7"/>
    <w:basedOn w:val="1"/>
    <w:qFormat/>
    <w:uiPriority w:val="0"/>
    <w:pPr>
      <w:widowControl/>
      <w:spacing w:before="100" w:beforeAutospacing="1" w:after="100" w:afterAutospacing="1"/>
      <w:jc w:val="left"/>
    </w:pPr>
    <w:rPr>
      <w:rFonts w:ascii="宋体" w:cs="宋体"/>
      <w:kern w:val="0"/>
      <w:sz w:val="18"/>
      <w:szCs w:val="18"/>
    </w:rPr>
  </w:style>
  <w:style w:type="paragraph" w:customStyle="1" w:styleId="167">
    <w:name w:val="xl74"/>
    <w:basedOn w:val="1"/>
    <w:qFormat/>
    <w:uiPriority w:val="0"/>
    <w:pPr>
      <w:widowControl/>
      <w:spacing w:before="100" w:beforeAutospacing="1" w:after="100" w:afterAutospacing="1"/>
      <w:jc w:val="left"/>
      <w:textAlignment w:val="center"/>
    </w:pPr>
    <w:rPr>
      <w:rFonts w:ascii="宋体" w:cs="宋体"/>
      <w:kern w:val="0"/>
      <w:sz w:val="28"/>
      <w:szCs w:val="28"/>
    </w:rPr>
  </w:style>
  <w:style w:type="paragraph" w:customStyle="1" w:styleId="168">
    <w:name w:val="xl130"/>
    <w:basedOn w:val="1"/>
    <w:qFormat/>
    <w:uiPriority w:val="0"/>
    <w:pPr>
      <w:widowControl/>
      <w:pBdr>
        <w:left w:val="single" w:color="auto" w:sz="4" w:space="0"/>
        <w:bottom w:val="single" w:color="auto" w:sz="4" w:space="0"/>
      </w:pBdr>
      <w:shd w:val="clear" w:color="000000" w:fill="FFFFFF"/>
      <w:spacing w:before="100" w:beforeAutospacing="1" w:after="100" w:afterAutospacing="1"/>
      <w:jc w:val="center"/>
      <w:textAlignment w:val="center"/>
    </w:pPr>
    <w:rPr>
      <w:rFonts w:ascii="宋体" w:cs="宋体"/>
      <w:kern w:val="0"/>
      <w:sz w:val="28"/>
      <w:szCs w:val="28"/>
    </w:rPr>
  </w:style>
  <w:style w:type="paragraph" w:customStyle="1" w:styleId="16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2"/>
    </w:rPr>
  </w:style>
  <w:style w:type="paragraph" w:customStyle="1" w:styleId="170">
    <w:name w:val="xl75"/>
    <w:basedOn w:val="1"/>
    <w:qFormat/>
    <w:uiPriority w:val="0"/>
    <w:pPr>
      <w:widowControl/>
      <w:spacing w:before="100" w:beforeAutospacing="1" w:after="100" w:afterAutospacing="1"/>
      <w:jc w:val="left"/>
    </w:pPr>
    <w:rPr>
      <w:rFonts w:ascii="宋体" w:cs="宋体"/>
      <w:kern w:val="0"/>
      <w:sz w:val="28"/>
      <w:szCs w:val="28"/>
    </w:rPr>
  </w:style>
  <w:style w:type="paragraph" w:customStyle="1" w:styleId="171">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8"/>
      <w:szCs w:val="28"/>
    </w:rPr>
  </w:style>
  <w:style w:type="paragraph" w:customStyle="1" w:styleId="172">
    <w:name w:val="xl76"/>
    <w:basedOn w:val="1"/>
    <w:qFormat/>
    <w:uiPriority w:val="0"/>
    <w:pPr>
      <w:widowControl/>
      <w:spacing w:before="100" w:beforeAutospacing="1" w:after="100" w:afterAutospacing="1"/>
      <w:jc w:val="left"/>
      <w:textAlignment w:val="center"/>
    </w:pPr>
    <w:rPr>
      <w:rFonts w:ascii="宋体" w:cs="宋体"/>
      <w:kern w:val="0"/>
      <w:sz w:val="24"/>
      <w:szCs w:val="24"/>
    </w:rPr>
  </w:style>
  <w:style w:type="paragraph" w:customStyle="1" w:styleId="17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8"/>
      <w:szCs w:val="28"/>
    </w:rPr>
  </w:style>
  <w:style w:type="paragraph" w:customStyle="1" w:styleId="174">
    <w:name w:val="xl77"/>
    <w:basedOn w:val="1"/>
    <w:qFormat/>
    <w:uiPriority w:val="0"/>
    <w:pPr>
      <w:widowControl/>
      <w:spacing w:before="100" w:beforeAutospacing="1" w:after="100" w:afterAutospacing="1"/>
      <w:jc w:val="center"/>
      <w:textAlignment w:val="center"/>
    </w:pPr>
    <w:rPr>
      <w:rFonts w:ascii="宋体" w:cs="宋体"/>
      <w:color w:val="000000"/>
      <w:kern w:val="0"/>
      <w:sz w:val="28"/>
      <w:szCs w:val="28"/>
    </w:rPr>
  </w:style>
  <w:style w:type="paragraph" w:customStyle="1" w:styleId="175">
    <w:name w:val="xl10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cs="宋体"/>
      <w:kern w:val="0"/>
      <w:sz w:val="24"/>
      <w:szCs w:val="24"/>
    </w:rPr>
  </w:style>
  <w:style w:type="paragraph" w:customStyle="1" w:styleId="176">
    <w:name w:val="xl78"/>
    <w:basedOn w:val="1"/>
    <w:qFormat/>
    <w:uiPriority w:val="0"/>
    <w:pPr>
      <w:widowControl/>
      <w:shd w:val="clear" w:color="000000" w:fill="FFFFFF"/>
      <w:spacing w:before="100" w:beforeAutospacing="1" w:after="100" w:afterAutospacing="1"/>
      <w:jc w:val="left"/>
    </w:pPr>
    <w:rPr>
      <w:rFonts w:ascii="宋体" w:cs="宋体"/>
      <w:kern w:val="0"/>
      <w:sz w:val="24"/>
      <w:szCs w:val="24"/>
    </w:rPr>
  </w:style>
  <w:style w:type="paragraph" w:customStyle="1" w:styleId="177">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4"/>
      <w:szCs w:val="24"/>
    </w:rPr>
  </w:style>
  <w:style w:type="paragraph" w:customStyle="1" w:styleId="178">
    <w:name w:val="xl79"/>
    <w:basedOn w:val="1"/>
    <w:qFormat/>
    <w:uiPriority w:val="0"/>
    <w:pPr>
      <w:widowControl/>
      <w:spacing w:before="100" w:beforeAutospacing="1" w:after="100" w:afterAutospacing="1"/>
      <w:jc w:val="center"/>
      <w:textAlignment w:val="center"/>
    </w:pPr>
    <w:rPr>
      <w:rFonts w:ascii="宋体" w:cs="宋体"/>
      <w:kern w:val="0"/>
      <w:sz w:val="22"/>
    </w:rPr>
  </w:style>
  <w:style w:type="paragraph" w:customStyle="1" w:styleId="179">
    <w:name w:val="xl82"/>
    <w:basedOn w:val="1"/>
    <w:qFormat/>
    <w:uiPriority w:val="0"/>
    <w:pPr>
      <w:widowControl/>
      <w:spacing w:before="100" w:beforeAutospacing="1" w:after="100" w:afterAutospacing="1"/>
      <w:jc w:val="center"/>
    </w:pPr>
    <w:rPr>
      <w:rFonts w:ascii="宋体" w:cs="宋体"/>
      <w:kern w:val="0"/>
      <w:sz w:val="22"/>
    </w:rPr>
  </w:style>
  <w:style w:type="paragraph" w:customStyle="1" w:styleId="18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8"/>
      <w:szCs w:val="28"/>
    </w:rPr>
  </w:style>
  <w:style w:type="paragraph" w:customStyle="1" w:styleId="181">
    <w:name w:val="xl119"/>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8"/>
      <w:szCs w:val="28"/>
    </w:rPr>
  </w:style>
  <w:style w:type="paragraph" w:customStyle="1" w:styleId="18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8"/>
      <w:szCs w:val="28"/>
    </w:rPr>
  </w:style>
  <w:style w:type="paragraph" w:customStyle="1" w:styleId="18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8"/>
      <w:szCs w:val="28"/>
    </w:rPr>
  </w:style>
  <w:style w:type="paragraph" w:customStyle="1" w:styleId="18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8"/>
      <w:szCs w:val="28"/>
    </w:rPr>
  </w:style>
  <w:style w:type="paragraph" w:customStyle="1" w:styleId="18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8"/>
      <w:szCs w:val="28"/>
    </w:rPr>
  </w:style>
  <w:style w:type="paragraph" w:customStyle="1" w:styleId="186">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8"/>
      <w:szCs w:val="28"/>
    </w:rPr>
  </w:style>
  <w:style w:type="paragraph" w:customStyle="1" w:styleId="18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cs="宋体"/>
      <w:kern w:val="0"/>
      <w:sz w:val="28"/>
      <w:szCs w:val="28"/>
    </w:rPr>
  </w:style>
  <w:style w:type="paragraph" w:customStyle="1" w:styleId="18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8"/>
      <w:szCs w:val="28"/>
    </w:rPr>
  </w:style>
  <w:style w:type="paragraph" w:customStyle="1" w:styleId="18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4"/>
      <w:szCs w:val="24"/>
    </w:rPr>
  </w:style>
  <w:style w:type="paragraph" w:customStyle="1" w:styleId="190">
    <w:name w:val="xl12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4"/>
      <w:szCs w:val="24"/>
    </w:rPr>
  </w:style>
  <w:style w:type="paragraph" w:customStyle="1" w:styleId="191">
    <w:name w:val="xl99"/>
    <w:basedOn w:val="1"/>
    <w:qFormat/>
    <w:uiPriority w:val="0"/>
    <w:pPr>
      <w:widowControl/>
      <w:spacing w:before="100" w:beforeAutospacing="1" w:after="100" w:afterAutospacing="1"/>
      <w:jc w:val="left"/>
      <w:textAlignment w:val="center"/>
    </w:pPr>
    <w:rPr>
      <w:rFonts w:ascii="宋体" w:cs="宋体"/>
      <w:kern w:val="0"/>
      <w:sz w:val="24"/>
      <w:szCs w:val="24"/>
    </w:rPr>
  </w:style>
  <w:style w:type="paragraph" w:customStyle="1" w:styleId="19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8"/>
      <w:szCs w:val="28"/>
    </w:rPr>
  </w:style>
  <w:style w:type="paragraph" w:customStyle="1" w:styleId="19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8"/>
      <w:szCs w:val="28"/>
    </w:rPr>
  </w:style>
  <w:style w:type="paragraph" w:customStyle="1" w:styleId="19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4"/>
      <w:szCs w:val="24"/>
    </w:rPr>
  </w:style>
  <w:style w:type="paragraph" w:customStyle="1" w:styleId="19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8"/>
      <w:szCs w:val="28"/>
    </w:rPr>
  </w:style>
  <w:style w:type="paragraph" w:customStyle="1" w:styleId="196">
    <w:name w:val="xl131"/>
    <w:basedOn w:val="1"/>
    <w:qFormat/>
    <w:uiPriority w:val="0"/>
    <w:pPr>
      <w:widowControl/>
      <w:pBdr>
        <w:bottom w:val="single" w:color="auto" w:sz="4" w:space="0"/>
      </w:pBdr>
      <w:shd w:val="clear" w:color="000000" w:fill="FFFFFF"/>
      <w:spacing w:before="100" w:beforeAutospacing="1" w:after="100" w:afterAutospacing="1"/>
      <w:jc w:val="center"/>
      <w:textAlignment w:val="center"/>
    </w:pPr>
    <w:rPr>
      <w:rFonts w:ascii="宋体" w:cs="宋体"/>
      <w:kern w:val="0"/>
      <w:sz w:val="28"/>
      <w:szCs w:val="28"/>
    </w:rPr>
  </w:style>
  <w:style w:type="paragraph" w:customStyle="1" w:styleId="19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4"/>
      <w:szCs w:val="24"/>
    </w:rPr>
  </w:style>
  <w:style w:type="paragraph" w:customStyle="1" w:styleId="19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8"/>
      <w:szCs w:val="28"/>
    </w:rPr>
  </w:style>
  <w:style w:type="paragraph" w:customStyle="1" w:styleId="199">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4"/>
      <w:szCs w:val="24"/>
    </w:rPr>
  </w:style>
  <w:style w:type="paragraph" w:customStyle="1" w:styleId="20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6"/>
      <w:szCs w:val="26"/>
    </w:rPr>
  </w:style>
  <w:style w:type="paragraph" w:customStyle="1" w:styleId="201">
    <w:name w:val="xl10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cs="宋体"/>
      <w:kern w:val="0"/>
      <w:sz w:val="28"/>
      <w:szCs w:val="28"/>
    </w:rPr>
  </w:style>
  <w:style w:type="paragraph" w:customStyle="1" w:styleId="202">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8"/>
      <w:szCs w:val="28"/>
    </w:rPr>
  </w:style>
  <w:style w:type="paragraph" w:customStyle="1" w:styleId="203">
    <w:name w:val="xl12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cs="宋体"/>
      <w:kern w:val="0"/>
      <w:sz w:val="24"/>
      <w:szCs w:val="24"/>
    </w:rPr>
  </w:style>
  <w:style w:type="paragraph" w:customStyle="1" w:styleId="20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8"/>
      <w:szCs w:val="28"/>
    </w:rPr>
  </w:style>
  <w:style w:type="paragraph" w:customStyle="1" w:styleId="205">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8"/>
      <w:szCs w:val="28"/>
    </w:rPr>
  </w:style>
  <w:style w:type="paragraph" w:customStyle="1" w:styleId="20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8"/>
      <w:szCs w:val="28"/>
    </w:rPr>
  </w:style>
  <w:style w:type="paragraph" w:customStyle="1" w:styleId="207">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8"/>
      <w:szCs w:val="28"/>
    </w:rPr>
  </w:style>
  <w:style w:type="paragraph" w:customStyle="1" w:styleId="20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8"/>
      <w:szCs w:val="28"/>
    </w:rPr>
  </w:style>
  <w:style w:type="paragraph" w:customStyle="1" w:styleId="20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8"/>
      <w:szCs w:val="28"/>
    </w:rPr>
  </w:style>
  <w:style w:type="paragraph" w:customStyle="1" w:styleId="210">
    <w:name w:val="xl11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8"/>
      <w:szCs w:val="28"/>
    </w:rPr>
  </w:style>
  <w:style w:type="paragraph" w:customStyle="1" w:styleId="211">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8"/>
      <w:szCs w:val="28"/>
    </w:rPr>
  </w:style>
  <w:style w:type="paragraph" w:customStyle="1" w:styleId="212">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color w:val="FF0000"/>
      <w:kern w:val="0"/>
      <w:sz w:val="28"/>
      <w:szCs w:val="28"/>
    </w:rPr>
  </w:style>
  <w:style w:type="paragraph" w:customStyle="1" w:styleId="213">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4"/>
      <w:szCs w:val="24"/>
    </w:rPr>
  </w:style>
  <w:style w:type="paragraph" w:customStyle="1" w:styleId="214">
    <w:name w:val="xl129"/>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宋体" w:cs="宋体"/>
      <w:kern w:val="0"/>
      <w:sz w:val="24"/>
      <w:szCs w:val="24"/>
    </w:rPr>
  </w:style>
  <w:style w:type="paragraph" w:customStyle="1" w:styleId="215">
    <w:name w:val="xl133"/>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宋体" w:cs="宋体"/>
      <w:kern w:val="0"/>
      <w:sz w:val="28"/>
      <w:szCs w:val="28"/>
    </w:rPr>
  </w:style>
  <w:style w:type="paragraph" w:customStyle="1" w:styleId="216">
    <w:name w:val="xl13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cs="宋体"/>
      <w:color w:val="FF0000"/>
      <w:kern w:val="0"/>
      <w:sz w:val="28"/>
      <w:szCs w:val="28"/>
    </w:rPr>
  </w:style>
  <w:style w:type="character" w:customStyle="1" w:styleId="217">
    <w:name w:val="普通文字 Char Char4"/>
    <w:qFormat/>
    <w:uiPriority w:val="0"/>
    <w:rPr>
      <w:rFonts w:ascii="宋体" w:eastAsia="宋体" w:cs="Courier New"/>
      <w:kern w:val="2"/>
      <w:sz w:val="21"/>
      <w:szCs w:val="21"/>
      <w:lang w:val="en-US" w:eastAsia="zh-CN" w:bidi="ar-SA"/>
    </w:rPr>
  </w:style>
  <w:style w:type="character" w:customStyle="1" w:styleId="218">
    <w:name w:val="页脚 字符"/>
    <w:qFormat/>
    <w:uiPriority w:val="0"/>
    <w:rPr>
      <w:sz w:val="18"/>
      <w:szCs w:val="18"/>
    </w:rPr>
  </w:style>
  <w:style w:type="character" w:customStyle="1" w:styleId="219">
    <w:name w:val="批注文字 Char2"/>
    <w:qFormat/>
    <w:uiPriority w:val="0"/>
    <w:rPr>
      <w:kern w:val="2"/>
      <w:sz w:val="21"/>
      <w:szCs w:val="24"/>
      <w:lang w:bidi="ar-SA"/>
    </w:rPr>
  </w:style>
  <w:style w:type="character" w:customStyle="1" w:styleId="220">
    <w:name w:val="Title Char"/>
    <w:qFormat/>
    <w:uiPriority w:val="0"/>
    <w:rPr>
      <w:rFonts w:ascii="Cambria" w:hAnsi="Cambria"/>
      <w:b/>
      <w:sz w:val="32"/>
      <w:lang w:bidi="ar-SA"/>
    </w:rPr>
  </w:style>
  <w:style w:type="character" w:customStyle="1" w:styleId="221">
    <w:name w:val="批注文字 Char Char"/>
    <w:qFormat/>
    <w:uiPriority w:val="0"/>
    <w:rPr>
      <w:rFonts w:ascii="宋体" w:eastAsia="宋体" w:cs="Times New Roman"/>
      <w:sz w:val="28"/>
      <w:szCs w:val="20"/>
      <w:lang w:bidi="ar-SA"/>
    </w:rPr>
  </w:style>
  <w:style w:type="character" w:customStyle="1" w:styleId="222">
    <w:name w:val="Char Char6"/>
    <w:qFormat/>
    <w:uiPriority w:val="0"/>
    <w:rPr>
      <w:rFonts w:eastAsia="宋体"/>
      <w:b/>
      <w:bCs/>
      <w:kern w:val="44"/>
      <w:sz w:val="32"/>
      <w:szCs w:val="44"/>
      <w:lang w:val="en-US" w:eastAsia="zh-CN" w:bidi="ar-SA"/>
    </w:rPr>
  </w:style>
  <w:style w:type="character" w:customStyle="1" w:styleId="223">
    <w:name w:val="Char Char19"/>
    <w:qFormat/>
    <w:uiPriority w:val="0"/>
    <w:rPr>
      <w:rFonts w:ascii="Arial" w:hAnsi="Arial" w:eastAsia="宋体" w:cs="Times New Roman"/>
      <w:b/>
      <w:bCs/>
      <w:szCs w:val="28"/>
      <w:lang w:bidi="ar-SA"/>
    </w:rPr>
  </w:style>
  <w:style w:type="character" w:customStyle="1" w:styleId="224">
    <w:name w:val="Heading 4 Char"/>
    <w:qFormat/>
    <w:uiPriority w:val="0"/>
    <w:rPr>
      <w:rFonts w:ascii="Arial" w:hAnsi="Arial" w:eastAsia="宋体"/>
      <w:b/>
      <w:bCs/>
      <w:kern w:val="2"/>
      <w:sz w:val="21"/>
      <w:szCs w:val="28"/>
      <w:lang w:val="en-US" w:eastAsia="zh-CN" w:bidi="ar-SA"/>
    </w:rPr>
  </w:style>
  <w:style w:type="character" w:customStyle="1" w:styleId="225">
    <w:name w:val="Char Char181"/>
    <w:qFormat/>
    <w:uiPriority w:val="0"/>
    <w:rPr>
      <w:b/>
      <w:bCs/>
      <w:kern w:val="44"/>
      <w:sz w:val="44"/>
      <w:szCs w:val="44"/>
    </w:rPr>
  </w:style>
  <w:style w:type="character" w:customStyle="1" w:styleId="226">
    <w:name w:val="Char Char18"/>
    <w:qFormat/>
    <w:uiPriority w:val="0"/>
    <w:rPr>
      <w:rFonts w:ascii="Times New Roman" w:hAnsi="Times New Roman" w:eastAsia="宋体" w:cs="Times New Roman"/>
      <w:b/>
      <w:bCs/>
      <w:sz w:val="28"/>
      <w:szCs w:val="28"/>
      <w:lang w:bidi="ar-SA"/>
    </w:rPr>
  </w:style>
  <w:style w:type="character" w:customStyle="1" w:styleId="227">
    <w:name w:val="明显参考1"/>
    <w:qFormat/>
    <w:uiPriority w:val="0"/>
    <w:rPr>
      <w:b/>
      <w:bCs/>
      <w:smallCaps/>
      <w:color w:val="C0504D"/>
      <w:spacing w:val="5"/>
      <w:u w:val="single"/>
    </w:rPr>
  </w:style>
  <w:style w:type="character" w:customStyle="1" w:styleId="228">
    <w:name w:val="Comment Text Char1"/>
    <w:qFormat/>
    <w:uiPriority w:val="0"/>
    <w:rPr>
      <w:sz w:val="24"/>
      <w:lang w:bidi="ar-SA"/>
    </w:rPr>
  </w:style>
  <w:style w:type="character" w:customStyle="1" w:styleId="229">
    <w:name w:val="Footnote Text Char"/>
    <w:qFormat/>
    <w:uiPriority w:val="0"/>
    <w:rPr>
      <w:rFonts w:eastAsia="宋体"/>
      <w:sz w:val="18"/>
      <w:lang w:val="en-US" w:eastAsia="zh-CN" w:bidi="ar-SA"/>
    </w:rPr>
  </w:style>
  <w:style w:type="character" w:customStyle="1" w:styleId="230">
    <w:name w:val="Body Text Indent Char"/>
    <w:qFormat/>
    <w:uiPriority w:val="0"/>
    <w:rPr>
      <w:rFonts w:ascii="宋体" w:eastAsia="宋体"/>
      <w:kern w:val="2"/>
      <w:sz w:val="21"/>
      <w:lang w:val="en-US" w:eastAsia="zh-CN" w:bidi="ar-SA"/>
    </w:rPr>
  </w:style>
  <w:style w:type="character" w:customStyle="1" w:styleId="231">
    <w:name w:val="Balloon Text Char"/>
    <w:qFormat/>
    <w:uiPriority w:val="0"/>
    <w:rPr>
      <w:sz w:val="18"/>
      <w:lang w:bidi="ar-SA"/>
    </w:rPr>
  </w:style>
  <w:style w:type="character" w:customStyle="1" w:styleId="232">
    <w:name w:val="Comment Subject Char"/>
    <w:qFormat/>
    <w:uiPriority w:val="0"/>
    <w:rPr>
      <w:b/>
      <w:sz w:val="24"/>
      <w:lang w:bidi="ar-SA"/>
    </w:rPr>
  </w:style>
  <w:style w:type="character" w:customStyle="1" w:styleId="233">
    <w:name w:val="Document Map Char"/>
    <w:qFormat/>
    <w:uiPriority w:val="0"/>
    <w:rPr>
      <w:rFonts w:eastAsia="宋体"/>
      <w:kern w:val="2"/>
      <w:sz w:val="21"/>
      <w:szCs w:val="24"/>
      <w:lang w:val="en-US" w:eastAsia="zh-CN" w:bidi="ar-SA"/>
    </w:rPr>
  </w:style>
  <w:style w:type="character" w:customStyle="1" w:styleId="234">
    <w:name w:val="Char Char20"/>
    <w:qFormat/>
    <w:uiPriority w:val="0"/>
    <w:rPr>
      <w:rFonts w:ascii="Times New Roman" w:hAnsi="Times New Roman" w:eastAsia="宋体" w:cs="Times New Roman"/>
      <w:b/>
      <w:bCs/>
      <w:sz w:val="24"/>
      <w:szCs w:val="32"/>
      <w:lang w:bidi="ar-SA"/>
    </w:rPr>
  </w:style>
  <w:style w:type="character" w:customStyle="1" w:styleId="235">
    <w:name w:val="Header Char"/>
    <w:qFormat/>
    <w:uiPriority w:val="0"/>
    <w:rPr>
      <w:rFonts w:eastAsia="宋体"/>
      <w:kern w:val="2"/>
      <w:sz w:val="18"/>
      <w:szCs w:val="18"/>
      <w:lang w:val="en-US" w:eastAsia="zh-CN" w:bidi="ar-SA"/>
    </w:rPr>
  </w:style>
  <w:style w:type="character" w:customStyle="1" w:styleId="236">
    <w:name w:val="明显强调1"/>
    <w:qFormat/>
    <w:uiPriority w:val="0"/>
    <w:rPr>
      <w:b/>
      <w:bCs/>
      <w:i/>
      <w:iCs/>
      <w:color w:val="4F81BD"/>
    </w:rPr>
  </w:style>
  <w:style w:type="character" w:customStyle="1" w:styleId="237">
    <w:name w:val="textcontents"/>
    <w:qFormat/>
    <w:uiPriority w:val="0"/>
    <w:rPr>
      <w:rFonts w:cs="Times New Roman"/>
      <w:lang w:bidi="ar-SA"/>
    </w:rPr>
  </w:style>
  <w:style w:type="character" w:customStyle="1" w:styleId="238">
    <w:name w:val="Plain Text Char"/>
    <w:qFormat/>
    <w:uiPriority w:val="0"/>
    <w:rPr>
      <w:rFonts w:ascii="宋体" w:eastAsia="宋体"/>
      <w:sz w:val="24"/>
      <w:lang w:bidi="ar-SA"/>
    </w:rPr>
  </w:style>
  <w:style w:type="character" w:customStyle="1" w:styleId="239">
    <w:name w:val="Char Char91"/>
    <w:qFormat/>
    <w:uiPriority w:val="0"/>
    <w:rPr>
      <w:rFonts w:eastAsia="宋体"/>
      <w:b/>
      <w:bCs/>
      <w:kern w:val="44"/>
      <w:sz w:val="32"/>
      <w:szCs w:val="44"/>
      <w:lang w:val="en-US" w:eastAsia="zh-CN" w:bidi="ar-SA"/>
    </w:rPr>
  </w:style>
  <w:style w:type="paragraph" w:styleId="240">
    <w:name w:val="Intense Quote"/>
    <w:basedOn w:val="1"/>
    <w:next w:val="1"/>
    <w:qFormat/>
    <w:uiPriority w:val="0"/>
    <w:pPr>
      <w:pBdr>
        <w:bottom w:val="single" w:color="4F81BD" w:sz="4" w:space="4"/>
      </w:pBdr>
      <w:spacing w:before="200" w:after="280"/>
      <w:ind w:left="936" w:right="936"/>
    </w:pPr>
    <w:rPr>
      <w:b/>
      <w:bCs/>
      <w:i/>
      <w:iCs/>
      <w:color w:val="4F81BD"/>
      <w:sz w:val="22"/>
    </w:rPr>
  </w:style>
  <w:style w:type="character" w:customStyle="1" w:styleId="241">
    <w:name w:val="明显引用 Char3"/>
    <w:qFormat/>
    <w:uiPriority w:val="0"/>
    <w:rPr>
      <w:b/>
      <w:bCs/>
      <w:i/>
      <w:iCs/>
      <w:color w:val="4F81BD"/>
      <w:kern w:val="2"/>
      <w:sz w:val="21"/>
      <w:szCs w:val="22"/>
    </w:rPr>
  </w:style>
  <w:style w:type="character" w:customStyle="1" w:styleId="242">
    <w:name w:val="Char Char24"/>
    <w:qFormat/>
    <w:uiPriority w:val="0"/>
    <w:rPr>
      <w:rFonts w:eastAsia="宋体"/>
      <w:b/>
      <w:bCs/>
      <w:kern w:val="44"/>
      <w:sz w:val="32"/>
      <w:szCs w:val="44"/>
      <w:lang w:val="en-US" w:eastAsia="zh-CN" w:bidi="ar-SA"/>
    </w:rPr>
  </w:style>
  <w:style w:type="character" w:customStyle="1" w:styleId="243">
    <w:name w:val="Comment Text Char"/>
    <w:qFormat/>
    <w:uiPriority w:val="0"/>
    <w:rPr>
      <w:rFonts w:cs="Times New Roman"/>
      <w:sz w:val="24"/>
      <w:szCs w:val="24"/>
      <w:lang w:bidi="ar-SA"/>
    </w:rPr>
  </w:style>
  <w:style w:type="character" w:customStyle="1" w:styleId="244">
    <w:name w:val="不明显强调1"/>
    <w:qFormat/>
    <w:uiPriority w:val="0"/>
    <w:rPr>
      <w:i/>
      <w:iCs/>
      <w:color w:val="808080"/>
    </w:rPr>
  </w:style>
  <w:style w:type="character" w:customStyle="1" w:styleId="245">
    <w:name w:val="Heading 2 Char"/>
    <w:qFormat/>
    <w:uiPriority w:val="0"/>
    <w:rPr>
      <w:rFonts w:ascii="Arial" w:hAnsi="Arial" w:eastAsia="黑体"/>
      <w:b/>
      <w:bCs/>
      <w:kern w:val="2"/>
      <w:sz w:val="32"/>
      <w:szCs w:val="32"/>
      <w:lang w:val="en-US" w:eastAsia="zh-CN" w:bidi="ar-SA"/>
    </w:rPr>
  </w:style>
  <w:style w:type="character" w:customStyle="1" w:styleId="246">
    <w:name w:val="Char Char22"/>
    <w:qFormat/>
    <w:uiPriority w:val="0"/>
    <w:rPr>
      <w:rFonts w:ascii="Times New Roman" w:hAnsi="Times New Roman" w:eastAsia="宋体" w:cs="Times New Roman"/>
      <w:b/>
      <w:bCs/>
      <w:kern w:val="44"/>
      <w:sz w:val="32"/>
      <w:szCs w:val="44"/>
      <w:lang w:bidi="ar-SA"/>
    </w:rPr>
  </w:style>
  <w:style w:type="character" w:customStyle="1" w:styleId="247">
    <w:name w:val="Footer Char"/>
    <w:qFormat/>
    <w:uiPriority w:val="0"/>
    <w:rPr>
      <w:rFonts w:eastAsia="宋体"/>
      <w:kern w:val="2"/>
      <w:sz w:val="18"/>
      <w:szCs w:val="18"/>
      <w:lang w:val="en-US" w:eastAsia="zh-CN" w:bidi="ar-SA"/>
    </w:rPr>
  </w:style>
  <w:style w:type="character" w:customStyle="1" w:styleId="248">
    <w:name w:val="书籍标题1"/>
    <w:qFormat/>
    <w:uiPriority w:val="0"/>
    <w:rPr>
      <w:b/>
      <w:bCs/>
      <w:smallCaps/>
      <w:spacing w:val="5"/>
    </w:rPr>
  </w:style>
  <w:style w:type="character" w:customStyle="1" w:styleId="249">
    <w:name w:val="Char Char21"/>
    <w:qFormat/>
    <w:uiPriority w:val="0"/>
    <w:rPr>
      <w:rFonts w:ascii="Arial" w:hAnsi="Arial" w:eastAsia="黑体" w:cs="Times New Roman"/>
      <w:b/>
      <w:bCs/>
      <w:sz w:val="32"/>
      <w:szCs w:val="32"/>
      <w:lang w:bidi="ar-SA"/>
    </w:rPr>
  </w:style>
  <w:style w:type="character" w:customStyle="1" w:styleId="250">
    <w:name w:val="Heading 3 Char"/>
    <w:qFormat/>
    <w:uiPriority w:val="0"/>
    <w:rPr>
      <w:rFonts w:cs="Times New Roman"/>
      <w:b/>
      <w:bCs/>
      <w:kern w:val="2"/>
      <w:sz w:val="32"/>
      <w:szCs w:val="32"/>
      <w:lang w:bidi="ar-SA"/>
    </w:rPr>
  </w:style>
  <w:style w:type="character" w:customStyle="1" w:styleId="251">
    <w:name w:val="不明显参考1"/>
    <w:qFormat/>
    <w:uiPriority w:val="0"/>
    <w:rPr>
      <w:smallCaps/>
      <w:color w:val="C0504D"/>
      <w:u w:val="single"/>
    </w:rPr>
  </w:style>
  <w:style w:type="paragraph" w:styleId="252">
    <w:name w:val="Quote"/>
    <w:basedOn w:val="1"/>
    <w:next w:val="1"/>
    <w:qFormat/>
    <w:uiPriority w:val="0"/>
    <w:rPr>
      <w:i/>
      <w:iCs/>
      <w:color w:val="000000"/>
      <w:sz w:val="22"/>
    </w:rPr>
  </w:style>
  <w:style w:type="character" w:customStyle="1" w:styleId="253">
    <w:name w:val="引用 Char3"/>
    <w:qFormat/>
    <w:uiPriority w:val="0"/>
    <w:rPr>
      <w:i/>
      <w:iCs/>
      <w:color w:val="000000"/>
      <w:kern w:val="2"/>
      <w:sz w:val="21"/>
      <w:szCs w:val="22"/>
    </w:rPr>
  </w:style>
  <w:style w:type="character" w:customStyle="1" w:styleId="254">
    <w:name w:val="bsharetext"/>
    <w:qFormat/>
    <w:uiPriority w:val="0"/>
  </w:style>
  <w:style w:type="character" w:customStyle="1" w:styleId="255">
    <w:name w:val="Char Char9"/>
    <w:qFormat/>
    <w:uiPriority w:val="0"/>
    <w:rPr>
      <w:rFonts w:eastAsia="宋体"/>
      <w:b/>
      <w:bCs/>
      <w:kern w:val="44"/>
      <w:sz w:val="32"/>
      <w:szCs w:val="44"/>
      <w:lang w:val="en-US" w:eastAsia="zh-CN" w:bidi="ar-SA"/>
    </w:rPr>
  </w:style>
  <w:style w:type="character" w:customStyle="1" w:styleId="256">
    <w:name w:val="Char Char23"/>
    <w:qFormat/>
    <w:uiPriority w:val="0"/>
    <w:rPr>
      <w:rFonts w:eastAsia="宋体"/>
      <w:b/>
      <w:bCs/>
      <w:kern w:val="44"/>
      <w:sz w:val="32"/>
      <w:szCs w:val="44"/>
      <w:lang w:val="en-US" w:eastAsia="zh-CN" w:bidi="ar-SA"/>
    </w:rPr>
  </w:style>
  <w:style w:type="character" w:customStyle="1" w:styleId="257">
    <w:name w:val="Body Text Indent 2 Char"/>
    <w:qFormat/>
    <w:uiPriority w:val="0"/>
    <w:rPr>
      <w:rFonts w:eastAsia="宋体"/>
      <w:kern w:val="2"/>
      <w:sz w:val="21"/>
      <w:szCs w:val="24"/>
      <w:lang w:val="en-US" w:eastAsia="zh-CN" w:bidi="ar-SA"/>
    </w:rPr>
  </w:style>
  <w:style w:type="character" w:customStyle="1" w:styleId="258">
    <w:name w:val="current"/>
    <w:qFormat/>
    <w:uiPriority w:val="0"/>
    <w:rPr>
      <w:color w:val="FFFFFF"/>
      <w:bdr w:val="single" w:color="028BD3" w:sz="6" w:space="0"/>
      <w:shd w:val="clear" w:color="auto" w:fill="028BD3"/>
    </w:rPr>
  </w:style>
  <w:style w:type="character" w:customStyle="1" w:styleId="259">
    <w:name w:val="Date Char"/>
    <w:qFormat/>
    <w:uiPriority w:val="0"/>
    <w:rPr>
      <w:rFonts w:eastAsia="宋体"/>
      <w:kern w:val="2"/>
      <w:sz w:val="21"/>
      <w:szCs w:val="24"/>
      <w:lang w:val="en-US" w:eastAsia="zh-CN" w:bidi="ar-SA"/>
    </w:rPr>
  </w:style>
  <w:style w:type="character" w:customStyle="1" w:styleId="260">
    <w:name w:val="Heading 5 Char"/>
    <w:qFormat/>
    <w:uiPriority w:val="0"/>
    <w:rPr>
      <w:rFonts w:eastAsia="宋体"/>
      <w:b/>
      <w:bCs/>
      <w:kern w:val="2"/>
      <w:sz w:val="28"/>
      <w:szCs w:val="28"/>
      <w:lang w:val="en-US" w:eastAsia="zh-CN" w:bidi="ar-SA"/>
    </w:rPr>
  </w:style>
  <w:style w:type="character" w:customStyle="1" w:styleId="261">
    <w:name w:val="Heading 3 Char1"/>
    <w:qFormat/>
    <w:uiPriority w:val="0"/>
    <w:rPr>
      <w:rFonts w:eastAsia="宋体"/>
      <w:b/>
      <w:bCs/>
      <w:kern w:val="2"/>
      <w:sz w:val="24"/>
      <w:szCs w:val="32"/>
      <w:lang w:val="en-US" w:eastAsia="zh-CN" w:bidi="ar-SA"/>
    </w:rPr>
  </w:style>
  <w:style w:type="character" w:customStyle="1" w:styleId="262">
    <w:name w:val="标题 Char2"/>
    <w:qFormat/>
    <w:uiPriority w:val="0"/>
    <w:rPr>
      <w:rFonts w:ascii="Cambria" w:hAnsi="Cambria" w:eastAsia="宋体" w:cs="Times New Roman"/>
      <w:b/>
      <w:bCs/>
      <w:sz w:val="32"/>
      <w:szCs w:val="32"/>
      <w:lang w:bidi="ar-SA"/>
    </w:rPr>
  </w:style>
  <w:style w:type="character" w:customStyle="1" w:styleId="263">
    <w:name w:val="Heading 1 Char"/>
    <w:qFormat/>
    <w:uiPriority w:val="0"/>
    <w:rPr>
      <w:rFonts w:eastAsia="宋体"/>
      <w:b/>
      <w:bCs/>
      <w:kern w:val="44"/>
      <w:sz w:val="32"/>
      <w:szCs w:val="44"/>
      <w:lang w:val="en-US" w:eastAsia="zh-CN" w:bidi="ar-SA"/>
    </w:rPr>
  </w:style>
  <w:style w:type="character" w:customStyle="1" w:styleId="264">
    <w:name w:val="disabled"/>
    <w:qFormat/>
    <w:uiPriority w:val="0"/>
    <w:rPr>
      <w:vanish/>
    </w:rPr>
  </w:style>
  <w:style w:type="paragraph" w:customStyle="1" w:styleId="265">
    <w:name w:val="_Style 37"/>
    <w:basedOn w:val="1"/>
    <w:next w:val="1"/>
    <w:qFormat/>
    <w:uiPriority w:val="0"/>
    <w:rPr>
      <w:szCs w:val="24"/>
    </w:rPr>
  </w:style>
  <w:style w:type="paragraph" w:customStyle="1" w:styleId="266">
    <w:name w:val="样式1"/>
    <w:basedOn w:val="1"/>
    <w:next w:val="7"/>
    <w:qFormat/>
    <w:uiPriority w:val="0"/>
    <w:pPr>
      <w:spacing w:line="360" w:lineRule="auto"/>
      <w:ind w:firstLine="200" w:firstLineChars="200"/>
    </w:pPr>
    <w:rPr>
      <w:rFonts w:ascii="宋体"/>
      <w:szCs w:val="21"/>
    </w:rPr>
  </w:style>
  <w:style w:type="paragraph" w:customStyle="1" w:styleId="267">
    <w:name w:val="flNote"/>
    <w:basedOn w:val="1"/>
    <w:qFormat/>
    <w:uiPriority w:val="0"/>
    <w:pPr>
      <w:adjustRightInd w:val="0"/>
      <w:spacing w:before="320" w:after="160" w:line="360" w:lineRule="atLeast"/>
      <w:jc w:val="center"/>
      <w:textAlignment w:val="baseline"/>
    </w:pPr>
    <w:rPr>
      <w:rFonts w:ascii="Arial" w:hAnsi="Arial" w:eastAsia="黑体"/>
      <w:kern w:val="0"/>
      <w:sz w:val="30"/>
      <w:szCs w:val="20"/>
    </w:rPr>
  </w:style>
  <w:style w:type="paragraph" w:customStyle="1" w:styleId="268">
    <w:name w:val="1"/>
    <w:basedOn w:val="1"/>
    <w:next w:val="1"/>
    <w:qFormat/>
    <w:uiPriority w:val="0"/>
    <w:rPr>
      <w:szCs w:val="24"/>
    </w:rPr>
  </w:style>
  <w:style w:type="paragraph" w:customStyle="1" w:styleId="269">
    <w:name w:val="修订2"/>
    <w:qFormat/>
    <w:uiPriority w:val="0"/>
    <w:rPr>
      <w:rFonts w:ascii="Times New Roman" w:hAnsi="Times New Roman" w:eastAsia="宋体" w:cs="Times New Roman"/>
      <w:kern w:val="2"/>
      <w:sz w:val="21"/>
      <w:szCs w:val="24"/>
      <w:lang w:val="en-US" w:eastAsia="zh-CN" w:bidi="ar-SA"/>
    </w:rPr>
  </w:style>
  <w:style w:type="paragraph" w:styleId="27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1">
    <w:name w:val="Char Char Char Char"/>
    <w:basedOn w:val="1"/>
    <w:qFormat/>
    <w:uiPriority w:val="0"/>
    <w:pPr>
      <w:widowControl/>
      <w:spacing w:line="500" w:lineRule="exact"/>
      <w:outlineLvl w:val="2"/>
    </w:pPr>
    <w:rPr>
      <w:rFonts w:ascii="黑体" w:eastAsia="黑体" w:cs="黑体"/>
      <w:kern w:val="0"/>
      <w:sz w:val="28"/>
      <w:szCs w:val="28"/>
      <w:lang w:eastAsia="en-US"/>
    </w:rPr>
  </w:style>
  <w:style w:type="paragraph" w:customStyle="1" w:styleId="272">
    <w:name w:val="2-2ji"/>
    <w:basedOn w:val="5"/>
    <w:qFormat/>
    <w:uiPriority w:val="0"/>
    <w:pPr>
      <w:keepLines/>
      <w:tabs>
        <w:tab w:val="clear" w:pos="1021"/>
      </w:tabs>
      <w:adjustRightInd/>
      <w:spacing w:before="0"/>
      <w:ind w:left="0" w:firstLine="0"/>
      <w:jc w:val="center"/>
    </w:pPr>
    <w:rPr>
      <w:rFonts w:ascii="宋体" w:eastAsia="宋体"/>
      <w:bCs/>
      <w:kern w:val="2"/>
      <w:sz w:val="36"/>
      <w:szCs w:val="24"/>
    </w:rPr>
  </w:style>
  <w:style w:type="paragraph" w:customStyle="1" w:styleId="273">
    <w:name w:val="TOC 标题2"/>
    <w:basedOn w:val="4"/>
    <w:next w:val="1"/>
    <w:qFormat/>
    <w:uiPriority w:val="0"/>
    <w:pPr>
      <w:tabs>
        <w:tab w:val="clear" w:pos="360"/>
      </w:tabs>
      <w:adjustRightInd/>
      <w:spacing w:before="340" w:after="330" w:line="576" w:lineRule="auto"/>
      <w:ind w:left="0" w:firstLine="0"/>
      <w:jc w:val="center"/>
      <w:outlineLvl w:val="9"/>
    </w:pPr>
    <w:rPr>
      <w:rFonts w:ascii="Calibri" w:hAnsi="Calibri"/>
      <w:bCs/>
      <w:sz w:val="44"/>
      <w:szCs w:val="44"/>
    </w:rPr>
  </w:style>
  <w:style w:type="paragraph" w:customStyle="1" w:styleId="274">
    <w:name w:val="Char1"/>
    <w:basedOn w:val="1"/>
    <w:qFormat/>
    <w:uiPriority w:val="0"/>
    <w:pPr>
      <w:widowControl/>
      <w:spacing w:after="160" w:line="240" w:lineRule="exact"/>
      <w:jc w:val="left"/>
    </w:pPr>
    <w:rPr>
      <w:szCs w:val="24"/>
    </w:rPr>
  </w:style>
  <w:style w:type="paragraph" w:customStyle="1" w:styleId="275">
    <w:name w:val="样式 标题 3 + (中文) 黑体 小四 非加粗 段前: 7.8 磅 段后: 0 磅 行距: 固定值 20 磅"/>
    <w:basedOn w:val="6"/>
    <w:qFormat/>
    <w:uiPriority w:val="0"/>
    <w:pPr>
      <w:keepNext/>
      <w:keepLines/>
      <w:tabs>
        <w:tab w:val="clear" w:pos="900"/>
        <w:tab w:val="clear" w:pos="1588"/>
      </w:tabs>
      <w:adjustRightInd/>
      <w:spacing w:before="0" w:line="400" w:lineRule="exact"/>
      <w:ind w:left="0" w:firstLine="0"/>
      <w:jc w:val="left"/>
    </w:pPr>
    <w:rPr>
      <w:rFonts w:cs="宋体"/>
      <w:b w:val="0"/>
      <w:kern w:val="2"/>
      <w:sz w:val="21"/>
    </w:rPr>
  </w:style>
  <w:style w:type="paragraph" w:customStyle="1" w:styleId="27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7">
    <w:name w:val="reader-word-layer"/>
    <w:basedOn w:val="1"/>
    <w:qFormat/>
    <w:uiPriority w:val="0"/>
    <w:pPr>
      <w:widowControl/>
      <w:spacing w:before="100" w:beforeAutospacing="1" w:after="100" w:afterAutospacing="1"/>
      <w:jc w:val="left"/>
    </w:pPr>
    <w:rPr>
      <w:rFonts w:ascii="宋体" w:cs="宋体"/>
      <w:kern w:val="0"/>
      <w:sz w:val="24"/>
      <w:szCs w:val="24"/>
    </w:rPr>
  </w:style>
  <w:style w:type="paragraph" w:customStyle="1" w:styleId="278">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7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2">
    <w:name w:val="无间隔1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283">
    <w:name w:val="Char Char"/>
    <w:qFormat/>
    <w:uiPriority w:val="0"/>
    <w:rPr>
      <w:rFonts w:ascii="黑体" w:eastAsia="黑体" w:cs="Courier New"/>
      <w:lang w:val="en-US" w:eastAsia="zh-CN" w:bidi="ar-SA"/>
    </w:rPr>
  </w:style>
  <w:style w:type="character" w:customStyle="1" w:styleId="284">
    <w:name w:val="bookmark-item"/>
    <w:qFormat/>
    <w:uiPriority w:val="0"/>
  </w:style>
  <w:style w:type="paragraph" w:customStyle="1" w:styleId="285">
    <w:name w:val="Normal_0"/>
    <w:qFormat/>
    <w:uiPriority w:val="0"/>
    <w:rPr>
      <w:rFonts w:ascii="Times New Roman" w:hAnsi="Times New Roman" w:eastAsia="Times New Roman" w:cs="Times New Roman"/>
      <w:sz w:val="24"/>
      <w:szCs w:val="24"/>
      <w:lang w:val="en-US" w:eastAsia="zh-CN" w:bidi="ar-SA"/>
    </w:rPr>
  </w:style>
  <w:style w:type="paragraph" w:customStyle="1" w:styleId="286">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正文首缩两字 Char"/>
    <w:basedOn w:val="1"/>
    <w:qFormat/>
    <w:uiPriority w:val="99"/>
    <w:pPr>
      <w:spacing w:line="360" w:lineRule="auto"/>
    </w:pPr>
    <w:rPr>
      <w:rFonts w:ascii="Verdana" w:hAnsi="Verdana"/>
      <w:b/>
      <w:bCs/>
    </w:rPr>
  </w:style>
  <w:style w:type="character" w:customStyle="1" w:styleId="288">
    <w:name w:val="未处理的提及2"/>
    <w:basedOn w:val="37"/>
    <w:semiHidden/>
    <w:unhideWhenUsed/>
    <w:qFormat/>
    <w:uiPriority w:val="99"/>
    <w:rPr>
      <w:color w:val="605E5C"/>
      <w:shd w:val="clear" w:color="auto" w:fill="E1DFDD"/>
    </w:rPr>
  </w:style>
  <w:style w:type="character" w:customStyle="1" w:styleId="289">
    <w:name w:val="Unresolved Mention"/>
    <w:basedOn w:val="37"/>
    <w:semiHidden/>
    <w:unhideWhenUsed/>
    <w:qFormat/>
    <w:uiPriority w:val="99"/>
    <w:rPr>
      <w:color w:val="605E5C"/>
      <w:shd w:val="clear" w:color="auto" w:fill="E1DFDD"/>
    </w:rPr>
  </w:style>
  <w:style w:type="character" w:customStyle="1" w:styleId="290">
    <w:name w:val="纯文本 字符"/>
    <w:basedOn w:val="37"/>
    <w:link w:val="23"/>
    <w:qFormat/>
    <w:uiPriority w:val="0"/>
    <w:rPr>
      <w:rFonts w:ascii="宋体"/>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hy</Company>
  <Pages>52</Pages>
  <Words>26587</Words>
  <Characters>28229</Characters>
  <Lines>225</Lines>
  <Paragraphs>63</Paragraphs>
  <TotalTime>52</TotalTime>
  <ScaleCrop>false</ScaleCrop>
  <LinksUpToDate>false</LinksUpToDate>
  <CharactersWithSpaces>30402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2026-01-09T08:16:00Z</dcterms:created>
  <dc:creator>User</dc:creator>
  <cp:lastModifiedBy>Administrator</cp:lastModifiedBy>
  <cp:lastPrinted>2022-08-05T00:46:00Z</cp:lastPrinted>
  <dcterms:modified xsi:type="dcterms:W3CDTF">2026-03-04T02:31:18Z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BF1E32D4033E43E9A3D14150DB9F64C9_13</vt:lpwstr>
  </property>
  <property fmtid="{D5CDD505-2E9C-101B-9397-08002B2CF9AE}" pid="4" name="KSOTemplateDocerSaveRecord">
    <vt:lpwstr>eyJoZGlkIjoiMjEwNGI0NTBhNzZiNGMwYTNjODdiOThlZmZjMzNlZjIiLCJ1c2VySWQiOiI0ODIzNjc1NzUifQ==</vt:lpwstr>
  </property>
</Properties>
</file>