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eastAsia" w:ascii="华文新魏" w:eastAsia="华文新魏"/>
          <w:color w:val="auto"/>
          <w:spacing w:val="90"/>
          <w:sz w:val="56"/>
          <w:szCs w:val="56"/>
          <w:highlight w:val="none"/>
        </w:rPr>
      </w:pPr>
    </w:p>
    <w:p>
      <w:pPr>
        <w:spacing w:line="600" w:lineRule="exact"/>
        <w:jc w:val="center"/>
        <w:rPr>
          <w:rFonts w:hint="eastAsia" w:ascii="华文新魏" w:eastAsia="华文新魏"/>
          <w:color w:val="auto"/>
          <w:spacing w:val="90"/>
          <w:sz w:val="56"/>
          <w:szCs w:val="56"/>
          <w:highlight w:val="none"/>
        </w:rPr>
      </w:pPr>
    </w:p>
    <w:p>
      <w:pPr>
        <w:spacing w:line="600" w:lineRule="exact"/>
        <w:jc w:val="center"/>
        <w:rPr>
          <w:rFonts w:hint="eastAsia" w:ascii="宋体" w:hAnsi="宋体"/>
          <w:b/>
          <w:color w:val="auto"/>
          <w:sz w:val="72"/>
          <w:szCs w:val="72"/>
          <w:highlight w:val="none"/>
        </w:rPr>
      </w:pPr>
      <w:r>
        <w:rPr>
          <w:rFonts w:hint="eastAsia" w:ascii="华文新魏" w:eastAsia="华文新魏"/>
          <w:color w:val="auto"/>
          <w:spacing w:val="90"/>
          <w:sz w:val="56"/>
          <w:szCs w:val="56"/>
          <w:highlight w:val="none"/>
        </w:rPr>
        <w:t>广西</w:t>
      </w:r>
      <w:r>
        <w:rPr>
          <w:rFonts w:hint="eastAsia" w:ascii="华文新魏" w:eastAsia="华文新魏"/>
          <w:color w:val="auto"/>
          <w:spacing w:val="90"/>
          <w:sz w:val="56"/>
          <w:szCs w:val="56"/>
          <w:highlight w:val="none"/>
          <w:lang w:val="en-US"/>
        </w:rPr>
        <w:t>银泰工程</w:t>
      </w:r>
      <w:r>
        <w:rPr>
          <w:rFonts w:hint="eastAsia" w:ascii="华文新魏" w:eastAsia="华文新魏"/>
          <w:color w:val="auto"/>
          <w:spacing w:val="90"/>
          <w:sz w:val="56"/>
          <w:szCs w:val="56"/>
          <w:highlight w:val="none"/>
        </w:rPr>
        <w:t>管理有限公司</w:t>
      </w:r>
    </w:p>
    <w:p>
      <w:pPr>
        <w:spacing w:line="600" w:lineRule="exact"/>
        <w:jc w:val="center"/>
        <w:rPr>
          <w:rFonts w:hint="eastAsia" w:ascii="宋体" w:hAnsi="宋体"/>
          <w:b/>
          <w:color w:val="auto"/>
          <w:sz w:val="72"/>
          <w:szCs w:val="72"/>
          <w:highlight w:val="none"/>
        </w:rPr>
      </w:pPr>
    </w:p>
    <w:p>
      <w:pPr>
        <w:spacing w:before="312" w:beforeLines="100" w:after="156" w:afterLines="50" w:line="600" w:lineRule="exact"/>
        <w:jc w:val="center"/>
        <w:rPr>
          <w:rFonts w:hint="eastAsia" w:ascii="宋体" w:hAnsi="宋体"/>
          <w:b/>
          <w:color w:val="auto"/>
          <w:sz w:val="72"/>
          <w:szCs w:val="72"/>
          <w:highlight w:val="none"/>
        </w:rPr>
      </w:pPr>
    </w:p>
    <w:p>
      <w:pPr>
        <w:spacing w:before="312" w:beforeLines="100" w:after="156" w:afterLines="50" w:line="600" w:lineRule="exact"/>
        <w:jc w:val="center"/>
        <w:rPr>
          <w:rFonts w:hint="eastAsia" w:ascii="宋体" w:hAnsi="宋体"/>
          <w:b/>
          <w:color w:val="auto"/>
          <w:sz w:val="72"/>
          <w:szCs w:val="72"/>
          <w:highlight w:val="none"/>
        </w:rPr>
      </w:pPr>
    </w:p>
    <w:p>
      <w:pPr>
        <w:spacing w:before="312" w:beforeLines="100" w:after="156" w:afterLines="50" w:line="600" w:lineRule="exact"/>
        <w:jc w:val="center"/>
        <w:rPr>
          <w:rFonts w:hint="eastAsia" w:ascii="宋体" w:hAnsi="宋体"/>
          <w:b/>
          <w:color w:val="auto"/>
          <w:sz w:val="72"/>
          <w:szCs w:val="72"/>
          <w:highlight w:val="none"/>
        </w:rPr>
      </w:pPr>
      <w:r>
        <w:rPr>
          <w:rFonts w:hint="eastAsia" w:ascii="宋体" w:hAnsi="宋体"/>
          <w:b/>
          <w:color w:val="auto"/>
          <w:sz w:val="72"/>
          <w:szCs w:val="72"/>
          <w:highlight w:val="none"/>
        </w:rPr>
        <w:t>竞争性</w:t>
      </w:r>
      <w:r>
        <w:rPr>
          <w:rFonts w:hint="eastAsia" w:ascii="宋体" w:hAnsi="宋体"/>
          <w:b/>
          <w:color w:val="auto"/>
          <w:sz w:val="72"/>
          <w:szCs w:val="72"/>
          <w:highlight w:val="none"/>
          <w:lang w:val="en-US" w:eastAsia="zh-CN"/>
        </w:rPr>
        <w:t>谈判</w:t>
      </w:r>
      <w:r>
        <w:rPr>
          <w:rFonts w:hint="eastAsia" w:ascii="宋体" w:hAnsi="宋体"/>
          <w:b/>
          <w:color w:val="auto"/>
          <w:sz w:val="72"/>
          <w:szCs w:val="72"/>
          <w:highlight w:val="none"/>
        </w:rPr>
        <w:t>文件</w:t>
      </w:r>
    </w:p>
    <w:p>
      <w:pPr>
        <w:spacing w:before="312" w:beforeLines="100" w:after="156" w:afterLines="50" w:line="600" w:lineRule="exact"/>
        <w:ind w:firstLine="1446"/>
        <w:jc w:val="left"/>
        <w:rPr>
          <w:rFonts w:hint="eastAsia" w:ascii="宋体" w:hAnsi="宋体"/>
          <w:b/>
          <w:color w:val="auto"/>
          <w:sz w:val="72"/>
          <w:szCs w:val="72"/>
          <w:highlight w:val="none"/>
        </w:rPr>
      </w:pPr>
    </w:p>
    <w:p>
      <w:pPr>
        <w:spacing w:before="312" w:beforeLines="100" w:after="156" w:afterLines="50" w:line="600" w:lineRule="exact"/>
        <w:ind w:firstLine="1446"/>
        <w:jc w:val="left"/>
        <w:rPr>
          <w:rFonts w:hint="eastAsia" w:ascii="宋体" w:hAnsi="宋体"/>
          <w:b/>
          <w:color w:val="auto"/>
          <w:sz w:val="72"/>
          <w:szCs w:val="72"/>
          <w:highlight w:val="none"/>
        </w:rPr>
      </w:pPr>
    </w:p>
    <w:p>
      <w:pPr>
        <w:spacing w:before="312" w:beforeLines="100" w:after="156" w:afterLines="50" w:line="600" w:lineRule="exact"/>
        <w:ind w:firstLine="1446"/>
        <w:jc w:val="left"/>
        <w:rPr>
          <w:rFonts w:hint="eastAsia" w:ascii="宋体" w:hAnsi="宋体"/>
          <w:b/>
          <w:color w:val="auto"/>
          <w:sz w:val="72"/>
          <w:szCs w:val="72"/>
          <w:highlight w:val="none"/>
        </w:rPr>
      </w:pPr>
    </w:p>
    <w:p>
      <w:pPr>
        <w:tabs>
          <w:tab w:val="left" w:pos="7230"/>
        </w:tabs>
        <w:ind w:firstLine="1606" w:firstLineChars="500"/>
        <w:rPr>
          <w:rFonts w:hint="eastAsia" w:ascii="宋体" w:hAnsi="宋体"/>
          <w:b/>
          <w:color w:val="auto"/>
          <w:sz w:val="32"/>
          <w:szCs w:val="32"/>
          <w:highlight w:val="none"/>
          <w:lang w:eastAsia="zh-CN"/>
        </w:rPr>
      </w:pPr>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振动噪声测试与控制协同创新平台--扫描</w:t>
      </w:r>
    </w:p>
    <w:p>
      <w:pPr>
        <w:tabs>
          <w:tab w:val="left" w:pos="7230"/>
        </w:tabs>
        <w:ind w:firstLine="3213" w:firstLineChars="10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式激光测振仪采购</w:t>
      </w:r>
    </w:p>
    <w:p>
      <w:pPr>
        <w:tabs>
          <w:tab w:val="left" w:pos="7230"/>
        </w:tabs>
        <w:spacing w:line="400" w:lineRule="exact"/>
        <w:ind w:firstLine="1606" w:firstLineChars="500"/>
        <w:rPr>
          <w:rFonts w:hint="eastAsia" w:ascii="宋体" w:hAnsi="宋体" w:eastAsia="宋体"/>
          <w:b/>
          <w:color w:val="auto"/>
          <w:spacing w:val="100"/>
          <w:sz w:val="32"/>
          <w:szCs w:val="32"/>
          <w:highlight w:val="none"/>
          <w:lang w:eastAsia="zh-CN"/>
        </w:rPr>
      </w:pPr>
      <w:r>
        <w:rPr>
          <w:rFonts w:hint="eastAsia" w:ascii="宋体" w:hAnsi="宋体"/>
          <w:b/>
          <w:color w:val="auto"/>
          <w:sz w:val="32"/>
          <w:szCs w:val="32"/>
          <w:highlight w:val="none"/>
        </w:rPr>
        <w:t>项目编号：GXZC2026-J1-000240-YTGC</w:t>
      </w:r>
    </w:p>
    <w:p>
      <w:pPr>
        <w:spacing w:line="400" w:lineRule="exact"/>
        <w:ind w:firstLine="1699" w:firstLineChars="326"/>
        <w:rPr>
          <w:rFonts w:hint="eastAsia" w:ascii="宋体" w:hAnsi="宋体"/>
          <w:b/>
          <w:color w:val="auto"/>
          <w:spacing w:val="100"/>
          <w:sz w:val="32"/>
          <w:szCs w:val="32"/>
          <w:highlight w:val="none"/>
        </w:rPr>
      </w:pPr>
    </w:p>
    <w:p>
      <w:pPr>
        <w:pStyle w:val="9"/>
        <w:rPr>
          <w:rFonts w:hint="eastAsia"/>
          <w:color w:val="auto"/>
          <w:highlight w:val="none"/>
        </w:rPr>
      </w:pPr>
    </w:p>
    <w:p>
      <w:pPr>
        <w:spacing w:line="400" w:lineRule="exact"/>
        <w:ind w:firstLine="1559" w:firstLineChars="409"/>
        <w:rPr>
          <w:rFonts w:hint="eastAsia" w:ascii="宋体" w:hAnsi="宋体" w:eastAsia="宋体"/>
          <w:b/>
          <w:color w:val="auto"/>
          <w:spacing w:val="30"/>
          <w:sz w:val="32"/>
          <w:szCs w:val="32"/>
          <w:highlight w:val="none"/>
          <w:lang w:eastAsia="zh-CN"/>
        </w:rPr>
      </w:pPr>
      <w:r>
        <w:rPr>
          <w:rFonts w:hint="eastAsia" w:ascii="宋体" w:hAnsi="宋体"/>
          <w:b/>
          <w:color w:val="auto"/>
          <w:spacing w:val="30"/>
          <w:sz w:val="32"/>
          <w:szCs w:val="32"/>
          <w:highlight w:val="none"/>
        </w:rPr>
        <w:t>采购人：</w:t>
      </w:r>
      <w:r>
        <w:rPr>
          <w:rFonts w:hint="eastAsia" w:ascii="宋体" w:hAnsi="宋体"/>
          <w:b/>
          <w:color w:val="auto"/>
          <w:spacing w:val="30"/>
          <w:kern w:val="0"/>
          <w:sz w:val="32"/>
          <w:szCs w:val="32"/>
          <w:highlight w:val="none"/>
          <w:lang w:eastAsia="zh-CN"/>
        </w:rPr>
        <w:t>广西科技大学</w:t>
      </w:r>
    </w:p>
    <w:p>
      <w:pPr>
        <w:spacing w:line="400" w:lineRule="exact"/>
        <w:ind w:firstLine="1314" w:firstLineChars="409"/>
        <w:jc w:val="left"/>
        <w:rPr>
          <w:rFonts w:hint="eastAsia" w:ascii="宋体" w:hAnsi="宋体"/>
          <w:b/>
          <w:color w:val="auto"/>
          <w:sz w:val="32"/>
          <w:szCs w:val="32"/>
          <w:highlight w:val="none"/>
        </w:rPr>
      </w:pPr>
    </w:p>
    <w:p>
      <w:pPr>
        <w:spacing w:line="400" w:lineRule="exact"/>
        <w:ind w:firstLine="1558" w:firstLineChars="485"/>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采购代理机构：</w:t>
      </w:r>
      <w:r>
        <w:rPr>
          <w:rFonts w:hint="eastAsia" w:ascii="宋体" w:hAnsi="宋体"/>
          <w:b/>
          <w:color w:val="auto"/>
          <w:sz w:val="32"/>
          <w:szCs w:val="32"/>
          <w:highlight w:val="none"/>
          <w:lang w:eastAsia="zh-CN"/>
        </w:rPr>
        <w:t>广西银泰工程管理有限公司</w:t>
      </w:r>
    </w:p>
    <w:p>
      <w:pPr>
        <w:spacing w:line="400" w:lineRule="exact"/>
        <w:ind w:firstLine="643"/>
        <w:jc w:val="center"/>
        <w:rPr>
          <w:rFonts w:hint="eastAsia" w:ascii="宋体" w:hAnsi="宋体"/>
          <w:b/>
          <w:color w:val="auto"/>
          <w:sz w:val="32"/>
          <w:szCs w:val="32"/>
          <w:highlight w:val="none"/>
        </w:rPr>
      </w:pPr>
    </w:p>
    <w:p>
      <w:pPr>
        <w:spacing w:line="400" w:lineRule="exact"/>
        <w:ind w:firstLine="643"/>
        <w:jc w:val="center"/>
        <w:rPr>
          <w:rFonts w:hint="eastAsia" w:ascii="宋体" w:hAnsi="宋体"/>
          <w:b/>
          <w:color w:val="auto"/>
          <w:sz w:val="32"/>
          <w:szCs w:val="32"/>
          <w:highlight w:val="none"/>
        </w:rPr>
      </w:pPr>
    </w:p>
    <w:p>
      <w:pPr>
        <w:spacing w:line="400" w:lineRule="exact"/>
        <w:ind w:firstLine="643"/>
        <w:jc w:val="center"/>
        <w:rPr>
          <w:rFonts w:hint="eastAsia" w:ascii="宋体" w:hAnsi="宋体"/>
          <w:b/>
          <w:color w:val="auto"/>
          <w:sz w:val="32"/>
          <w:szCs w:val="32"/>
          <w:highlight w:val="none"/>
        </w:rPr>
      </w:pPr>
    </w:p>
    <w:p>
      <w:pPr>
        <w:spacing w:line="400" w:lineRule="exact"/>
        <w:jc w:val="center"/>
        <w:rPr>
          <w:rFonts w:hint="eastAsia" w:ascii="宋体" w:hAnsi="宋体"/>
          <w:b/>
          <w:color w:val="auto"/>
          <w:sz w:val="32"/>
          <w:szCs w:val="32"/>
          <w:highlight w:val="none"/>
        </w:rPr>
      </w:pPr>
      <w:r>
        <w:rPr>
          <w:rFonts w:hint="eastAsia" w:hAnsi="宋体"/>
          <w:b/>
          <w:bCs/>
          <w:color w:val="auto"/>
          <w:w w:val="95"/>
          <w:sz w:val="32"/>
          <w:szCs w:val="32"/>
          <w:highlight w:val="none"/>
          <w:lang w:eastAsia="zh-CN"/>
        </w:rPr>
        <w:t>二〇二</w:t>
      </w:r>
      <w:r>
        <w:rPr>
          <w:rFonts w:hint="eastAsia" w:hAnsi="宋体"/>
          <w:b/>
          <w:bCs/>
          <w:color w:val="auto"/>
          <w:w w:val="95"/>
          <w:sz w:val="32"/>
          <w:szCs w:val="32"/>
          <w:highlight w:val="none"/>
          <w:lang w:val="en-US" w:eastAsia="zh-CN"/>
        </w:rPr>
        <w:t>六</w:t>
      </w:r>
      <w:r>
        <w:rPr>
          <w:rFonts w:hint="eastAsia" w:hAnsi="宋体"/>
          <w:b/>
          <w:bCs/>
          <w:color w:val="auto"/>
          <w:w w:val="95"/>
          <w:sz w:val="32"/>
          <w:szCs w:val="32"/>
          <w:highlight w:val="none"/>
          <w:lang w:eastAsia="zh-CN"/>
        </w:rPr>
        <w:t>年</w:t>
      </w:r>
      <w:r>
        <w:rPr>
          <w:rFonts w:hint="eastAsia" w:hAnsi="宋体"/>
          <w:b/>
          <w:bCs/>
          <w:color w:val="auto"/>
          <w:w w:val="95"/>
          <w:sz w:val="32"/>
          <w:szCs w:val="32"/>
          <w:highlight w:val="none"/>
          <w:lang w:val="en-US" w:eastAsia="zh-CN"/>
        </w:rPr>
        <w:t>二</w:t>
      </w:r>
      <w:r>
        <w:rPr>
          <w:rFonts w:hint="eastAsia" w:hAnsi="宋体"/>
          <w:b/>
          <w:bCs/>
          <w:color w:val="auto"/>
          <w:w w:val="95"/>
          <w:sz w:val="32"/>
          <w:szCs w:val="32"/>
          <w:highlight w:val="none"/>
        </w:rPr>
        <w:t>月</w:t>
      </w:r>
    </w:p>
    <w:p>
      <w:pPr>
        <w:pStyle w:val="19"/>
        <w:snapToGrid w:val="0"/>
        <w:spacing w:line="360" w:lineRule="auto"/>
        <w:jc w:val="center"/>
        <w:rPr>
          <w:rFonts w:hAnsi="宋体" w:cs="Adobe 黑体 Std R"/>
          <w:color w:val="auto"/>
          <w:sz w:val="44"/>
          <w:szCs w:val="24"/>
          <w:highlight w:val="none"/>
        </w:rPr>
      </w:pPr>
      <w:r>
        <w:rPr>
          <w:rFonts w:hAnsi="宋体" w:cs="Adobe 黑体 Std R"/>
          <w:color w:val="auto"/>
          <w:sz w:val="44"/>
          <w:szCs w:val="24"/>
          <w:highlight w:val="none"/>
        </w:rPr>
        <w:br w:type="page"/>
      </w:r>
      <w:r>
        <w:rPr>
          <w:rFonts w:hint="eastAsia" w:hAnsi="宋体" w:cs="Adobe 黑体 Std R"/>
          <w:b/>
          <w:bCs/>
          <w:color w:val="auto"/>
          <w:sz w:val="40"/>
          <w:szCs w:val="22"/>
          <w:highlight w:val="none"/>
        </w:rPr>
        <w:t>目  录</w:t>
      </w:r>
    </w:p>
    <w:p>
      <w:pPr>
        <w:pStyle w:val="27"/>
        <w:tabs>
          <w:tab w:val="right" w:leader="dot" w:pos="9638"/>
        </w:tabs>
        <w:rPr>
          <w:color w:val="auto"/>
          <w:highlight w:val="none"/>
        </w:rPr>
      </w:pPr>
      <w:r>
        <w:rPr>
          <w:rFonts w:ascii="宋体" w:hAnsi="宋体"/>
          <w:b/>
          <w:color w:val="auto"/>
          <w:sz w:val="36"/>
          <w:szCs w:val="36"/>
          <w:highlight w:val="none"/>
        </w:rPr>
        <w:fldChar w:fldCharType="begin"/>
      </w:r>
      <w:r>
        <w:rPr>
          <w:rFonts w:ascii="宋体" w:hAnsi="宋体"/>
          <w:b/>
          <w:color w:val="auto"/>
          <w:sz w:val="36"/>
          <w:szCs w:val="36"/>
          <w:highlight w:val="none"/>
        </w:rPr>
        <w:instrText xml:space="preserve"> TOC \o "1-3" \h \z \u </w:instrText>
      </w:r>
      <w:r>
        <w:rPr>
          <w:rFonts w:ascii="宋体" w:hAnsi="宋体"/>
          <w:b/>
          <w:color w:val="auto"/>
          <w:sz w:val="36"/>
          <w:szCs w:val="36"/>
          <w:highlight w:val="none"/>
        </w:rPr>
        <w:fldChar w:fldCharType="separate"/>
      </w:r>
      <w:r>
        <w:rPr>
          <w:rFonts w:ascii="宋体" w:hAnsi="宋体"/>
          <w:color w:val="auto"/>
          <w:szCs w:val="36"/>
          <w:highlight w:val="none"/>
        </w:rPr>
        <w:fldChar w:fldCharType="begin"/>
      </w:r>
      <w:r>
        <w:rPr>
          <w:rFonts w:ascii="宋体" w:hAnsi="宋体"/>
          <w:color w:val="auto"/>
          <w:szCs w:val="36"/>
          <w:highlight w:val="none"/>
        </w:rPr>
        <w:instrText xml:space="preserve"> HYPERLINK \l _Toc25731 </w:instrText>
      </w:r>
      <w:r>
        <w:rPr>
          <w:rFonts w:ascii="宋体" w:hAnsi="宋体"/>
          <w:color w:val="auto"/>
          <w:szCs w:val="36"/>
          <w:highlight w:val="none"/>
        </w:rPr>
        <w:fldChar w:fldCharType="separate"/>
      </w:r>
      <w:r>
        <w:rPr>
          <w:rFonts w:hint="eastAsia" w:ascii="宋体" w:hAnsi="宋体"/>
          <w:color w:val="auto"/>
          <w:highlight w:val="none"/>
        </w:rPr>
        <w:t>第一章</w:t>
      </w:r>
      <w:r>
        <w:rPr>
          <w:rFonts w:hint="eastAsia" w:ascii="宋体" w:hAnsi="宋体"/>
          <w:color w:val="auto"/>
          <w:highlight w:val="none"/>
          <w:lang w:val="en-US" w:eastAsia="zh-CN"/>
        </w:rPr>
        <w:t xml:space="preserve"> </w:t>
      </w:r>
      <w:r>
        <w:rPr>
          <w:rFonts w:hint="eastAsia" w:ascii="宋体" w:hAnsi="宋体"/>
          <w:color w:val="auto"/>
          <w:szCs w:val="32"/>
          <w:highlight w:val="none"/>
        </w:rPr>
        <w:t>竞争性谈判公告</w:t>
      </w:r>
      <w:r>
        <w:rPr>
          <w:color w:val="auto"/>
          <w:highlight w:val="none"/>
        </w:rPr>
        <w:tab/>
      </w:r>
      <w:r>
        <w:rPr>
          <w:color w:val="auto"/>
          <w:highlight w:val="none"/>
        </w:rPr>
        <w:fldChar w:fldCharType="begin"/>
      </w:r>
      <w:r>
        <w:rPr>
          <w:color w:val="auto"/>
          <w:highlight w:val="none"/>
        </w:rPr>
        <w:instrText xml:space="preserve"> PAGEREF _Toc25731 \h </w:instrText>
      </w:r>
      <w:r>
        <w:rPr>
          <w:color w:val="auto"/>
          <w:highlight w:val="none"/>
        </w:rPr>
        <w:fldChar w:fldCharType="separate"/>
      </w:r>
      <w:r>
        <w:rPr>
          <w:color w:val="auto"/>
          <w:highlight w:val="none"/>
        </w:rPr>
        <w:t>1</w:t>
      </w:r>
      <w:r>
        <w:rPr>
          <w:color w:val="auto"/>
          <w:highlight w:val="none"/>
        </w:rPr>
        <w:fldChar w:fldCharType="end"/>
      </w:r>
      <w:r>
        <w:rPr>
          <w:rFonts w:ascii="宋体" w:hAnsi="宋体"/>
          <w:color w:val="auto"/>
          <w:szCs w:val="36"/>
          <w:highlight w:val="none"/>
        </w:rPr>
        <w:fldChar w:fldCharType="end"/>
      </w:r>
    </w:p>
    <w:p>
      <w:pPr>
        <w:pStyle w:val="27"/>
        <w:tabs>
          <w:tab w:val="right" w:leader="dot" w:pos="9638"/>
        </w:tabs>
        <w:rPr>
          <w:color w:val="auto"/>
          <w:highlight w:val="none"/>
        </w:rPr>
      </w:pPr>
      <w:r>
        <w:rPr>
          <w:rFonts w:ascii="宋体" w:hAnsi="宋体"/>
          <w:color w:val="auto"/>
          <w:szCs w:val="36"/>
          <w:highlight w:val="none"/>
        </w:rPr>
        <w:fldChar w:fldCharType="begin"/>
      </w:r>
      <w:r>
        <w:rPr>
          <w:rFonts w:ascii="宋体" w:hAnsi="宋体"/>
          <w:color w:val="auto"/>
          <w:szCs w:val="36"/>
          <w:highlight w:val="none"/>
        </w:rPr>
        <w:instrText xml:space="preserve"> HYPERLINK \l _Toc6030 </w:instrText>
      </w:r>
      <w:r>
        <w:rPr>
          <w:rFonts w:ascii="宋体" w:hAnsi="宋体"/>
          <w:color w:val="auto"/>
          <w:szCs w:val="36"/>
          <w:highlight w:val="none"/>
        </w:rPr>
        <w:fldChar w:fldCharType="separate"/>
      </w:r>
      <w:r>
        <w:rPr>
          <w:rFonts w:hint="eastAsia" w:ascii="宋体" w:hAnsi="宋体"/>
          <w:bCs/>
          <w:color w:val="auto"/>
          <w:szCs w:val="32"/>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_Toc6030 \h </w:instrText>
      </w:r>
      <w:r>
        <w:rPr>
          <w:color w:val="auto"/>
          <w:highlight w:val="none"/>
        </w:rPr>
        <w:fldChar w:fldCharType="separate"/>
      </w:r>
      <w:r>
        <w:rPr>
          <w:color w:val="auto"/>
          <w:highlight w:val="none"/>
        </w:rPr>
        <w:t>4</w:t>
      </w:r>
      <w:r>
        <w:rPr>
          <w:color w:val="auto"/>
          <w:highlight w:val="none"/>
        </w:rPr>
        <w:fldChar w:fldCharType="end"/>
      </w:r>
      <w:r>
        <w:rPr>
          <w:rFonts w:ascii="宋体" w:hAnsi="宋体"/>
          <w:color w:val="auto"/>
          <w:szCs w:val="36"/>
          <w:highlight w:val="none"/>
        </w:rPr>
        <w:fldChar w:fldCharType="end"/>
      </w:r>
    </w:p>
    <w:p>
      <w:pPr>
        <w:pStyle w:val="27"/>
        <w:tabs>
          <w:tab w:val="right" w:leader="dot" w:pos="9638"/>
        </w:tabs>
        <w:rPr>
          <w:color w:val="auto"/>
          <w:highlight w:val="none"/>
        </w:rPr>
      </w:pPr>
      <w:r>
        <w:rPr>
          <w:rFonts w:ascii="宋体" w:hAnsi="宋体"/>
          <w:color w:val="auto"/>
          <w:szCs w:val="36"/>
          <w:highlight w:val="none"/>
        </w:rPr>
        <w:fldChar w:fldCharType="begin"/>
      </w:r>
      <w:r>
        <w:rPr>
          <w:rFonts w:ascii="宋体" w:hAnsi="宋体"/>
          <w:color w:val="auto"/>
          <w:szCs w:val="36"/>
          <w:highlight w:val="none"/>
        </w:rPr>
        <w:instrText xml:space="preserve"> HYPERLINK \l _Toc29464 </w:instrText>
      </w:r>
      <w:r>
        <w:rPr>
          <w:rFonts w:ascii="宋体" w:hAnsi="宋体"/>
          <w:color w:val="auto"/>
          <w:szCs w:val="36"/>
          <w:highlight w:val="none"/>
        </w:rPr>
        <w:fldChar w:fldCharType="separate"/>
      </w:r>
      <w:r>
        <w:rPr>
          <w:rFonts w:hint="eastAsia" w:ascii="宋体" w:hAnsi="宋体"/>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_Toc29464 \h </w:instrText>
      </w:r>
      <w:r>
        <w:rPr>
          <w:color w:val="auto"/>
          <w:highlight w:val="none"/>
        </w:rPr>
        <w:fldChar w:fldCharType="separate"/>
      </w:r>
      <w:r>
        <w:rPr>
          <w:color w:val="auto"/>
          <w:highlight w:val="none"/>
        </w:rPr>
        <w:t>30</w:t>
      </w:r>
      <w:r>
        <w:rPr>
          <w:color w:val="auto"/>
          <w:highlight w:val="none"/>
        </w:rPr>
        <w:fldChar w:fldCharType="end"/>
      </w:r>
      <w:r>
        <w:rPr>
          <w:rFonts w:ascii="宋体" w:hAnsi="宋体"/>
          <w:color w:val="auto"/>
          <w:szCs w:val="36"/>
          <w:highlight w:val="none"/>
        </w:rPr>
        <w:fldChar w:fldCharType="end"/>
      </w:r>
    </w:p>
    <w:p>
      <w:pPr>
        <w:pStyle w:val="27"/>
        <w:tabs>
          <w:tab w:val="right" w:leader="dot" w:pos="9638"/>
        </w:tabs>
        <w:rPr>
          <w:color w:val="auto"/>
          <w:highlight w:val="none"/>
        </w:rPr>
      </w:pPr>
      <w:r>
        <w:rPr>
          <w:rFonts w:ascii="宋体" w:hAnsi="宋体"/>
          <w:color w:val="auto"/>
          <w:szCs w:val="36"/>
          <w:highlight w:val="none"/>
        </w:rPr>
        <w:fldChar w:fldCharType="begin"/>
      </w:r>
      <w:r>
        <w:rPr>
          <w:rFonts w:ascii="宋体" w:hAnsi="宋体"/>
          <w:color w:val="auto"/>
          <w:szCs w:val="36"/>
          <w:highlight w:val="none"/>
        </w:rPr>
        <w:instrText xml:space="preserve"> HYPERLINK \l _Toc17576 </w:instrText>
      </w:r>
      <w:r>
        <w:rPr>
          <w:rFonts w:ascii="宋体" w:hAnsi="宋体"/>
          <w:color w:val="auto"/>
          <w:szCs w:val="36"/>
          <w:highlight w:val="none"/>
        </w:rPr>
        <w:fldChar w:fldCharType="separate"/>
      </w:r>
      <w:r>
        <w:rPr>
          <w:rFonts w:hint="eastAsia" w:ascii="宋体" w:hAnsi="宋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_Toc17576 \h </w:instrText>
      </w:r>
      <w:r>
        <w:rPr>
          <w:color w:val="auto"/>
          <w:highlight w:val="none"/>
        </w:rPr>
        <w:fldChar w:fldCharType="separate"/>
      </w:r>
      <w:r>
        <w:rPr>
          <w:color w:val="auto"/>
          <w:highlight w:val="none"/>
        </w:rPr>
        <w:t>44</w:t>
      </w:r>
      <w:r>
        <w:rPr>
          <w:color w:val="auto"/>
          <w:highlight w:val="none"/>
        </w:rPr>
        <w:fldChar w:fldCharType="end"/>
      </w:r>
      <w:r>
        <w:rPr>
          <w:rFonts w:ascii="宋体" w:hAnsi="宋体"/>
          <w:color w:val="auto"/>
          <w:szCs w:val="36"/>
          <w:highlight w:val="none"/>
        </w:rPr>
        <w:fldChar w:fldCharType="end"/>
      </w:r>
    </w:p>
    <w:p>
      <w:pPr>
        <w:pStyle w:val="27"/>
        <w:tabs>
          <w:tab w:val="right" w:leader="dot" w:pos="9638"/>
        </w:tabs>
        <w:rPr>
          <w:color w:val="auto"/>
          <w:highlight w:val="none"/>
        </w:rPr>
      </w:pPr>
      <w:r>
        <w:rPr>
          <w:rFonts w:ascii="宋体" w:hAnsi="宋体"/>
          <w:color w:val="auto"/>
          <w:szCs w:val="36"/>
          <w:highlight w:val="none"/>
        </w:rPr>
        <w:fldChar w:fldCharType="begin"/>
      </w:r>
      <w:r>
        <w:rPr>
          <w:rFonts w:ascii="宋体" w:hAnsi="宋体"/>
          <w:color w:val="auto"/>
          <w:szCs w:val="36"/>
          <w:highlight w:val="none"/>
        </w:rPr>
        <w:instrText xml:space="preserve"> HYPERLINK \l _Toc336 </w:instrText>
      </w:r>
      <w:r>
        <w:rPr>
          <w:rFonts w:ascii="宋体" w:hAnsi="宋体"/>
          <w:color w:val="auto"/>
          <w:szCs w:val="36"/>
          <w:highlight w:val="none"/>
        </w:rPr>
        <w:fldChar w:fldCharType="separate"/>
      </w:r>
      <w:r>
        <w:rPr>
          <w:rFonts w:hint="eastAsia" w:ascii="宋体" w:hAnsi="宋体"/>
          <w:color w:val="auto"/>
          <w:highlight w:val="none"/>
        </w:rPr>
        <w:t>第五章 合同条款</w:t>
      </w:r>
      <w:r>
        <w:rPr>
          <w:rFonts w:hint="eastAsia" w:ascii="宋体" w:hAnsi="宋体"/>
          <w:color w:val="auto"/>
          <w:highlight w:val="none"/>
          <w:lang w:eastAsia="zh-CN"/>
        </w:rPr>
        <w:t>（</w:t>
      </w:r>
      <w:r>
        <w:rPr>
          <w:rFonts w:hint="eastAsia" w:ascii="宋体" w:hAnsi="宋体"/>
          <w:color w:val="auto"/>
          <w:highlight w:val="none"/>
          <w:lang w:val="en-US" w:eastAsia="zh-CN"/>
        </w:rPr>
        <w:t>主要条款</w:t>
      </w:r>
      <w:r>
        <w:rPr>
          <w:rFonts w:hint="eastAsia" w:ascii="宋体" w:hAnsi="宋体"/>
          <w:color w:val="auto"/>
          <w:highlight w:val="none"/>
          <w:lang w:eastAsia="zh-CN"/>
        </w:rPr>
        <w:t>）</w:t>
      </w:r>
      <w:r>
        <w:rPr>
          <w:color w:val="auto"/>
          <w:highlight w:val="none"/>
        </w:rPr>
        <w:tab/>
      </w:r>
      <w:r>
        <w:rPr>
          <w:color w:val="auto"/>
          <w:highlight w:val="none"/>
        </w:rPr>
        <w:fldChar w:fldCharType="begin"/>
      </w:r>
      <w:r>
        <w:rPr>
          <w:color w:val="auto"/>
          <w:highlight w:val="none"/>
        </w:rPr>
        <w:instrText xml:space="preserve"> PAGEREF _Toc336 \h </w:instrText>
      </w:r>
      <w:r>
        <w:rPr>
          <w:color w:val="auto"/>
          <w:highlight w:val="none"/>
        </w:rPr>
        <w:fldChar w:fldCharType="separate"/>
      </w:r>
      <w:r>
        <w:rPr>
          <w:color w:val="auto"/>
          <w:highlight w:val="none"/>
        </w:rPr>
        <w:t>68</w:t>
      </w:r>
      <w:r>
        <w:rPr>
          <w:color w:val="auto"/>
          <w:highlight w:val="none"/>
        </w:rPr>
        <w:fldChar w:fldCharType="end"/>
      </w:r>
      <w:r>
        <w:rPr>
          <w:rFonts w:ascii="宋体" w:hAnsi="宋体"/>
          <w:color w:val="auto"/>
          <w:szCs w:val="36"/>
          <w:highlight w:val="none"/>
        </w:rPr>
        <w:fldChar w:fldCharType="end"/>
      </w:r>
    </w:p>
    <w:p>
      <w:pPr>
        <w:pStyle w:val="27"/>
        <w:tabs>
          <w:tab w:val="right" w:leader="dot" w:pos="9638"/>
        </w:tabs>
        <w:rPr>
          <w:color w:val="auto"/>
          <w:highlight w:val="none"/>
        </w:rPr>
      </w:pPr>
      <w:r>
        <w:rPr>
          <w:rFonts w:ascii="宋体" w:hAnsi="宋体"/>
          <w:color w:val="auto"/>
          <w:szCs w:val="36"/>
          <w:highlight w:val="none"/>
        </w:rPr>
        <w:fldChar w:fldCharType="begin"/>
      </w:r>
      <w:r>
        <w:rPr>
          <w:rFonts w:ascii="宋体" w:hAnsi="宋体"/>
          <w:color w:val="auto"/>
          <w:szCs w:val="36"/>
          <w:highlight w:val="none"/>
        </w:rPr>
        <w:instrText xml:space="preserve"> HYPERLINK \l _Toc22601 </w:instrText>
      </w:r>
      <w:r>
        <w:rPr>
          <w:rFonts w:ascii="宋体" w:hAnsi="宋体"/>
          <w:color w:val="auto"/>
          <w:szCs w:val="36"/>
          <w:highlight w:val="none"/>
        </w:rPr>
        <w:fldChar w:fldCharType="separate"/>
      </w:r>
      <w:r>
        <w:rPr>
          <w:rFonts w:hint="eastAsia" w:ascii="宋体" w:hAnsi="宋体"/>
          <w:color w:val="auto"/>
          <w:highlight w:val="none"/>
        </w:rPr>
        <w:t>第六章 评审办法</w:t>
      </w:r>
      <w:r>
        <w:rPr>
          <w:color w:val="auto"/>
          <w:highlight w:val="none"/>
        </w:rPr>
        <w:tab/>
      </w:r>
      <w:r>
        <w:rPr>
          <w:color w:val="auto"/>
          <w:highlight w:val="none"/>
        </w:rPr>
        <w:fldChar w:fldCharType="begin"/>
      </w:r>
      <w:r>
        <w:rPr>
          <w:color w:val="auto"/>
          <w:highlight w:val="none"/>
        </w:rPr>
        <w:instrText xml:space="preserve"> PAGEREF _Toc22601 \h </w:instrText>
      </w:r>
      <w:r>
        <w:rPr>
          <w:color w:val="auto"/>
          <w:highlight w:val="none"/>
        </w:rPr>
        <w:fldChar w:fldCharType="separate"/>
      </w:r>
      <w:r>
        <w:rPr>
          <w:color w:val="auto"/>
          <w:highlight w:val="none"/>
        </w:rPr>
        <w:t>74</w:t>
      </w:r>
      <w:r>
        <w:rPr>
          <w:color w:val="auto"/>
          <w:highlight w:val="none"/>
        </w:rPr>
        <w:fldChar w:fldCharType="end"/>
      </w:r>
      <w:r>
        <w:rPr>
          <w:rFonts w:ascii="宋体" w:hAnsi="宋体"/>
          <w:color w:val="auto"/>
          <w:szCs w:val="36"/>
          <w:highlight w:val="none"/>
        </w:rPr>
        <w:fldChar w:fldCharType="end"/>
      </w:r>
    </w:p>
    <w:p>
      <w:pPr>
        <w:rPr>
          <w:rFonts w:ascii="宋体" w:hAnsi="宋体"/>
          <w:color w:val="auto"/>
          <w:sz w:val="28"/>
          <w:szCs w:val="28"/>
          <w:highlight w:val="none"/>
        </w:rPr>
      </w:pPr>
      <w:r>
        <w:rPr>
          <w:rFonts w:ascii="宋体" w:hAnsi="宋体"/>
          <w:color w:val="auto"/>
          <w:szCs w:val="36"/>
          <w:highlight w:val="none"/>
        </w:rPr>
        <w:fldChar w:fldCharType="end"/>
      </w:r>
    </w:p>
    <w:p>
      <w:pPr>
        <w:pStyle w:val="19"/>
        <w:snapToGrid w:val="0"/>
        <w:spacing w:line="360" w:lineRule="auto"/>
        <w:jc w:val="center"/>
        <w:rPr>
          <w:rFonts w:hAnsi="宋体" w:cs="Adobe 黑体 Std R"/>
          <w:color w:val="auto"/>
          <w:sz w:val="44"/>
          <w:szCs w:val="24"/>
          <w:highlight w:val="none"/>
        </w:rPr>
      </w:pPr>
    </w:p>
    <w:p>
      <w:pPr>
        <w:ind w:left="-2"/>
        <w:jc w:val="left"/>
        <w:rPr>
          <w:rFonts w:ascii="宋体" w:hAnsi="宋体" w:cs="Adobe 黑体 Std R"/>
          <w:color w:val="auto"/>
          <w:sz w:val="32"/>
          <w:highlight w:val="none"/>
        </w:rPr>
      </w:pPr>
      <w:bookmarkStart w:id="39" w:name="_GoBack"/>
      <w:bookmarkEnd w:id="39"/>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pStyle w:val="3"/>
        <w:spacing w:line="360" w:lineRule="exact"/>
        <w:rPr>
          <w:rFonts w:hint="eastAsia" w:ascii="宋体" w:hAnsi="宋体"/>
          <w:color w:val="auto"/>
          <w:highlight w:val="none"/>
        </w:rPr>
        <w:sectPr>
          <w:headerReference r:id="rId4" w:type="first"/>
          <w:footerReference r:id="rId6" w:type="first"/>
          <w:headerReference r:id="rId3" w:type="default"/>
          <w:footerReference r:id="rId5" w:type="even"/>
          <w:pgSz w:w="11906" w:h="16838"/>
          <w:pgMar w:top="1134" w:right="1134" w:bottom="1134" w:left="1134" w:header="720" w:footer="720" w:gutter="0"/>
          <w:cols w:space="0" w:num="1"/>
          <w:docGrid w:type="lines" w:linePitch="312" w:charSpace="0"/>
        </w:sectPr>
      </w:pPr>
    </w:p>
    <w:p>
      <w:pPr>
        <w:pStyle w:val="3"/>
        <w:spacing w:line="360" w:lineRule="exact"/>
        <w:rPr>
          <w:rFonts w:ascii="宋体" w:hAnsi="宋体"/>
          <w:color w:val="auto"/>
          <w:sz w:val="24"/>
          <w:highlight w:val="none"/>
        </w:rPr>
      </w:pPr>
      <w:bookmarkStart w:id="0" w:name="_Toc25731"/>
      <w:r>
        <w:rPr>
          <w:rFonts w:hint="eastAsia" w:ascii="宋体" w:hAnsi="宋体"/>
          <w:color w:val="auto"/>
          <w:highlight w:val="none"/>
        </w:rPr>
        <w:t>第一章</w:t>
      </w:r>
      <w:r>
        <w:rPr>
          <w:rFonts w:hint="eastAsia" w:ascii="宋体" w:hAnsi="宋体"/>
          <w:color w:val="auto"/>
          <w:highlight w:val="none"/>
          <w:lang w:val="en-US" w:eastAsia="zh-CN"/>
        </w:rPr>
        <w:t xml:space="preserve"> </w:t>
      </w:r>
      <w:r>
        <w:rPr>
          <w:rFonts w:hint="eastAsia" w:ascii="宋体" w:hAnsi="宋体"/>
          <w:color w:val="auto"/>
          <w:szCs w:val="32"/>
          <w:highlight w:val="none"/>
        </w:rPr>
        <w:t>竞争性谈判公告</w:t>
      </w:r>
      <w:bookmarkEnd w:id="0"/>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32"/>
              <w:widowControl/>
              <w:spacing w:beforeAutospacing="0" w:afterAutospacing="0" w:line="360" w:lineRule="exact"/>
              <w:rPr>
                <w:rFonts w:ascii="宋体" w:hAnsi="宋体" w:cs="宋体"/>
                <w:color w:val="auto"/>
                <w:sz w:val="21"/>
                <w:szCs w:val="21"/>
                <w:highlight w:val="none"/>
              </w:rPr>
            </w:pPr>
            <w:r>
              <w:rPr>
                <w:rFonts w:hint="eastAsia" w:ascii="宋体" w:hAnsi="宋体" w:cs="宋体"/>
                <w:color w:val="auto"/>
                <w:sz w:val="21"/>
                <w:szCs w:val="21"/>
                <w:highlight w:val="none"/>
              </w:rPr>
              <w:t>项目概况</w:t>
            </w:r>
          </w:p>
          <w:p>
            <w:pPr>
              <w:pStyle w:val="32"/>
              <w:widowControl/>
              <w:spacing w:beforeAutospacing="0" w:afterAutospacing="0"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eastAsia="zh-CN"/>
              </w:rPr>
              <w:t>振动噪声测试与控制协同创新平台--扫描式激光测振仪采购</w:t>
            </w:r>
            <w:r>
              <w:rPr>
                <w:rFonts w:hint="eastAsia" w:ascii="宋体" w:hAnsi="宋体" w:cs="宋体"/>
                <w:color w:val="auto"/>
                <w:sz w:val="21"/>
                <w:szCs w:val="21"/>
                <w:highlight w:val="none"/>
              </w:rPr>
              <w:t>采购项目的潜在供应商应在广西政府采购云平台（https://www.gcy.zfcg.gxzf.gov.cn/）获取采购文件，并于</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03</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06</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0（北京时间）前提交响应文件。</w:t>
            </w:r>
          </w:p>
        </w:tc>
      </w:tr>
    </w:tbl>
    <w:p>
      <w:pPr>
        <w:pStyle w:val="32"/>
        <w:keepNext w:val="0"/>
        <w:keepLines w:val="0"/>
        <w:pageBreakBefore w:val="0"/>
        <w:widowControl/>
        <w:kinsoku/>
        <w:wordWrap/>
        <w:overflowPunct/>
        <w:topLinePunct w:val="0"/>
        <w:autoSpaceDE/>
        <w:autoSpaceDN/>
        <w:bidi w:val="0"/>
        <w:adjustRightInd/>
        <w:spacing w:beforeAutospacing="0" w:afterAutospacing="0"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Style w:val="39"/>
          <w:rFonts w:hint="eastAsia" w:ascii="宋体" w:hAnsi="宋体" w:cs="宋体"/>
          <w:color w:val="auto"/>
          <w:sz w:val="21"/>
          <w:szCs w:val="21"/>
          <w:highlight w:val="none"/>
        </w:rPr>
        <w:t>一、项目基本情况</w:t>
      </w:r>
      <w:r>
        <w:rPr>
          <w:rFonts w:hint="eastAsia" w:ascii="宋体" w:hAnsi="宋体" w:cs="宋体"/>
          <w:color w:val="auto"/>
          <w:sz w:val="21"/>
          <w:szCs w:val="21"/>
          <w:highlight w:val="none"/>
        </w:rPr>
        <w:t>                                            </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项目编号：GXZC2026-J1-000240-YTGC </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lang w:eastAsia="zh-CN"/>
        </w:rPr>
        <w:t>振动噪声测试与控制协同创新平台--扫描式激光测振仪采购</w:t>
      </w:r>
      <w:r>
        <w:rPr>
          <w:rFonts w:hint="eastAsia" w:ascii="宋体" w:hAnsi="宋体" w:cs="宋体"/>
          <w:color w:val="auto"/>
          <w:sz w:val="21"/>
          <w:szCs w:val="21"/>
          <w:highlight w:val="none"/>
        </w:rPr>
        <w:t> </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采购方式：竞争性谈判 </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预算总金额（元）：</w:t>
      </w:r>
      <w:r>
        <w:rPr>
          <w:rFonts w:hint="eastAsia" w:ascii="宋体" w:hAnsi="宋体" w:cs="宋体"/>
          <w:color w:val="auto"/>
          <w:sz w:val="21"/>
          <w:szCs w:val="21"/>
          <w:highlight w:val="none"/>
          <w:lang w:val="en-US" w:eastAsia="zh-CN"/>
        </w:rPr>
        <w:t>1983000</w:t>
      </w:r>
      <w:r>
        <w:rPr>
          <w:rFonts w:hint="eastAsia" w:ascii="宋体" w:hAnsi="宋体" w:cs="宋体"/>
          <w:color w:val="auto"/>
          <w:sz w:val="21"/>
          <w:szCs w:val="21"/>
          <w:highlight w:val="none"/>
        </w:rPr>
        <w:t> </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采购需求：</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标项名称:</w:t>
      </w:r>
      <w:r>
        <w:rPr>
          <w:rFonts w:hint="eastAsia" w:ascii="宋体" w:hAnsi="宋体" w:cs="宋体"/>
          <w:color w:val="auto"/>
          <w:sz w:val="21"/>
          <w:szCs w:val="21"/>
          <w:highlight w:val="none"/>
          <w:lang w:eastAsia="zh-CN"/>
        </w:rPr>
        <w:t>振动噪声测试与控制协同创新平台--扫描式激光测振仪采购</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数量</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预算金额（元）:</w:t>
      </w:r>
      <w:r>
        <w:rPr>
          <w:rFonts w:hint="eastAsia" w:ascii="宋体" w:hAnsi="宋体" w:cs="宋体"/>
          <w:color w:val="auto"/>
          <w:sz w:val="21"/>
          <w:szCs w:val="21"/>
          <w:highlight w:val="none"/>
          <w:lang w:val="en-US" w:eastAsia="zh-CN"/>
        </w:rPr>
        <w:t>1983000</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简要规格描述或项目基本概况介绍、用途：</w:t>
      </w:r>
      <w:r>
        <w:rPr>
          <w:rFonts w:hint="eastAsia" w:ascii="宋体" w:hAnsi="宋体" w:cs="宋体"/>
          <w:color w:val="auto"/>
          <w:sz w:val="21"/>
          <w:szCs w:val="21"/>
          <w:highlight w:val="none"/>
          <w:lang w:eastAsia="zh-CN"/>
        </w:rPr>
        <w:t>振动噪声测试与控制协同创新平台--扫描式激光测振仪采购</w:t>
      </w:r>
      <w:r>
        <w:rPr>
          <w:rFonts w:hint="eastAsia" w:ascii="宋体" w:hAnsi="宋体" w:cs="宋体"/>
          <w:color w:val="auto"/>
          <w:sz w:val="21"/>
          <w:szCs w:val="21"/>
          <w:highlight w:val="none"/>
        </w:rPr>
        <w:t>一项，具体内容见竞争性谈判文件第三章《采购需求》。</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最高限价（如有）：</w:t>
      </w:r>
      <w:r>
        <w:rPr>
          <w:rFonts w:hint="eastAsia" w:ascii="宋体" w:hAnsi="宋体" w:cs="宋体"/>
          <w:color w:val="auto"/>
          <w:sz w:val="21"/>
          <w:szCs w:val="21"/>
          <w:highlight w:val="none"/>
          <w:lang w:val="en-US" w:eastAsia="zh-CN"/>
        </w:rPr>
        <w:t>1983000</w:t>
      </w:r>
    </w:p>
    <w:p>
      <w:pPr>
        <w:pStyle w:val="32"/>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合同履约期限：</w:t>
      </w:r>
      <w:r>
        <w:rPr>
          <w:rFonts w:hint="eastAsia" w:ascii="宋体" w:hAnsi="宋体" w:eastAsia="宋体" w:cs="宋体"/>
          <w:color w:val="auto"/>
          <w:sz w:val="21"/>
          <w:szCs w:val="21"/>
          <w:highlight w:val="none"/>
        </w:rPr>
        <w:t>自签订合同之日起</w:t>
      </w:r>
      <w:r>
        <w:rPr>
          <w:rFonts w:hint="eastAsia" w:ascii="宋体" w:hAnsi="宋体" w:cs="宋体"/>
          <w:color w:val="auto"/>
          <w:sz w:val="21"/>
          <w:szCs w:val="21"/>
          <w:highlight w:val="none"/>
          <w:lang w:val="en-US" w:eastAsia="zh-CN"/>
        </w:rPr>
        <w:t>120</w:t>
      </w:r>
      <w:r>
        <w:rPr>
          <w:rFonts w:hint="eastAsia" w:ascii="宋体" w:hAnsi="宋体" w:eastAsia="宋体" w:cs="宋体"/>
          <w:color w:val="auto"/>
          <w:sz w:val="21"/>
          <w:szCs w:val="21"/>
          <w:highlight w:val="none"/>
        </w:rPr>
        <w:t>日内安装调试完毕，验收合格并交付使用。</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本项目（否）接受联合体投标</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备注：/</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2" w:firstLineChars="200"/>
        <w:textAlignment w:val="auto"/>
        <w:rPr>
          <w:rFonts w:ascii="宋体" w:hAnsi="宋体" w:cs="宋体"/>
          <w:color w:val="auto"/>
          <w:sz w:val="21"/>
          <w:szCs w:val="21"/>
          <w:highlight w:val="none"/>
        </w:rPr>
      </w:pPr>
      <w:r>
        <w:rPr>
          <w:rStyle w:val="39"/>
          <w:rFonts w:hint="eastAsia" w:ascii="宋体" w:hAnsi="宋体" w:cs="宋体"/>
          <w:color w:val="auto"/>
          <w:sz w:val="21"/>
          <w:szCs w:val="21"/>
          <w:highlight w:val="none"/>
        </w:rPr>
        <w:t>二、申请人的资格要求：</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1.满足《中华人民共和国政府采购法》第二十二条规定；</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2.落实政府采购政策需满足的资格要求：分标1：无 </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3.本项目的特定资格要求：无 </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2" w:firstLineChars="200"/>
        <w:jc w:val="both"/>
        <w:textAlignment w:val="auto"/>
        <w:rPr>
          <w:rFonts w:ascii="宋体" w:hAnsi="宋体" w:cs="宋体"/>
          <w:color w:val="auto"/>
          <w:sz w:val="21"/>
          <w:szCs w:val="21"/>
          <w:highlight w:val="none"/>
        </w:rPr>
      </w:pPr>
      <w:r>
        <w:rPr>
          <w:rStyle w:val="39"/>
          <w:rFonts w:hint="eastAsia" w:ascii="宋体" w:hAnsi="宋体" w:cs="宋体"/>
          <w:color w:val="auto"/>
          <w:sz w:val="21"/>
          <w:szCs w:val="21"/>
          <w:highlight w:val="none"/>
        </w:rPr>
        <w:t>三、获取采购文件</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02</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lang w:eastAsia="zh-CN"/>
        </w:rPr>
        <w:t>日202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02</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27</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rPr>
        <w:t>，每天上午</w:t>
      </w:r>
      <w:r>
        <w:rPr>
          <w:rFonts w:hint="eastAsia" w:ascii="宋体" w:hAnsi="宋体" w:cs="宋体"/>
          <w:color w:val="auto"/>
          <w:sz w:val="21"/>
          <w:szCs w:val="21"/>
          <w:highlight w:val="none"/>
          <w:lang w:val="en-US" w:eastAsia="zh-CN"/>
        </w:rPr>
        <w:t>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00</w:t>
      </w:r>
      <w:r>
        <w:rPr>
          <w:rFonts w:hint="eastAsia" w:ascii="宋体" w:hAnsi="宋体" w:cs="宋体"/>
          <w:color w:val="auto"/>
          <w:sz w:val="21"/>
          <w:szCs w:val="21"/>
          <w:highlight w:val="none"/>
        </w:rPr>
        <w:t>至</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59</w:t>
      </w:r>
      <w:r>
        <w:rPr>
          <w:rFonts w:hint="eastAsia" w:ascii="宋体" w:hAnsi="宋体" w:cs="宋体"/>
          <w:color w:val="auto"/>
          <w:sz w:val="21"/>
          <w:szCs w:val="21"/>
          <w:highlight w:val="none"/>
        </w:rPr>
        <w:t>，下午</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0至2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59</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北京时间，法定节假日除外）</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地点（网址）：广西政府采购云平台（https://www.gcy.zfcg.gxzf.gov.cn/）  </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方式：本项目为全流程电子化项目，不发放纸质文件，供应商可自行在“广西政府采购云平台”（https://www.gcy.zfcg.gxzf.gov.cn/）下载竞争性谈判文件，实名申请获取竞争性谈判文件，如在操作过程中遇到问题或者需要技术支持，请致电广西政府采购云平台客服热线：95763。供应商登陆“广西政府采购云平台”平台，应进行“申请获取竞争性谈判文件”操作，否则，有可能导致无法在线编制响应文件并参与竞标，其不利后果由供应商自行承担。  </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售价（元）：0 </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2" w:firstLineChars="200"/>
        <w:jc w:val="both"/>
        <w:textAlignment w:val="auto"/>
        <w:rPr>
          <w:rFonts w:ascii="宋体" w:hAnsi="宋体" w:cs="宋体"/>
          <w:color w:val="auto"/>
          <w:sz w:val="21"/>
          <w:szCs w:val="21"/>
          <w:highlight w:val="none"/>
        </w:rPr>
      </w:pPr>
      <w:r>
        <w:rPr>
          <w:rStyle w:val="39"/>
          <w:rFonts w:hint="eastAsia" w:ascii="宋体" w:hAnsi="宋体" w:cs="宋体"/>
          <w:color w:val="auto"/>
          <w:sz w:val="21"/>
          <w:szCs w:val="21"/>
          <w:highlight w:val="none"/>
        </w:rPr>
        <w:t>四、响应文件提交</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截止时间：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03</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06</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0（北京时间）</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地点（网址）：请登录广西政府采购云平台投标客户端投标 </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2" w:firstLineChars="200"/>
        <w:jc w:val="both"/>
        <w:textAlignment w:val="auto"/>
        <w:rPr>
          <w:rFonts w:ascii="宋体" w:hAnsi="宋体" w:cs="宋体"/>
          <w:color w:val="auto"/>
          <w:sz w:val="21"/>
          <w:szCs w:val="21"/>
          <w:highlight w:val="none"/>
        </w:rPr>
      </w:pPr>
      <w:r>
        <w:rPr>
          <w:rStyle w:val="39"/>
          <w:rFonts w:hint="eastAsia" w:ascii="宋体" w:hAnsi="宋体" w:cs="宋体"/>
          <w:color w:val="auto"/>
          <w:sz w:val="21"/>
          <w:szCs w:val="21"/>
          <w:highlight w:val="none"/>
        </w:rPr>
        <w:t>五、响应文件开启</w:t>
      </w:r>
      <w:r>
        <w:rPr>
          <w:rFonts w:hint="eastAsia" w:ascii="宋体" w:hAnsi="宋体" w:cs="宋体"/>
          <w:color w:val="auto"/>
          <w:sz w:val="21"/>
          <w:szCs w:val="21"/>
          <w:highlight w:val="none"/>
        </w:rPr>
        <w:t> </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开启时间：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03</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06</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0（北京时间）</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地点：广西政府采购云平台（https://www.gcy.zfcg.gxzf.gov.cn/） </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2" w:firstLineChars="200"/>
        <w:jc w:val="both"/>
        <w:textAlignment w:val="auto"/>
        <w:rPr>
          <w:rFonts w:ascii="宋体" w:hAnsi="宋体" w:cs="宋体"/>
          <w:color w:val="auto"/>
          <w:sz w:val="21"/>
          <w:szCs w:val="21"/>
          <w:highlight w:val="none"/>
        </w:rPr>
      </w:pPr>
      <w:r>
        <w:rPr>
          <w:rStyle w:val="39"/>
          <w:rFonts w:hint="eastAsia" w:ascii="宋体" w:hAnsi="宋体" w:cs="宋体"/>
          <w:color w:val="auto"/>
          <w:sz w:val="21"/>
          <w:szCs w:val="21"/>
          <w:highlight w:val="none"/>
        </w:rPr>
        <w:t>六、公告期限</w:t>
      </w:r>
      <w:r>
        <w:rPr>
          <w:rFonts w:hint="eastAsia" w:ascii="宋体" w:hAnsi="宋体" w:cs="宋体"/>
          <w:color w:val="auto"/>
          <w:sz w:val="21"/>
          <w:szCs w:val="21"/>
          <w:highlight w:val="none"/>
        </w:rPr>
        <w:t> </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自本公告发布之日起3个工作日。</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2" w:firstLineChars="200"/>
        <w:jc w:val="both"/>
        <w:textAlignment w:val="auto"/>
        <w:rPr>
          <w:rFonts w:ascii="宋体" w:hAnsi="宋体" w:cs="宋体"/>
          <w:color w:val="auto"/>
          <w:sz w:val="21"/>
          <w:szCs w:val="21"/>
          <w:highlight w:val="none"/>
        </w:rPr>
      </w:pPr>
      <w:r>
        <w:rPr>
          <w:rStyle w:val="39"/>
          <w:rFonts w:hint="eastAsia" w:ascii="宋体" w:hAnsi="宋体" w:cs="宋体"/>
          <w:color w:val="auto"/>
          <w:sz w:val="21"/>
          <w:szCs w:val="21"/>
          <w:highlight w:val="none"/>
        </w:rPr>
        <w:t>七、其他补充事宜</w:t>
      </w:r>
      <w:r>
        <w:rPr>
          <w:rFonts w:hint="eastAsia" w:ascii="宋体" w:hAnsi="宋体" w:cs="宋体"/>
          <w:color w:val="auto"/>
          <w:sz w:val="21"/>
          <w:szCs w:val="21"/>
          <w:highlight w:val="none"/>
        </w:rPr>
        <w:t> </w:t>
      </w:r>
    </w:p>
    <w:p>
      <w:pPr>
        <w:keepNext w:val="0"/>
        <w:keepLines w:val="0"/>
        <w:widowControl w:val="0"/>
        <w:suppressLineNumbers w:val="0"/>
        <w:autoSpaceDE w:val="0"/>
        <w:autoSpaceDN/>
        <w:spacing w:before="0" w:beforeAutospacing="0" w:after="0" w:afterAutospacing="0" w:line="360" w:lineRule="auto"/>
        <w:ind w:left="0" w:right="0" w:firstLine="420"/>
        <w:jc w:val="left"/>
        <w:rPr>
          <w:rFonts w:hint="eastAsia" w:ascii="宋体" w:hAnsi="宋体" w:cs="仿宋"/>
          <w:bCs/>
          <w:color w:val="auto"/>
          <w:szCs w:val="21"/>
          <w:highlight w:val="none"/>
        </w:rPr>
      </w:pPr>
      <w:r>
        <w:rPr>
          <w:rFonts w:hint="eastAsia" w:ascii="宋体" w:hAnsi="宋体" w:cs="仿宋"/>
          <w:bCs/>
          <w:color w:val="auto"/>
          <w:szCs w:val="21"/>
          <w:highlight w:val="none"/>
        </w:rPr>
        <w:t>（</w:t>
      </w:r>
      <w:r>
        <w:rPr>
          <w:rFonts w:hint="eastAsia" w:ascii="宋体" w:hAnsi="宋体" w:cs="仿宋"/>
          <w:bCs/>
          <w:color w:val="auto"/>
          <w:szCs w:val="21"/>
          <w:highlight w:val="none"/>
          <w:lang w:val="en-US" w:eastAsia="zh-CN"/>
        </w:rPr>
        <w:t>1</w:t>
      </w:r>
      <w:r>
        <w:rPr>
          <w:rFonts w:hint="eastAsia" w:ascii="宋体" w:hAnsi="宋体" w:cs="仿宋"/>
          <w:bCs/>
          <w:color w:val="auto"/>
          <w:szCs w:val="21"/>
          <w:highlight w:val="none"/>
        </w:rPr>
        <w:t>）</w:t>
      </w:r>
      <w:r>
        <w:rPr>
          <w:rFonts w:hint="eastAsia" w:ascii="宋体" w:hAnsi="宋体" w:cs="仿宋"/>
          <w:bCs/>
          <w:color w:val="auto"/>
          <w:szCs w:val="21"/>
          <w:highlight w:val="none"/>
          <w:lang w:val="en-US" w:eastAsia="zh-CN"/>
        </w:rPr>
        <w:t>竞标</w:t>
      </w:r>
      <w:r>
        <w:rPr>
          <w:rFonts w:hint="eastAsia" w:ascii="宋体" w:hAnsi="宋体" w:cs="仿宋"/>
          <w:bCs/>
          <w:color w:val="auto"/>
          <w:szCs w:val="21"/>
          <w:highlight w:val="none"/>
        </w:rPr>
        <w:t>保证金：</w:t>
      </w:r>
      <w:r>
        <w:rPr>
          <w:rFonts w:hint="eastAsia" w:ascii="宋体" w:hAnsi="宋体" w:eastAsia="宋体" w:cs="宋体"/>
          <w:color w:val="auto"/>
          <w:kern w:val="2"/>
          <w:sz w:val="21"/>
          <w:szCs w:val="21"/>
          <w:highlight w:val="none"/>
          <w:lang w:val="en-US" w:eastAsia="zh-CN" w:bidi="ar"/>
        </w:rPr>
        <w:t>人民币贰万元整（¥</w:t>
      </w:r>
      <w:r>
        <w:rPr>
          <w:rFonts w:hint="default" w:ascii="Times New Roman" w:hAnsi="Times New Roman" w:eastAsia="宋体" w:cs="Times New Roman"/>
          <w:color w:val="auto"/>
          <w:kern w:val="2"/>
          <w:sz w:val="21"/>
          <w:szCs w:val="21"/>
          <w:highlight w:val="none"/>
          <w:lang w:val="en-US" w:eastAsia="zh-CN" w:bidi="ar"/>
        </w:rPr>
        <w:t>20000.00</w:t>
      </w:r>
      <w:r>
        <w:rPr>
          <w:rFonts w:hint="eastAsia" w:ascii="宋体" w:hAnsi="宋体" w:eastAsia="宋体" w:cs="宋体"/>
          <w:color w:val="auto"/>
          <w:kern w:val="2"/>
          <w:sz w:val="21"/>
          <w:szCs w:val="21"/>
          <w:highlight w:val="none"/>
          <w:lang w:val="en-US" w:eastAsia="zh-CN" w:bidi="ar"/>
        </w:rPr>
        <w:t>）。竞标保证金的交纳方式：银行转账、支票、汇票、本票或者金融机构、担保机构出具的保险、保函（含电子保函，下同）等，禁止采用现钞方式。采用银行转账方式的，在响应文件提交截止时间前交至采购代理机构指定账户并且到账【开户银行：上海浦东发展银行股份有限公司柳州分行营业部，开户名称：广西银泰工程管理有限公司柳州分公司，银行账号：</w:t>
      </w:r>
      <w:r>
        <w:rPr>
          <w:rFonts w:hint="default" w:ascii="Times New Roman" w:hAnsi="Times New Roman" w:eastAsia="宋体" w:cs="Times New Roman"/>
          <w:color w:val="auto"/>
          <w:kern w:val="2"/>
          <w:sz w:val="21"/>
          <w:szCs w:val="21"/>
          <w:highlight w:val="none"/>
          <w:lang w:val="en-US" w:eastAsia="zh-CN" w:bidi="ar"/>
        </w:rPr>
        <w:t>5501 0078 8011 0000 2683</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Cs/>
          <w:color w:val="auto"/>
          <w:kern w:val="2"/>
          <w:sz w:val="21"/>
          <w:szCs w:val="21"/>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cs="仿宋"/>
          <w:bCs/>
          <w:color w:val="auto"/>
          <w:szCs w:val="21"/>
          <w:highlight w:val="none"/>
        </w:rPr>
      </w:pPr>
      <w:r>
        <w:rPr>
          <w:rFonts w:hint="eastAsia" w:ascii="宋体" w:hAnsi="宋体" w:cs="仿宋"/>
          <w:bCs/>
          <w:color w:val="auto"/>
          <w:szCs w:val="21"/>
          <w:highlight w:val="none"/>
        </w:rPr>
        <w:t>（</w:t>
      </w:r>
      <w:r>
        <w:rPr>
          <w:rFonts w:hint="eastAsia" w:ascii="宋体" w:hAnsi="宋体" w:cs="仿宋"/>
          <w:bCs/>
          <w:color w:val="auto"/>
          <w:szCs w:val="21"/>
          <w:highlight w:val="none"/>
          <w:lang w:val="en-US" w:eastAsia="zh-CN"/>
        </w:rPr>
        <w:t>2</w:t>
      </w:r>
      <w:r>
        <w:rPr>
          <w:rFonts w:hint="eastAsia" w:ascii="宋体" w:hAnsi="宋体" w:cs="仿宋"/>
          <w:bCs/>
          <w:color w:val="auto"/>
          <w:szCs w:val="21"/>
          <w:highlight w:val="none"/>
        </w:rPr>
        <w:t>）本项目为全流程电子化采购项目，通过广西政府采购云平台（https：//www.zcygov.cn）实行在线电子竞标，供应商应先安装“广西政府采购云电子交易客户端”（请自行前往广西政府采购云平台进行下载），并按照本项目竞争性</w:t>
      </w:r>
      <w:r>
        <w:rPr>
          <w:rFonts w:hint="eastAsia" w:ascii="宋体" w:hAnsi="宋体" w:cs="仿宋"/>
          <w:bCs/>
          <w:color w:val="auto"/>
          <w:szCs w:val="21"/>
          <w:highlight w:val="none"/>
          <w:lang w:eastAsia="zh-CN"/>
        </w:rPr>
        <w:t>竞标</w:t>
      </w:r>
      <w:r>
        <w:rPr>
          <w:rFonts w:hint="eastAsia" w:ascii="宋体" w:hAnsi="宋体" w:cs="仿宋"/>
          <w:bCs/>
          <w:color w:val="auto"/>
          <w:szCs w:val="21"/>
          <w:highlight w:val="none"/>
        </w:rPr>
        <w:t>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cs="仿宋"/>
          <w:bCs/>
          <w:color w:val="auto"/>
          <w:szCs w:val="21"/>
          <w:highlight w:val="none"/>
        </w:rPr>
      </w:pPr>
      <w:r>
        <w:rPr>
          <w:rFonts w:hint="eastAsia" w:ascii="宋体" w:hAnsi="宋体" w:cs="仿宋"/>
          <w:bCs/>
          <w:color w:val="auto"/>
          <w:szCs w:val="21"/>
          <w:highlight w:val="none"/>
        </w:rPr>
        <w:t>（</w:t>
      </w: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客服热线：95763）。</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cs="仿宋"/>
          <w:bCs/>
          <w:color w:val="auto"/>
          <w:szCs w:val="21"/>
          <w:highlight w:val="none"/>
        </w:rPr>
      </w:pPr>
      <w:r>
        <w:rPr>
          <w:rFonts w:hint="eastAsia" w:ascii="宋体" w:hAnsi="宋体" w:cs="仿宋"/>
          <w:bCs/>
          <w:color w:val="auto"/>
          <w:szCs w:val="21"/>
          <w:highlight w:val="none"/>
        </w:rPr>
        <w:t>（</w:t>
      </w:r>
      <w:r>
        <w:rPr>
          <w:rFonts w:hint="eastAsia" w:ascii="宋体" w:hAnsi="宋体" w:cs="仿宋"/>
          <w:bCs/>
          <w:color w:val="auto"/>
          <w:szCs w:val="21"/>
          <w:highlight w:val="none"/>
          <w:lang w:val="en-US" w:eastAsia="zh-CN"/>
        </w:rPr>
        <w:t>4</w:t>
      </w:r>
      <w:r>
        <w:rPr>
          <w:rFonts w:hint="eastAsia" w:ascii="宋体" w:hAnsi="宋体" w:cs="仿宋"/>
          <w:bCs/>
          <w:color w:val="auto"/>
          <w:szCs w:val="21"/>
          <w:highlight w:val="none"/>
        </w:rPr>
        <w:t>）CA证书在线解密：首次响应文件开启时，需携带制作响应文件时用来加密的有效数字证书（CA认证）登录广西政府采购云平台电子开标大厅现场按规定时间对加密的响应文件进行解密，否则后果自负。</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cs="仿宋"/>
          <w:bCs/>
          <w:color w:val="auto"/>
          <w:szCs w:val="21"/>
          <w:highlight w:val="none"/>
        </w:rPr>
      </w:pPr>
      <w:r>
        <w:rPr>
          <w:rFonts w:hint="eastAsia" w:ascii="宋体" w:hAnsi="宋体" w:cs="仿宋"/>
          <w:bCs/>
          <w:color w:val="auto"/>
          <w:szCs w:val="21"/>
          <w:highlight w:val="none"/>
        </w:rPr>
        <w:t>注：1）为确保网上操作合法、有效和安全，请供应商确保在电子竞标过程中能够对相关数据电文进行加密和使用</w:t>
      </w:r>
      <w:r>
        <w:rPr>
          <w:rFonts w:hint="eastAsia" w:ascii="宋体" w:hAnsi="宋体" w:cs="仿宋"/>
          <w:bCs/>
          <w:color w:val="auto"/>
          <w:szCs w:val="21"/>
          <w:highlight w:val="none"/>
          <w:lang w:eastAsia="zh-CN"/>
        </w:rPr>
        <w:t>电子公章</w:t>
      </w:r>
      <w:r>
        <w:rPr>
          <w:rFonts w:hint="eastAsia" w:ascii="宋体" w:hAnsi="宋体" w:cs="仿宋"/>
          <w:bCs/>
          <w:color w:val="auto"/>
          <w:szCs w:val="21"/>
          <w:highlight w:val="none"/>
        </w:rPr>
        <w:t>，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jc w:val="left"/>
        <w:textAlignment w:val="auto"/>
        <w:rPr>
          <w:rFonts w:ascii="宋体" w:hAnsi="宋体" w:cs="仿宋"/>
          <w:bCs/>
          <w:color w:val="auto"/>
          <w:szCs w:val="21"/>
          <w:highlight w:val="none"/>
        </w:rPr>
      </w:pPr>
      <w:r>
        <w:rPr>
          <w:rFonts w:hint="eastAsia" w:ascii="宋体" w:hAnsi="宋体" w:cs="仿宋"/>
          <w:bCs/>
          <w:color w:val="auto"/>
          <w:szCs w:val="21"/>
          <w:highlight w:val="none"/>
        </w:rPr>
        <w:t>（</w:t>
      </w:r>
      <w:r>
        <w:rPr>
          <w:rFonts w:hint="eastAsia" w:ascii="宋体" w:hAnsi="宋体" w:cs="仿宋"/>
          <w:bCs/>
          <w:color w:val="auto"/>
          <w:szCs w:val="21"/>
          <w:highlight w:val="none"/>
          <w:lang w:val="en-US" w:eastAsia="zh-CN"/>
        </w:rPr>
        <w:t>5</w:t>
      </w:r>
      <w:r>
        <w:rPr>
          <w:rFonts w:hint="eastAsia" w:ascii="宋体" w:hAnsi="宋体" w:cs="仿宋"/>
          <w:bCs/>
          <w:color w:val="auto"/>
          <w:szCs w:val="21"/>
          <w:highlight w:val="none"/>
        </w:rPr>
        <w:t>）供应商需要在具备有摄像头及语音功能且互联网网络状况良好的电脑登录广西政府采购云平台远程开标大厅参与本次</w:t>
      </w:r>
      <w:r>
        <w:rPr>
          <w:rFonts w:hint="eastAsia" w:ascii="宋体" w:hAnsi="宋体" w:cs="仿宋"/>
          <w:bCs/>
          <w:color w:val="auto"/>
          <w:szCs w:val="21"/>
          <w:highlight w:val="none"/>
          <w:lang w:eastAsia="zh-CN"/>
        </w:rPr>
        <w:t>竞标</w:t>
      </w:r>
      <w:r>
        <w:rPr>
          <w:rFonts w:hint="eastAsia" w:ascii="宋体" w:hAnsi="宋体" w:cs="仿宋"/>
          <w:bCs/>
          <w:color w:val="auto"/>
          <w:szCs w:val="21"/>
          <w:highlight w:val="none"/>
        </w:rPr>
        <w:t>，否则后果自负。</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2</w:t>
      </w:r>
      <w:r>
        <w:rPr>
          <w:rFonts w:hint="eastAsia" w:ascii="宋体" w:hAnsi="宋体" w:cs="仿宋"/>
          <w:bCs/>
          <w:color w:val="auto"/>
          <w:szCs w:val="21"/>
          <w:highlight w:val="none"/>
        </w:rPr>
        <w:t>.供应商有以下情形之一的不得参加政府采购活动：（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2）对在“信用中国”网站(www.creditchina.gov.cn)、中国政府采购网(www.ccgp.gov.cn)被列入失信被执行人、重大税收违法失信主体 、政府采购严重违法失信行为记录名单及其他不符合《中华人民共和国政府采购法》第二十二条规定条件的供应商，不得参与政府采购活动。</w:t>
      </w:r>
    </w:p>
    <w:p>
      <w:pPr>
        <w:keepNext w:val="0"/>
        <w:keepLines w:val="0"/>
        <w:pageBreakBefore w:val="0"/>
        <w:kinsoku/>
        <w:wordWrap/>
        <w:overflowPunct/>
        <w:topLinePunct w:val="0"/>
        <w:autoSpaceDE/>
        <w:autoSpaceDN/>
        <w:bidi w:val="0"/>
        <w:adjustRightInd/>
        <w:spacing w:beforeAutospacing="0" w:afterAutospacing="0" w:line="360" w:lineRule="auto"/>
        <w:ind w:firstLine="420"/>
        <w:textAlignment w:val="auto"/>
        <w:rPr>
          <w:rFonts w:ascii="宋体" w:hAnsi="宋体" w:cs="仿宋"/>
          <w:color w:val="auto"/>
          <w:kern w:val="0"/>
          <w:szCs w:val="21"/>
          <w:highlight w:val="none"/>
        </w:rPr>
      </w:pP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.网上查询地址：www.ccgp.gov.cn（中国政府采购网）、zfcg.gxzf.gov.cn（广西壮族自治区政府采购网）。</w:t>
      </w:r>
    </w:p>
    <w:p>
      <w:pPr>
        <w:keepNext w:val="0"/>
        <w:keepLines w:val="0"/>
        <w:pageBreakBefore w:val="0"/>
        <w:kinsoku/>
        <w:wordWrap/>
        <w:overflowPunct/>
        <w:topLinePunct w:val="0"/>
        <w:autoSpaceDE/>
        <w:autoSpaceDN/>
        <w:bidi w:val="0"/>
        <w:adjustRightInd/>
        <w:spacing w:beforeAutospacing="0" w:afterAutospacing="0" w:line="360" w:lineRule="auto"/>
        <w:ind w:firstLine="420"/>
        <w:textAlignment w:val="auto"/>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4</w:t>
      </w:r>
      <w:r>
        <w:rPr>
          <w:rFonts w:hint="eastAsia" w:ascii="宋体" w:hAnsi="宋体" w:cs="仿宋"/>
          <w:color w:val="auto"/>
          <w:kern w:val="0"/>
          <w:szCs w:val="21"/>
          <w:highlight w:val="none"/>
        </w:rPr>
        <w:t>.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2" w:firstLineChars="200"/>
        <w:textAlignment w:val="auto"/>
        <w:rPr>
          <w:rFonts w:ascii="宋体" w:hAnsi="宋体" w:cs="宋体"/>
          <w:color w:val="auto"/>
          <w:sz w:val="21"/>
          <w:szCs w:val="21"/>
          <w:highlight w:val="none"/>
        </w:rPr>
      </w:pPr>
      <w:r>
        <w:rPr>
          <w:rStyle w:val="39"/>
          <w:rFonts w:hint="eastAsia" w:ascii="宋体" w:hAnsi="宋体" w:cs="宋体"/>
          <w:color w:val="auto"/>
          <w:sz w:val="21"/>
          <w:szCs w:val="21"/>
          <w:highlight w:val="none"/>
        </w:rPr>
        <w:t>八、凡对本次招标提出询问，请按以下方式联系</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1.采购人信息 </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名称：广西科技大学 </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地址：柳州市城中区文昌路2号 </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项目联系人：邹玉玲 </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项目联系方式：0772-2685509 </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2.采购代理机构信息</w:t>
      </w:r>
    </w:p>
    <w:p>
      <w:pPr>
        <w:keepNext w:val="0"/>
        <w:keepLines w:val="0"/>
        <w:pageBreakBefore w:val="0"/>
        <w:kinsoku/>
        <w:wordWrap/>
        <w:overflowPunct/>
        <w:topLinePunct w:val="0"/>
        <w:autoSpaceDE/>
        <w:autoSpaceDN/>
        <w:bidi w:val="0"/>
        <w:adjustRightInd/>
        <w:spacing w:beforeAutospacing="0" w:afterAutospacing="0" w:line="360" w:lineRule="auto"/>
        <w:ind w:firstLine="420"/>
        <w:textAlignment w:val="auto"/>
        <w:rPr>
          <w:rFonts w:hint="eastAsia" w:ascii="宋体" w:hAnsi="宋体" w:eastAsia="宋体" w:cs="仿宋"/>
          <w:color w:val="auto"/>
          <w:szCs w:val="21"/>
          <w:highlight w:val="none"/>
          <w:lang w:eastAsia="zh-CN"/>
        </w:rPr>
      </w:pPr>
      <w:r>
        <w:rPr>
          <w:rFonts w:hint="eastAsia" w:ascii="宋体" w:hAnsi="宋体" w:cs="仿宋"/>
          <w:color w:val="auto"/>
          <w:szCs w:val="21"/>
          <w:highlight w:val="none"/>
        </w:rPr>
        <w:t>名称：</w:t>
      </w:r>
      <w:r>
        <w:rPr>
          <w:rFonts w:hint="eastAsia" w:ascii="宋体" w:hAnsi="宋体" w:cs="仿宋"/>
          <w:color w:val="auto"/>
          <w:szCs w:val="21"/>
          <w:highlight w:val="none"/>
          <w:lang w:eastAsia="zh-CN"/>
        </w:rPr>
        <w:t>广西银泰工程管理有限公司</w:t>
      </w:r>
    </w:p>
    <w:p>
      <w:pPr>
        <w:keepNext w:val="0"/>
        <w:keepLines w:val="0"/>
        <w:pageBreakBefore w:val="0"/>
        <w:kinsoku/>
        <w:wordWrap/>
        <w:overflowPunct/>
        <w:topLinePunct w:val="0"/>
        <w:autoSpaceDE/>
        <w:autoSpaceDN/>
        <w:bidi w:val="0"/>
        <w:adjustRightInd/>
        <w:spacing w:beforeAutospacing="0" w:afterAutospacing="0" w:line="360" w:lineRule="auto"/>
        <w:ind w:firstLine="420"/>
        <w:textAlignment w:val="auto"/>
        <w:rPr>
          <w:rFonts w:hint="eastAsia" w:ascii="宋体" w:hAnsi="宋体" w:eastAsia="宋体" w:cs="仿宋"/>
          <w:color w:val="auto"/>
          <w:szCs w:val="21"/>
          <w:highlight w:val="none"/>
          <w:lang w:eastAsia="zh-CN"/>
        </w:rPr>
      </w:pPr>
      <w:r>
        <w:rPr>
          <w:rFonts w:hint="eastAsia" w:ascii="宋体" w:hAnsi="宋体" w:cs="仿宋"/>
          <w:color w:val="auto"/>
          <w:szCs w:val="21"/>
          <w:highlight w:val="none"/>
        </w:rPr>
        <w:t>地址：广西柳州市东环大道168号翡翠龙庭</w:t>
      </w:r>
      <w:r>
        <w:rPr>
          <w:rFonts w:hint="eastAsia" w:ascii="宋体" w:hAnsi="宋体" w:cs="仿宋"/>
          <w:color w:val="auto"/>
          <w:szCs w:val="21"/>
          <w:highlight w:val="none"/>
          <w:lang w:eastAsia="zh-CN"/>
        </w:rPr>
        <w:t>12栋3-17</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textAlignment w:val="auto"/>
        <w:rPr>
          <w:rFonts w:hint="default" w:hAnsi="宋体" w:eastAsia="宋体"/>
          <w:color w:val="auto"/>
          <w:highlight w:val="none"/>
          <w:lang w:val="en-US" w:eastAsia="zh-CN"/>
        </w:rPr>
      </w:pPr>
      <w:r>
        <w:rPr>
          <w:rFonts w:hint="eastAsia" w:ascii="宋体" w:hAnsi="宋体" w:cs="仿宋"/>
          <w:color w:val="auto"/>
          <w:szCs w:val="21"/>
          <w:highlight w:val="none"/>
        </w:rPr>
        <w:t>项目联系人：</w:t>
      </w:r>
      <w:r>
        <w:rPr>
          <w:rFonts w:hint="eastAsia" w:ascii="宋体" w:hAnsi="宋体" w:cs="仿宋"/>
          <w:color w:val="auto"/>
          <w:szCs w:val="21"/>
          <w:highlight w:val="none"/>
          <w:lang w:val="en-US" w:eastAsia="zh-CN"/>
        </w:rPr>
        <w:t>刘国亮、蓝海曦、玉隽华</w:t>
      </w:r>
    </w:p>
    <w:p>
      <w:pPr>
        <w:keepNext w:val="0"/>
        <w:keepLines w:val="0"/>
        <w:pageBreakBefore w:val="0"/>
        <w:kinsoku/>
        <w:wordWrap/>
        <w:overflowPunct/>
        <w:topLinePunct w:val="0"/>
        <w:autoSpaceDE/>
        <w:autoSpaceDN/>
        <w:bidi w:val="0"/>
        <w:adjustRightInd/>
        <w:spacing w:beforeAutospacing="0" w:afterAutospacing="0" w:line="360" w:lineRule="auto"/>
        <w:ind w:firstLine="420"/>
        <w:textAlignment w:val="auto"/>
        <w:rPr>
          <w:rFonts w:hint="eastAsia" w:ascii="宋体" w:hAnsi="宋体" w:eastAsia="宋体" w:cs="仿宋"/>
          <w:color w:val="auto"/>
          <w:szCs w:val="21"/>
          <w:highlight w:val="none"/>
          <w:lang w:eastAsia="zh-CN"/>
        </w:rPr>
      </w:pPr>
      <w:r>
        <w:rPr>
          <w:rFonts w:hint="eastAsia" w:ascii="宋体" w:hAnsi="宋体" w:cs="仿宋"/>
          <w:color w:val="auto"/>
          <w:szCs w:val="21"/>
          <w:highlight w:val="none"/>
        </w:rPr>
        <w:t>项目联系方式：</w:t>
      </w:r>
      <w:r>
        <w:rPr>
          <w:rFonts w:hint="eastAsia" w:ascii="宋体" w:hAnsi="宋体" w:cs="仿宋"/>
          <w:color w:val="auto"/>
          <w:szCs w:val="21"/>
          <w:highlight w:val="none"/>
          <w:lang w:eastAsia="zh-CN"/>
        </w:rPr>
        <w:t>0772-2813184</w:t>
      </w:r>
    </w:p>
    <w:p>
      <w:pPr>
        <w:pStyle w:val="32"/>
        <w:keepNext w:val="0"/>
        <w:keepLines w:val="0"/>
        <w:pageBreakBefore w:val="0"/>
        <w:widowControl/>
        <w:kinsoku/>
        <w:wordWrap/>
        <w:overflowPunct/>
        <w:topLinePunct w:val="0"/>
        <w:autoSpaceDE/>
        <w:autoSpaceDN/>
        <w:bidi w:val="0"/>
        <w:adjustRightInd/>
        <w:spacing w:beforeAutospacing="0" w:afterAutospacing="0" w:line="360" w:lineRule="auto"/>
        <w:ind w:firstLine="630"/>
        <w:textAlignment w:val="auto"/>
        <w:rPr>
          <w:rFonts w:ascii="宋体" w:hAnsi="宋体" w:cs="宋体"/>
          <w:color w:val="auto"/>
          <w:sz w:val="21"/>
          <w:szCs w:val="21"/>
          <w:highlight w:val="none"/>
        </w:rPr>
      </w:pPr>
      <w:r>
        <w:rPr>
          <w:rFonts w:hint="eastAsia" w:ascii="宋体" w:hAnsi="宋体" w:cs="宋体"/>
          <w:color w:val="auto"/>
          <w:sz w:val="21"/>
          <w:szCs w:val="21"/>
          <w:highlight w:val="none"/>
        </w:rPr>
        <w:t> </w:t>
      </w:r>
    </w:p>
    <w:p>
      <w:pPr>
        <w:spacing w:line="360" w:lineRule="exact"/>
        <w:jc w:val="center"/>
        <w:outlineLvl w:val="0"/>
        <w:rPr>
          <w:rFonts w:hint="eastAsia" w:ascii="宋体" w:hAnsi="宋体"/>
          <w:b/>
          <w:bCs/>
          <w:color w:val="auto"/>
          <w:sz w:val="32"/>
          <w:szCs w:val="32"/>
          <w:highlight w:val="none"/>
        </w:rPr>
        <w:sectPr>
          <w:footerReference r:id="rId7" w:type="default"/>
          <w:pgSz w:w="11906" w:h="16838"/>
          <w:pgMar w:top="1134" w:right="1134" w:bottom="1134" w:left="1134" w:header="720" w:footer="720" w:gutter="0"/>
          <w:pgNumType w:fmt="decimal" w:start="1"/>
          <w:cols w:space="0" w:num="1"/>
          <w:docGrid w:type="lines" w:linePitch="312" w:charSpace="0"/>
        </w:sectPr>
      </w:pPr>
    </w:p>
    <w:p>
      <w:pPr>
        <w:spacing w:line="360" w:lineRule="exact"/>
        <w:jc w:val="center"/>
        <w:outlineLvl w:val="0"/>
        <w:rPr>
          <w:rFonts w:ascii="宋体" w:hAnsi="宋体"/>
          <w:b/>
          <w:bCs/>
          <w:color w:val="auto"/>
          <w:sz w:val="32"/>
          <w:szCs w:val="32"/>
          <w:highlight w:val="none"/>
        </w:rPr>
      </w:pPr>
      <w:bookmarkStart w:id="1" w:name="_Toc6030"/>
      <w:r>
        <w:rPr>
          <w:rFonts w:hint="eastAsia" w:ascii="宋体" w:hAnsi="宋体"/>
          <w:b/>
          <w:bCs/>
          <w:color w:val="auto"/>
          <w:sz w:val="32"/>
          <w:szCs w:val="32"/>
          <w:highlight w:val="none"/>
        </w:rPr>
        <w:t>第二章 供应商须知</w:t>
      </w:r>
      <w:bookmarkEnd w:id="1"/>
    </w:p>
    <w:tbl>
      <w:tblPr>
        <w:tblStyle w:val="36"/>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925"/>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91" w:type="dxa"/>
            <w:vAlign w:val="center"/>
          </w:tcPr>
          <w:p>
            <w:pPr>
              <w:keepNext w:val="0"/>
              <w:keepLines w:val="0"/>
              <w:pageBreakBefore w:val="0"/>
              <w:kinsoku/>
              <w:wordWrap/>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925" w:type="dxa"/>
            <w:vAlign w:val="center"/>
          </w:tcPr>
          <w:p>
            <w:pPr>
              <w:keepNext w:val="0"/>
              <w:keepLines w:val="0"/>
              <w:pageBreakBefore w:val="0"/>
              <w:kinsoku/>
              <w:wordWrap/>
              <w:overflowPunct/>
              <w:topLinePunct w:val="0"/>
              <w:bidi w:val="0"/>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条款号</w:t>
            </w:r>
          </w:p>
        </w:tc>
        <w:tc>
          <w:tcPr>
            <w:tcW w:w="8038" w:type="dxa"/>
            <w:vAlign w:val="center"/>
          </w:tcPr>
          <w:p>
            <w:pPr>
              <w:keepNext w:val="0"/>
              <w:keepLines w:val="0"/>
              <w:pageBreakBefore w:val="0"/>
              <w:kinsoku/>
              <w:wordWrap/>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91" w:type="dxa"/>
            <w:vAlign w:val="center"/>
          </w:tcPr>
          <w:p>
            <w:pPr>
              <w:keepNext w:val="0"/>
              <w:keepLines w:val="0"/>
              <w:pageBreakBefore w:val="0"/>
              <w:kinsoku/>
              <w:wordWrap/>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925" w:type="dxa"/>
            <w:vAlign w:val="center"/>
          </w:tcPr>
          <w:p>
            <w:pPr>
              <w:keepNext w:val="0"/>
              <w:keepLines w:val="0"/>
              <w:pageBreakBefore w:val="0"/>
              <w:kinsoku/>
              <w:wordWrap/>
              <w:overflowPunct/>
              <w:topLinePunct w:val="0"/>
              <w:bidi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8038" w:type="dxa"/>
            <w:shd w:val="clear" w:color="auto" w:fill="auto"/>
            <w:vAlign w:val="center"/>
          </w:tcPr>
          <w:p>
            <w:pPr>
              <w:pStyle w:val="19"/>
              <w:keepNext w:val="0"/>
              <w:keepLines w:val="0"/>
              <w:pageBreakBefore w:val="0"/>
              <w:kinsoku/>
              <w:wordWrap/>
              <w:overflowPunct/>
              <w:topLinePunct w:val="0"/>
              <w:bidi w:val="0"/>
              <w:spacing w:line="360" w:lineRule="auto"/>
              <w:rPr>
                <w:rFonts w:hint="eastAsia" w:ascii="宋体" w:hAnsi="宋体" w:eastAsia="宋体" w:cs="Times New Roman"/>
                <w:color w:val="auto"/>
                <w:kern w:val="0"/>
                <w:sz w:val="21"/>
                <w:szCs w:val="21"/>
                <w:highlight w:val="none"/>
                <w:lang w:val="en-US" w:eastAsia="zh-CN" w:bidi="ar-SA"/>
              </w:rPr>
            </w:pPr>
            <w:r>
              <w:rPr>
                <w:rFonts w:hint="eastAsia" w:ascii="宋体" w:hAnsi="宋体"/>
                <w:color w:val="auto"/>
                <w:sz w:val="21"/>
                <w:szCs w:val="22"/>
                <w:highlight w:val="none"/>
              </w:rPr>
              <w:t>供应商资格要求：</w:t>
            </w:r>
            <w:r>
              <w:rPr>
                <w:rFonts w:hint="eastAsia" w:hAnsi="宋体"/>
                <w:color w:val="auto"/>
                <w:sz w:val="21"/>
                <w:szCs w:val="22"/>
                <w:highlight w:val="none"/>
                <w:lang w:val="en-US" w:eastAsia="zh-CN"/>
              </w:rPr>
              <w:t>详见谈判公告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pPr>
              <w:keepNext w:val="0"/>
              <w:keepLines w:val="0"/>
              <w:pageBreakBefore w:val="0"/>
              <w:kinsoku/>
              <w:wordWrap/>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925" w:type="dxa"/>
            <w:vAlign w:val="center"/>
          </w:tcPr>
          <w:p>
            <w:pPr>
              <w:keepNext w:val="0"/>
              <w:keepLines w:val="0"/>
              <w:pageBreakBefore w:val="0"/>
              <w:kinsoku/>
              <w:wordWrap/>
              <w:overflowPunct/>
              <w:topLinePunct w:val="0"/>
              <w:bidi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8038" w:type="dxa"/>
            <w:shd w:val="clear" w:color="auto" w:fill="auto"/>
            <w:vAlign w:val="center"/>
          </w:tcPr>
          <w:p>
            <w:pPr>
              <w:keepNext w:val="0"/>
              <w:keepLines w:val="0"/>
              <w:pageBreakBefore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lang w:eastAsia="zh-CN"/>
              </w:rPr>
              <w:t>竞标</w:t>
            </w:r>
            <w:r>
              <w:rPr>
                <w:rFonts w:hint="eastAsia" w:ascii="宋体" w:hAnsi="宋体"/>
                <w:color w:val="auto"/>
                <w:szCs w:val="21"/>
                <w:highlight w:val="none"/>
              </w:rPr>
              <w:t>保证金金额：应按第一章“竞争性</w:t>
            </w:r>
            <w:r>
              <w:rPr>
                <w:rFonts w:hint="eastAsia" w:ascii="宋体" w:hAnsi="宋体"/>
                <w:color w:val="auto"/>
                <w:szCs w:val="21"/>
                <w:highlight w:val="none"/>
                <w:lang w:val="en-US" w:eastAsia="zh-CN"/>
              </w:rPr>
              <w:t>谈判</w:t>
            </w:r>
            <w:r>
              <w:rPr>
                <w:rFonts w:hint="eastAsia" w:ascii="宋体" w:hAnsi="宋体"/>
                <w:color w:val="auto"/>
                <w:szCs w:val="21"/>
                <w:highlight w:val="none"/>
              </w:rPr>
              <w:t>公告”规定交纳，</w:t>
            </w:r>
            <w:r>
              <w:rPr>
                <w:rFonts w:hint="eastAsia" w:ascii="宋体" w:hAnsi="宋体"/>
                <w:b/>
                <w:color w:val="auto"/>
                <w:szCs w:val="21"/>
                <w:highlight w:val="none"/>
              </w:rPr>
              <w:t>否则竞标无效</w:t>
            </w:r>
            <w:r>
              <w:rPr>
                <w:rFonts w:hint="eastAsia" w:ascii="宋体" w:hAnsi="宋体"/>
                <w:color w:val="auto"/>
                <w:szCs w:val="21"/>
                <w:highlight w:val="none"/>
              </w:rPr>
              <w:t>。</w:t>
            </w:r>
          </w:p>
          <w:p>
            <w:pPr>
              <w:keepNext w:val="0"/>
              <w:keepLines w:val="0"/>
              <w:pageBreakBefore w:val="0"/>
              <w:kinsoku/>
              <w:wordWrap/>
              <w:overflowPunct/>
              <w:topLinePunct w:val="0"/>
              <w:bidi w:val="0"/>
              <w:snapToGrid w:val="0"/>
              <w:spacing w:line="360" w:lineRule="auto"/>
              <w:ind w:firstLine="0" w:firstLineChars="0"/>
              <w:rPr>
                <w:rFonts w:ascii="宋体" w:hAnsi="宋体"/>
                <w:color w:val="auto"/>
                <w:szCs w:val="21"/>
                <w:highlight w:val="none"/>
              </w:rPr>
            </w:pPr>
            <w:r>
              <w:rPr>
                <w:rFonts w:hint="eastAsia" w:ascii="宋体" w:hAnsi="宋体"/>
                <w:color w:val="auto"/>
                <w:szCs w:val="21"/>
                <w:highlight w:val="none"/>
                <w:lang w:eastAsia="zh-CN"/>
              </w:rPr>
              <w:t>竞标</w:t>
            </w:r>
            <w:r>
              <w:rPr>
                <w:rFonts w:hint="eastAsia" w:ascii="宋体" w:hAnsi="宋体"/>
                <w:color w:val="auto"/>
                <w:szCs w:val="21"/>
                <w:highlight w:val="none"/>
              </w:rPr>
              <w:t>保证金应在竞标有效期内保持有效。</w:t>
            </w:r>
          </w:p>
          <w:p>
            <w:pPr>
              <w:keepNext w:val="0"/>
              <w:keepLines w:val="0"/>
              <w:pageBreakBefore w:val="0"/>
              <w:kinsoku/>
              <w:wordWrap/>
              <w:overflowPunct/>
              <w:topLinePunct w:val="0"/>
              <w:bidi w:val="0"/>
              <w:snapToGrid w:val="0"/>
              <w:spacing w:line="360" w:lineRule="auto"/>
              <w:ind w:firstLine="0" w:firstLineChars="0"/>
              <w:rPr>
                <w:rFonts w:hint="eastAsia" w:hAnsi="宋体" w:cs="Arial"/>
                <w:color w:val="auto"/>
                <w:highlight w:val="none"/>
              </w:rPr>
            </w:pPr>
            <w:r>
              <w:rPr>
                <w:rFonts w:hint="eastAsia" w:ascii="宋体" w:hAnsi="宋体"/>
                <w:color w:val="auto"/>
                <w:szCs w:val="21"/>
                <w:highlight w:val="none"/>
                <w:lang w:eastAsia="zh-CN"/>
              </w:rPr>
              <w:t>竞标</w:t>
            </w:r>
            <w:r>
              <w:rPr>
                <w:rFonts w:hint="eastAsia" w:ascii="宋体" w:hAnsi="宋体"/>
                <w:color w:val="auto"/>
                <w:szCs w:val="21"/>
                <w:highlight w:val="none"/>
              </w:rPr>
              <w:t>保证金交纳方式：</w:t>
            </w:r>
            <w:r>
              <w:rPr>
                <w:rFonts w:hint="eastAsia" w:hAnsi="宋体" w:cs="Arial"/>
                <w:color w:val="auto"/>
                <w:highlight w:val="none"/>
              </w:rPr>
              <w:t>银行转账、支票、汇票、本票或者金融机构、担保机构出具的保函</w:t>
            </w:r>
            <w:r>
              <w:rPr>
                <w:rFonts w:hint="eastAsia" w:ascii="宋体" w:hAnsi="宋体"/>
                <w:color w:val="auto"/>
                <w:szCs w:val="21"/>
                <w:highlight w:val="none"/>
              </w:rPr>
              <w:t>（含电子保函，下同）</w:t>
            </w:r>
            <w:r>
              <w:rPr>
                <w:rFonts w:hint="eastAsia" w:hAnsi="宋体" w:cs="Arial"/>
                <w:color w:val="auto"/>
                <w:highlight w:val="none"/>
              </w:rPr>
              <w:t>、保险，禁止采用现钞交纳方式。</w:t>
            </w:r>
          </w:p>
          <w:p>
            <w:pPr>
              <w:keepNext w:val="0"/>
              <w:keepLines w:val="0"/>
              <w:pageBreakBefore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lang w:eastAsia="zh-CN"/>
              </w:rPr>
              <w:t>竞标</w:t>
            </w:r>
            <w:r>
              <w:rPr>
                <w:rFonts w:hint="eastAsia" w:ascii="宋体" w:hAnsi="宋体"/>
                <w:color w:val="auto"/>
                <w:szCs w:val="21"/>
                <w:highlight w:val="none"/>
              </w:rPr>
              <w:t>保证金交纳截止时间：首次响应文件提交截止时间前。</w:t>
            </w:r>
          </w:p>
          <w:p>
            <w:pPr>
              <w:keepNext w:val="0"/>
              <w:keepLines w:val="0"/>
              <w:pageBreakBefore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相关要求：</w:t>
            </w:r>
          </w:p>
          <w:p>
            <w:pPr>
              <w:keepNext w:val="0"/>
              <w:keepLines w:val="0"/>
              <w:pageBreakBefore w:val="0"/>
              <w:kinsoku/>
              <w:wordWrap/>
              <w:overflowPunct/>
              <w:topLinePunct w:val="0"/>
              <w:bidi w:val="0"/>
              <w:snapToGrid w:val="0"/>
              <w:spacing w:line="360" w:lineRule="auto"/>
              <w:ind w:firstLine="0" w:firstLineChars="0"/>
              <w:rPr>
                <w:rFonts w:hint="eastAsia" w:ascii="宋体" w:hAnsi="宋体"/>
                <w:b/>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保证金采用银行转账交纳方式的，在响应文件提交截止时间前交至采购代理机构指定账户并且到账，供应商应将银行转账底单的复印件作为</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保证金交纳证明，放置于报价商务技术文件中，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pPr>
              <w:keepNext w:val="0"/>
              <w:keepLines w:val="0"/>
              <w:pageBreakBefore w:val="0"/>
              <w:kinsoku/>
              <w:wordWrap/>
              <w:overflowPunct/>
              <w:topLinePunct w:val="0"/>
              <w:bidi w:val="0"/>
              <w:snapToGrid w:val="0"/>
              <w:spacing w:line="360" w:lineRule="auto"/>
              <w:ind w:firstLine="0" w:firstLineChars="0"/>
              <w:rPr>
                <w:rFonts w:hint="eastAsia" w:ascii="宋体" w:hAnsi="宋体"/>
                <w:b/>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竞标</w:t>
            </w:r>
            <w:r>
              <w:rPr>
                <w:rFonts w:hint="eastAsia" w:ascii="宋体" w:hAnsi="宋体"/>
                <w:color w:val="auto"/>
                <w:szCs w:val="21"/>
                <w:highlight w:val="none"/>
              </w:rPr>
              <w:t>保证金采用支票、汇票、本票或者金融机构、担保机构出具的保函</w:t>
            </w:r>
            <w:r>
              <w:rPr>
                <w:rFonts w:hint="eastAsia" w:hAnsi="宋体" w:cs="Arial"/>
                <w:color w:val="auto"/>
                <w:highlight w:val="none"/>
              </w:rPr>
              <w:t>、保险</w:t>
            </w:r>
            <w:r>
              <w:rPr>
                <w:rFonts w:hint="eastAsia" w:ascii="宋体" w:hAnsi="宋体"/>
                <w:color w:val="auto"/>
                <w:szCs w:val="21"/>
                <w:highlight w:val="none"/>
              </w:rPr>
              <w:t>交纳方式的，供应商应将支票、汇票、本票或者金融机构、担保机构出具的保函</w:t>
            </w:r>
            <w:r>
              <w:rPr>
                <w:rFonts w:hint="eastAsia" w:hAnsi="宋体" w:cs="Arial"/>
                <w:color w:val="auto"/>
                <w:highlight w:val="none"/>
              </w:rPr>
              <w:t>、保险</w:t>
            </w:r>
            <w:r>
              <w:rPr>
                <w:rFonts w:hint="eastAsia" w:ascii="宋体" w:hAnsi="宋体"/>
                <w:color w:val="auto"/>
                <w:szCs w:val="21"/>
                <w:highlight w:val="none"/>
              </w:rPr>
              <w:t>的复印件作为</w:t>
            </w:r>
            <w:r>
              <w:rPr>
                <w:rFonts w:hint="eastAsia" w:ascii="宋体" w:hAnsi="宋体"/>
                <w:color w:val="auto"/>
                <w:szCs w:val="21"/>
                <w:highlight w:val="none"/>
                <w:lang w:eastAsia="zh-CN"/>
              </w:rPr>
              <w:t>竞标</w:t>
            </w:r>
            <w:r>
              <w:rPr>
                <w:rFonts w:hint="eastAsia" w:ascii="宋体" w:hAnsi="宋体"/>
                <w:color w:val="auto"/>
                <w:szCs w:val="21"/>
                <w:highlight w:val="none"/>
              </w:rPr>
              <w:t>保证金交纳证明，放置于</w:t>
            </w:r>
            <w:r>
              <w:rPr>
                <w:rFonts w:hint="eastAsia" w:ascii="宋体" w:hAnsi="宋体" w:cs="宋体"/>
                <w:color w:val="auto"/>
                <w:szCs w:val="21"/>
                <w:highlight w:val="none"/>
              </w:rPr>
              <w:t>报价商务技术文件</w:t>
            </w:r>
            <w:r>
              <w:rPr>
                <w:rFonts w:hint="eastAsia" w:ascii="宋体" w:hAnsi="宋体"/>
                <w:color w:val="auto"/>
                <w:szCs w:val="21"/>
                <w:highlight w:val="none"/>
              </w:rPr>
              <w:t>中，</w:t>
            </w:r>
            <w:r>
              <w:rPr>
                <w:rFonts w:hint="eastAsia" w:ascii="宋体" w:hAnsi="宋体"/>
                <w:b/>
                <w:color w:val="auto"/>
                <w:szCs w:val="21"/>
                <w:highlight w:val="none"/>
              </w:rPr>
              <w:t>否则竞标无效</w:t>
            </w:r>
            <w:r>
              <w:rPr>
                <w:rFonts w:hint="eastAsia" w:ascii="宋体" w:hAnsi="宋体"/>
                <w:color w:val="auto"/>
                <w:szCs w:val="21"/>
                <w:highlight w:val="none"/>
              </w:rPr>
              <w:t>。供应商必须于递交响应文件时将支票、汇票、本票或者金融机构、担保机构出具的保函</w:t>
            </w:r>
            <w:r>
              <w:rPr>
                <w:rFonts w:hint="eastAsia" w:hAnsi="宋体" w:cs="Arial"/>
                <w:color w:val="auto"/>
                <w:highlight w:val="none"/>
              </w:rPr>
              <w:t>、保险</w:t>
            </w:r>
            <w:r>
              <w:rPr>
                <w:rFonts w:hint="eastAsia" w:ascii="宋体" w:hAnsi="宋体"/>
                <w:color w:val="auto"/>
                <w:szCs w:val="21"/>
                <w:highlight w:val="none"/>
              </w:rPr>
              <w:t>原件提交给采购人或者采购代理机构</w:t>
            </w:r>
            <w:r>
              <w:rPr>
                <w:rFonts w:hint="eastAsia" w:ascii="宋体" w:hAnsi="宋体"/>
                <w:color w:val="auto"/>
                <w:highlight w:val="none"/>
              </w:rPr>
              <w:t>[提交地点：</w:t>
            </w:r>
            <w:r>
              <w:rPr>
                <w:rFonts w:hint="eastAsia" w:ascii="宋体" w:hAnsi="宋体"/>
                <w:color w:val="auto"/>
                <w:szCs w:val="21"/>
                <w:highlight w:val="none"/>
              </w:rPr>
              <w:t>柳州市龙湖路13号柳州市民服务中心北楼4楼）对应开标室，</w:t>
            </w:r>
            <w:r>
              <w:rPr>
                <w:rFonts w:hint="eastAsia" w:hAnsi="宋体"/>
                <w:color w:val="auto"/>
                <w:highlight w:val="none"/>
              </w:rPr>
              <w:t>采用电子保函方式交纳投标保证金的，不需提交</w:t>
            </w:r>
            <w:r>
              <w:rPr>
                <w:rFonts w:hint="eastAsia" w:ascii="宋体" w:hAnsi="宋体"/>
                <w:color w:val="auto"/>
                <w:highlight w:val="none"/>
              </w:rPr>
              <w:t>]</w:t>
            </w:r>
            <w:r>
              <w:rPr>
                <w:rFonts w:hint="eastAsia" w:ascii="宋体" w:hAnsi="宋体"/>
                <w:color w:val="auto"/>
                <w:szCs w:val="21"/>
                <w:highlight w:val="none"/>
              </w:rPr>
              <w:t>，由采购人或者采购代理机构向供应商出具回执，并妥善保管。</w:t>
            </w:r>
          </w:p>
          <w:p>
            <w:pPr>
              <w:keepNext w:val="0"/>
              <w:keepLines w:val="0"/>
              <w:pageBreakBefore w:val="0"/>
              <w:kinsoku/>
              <w:wordWrap/>
              <w:overflowPunct/>
              <w:topLinePunct w:val="0"/>
              <w:bidi w:val="0"/>
              <w:snapToGrid w:val="0"/>
              <w:spacing w:line="360" w:lineRule="auto"/>
              <w:ind w:firstLine="0" w:firstLineChars="0"/>
              <w:rPr>
                <w:rFonts w:hint="eastAsia" w:ascii="宋体" w:hAnsi="宋体"/>
                <w:b/>
                <w:color w:val="auto"/>
                <w:szCs w:val="21"/>
                <w:highlight w:val="none"/>
              </w:rPr>
            </w:pPr>
            <w:r>
              <w:rPr>
                <w:rFonts w:hint="eastAsia" w:ascii="宋体" w:hAnsi="宋体" w:cs="宋体"/>
                <w:color w:val="auto"/>
                <w:szCs w:val="21"/>
                <w:highlight w:val="none"/>
              </w:rPr>
              <w:t>3.供应商为联合体的，可以由联合体中的一方或者多方共同交纳</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保证金，其交纳的保证金对联合体各方均具有约束力。</w:t>
            </w:r>
          </w:p>
          <w:p>
            <w:pPr>
              <w:keepNext w:val="0"/>
              <w:keepLines w:val="0"/>
              <w:pageBreakBefore w:val="0"/>
              <w:kinsoku/>
              <w:wordWrap/>
              <w:overflowPunct/>
              <w:topLinePunct w:val="0"/>
              <w:bidi w:val="0"/>
              <w:snapToGrid w:val="0"/>
              <w:spacing w:line="360" w:lineRule="auto"/>
              <w:ind w:firstLine="0" w:firstLineChars="0"/>
              <w:rPr>
                <w:rFonts w:hint="eastAsia" w:ascii="宋体" w:hAnsi="宋体"/>
                <w:b/>
                <w:color w:val="auto"/>
                <w:szCs w:val="21"/>
                <w:highlight w:val="none"/>
              </w:rPr>
            </w:pPr>
            <w:r>
              <w:rPr>
                <w:rFonts w:hint="eastAsia" w:ascii="宋体" w:hAnsi="宋体"/>
                <w:b/>
                <w:color w:val="auto"/>
                <w:szCs w:val="21"/>
                <w:highlight w:val="none"/>
              </w:rPr>
              <w:t>备注：</w:t>
            </w:r>
          </w:p>
          <w:p>
            <w:pPr>
              <w:keepNext w:val="0"/>
              <w:keepLines w:val="0"/>
              <w:pageBreakBefore w:val="0"/>
              <w:kinsoku/>
              <w:wordWrap/>
              <w:overflowPunct/>
              <w:topLinePunct w:val="0"/>
              <w:bidi w:val="0"/>
              <w:snapToGrid w:val="0"/>
              <w:spacing w:line="360" w:lineRule="auto"/>
              <w:ind w:firstLine="0" w:firstLineChars="0"/>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eastAsia="zh-CN"/>
              </w:rPr>
              <w:t>竞标</w:t>
            </w:r>
            <w:r>
              <w:rPr>
                <w:rFonts w:hint="eastAsia" w:ascii="宋体" w:hAnsi="宋体"/>
                <w:b/>
                <w:color w:val="auto"/>
                <w:szCs w:val="21"/>
                <w:highlight w:val="none"/>
              </w:rPr>
              <w:t>保证金在响应文件提交截止时间后提交的，或者不按规定交纳方式交纳的，或者未足额交纳的（包含保函、保险额度不足的），视为无效</w:t>
            </w:r>
            <w:r>
              <w:rPr>
                <w:rFonts w:hint="eastAsia" w:ascii="宋体" w:hAnsi="宋体"/>
                <w:b/>
                <w:color w:val="auto"/>
                <w:szCs w:val="21"/>
                <w:highlight w:val="none"/>
                <w:lang w:eastAsia="zh-CN"/>
              </w:rPr>
              <w:t>竞标</w:t>
            </w:r>
            <w:r>
              <w:rPr>
                <w:rFonts w:hint="eastAsia" w:ascii="宋体" w:hAnsi="宋体"/>
                <w:b/>
                <w:color w:val="auto"/>
                <w:szCs w:val="21"/>
                <w:highlight w:val="none"/>
              </w:rPr>
              <w:t>保证金。</w:t>
            </w:r>
          </w:p>
          <w:p>
            <w:pPr>
              <w:keepNext w:val="0"/>
              <w:keepLines w:val="0"/>
              <w:pageBreakBefore w:val="0"/>
              <w:kinsoku/>
              <w:wordWrap/>
              <w:overflowPunct/>
              <w:topLinePunct w:val="0"/>
              <w:bidi w:val="0"/>
              <w:snapToGrid w:val="0"/>
              <w:spacing w:line="360" w:lineRule="auto"/>
              <w:ind w:firstLine="0" w:firstLineChars="0"/>
              <w:rPr>
                <w:rFonts w:hint="eastAsia" w:ascii="宋体" w:hAnsi="宋体"/>
                <w:b/>
                <w:color w:val="auto"/>
                <w:szCs w:val="21"/>
                <w:highlight w:val="none"/>
              </w:rPr>
            </w:pPr>
            <w:r>
              <w:rPr>
                <w:rFonts w:hint="eastAsia" w:ascii="宋体" w:hAnsi="宋体"/>
                <w:b/>
                <w:color w:val="auto"/>
                <w:szCs w:val="21"/>
                <w:highlight w:val="none"/>
              </w:rPr>
              <w:t>2.供应商采用现钞方式或者从个人账户（自然人竞标除外）转出的</w:t>
            </w:r>
            <w:r>
              <w:rPr>
                <w:rFonts w:hint="eastAsia" w:ascii="宋体" w:hAnsi="宋体"/>
                <w:b/>
                <w:color w:val="auto"/>
                <w:szCs w:val="21"/>
                <w:highlight w:val="none"/>
                <w:lang w:eastAsia="zh-CN"/>
              </w:rPr>
              <w:t>竞标</w:t>
            </w:r>
            <w:r>
              <w:rPr>
                <w:rFonts w:hint="eastAsia" w:ascii="宋体" w:hAnsi="宋体"/>
                <w:b/>
                <w:color w:val="auto"/>
                <w:szCs w:val="21"/>
                <w:highlight w:val="none"/>
              </w:rPr>
              <w:t>保证金，视为无效</w:t>
            </w:r>
            <w:r>
              <w:rPr>
                <w:rFonts w:hint="eastAsia" w:ascii="宋体" w:hAnsi="宋体"/>
                <w:b/>
                <w:color w:val="auto"/>
                <w:szCs w:val="21"/>
                <w:highlight w:val="none"/>
                <w:lang w:eastAsia="zh-CN"/>
              </w:rPr>
              <w:t>竞标</w:t>
            </w:r>
            <w:r>
              <w:rPr>
                <w:rFonts w:hint="eastAsia" w:ascii="宋体" w:hAnsi="宋体"/>
                <w:b/>
                <w:color w:val="auto"/>
                <w:szCs w:val="21"/>
                <w:highlight w:val="none"/>
              </w:rPr>
              <w:t>保证金。</w:t>
            </w:r>
          </w:p>
          <w:p>
            <w:pPr>
              <w:keepNext w:val="0"/>
              <w:keepLines w:val="0"/>
              <w:pageBreakBefore w:val="0"/>
              <w:kinsoku/>
              <w:wordWrap/>
              <w:overflowPunct/>
              <w:topLinePunct w:val="0"/>
              <w:bidi w:val="0"/>
              <w:snapToGrid w:val="0"/>
              <w:spacing w:line="360" w:lineRule="auto"/>
              <w:ind w:firstLine="0" w:firstLineChars="0"/>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w:t>
            </w:r>
            <w:r>
              <w:rPr>
                <w:rFonts w:hint="eastAsia" w:ascii="宋体" w:hAnsi="宋体"/>
                <w:b/>
                <w:color w:val="auto"/>
                <w:szCs w:val="21"/>
                <w:highlight w:val="none"/>
                <w:lang w:eastAsia="zh-CN"/>
              </w:rPr>
              <w:t>竞标</w:t>
            </w:r>
            <w:r>
              <w:rPr>
                <w:rFonts w:hint="eastAsia" w:ascii="宋体" w:hAnsi="宋体"/>
                <w:b/>
                <w:color w:val="auto"/>
                <w:szCs w:val="21"/>
                <w:highlight w:val="none"/>
              </w:rPr>
              <w:t>保证金。</w:t>
            </w:r>
          </w:p>
          <w:p>
            <w:pPr>
              <w:keepNext w:val="0"/>
              <w:keepLines w:val="0"/>
              <w:pageBreakBefore w:val="0"/>
              <w:kinsoku/>
              <w:wordWrap/>
              <w:overflowPunct/>
              <w:topLinePunct w:val="0"/>
              <w:bidi w:val="0"/>
              <w:snapToGrid w:val="0"/>
              <w:spacing w:line="360" w:lineRule="auto"/>
              <w:ind w:firstLine="0" w:firstLineChars="0"/>
              <w:rPr>
                <w:rFonts w:hint="eastAsia" w:ascii="宋体" w:hAnsi="宋体"/>
                <w:b/>
                <w:color w:val="auto"/>
                <w:szCs w:val="21"/>
                <w:highlight w:val="none"/>
              </w:rPr>
            </w:pPr>
            <w:r>
              <w:rPr>
                <w:rFonts w:hint="eastAsia" w:ascii="宋体" w:hAnsi="宋体"/>
                <w:b/>
                <w:color w:val="auto"/>
                <w:szCs w:val="21"/>
                <w:highlight w:val="none"/>
              </w:rPr>
              <w:t>4.保函、保险有效期低于竞标有效期的，视为无效</w:t>
            </w:r>
            <w:r>
              <w:rPr>
                <w:rFonts w:hint="eastAsia" w:ascii="宋体" w:hAnsi="宋体"/>
                <w:b/>
                <w:color w:val="auto"/>
                <w:szCs w:val="21"/>
                <w:highlight w:val="none"/>
                <w:lang w:eastAsia="zh-CN"/>
              </w:rPr>
              <w:t>竞标</w:t>
            </w:r>
            <w:r>
              <w:rPr>
                <w:rFonts w:hint="eastAsia" w:ascii="宋体" w:hAnsi="宋体"/>
                <w:b/>
                <w:color w:val="auto"/>
                <w:szCs w:val="21"/>
                <w:highlight w:val="none"/>
              </w:rPr>
              <w:t>保证金。</w:t>
            </w:r>
          </w:p>
          <w:p>
            <w:pPr>
              <w:keepNext w:val="0"/>
              <w:keepLines w:val="0"/>
              <w:pageBreakBefore w:val="0"/>
              <w:kinsoku/>
              <w:wordWrap/>
              <w:overflowPunct/>
              <w:topLinePunct w:val="0"/>
              <w:bidi w:val="0"/>
              <w:snapToGrid w:val="0"/>
              <w:spacing w:line="360" w:lineRule="auto"/>
              <w:ind w:firstLine="0" w:firstLineChars="0"/>
              <w:rPr>
                <w:rFonts w:hint="eastAsia" w:ascii="宋体" w:hAnsi="宋体" w:cs="宋体"/>
                <w:b/>
                <w:color w:val="auto"/>
                <w:szCs w:val="21"/>
                <w:highlight w:val="none"/>
              </w:rPr>
            </w:pPr>
            <w:r>
              <w:rPr>
                <w:rFonts w:hint="eastAsia" w:ascii="宋体" w:hAnsi="宋体"/>
                <w:b/>
                <w:color w:val="auto"/>
                <w:szCs w:val="21"/>
                <w:highlight w:val="none"/>
              </w:rPr>
              <w:t>5.采用金融机构、担保机构出具保函、保险的，必须为无条</w:t>
            </w:r>
            <w:r>
              <w:rPr>
                <w:rFonts w:hint="eastAsia" w:ascii="宋体" w:hAnsi="宋体" w:cs="宋体"/>
                <w:b/>
                <w:color w:val="auto"/>
                <w:szCs w:val="21"/>
                <w:highlight w:val="none"/>
              </w:rPr>
              <w:t>件保函</w:t>
            </w:r>
            <w:r>
              <w:rPr>
                <w:rFonts w:hint="eastAsia" w:ascii="宋体" w:hAnsi="宋体"/>
                <w:b/>
                <w:color w:val="auto"/>
                <w:szCs w:val="21"/>
                <w:highlight w:val="none"/>
              </w:rPr>
              <w:t>、保险</w:t>
            </w:r>
            <w:r>
              <w:rPr>
                <w:rFonts w:hint="eastAsia" w:ascii="宋体" w:hAnsi="宋体" w:cs="宋体"/>
                <w:b/>
                <w:color w:val="auto"/>
                <w:szCs w:val="21"/>
                <w:highlight w:val="none"/>
              </w:rPr>
              <w:t>，否则视为无效</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保证金。</w:t>
            </w:r>
          </w:p>
          <w:p>
            <w:pPr>
              <w:keepNext w:val="0"/>
              <w:keepLines w:val="0"/>
              <w:pageBreakBefore w:val="0"/>
              <w:kinsoku/>
              <w:wordWrap/>
              <w:overflowPunct/>
              <w:topLinePunct w:val="0"/>
              <w:bidi w:val="0"/>
              <w:spacing w:line="360" w:lineRule="auto"/>
              <w:rPr>
                <w:rFonts w:hint="default" w:ascii="宋体" w:hAnsi="宋体" w:eastAsia="宋体" w:cs="Times New Roman"/>
                <w:color w:val="auto"/>
                <w:kern w:val="2"/>
                <w:sz w:val="21"/>
                <w:szCs w:val="21"/>
                <w:highlight w:val="none"/>
                <w:lang w:val="en-US" w:eastAsia="zh-CN" w:bidi="ar-SA"/>
              </w:rPr>
            </w:pPr>
            <w:r>
              <w:rPr>
                <w:rFonts w:ascii="宋体" w:hAnsi="宋体"/>
                <w:b/>
                <w:color w:val="auto"/>
                <w:highlight w:val="none"/>
              </w:rPr>
              <w:t>6.</w:t>
            </w:r>
            <w:r>
              <w:rPr>
                <w:rFonts w:hint="eastAsia" w:ascii="宋体" w:hAnsi="宋体"/>
                <w:b/>
                <w:color w:val="auto"/>
                <w:highlight w:val="none"/>
              </w:rPr>
              <w:t>采用</w:t>
            </w:r>
            <w:r>
              <w:rPr>
                <w:rFonts w:hint="eastAsia" w:ascii="宋体" w:hAnsi="宋体"/>
                <w:b/>
                <w:color w:val="auto"/>
                <w:highlight w:val="none"/>
                <w:lang w:eastAsia="zh-CN"/>
              </w:rPr>
              <w:t>竞标</w:t>
            </w:r>
            <w:r>
              <w:rPr>
                <w:rFonts w:hint="eastAsia" w:ascii="宋体" w:hAnsi="宋体"/>
                <w:b/>
                <w:color w:val="auto"/>
                <w:highlight w:val="none"/>
              </w:rPr>
              <w:t>保证保险的，保单确定的受益人（本项目采购人）的权益应与采用银行保函形式同等，否则视为无效</w:t>
            </w:r>
            <w:r>
              <w:rPr>
                <w:rFonts w:hint="eastAsia" w:ascii="宋体" w:hAnsi="宋体"/>
                <w:b/>
                <w:color w:val="auto"/>
                <w:highlight w:val="none"/>
                <w:lang w:eastAsia="zh-CN"/>
              </w:rPr>
              <w:t>竞标</w:t>
            </w:r>
            <w:r>
              <w:rPr>
                <w:rFonts w:hint="eastAsia" w:ascii="宋体" w:hAnsi="宋体"/>
                <w:b/>
                <w:color w:val="auto"/>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91" w:type="dxa"/>
            <w:vAlign w:val="center"/>
          </w:tcPr>
          <w:p>
            <w:pPr>
              <w:keepNext w:val="0"/>
              <w:keepLines w:val="0"/>
              <w:pageBreakBefore w:val="0"/>
              <w:kinsoku/>
              <w:wordWrap/>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925" w:type="dxa"/>
            <w:vAlign w:val="center"/>
          </w:tcPr>
          <w:p>
            <w:pPr>
              <w:keepNext w:val="0"/>
              <w:keepLines w:val="0"/>
              <w:pageBreakBefore w:val="0"/>
              <w:kinsoku/>
              <w:wordWrap/>
              <w:overflowPunct/>
              <w:topLinePunct w:val="0"/>
              <w:bidi w:val="0"/>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8038" w:type="dxa"/>
            <w:shd w:val="clear" w:color="auto" w:fill="auto"/>
            <w:vAlign w:val="center"/>
          </w:tcPr>
          <w:p>
            <w:pPr>
              <w:keepNext w:val="0"/>
              <w:keepLines w:val="0"/>
              <w:pageBreakBefore w:val="0"/>
              <w:kinsoku/>
              <w:wordWrap/>
              <w:overflowPunct/>
              <w:topLinePunct w:val="0"/>
              <w:bidi w:val="0"/>
              <w:spacing w:line="360" w:lineRule="auto"/>
              <w:rPr>
                <w:rFonts w:ascii="宋体" w:hAnsi="Calibri" w:cs="宋体"/>
                <w:color w:val="auto"/>
                <w:kern w:val="0"/>
                <w:szCs w:val="21"/>
                <w:highlight w:val="none"/>
              </w:rPr>
            </w:pPr>
            <w:r>
              <w:rPr>
                <w:rFonts w:hint="eastAsia" w:ascii="宋体" w:hAnsi="Calibri" w:cs="宋体"/>
                <w:color w:val="auto"/>
                <w:kern w:val="0"/>
                <w:szCs w:val="21"/>
                <w:highlight w:val="none"/>
              </w:rPr>
              <w:t>联合体竞标：</w:t>
            </w:r>
          </w:p>
          <w:p>
            <w:pPr>
              <w:keepNext w:val="0"/>
              <w:keepLines w:val="0"/>
              <w:pageBreakBefore w:val="0"/>
              <w:kinsoku/>
              <w:wordWrap/>
              <w:overflowPunct/>
              <w:topLinePunct w:val="0"/>
              <w:bidi w:val="0"/>
              <w:spacing w:line="360" w:lineRule="auto"/>
              <w:rPr>
                <w:rFonts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接受联合体竞标。</w:t>
            </w:r>
          </w:p>
          <w:p>
            <w:pPr>
              <w:keepNext w:val="0"/>
              <w:keepLines w:val="0"/>
              <w:pageBreakBefore w:val="0"/>
              <w:kinsoku/>
              <w:wordWrap/>
              <w:overflowPunct/>
              <w:topLinePunct w:val="0"/>
              <w:bidi w:val="0"/>
              <w:spacing w:line="360" w:lineRule="auto"/>
              <w:rPr>
                <w:rFonts w:ascii="宋体" w:hAnsi="宋体" w:eastAsia="宋体" w:cs="Times New Roman"/>
                <w:color w:val="auto"/>
                <w:kern w:val="2"/>
                <w:sz w:val="21"/>
                <w:szCs w:val="21"/>
                <w:highlight w:val="none"/>
                <w:lang w:val="en-US" w:eastAsia="zh-CN" w:bidi="ar-SA"/>
              </w:rPr>
            </w:pPr>
            <w:r>
              <w:rPr>
                <w:rFonts w:hint="eastAsia" w:ascii="宋体" w:hAnsi="Calibri" w:cs="宋体"/>
                <w:color w:val="auto"/>
                <w:kern w:val="0"/>
                <w:szCs w:val="21"/>
                <w:highlight w:val="none"/>
              </w:rPr>
              <w:t>☑</w:t>
            </w:r>
            <w:r>
              <w:rPr>
                <w:rFonts w:hint="eastAsia" w:ascii="宋体" w:hAnsi="宋体"/>
                <w:color w:val="auto"/>
                <w:szCs w:val="21"/>
                <w:highlight w:val="none"/>
              </w:rPr>
              <w:t>不接受联合体竞标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pPr>
              <w:keepNext w:val="0"/>
              <w:keepLines w:val="0"/>
              <w:pageBreakBefore w:val="0"/>
              <w:kinsoku/>
              <w:wordWrap/>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925" w:type="dxa"/>
            <w:vAlign w:val="center"/>
          </w:tcPr>
          <w:p>
            <w:pPr>
              <w:keepNext w:val="0"/>
              <w:keepLines w:val="0"/>
              <w:pageBreakBefore w:val="0"/>
              <w:kinsoku/>
              <w:wordWrap/>
              <w:overflowPunct/>
              <w:topLinePunct w:val="0"/>
              <w:bidi w:val="0"/>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p>
        </w:tc>
        <w:tc>
          <w:tcPr>
            <w:tcW w:w="8038" w:type="dxa"/>
            <w:shd w:val="clear" w:color="auto" w:fill="auto"/>
            <w:vAlign w:val="center"/>
          </w:tcPr>
          <w:p>
            <w:pPr>
              <w:keepNext w:val="0"/>
              <w:keepLines w:val="0"/>
              <w:pageBreakBefore w:val="0"/>
              <w:kinsoku/>
              <w:wordWrap/>
              <w:overflowPunct/>
              <w:topLinePunct w:val="0"/>
              <w:bidi w:val="0"/>
              <w:spacing w:line="360" w:lineRule="auto"/>
              <w:rPr>
                <w:rFonts w:ascii="宋体" w:hAnsi="Calibri" w:cs="宋体"/>
                <w:color w:val="auto"/>
                <w:kern w:val="0"/>
                <w:szCs w:val="21"/>
                <w:highlight w:val="none"/>
              </w:rPr>
            </w:pPr>
            <w:r>
              <w:rPr>
                <w:rFonts w:hint="eastAsia" w:ascii="宋体" w:hAnsi="Calibri" w:cs="宋体"/>
                <w:color w:val="auto"/>
                <w:kern w:val="0"/>
                <w:szCs w:val="21"/>
                <w:highlight w:val="none"/>
              </w:rPr>
              <w:t>是否允许分包：</w:t>
            </w:r>
          </w:p>
          <w:p>
            <w:pPr>
              <w:keepNext w:val="0"/>
              <w:keepLines w:val="0"/>
              <w:pageBreakBefore w:val="0"/>
              <w:kinsoku/>
              <w:wordWrap/>
              <w:overflowPunct/>
              <w:topLinePunct w:val="0"/>
              <w:bidi w:val="0"/>
              <w:spacing w:line="360" w:lineRule="auto"/>
              <w:rPr>
                <w:rFonts w:ascii="宋体" w:hAnsi="Calibri" w:cs="宋体"/>
                <w:color w:val="auto"/>
                <w:kern w:val="0"/>
                <w:szCs w:val="21"/>
                <w:highlight w:val="none"/>
              </w:rPr>
            </w:pPr>
            <w:r>
              <w:rPr>
                <w:rFonts w:hint="eastAsia" w:ascii="宋体" w:hAnsi="Calibri" w:cs="宋体"/>
                <w:color w:val="auto"/>
                <w:kern w:val="0"/>
                <w:szCs w:val="21"/>
                <w:highlight w:val="none"/>
              </w:rPr>
              <w:t>☑不允许分包</w:t>
            </w:r>
          </w:p>
          <w:p>
            <w:pPr>
              <w:keepNext w:val="0"/>
              <w:keepLines w:val="0"/>
              <w:pageBreakBefore w:val="0"/>
              <w:kinsoku/>
              <w:wordWrap/>
              <w:overflowPunct/>
              <w:topLinePunct w:val="0"/>
              <w:bidi w:val="0"/>
              <w:spacing w:line="360" w:lineRule="auto"/>
              <w:rPr>
                <w:rFonts w:ascii="宋体" w:hAnsi="Calibri" w:cs="宋体"/>
                <w:color w:val="auto"/>
                <w:kern w:val="0"/>
                <w:szCs w:val="21"/>
                <w:highlight w:val="none"/>
              </w:rPr>
            </w:pPr>
            <w:r>
              <w:rPr>
                <w:rFonts w:hint="eastAsia" w:ascii="宋体" w:hAnsi="Calibri" w:cs="宋体"/>
                <w:color w:val="auto"/>
                <w:kern w:val="0"/>
                <w:szCs w:val="21"/>
                <w:highlight w:val="none"/>
              </w:rPr>
              <w:t>□允许分包</w:t>
            </w:r>
          </w:p>
          <w:p>
            <w:pPr>
              <w:keepNext w:val="0"/>
              <w:keepLines w:val="0"/>
              <w:pageBreakBefore w:val="0"/>
              <w:kinsoku/>
              <w:wordWrap/>
              <w:overflowPunct/>
              <w:topLinePunct w:val="0"/>
              <w:bidi w:val="0"/>
              <w:spacing w:line="360" w:lineRule="auto"/>
              <w:rPr>
                <w:rFonts w:ascii="宋体" w:hAnsi="宋体" w:eastAsia="宋体" w:cs="Times New Roman"/>
                <w:color w:val="auto"/>
                <w:kern w:val="2"/>
                <w:sz w:val="21"/>
                <w:szCs w:val="21"/>
                <w:highlight w:val="none"/>
                <w:lang w:val="en-US" w:eastAsia="zh-CN" w:bidi="ar-SA"/>
              </w:rPr>
            </w:pPr>
            <w:r>
              <w:rPr>
                <w:rFonts w:hint="eastAsia" w:ascii="宋体" w:hAnsi="Calibri" w:cs="宋体"/>
                <w:color w:val="auto"/>
                <w:kern w:val="0"/>
                <w:szCs w:val="21"/>
                <w:highlight w:val="none"/>
              </w:rPr>
              <w:t>分包内容：</w:t>
            </w:r>
            <w:r>
              <w:rPr>
                <w:rFonts w:hint="eastAsia" w:ascii="宋体" w:hAnsi="Calibri" w:cs="宋体"/>
                <w:color w:val="auto"/>
                <w:kern w:val="0"/>
                <w:szCs w:val="21"/>
                <w:highlight w:val="none"/>
                <w:u w:val="single"/>
              </w:rPr>
              <w:t xml:space="preserve">                       </w:t>
            </w:r>
            <w:r>
              <w:rPr>
                <w:rFonts w:hint="eastAsia" w:ascii="宋体" w:hAnsi="Calibri"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pPr>
              <w:keepNext w:val="0"/>
              <w:keepLines w:val="0"/>
              <w:pageBreakBefore w:val="0"/>
              <w:kinsoku/>
              <w:wordWrap/>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925" w:type="dxa"/>
            <w:vAlign w:val="center"/>
          </w:tcPr>
          <w:p>
            <w:pPr>
              <w:keepNext w:val="0"/>
              <w:keepLines w:val="0"/>
              <w:pageBreakBefore w:val="0"/>
              <w:kinsoku/>
              <w:wordWrap/>
              <w:overflowPunct/>
              <w:topLinePunct w:val="0"/>
              <w:bidi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16</w:t>
            </w:r>
          </w:p>
        </w:tc>
        <w:tc>
          <w:tcPr>
            <w:tcW w:w="8038" w:type="dxa"/>
            <w:vAlign w:val="center"/>
          </w:tcPr>
          <w:p>
            <w:pPr>
              <w:keepNext w:val="0"/>
              <w:keepLines w:val="0"/>
              <w:pageBreakBefore w:val="0"/>
              <w:kinsoku/>
              <w:wordWrap/>
              <w:overflowPunct/>
              <w:topLinePunct w:val="0"/>
              <w:bidi w:val="0"/>
              <w:spacing w:line="360" w:lineRule="auto"/>
              <w:rPr>
                <w:rFonts w:ascii="宋体" w:hAnsi="宋体"/>
                <w:color w:val="auto"/>
                <w:szCs w:val="21"/>
                <w:highlight w:val="none"/>
              </w:rPr>
            </w:pPr>
            <w:r>
              <w:rPr>
                <w:rFonts w:hint="eastAsia" w:ascii="宋体" w:hAnsi="宋体" w:cs="宋体"/>
                <w:color w:val="auto"/>
                <w:szCs w:val="21"/>
                <w:highlight w:val="none"/>
              </w:rPr>
              <w:t>响应文件有效期：提交首次响应文件截止之日起</w:t>
            </w:r>
            <w:r>
              <w:rPr>
                <w:rFonts w:hint="eastAsia" w:ascii="宋体" w:hAnsi="宋体" w:cs="宋体"/>
                <w:color w:val="auto"/>
                <w:szCs w:val="21"/>
                <w:highlight w:val="none"/>
                <w:lang w:val="en-US" w:eastAsia="zh-CN"/>
              </w:rPr>
              <w:t>120</w:t>
            </w:r>
            <w:r>
              <w:rPr>
                <w:rFonts w:hint="eastAsia" w:ascii="宋体" w:hAnsi="宋体" w:cs="宋体"/>
                <w:color w:val="auto"/>
                <w:szCs w:val="21"/>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pPr>
              <w:keepNext w:val="0"/>
              <w:keepLines w:val="0"/>
              <w:pageBreakBefore w:val="0"/>
              <w:kinsoku/>
              <w:wordWrap/>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925" w:type="dxa"/>
            <w:vAlign w:val="center"/>
          </w:tcPr>
          <w:p>
            <w:pPr>
              <w:keepNext w:val="0"/>
              <w:keepLines w:val="0"/>
              <w:pageBreakBefore w:val="0"/>
              <w:kinsoku/>
              <w:wordWrap/>
              <w:overflowPunct/>
              <w:topLinePunct w:val="0"/>
              <w:bidi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13.1</w:t>
            </w:r>
          </w:p>
        </w:tc>
        <w:tc>
          <w:tcPr>
            <w:tcW w:w="8038" w:type="dxa"/>
            <w:vAlign w:val="center"/>
          </w:tcPr>
          <w:p>
            <w:pPr>
              <w:pStyle w:val="19"/>
              <w:keepNext w:val="0"/>
              <w:keepLines w:val="0"/>
              <w:pageBreakBefore w:val="0"/>
              <w:kinsoku/>
              <w:wordWrap/>
              <w:overflowPunct/>
              <w:topLinePunct w:val="0"/>
              <w:bidi w:val="0"/>
              <w:spacing w:line="360" w:lineRule="auto"/>
              <w:rPr>
                <w:rFonts w:hAnsi="宋体"/>
                <w:b/>
                <w:color w:val="auto"/>
                <w:sz w:val="21"/>
                <w:szCs w:val="21"/>
                <w:highlight w:val="none"/>
              </w:rPr>
            </w:pPr>
            <w:r>
              <w:rPr>
                <w:rFonts w:hint="eastAsia" w:ascii="宋体" w:hAnsi="宋体" w:cs="Adobe 宋体 Std L"/>
                <w:b/>
                <w:bCs/>
                <w:color w:val="auto"/>
                <w:szCs w:val="21"/>
                <w:highlight w:val="none"/>
              </w:rPr>
              <w:t>资格证明文件</w:t>
            </w:r>
            <w:r>
              <w:rPr>
                <w:rFonts w:hint="eastAsia" w:ascii="宋体" w:hAnsi="宋体" w:cs="宋体"/>
                <w:b/>
                <w:color w:val="auto"/>
                <w:szCs w:val="21"/>
                <w:highlight w:val="none"/>
              </w:rPr>
              <w:t>【下列第1至</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项必须提供</w:t>
            </w:r>
            <w:r>
              <w:rPr>
                <w:rFonts w:hint="eastAsia" w:hAnsi="宋体" w:cs="Courier New"/>
                <w:b/>
                <w:color w:val="auto"/>
                <w:highlight w:val="none"/>
              </w:rPr>
              <w:t>（注明不须提供的情形除外）</w:t>
            </w:r>
            <w:r>
              <w:rPr>
                <w:rFonts w:hint="eastAsia" w:ascii="宋体" w:hAnsi="宋体" w:cs="宋体"/>
                <w:b/>
                <w:color w:val="auto"/>
                <w:szCs w:val="21"/>
                <w:highlight w:val="none"/>
              </w:rPr>
              <w:t>，否则响应文件按竞标无效处理，其他如有请提供】</w:t>
            </w:r>
            <w:r>
              <w:rPr>
                <w:rFonts w:hint="eastAsia" w:ascii="宋体" w:hAnsi="宋体" w:cs="宋体"/>
                <w:color w:val="auto"/>
                <w:szCs w:val="21"/>
                <w:highlight w:val="none"/>
              </w:rPr>
              <w:t>：</w:t>
            </w:r>
          </w:p>
          <w:p>
            <w:pPr>
              <w:keepNext w:val="0"/>
              <w:keepLines w:val="0"/>
              <w:pageBreakBefore w:val="0"/>
              <w:kinsoku/>
              <w:wordWrap/>
              <w:overflowPunct/>
              <w:topLinePunct w:val="0"/>
              <w:bidi w:val="0"/>
              <w:spacing w:line="360" w:lineRule="auto"/>
              <w:jc w:val="left"/>
              <w:rPr>
                <w:rFonts w:ascii="宋体" w:hAnsi="宋体"/>
                <w:color w:val="auto"/>
                <w:szCs w:val="21"/>
                <w:highlight w:val="none"/>
              </w:rPr>
            </w:pPr>
            <w:r>
              <w:rPr>
                <w:rFonts w:hint="eastAsia" w:ascii="宋体" w:hAnsi="宋体"/>
                <w:color w:val="auto"/>
                <w:szCs w:val="21"/>
                <w:highlight w:val="none"/>
              </w:rPr>
              <w:t>（1）谈判声明书(按第四章要求格式填写)；</w:t>
            </w:r>
          </w:p>
          <w:p>
            <w:pPr>
              <w:keepNext w:val="0"/>
              <w:keepLines w:val="0"/>
              <w:pageBreakBefore w:val="0"/>
              <w:kinsoku/>
              <w:wordWrap/>
              <w:overflowPunct/>
              <w:topLinePunct w:val="0"/>
              <w:bidi w:val="0"/>
              <w:spacing w:line="360" w:lineRule="auto"/>
              <w:jc w:val="left"/>
              <w:rPr>
                <w:rFonts w:hAnsi="宋体"/>
                <w:color w:val="auto"/>
                <w:szCs w:val="21"/>
                <w:highlight w:val="none"/>
              </w:rPr>
            </w:pPr>
            <w:r>
              <w:rPr>
                <w:rFonts w:hint="eastAsia" w:ascii="宋体" w:hAnsi="宋体"/>
                <w:color w:val="auto"/>
                <w:szCs w:val="21"/>
                <w:highlight w:val="none"/>
              </w:rPr>
              <w:t>（2）供应商</w:t>
            </w:r>
            <w:r>
              <w:rPr>
                <w:rFonts w:hint="eastAsia" w:hAnsi="宋体"/>
                <w:color w:val="auto"/>
                <w:szCs w:val="21"/>
                <w:highlight w:val="none"/>
              </w:rPr>
              <w:t>合法的主体资格证明（如营业执照、事业单位法人证书、执业许可证、个体工商户营业执照、自然人身份证等）复印件</w:t>
            </w:r>
            <w:r>
              <w:rPr>
                <w:rFonts w:hint="eastAsia" w:ascii="宋体" w:hAnsi="宋体"/>
                <w:bCs/>
                <w:color w:val="auto"/>
                <w:szCs w:val="21"/>
                <w:highlight w:val="none"/>
              </w:rPr>
              <w:t>；</w:t>
            </w:r>
          </w:p>
          <w:p>
            <w:pPr>
              <w:keepNext w:val="0"/>
              <w:keepLines w:val="0"/>
              <w:pageBreakBefore w:val="0"/>
              <w:kinsoku/>
              <w:wordWrap/>
              <w:overflowPunct/>
              <w:topLinePunct w:val="0"/>
              <w:bidi w:val="0"/>
              <w:spacing w:line="360" w:lineRule="auto"/>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政府采购供应商资格信用承诺函(按第四章要求格式填写)；</w:t>
            </w:r>
          </w:p>
          <w:p>
            <w:pPr>
              <w:keepNext w:val="0"/>
              <w:keepLines w:val="0"/>
              <w:pageBreakBefore w:val="0"/>
              <w:kinsoku/>
              <w:wordWrap/>
              <w:overflowPunct/>
              <w:topLinePunct w:val="0"/>
              <w:bidi w:val="0"/>
              <w:spacing w:line="360" w:lineRule="auto"/>
              <w:jc w:val="left"/>
              <w:rPr>
                <w:color w:val="auto"/>
                <w:szCs w:val="21"/>
                <w:highlight w:val="none"/>
              </w:rPr>
            </w:pPr>
            <w:r>
              <w:rPr>
                <w:rFonts w:hint="eastAsia" w:ascii="宋体" w:hAnsi="宋体"/>
                <w:color w:val="auto"/>
                <w:szCs w:val="21"/>
                <w:highlight w:val="none"/>
              </w:rPr>
              <w:t xml:space="preserve">（4）参加政府采购活动前三年内在经营活动中没有重大违法记录和不良信用记录的书面声明书（格式自拟）； </w:t>
            </w:r>
          </w:p>
          <w:p>
            <w:pPr>
              <w:keepNext w:val="0"/>
              <w:keepLines w:val="0"/>
              <w:pageBreakBefore w:val="0"/>
              <w:kinsoku/>
              <w:wordWrap/>
              <w:overflowPunct/>
              <w:topLinePunct w:val="0"/>
              <w:bidi w:val="0"/>
              <w:spacing w:line="360" w:lineRule="auto"/>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）供应商直接控股、管理关系信息表(按第四章要求格式填写)；</w:t>
            </w:r>
          </w:p>
          <w:p>
            <w:pPr>
              <w:keepNext w:val="0"/>
              <w:keepLines w:val="0"/>
              <w:pageBreakBefore w:val="0"/>
              <w:kinsoku/>
              <w:wordWrap/>
              <w:overflowPunct/>
              <w:topLinePunct w:val="0"/>
              <w:bidi w:val="0"/>
              <w:spacing w:line="360" w:lineRule="auto"/>
              <w:jc w:val="left"/>
              <w:rPr>
                <w:rFonts w:hAnsi="宋体"/>
                <w:bCs/>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）联合体协议书（联合体投标时必须提供，否则投标无效）；</w:t>
            </w:r>
          </w:p>
          <w:p>
            <w:pPr>
              <w:keepNext w:val="0"/>
              <w:keepLines w:val="0"/>
              <w:pageBreakBefore w:val="0"/>
              <w:kinsoku/>
              <w:wordWrap/>
              <w:overflowPunct/>
              <w:topLinePunct w:val="0"/>
              <w:bidi w:val="0"/>
              <w:spacing w:line="360" w:lineRule="auto"/>
              <w:ind w:firstLine="0" w:firstLineChars="0"/>
              <w:rPr>
                <w:rFonts w:hint="eastAsia" w:ascii="宋体" w:hAnsi="宋体" w:cs="宋体"/>
                <w:b/>
                <w:color w:val="auto"/>
                <w:szCs w:val="21"/>
                <w:highlight w:val="none"/>
              </w:rPr>
            </w:pPr>
            <w:r>
              <w:rPr>
                <w:rFonts w:hint="eastAsia" w:ascii="宋体" w:hAnsi="宋体" w:cs="宋体"/>
                <w:b/>
                <w:color w:val="auto"/>
                <w:szCs w:val="21"/>
                <w:highlight w:val="none"/>
              </w:rPr>
              <w:t>注：</w:t>
            </w:r>
          </w:p>
          <w:p>
            <w:pPr>
              <w:keepNext w:val="0"/>
              <w:keepLines w:val="0"/>
              <w:pageBreakBefore w:val="0"/>
              <w:kinsoku/>
              <w:wordWrap/>
              <w:overflowPunct/>
              <w:topLinePunct w:val="0"/>
              <w:bidi w:val="0"/>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1.以上文件均须法定代表人或被授权人在规定签章处签字（或者电子签名或者加盖电子印章）并加盖单位电子公章，否则作竞标无效处理。</w:t>
            </w:r>
          </w:p>
          <w:p>
            <w:pPr>
              <w:keepNext w:val="0"/>
              <w:keepLines w:val="0"/>
              <w:pageBreakBefore w:val="0"/>
              <w:kinsoku/>
              <w:wordWrap/>
              <w:overflowPunct/>
              <w:topLinePunct w:val="0"/>
              <w:bidi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2.以上文件属于复印件的，必须加盖供应商电子公章，否则作竞标无效处理。</w:t>
            </w:r>
          </w:p>
          <w:p>
            <w:pPr>
              <w:keepNext w:val="0"/>
              <w:keepLines w:val="0"/>
              <w:pageBreakBefore w:val="0"/>
              <w:kinsoku/>
              <w:wordWrap/>
              <w:overflowPunct/>
              <w:topLinePunct w:val="0"/>
              <w:bidi w:val="0"/>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3.分支机构竞标说明：</w:t>
            </w:r>
          </w:p>
          <w:p>
            <w:pPr>
              <w:keepNext w:val="0"/>
              <w:keepLines w:val="0"/>
              <w:pageBreakBefore w:val="0"/>
              <w:kinsoku/>
              <w:wordWrap/>
              <w:overflowPunct/>
              <w:topLinePunct w:val="0"/>
              <w:bidi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供应商如为分支机构竞标的须提供其总公司主体资格证明（如营业执照、事业单位法人证书、执业许可证等）、竞标授权书及相关资质证书。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pPr>
              <w:keepNext w:val="0"/>
              <w:keepLines w:val="0"/>
              <w:pageBreakBefore w:val="0"/>
              <w:kinsoku/>
              <w:wordWrap/>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925" w:type="dxa"/>
            <w:vAlign w:val="center"/>
          </w:tcPr>
          <w:p>
            <w:pPr>
              <w:keepNext w:val="0"/>
              <w:keepLines w:val="0"/>
              <w:pageBreakBefore w:val="0"/>
              <w:kinsoku/>
              <w:wordWrap/>
              <w:overflowPunct/>
              <w:topLinePunct w:val="0"/>
              <w:bidi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13.2</w:t>
            </w:r>
          </w:p>
        </w:tc>
        <w:tc>
          <w:tcPr>
            <w:tcW w:w="8038" w:type="dxa"/>
            <w:vAlign w:val="center"/>
          </w:tcPr>
          <w:p>
            <w:pPr>
              <w:spacing w:line="360" w:lineRule="auto"/>
              <w:rPr>
                <w:rFonts w:hint="eastAsia" w:ascii="宋体" w:hAnsi="宋体" w:cs="Adobe 宋体 Std L"/>
                <w:b/>
                <w:bCs/>
                <w:color w:val="auto"/>
                <w:szCs w:val="21"/>
                <w:highlight w:val="none"/>
              </w:rPr>
            </w:pPr>
            <w:r>
              <w:rPr>
                <w:rFonts w:hint="eastAsia" w:ascii="宋体" w:hAnsi="宋体" w:cs="Adobe 宋体 Std L"/>
                <w:b/>
                <w:bCs/>
                <w:color w:val="auto"/>
                <w:szCs w:val="21"/>
                <w:highlight w:val="none"/>
              </w:rPr>
              <w:t>商务和技术文件</w:t>
            </w:r>
            <w:r>
              <w:rPr>
                <w:rFonts w:hint="eastAsia" w:ascii="宋体" w:hAnsi="宋体" w:cs="宋体"/>
                <w:b/>
                <w:color w:val="auto"/>
                <w:szCs w:val="21"/>
                <w:highlight w:val="none"/>
              </w:rPr>
              <w:t>【下列第1至8项必须提供，否则响应文件按竞标无效处理</w:t>
            </w:r>
            <w:r>
              <w:rPr>
                <w:rFonts w:hint="eastAsia" w:ascii="宋体" w:hAnsi="宋体"/>
                <w:b/>
                <w:color w:val="auto"/>
                <w:szCs w:val="21"/>
                <w:highlight w:val="none"/>
              </w:rPr>
              <w:t>；</w:t>
            </w:r>
            <w:r>
              <w:rPr>
                <w:rFonts w:hint="eastAsia" w:ascii="宋体" w:hAnsi="宋体" w:cs="宋体"/>
                <w:b/>
                <w:color w:val="auto"/>
                <w:szCs w:val="21"/>
                <w:highlight w:val="none"/>
              </w:rPr>
              <w:t>其他如有请提供】：</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（1）法定代表人身份证明书(按第四章要求格式填写)； </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（2）法定代表人授权委托书及被授权委托人身份证复印件(委托代理时，按第四章要求格式填写)；</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（3）竞标保证金缴纳证明材料复印件（按第四章要求格式填写）；</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（4）商务响应表(按第四章要求格式填写)；</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（5）技术响应表(按第四章要求格式填写，附“第三章采购需求”中要求提供的相关材料)；</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（6）设备配置清单；(按第四章要求格式填写)； </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（7）项目实施方案；(按第四章要求格式填写)；</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（8）售后服务方案及承诺书(按第四章要求格式填写)；</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（9）选配件、专用耗材、售后服务优惠表(按第四章要求格式填写)；</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（10）供应商同类项目业绩一览表(按第四章要求格式填写)；</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（11）供应商对本项目的合理化建议和改进措施（格式自拟）；</w:t>
            </w:r>
          </w:p>
          <w:p>
            <w:pPr>
              <w:keepNext w:val="0"/>
              <w:keepLines w:val="0"/>
              <w:pageBreakBefore w:val="0"/>
              <w:kinsoku/>
              <w:wordWrap/>
              <w:overflowPunct/>
              <w:topLinePunct w:val="0"/>
              <w:bidi w:val="0"/>
              <w:spacing w:line="360" w:lineRule="auto"/>
              <w:jc w:val="left"/>
              <w:rPr>
                <w:rFonts w:hint="eastAsia" w:ascii="宋体" w:hAnsi="宋体"/>
                <w:color w:val="auto"/>
                <w:szCs w:val="21"/>
                <w:highlight w:val="none"/>
              </w:rPr>
            </w:pPr>
            <w:r>
              <w:rPr>
                <w:rFonts w:hint="eastAsia" w:ascii="宋体" w:hAnsi="宋体"/>
                <w:color w:val="auto"/>
                <w:szCs w:val="21"/>
                <w:highlight w:val="none"/>
              </w:rPr>
              <w:t>（12）供应商认为需要提供的其他证明材料。（供应商根据“第三章 采购需求”及“第六章 评标方法及评标标准”提供有关证明材料）。</w:t>
            </w:r>
          </w:p>
          <w:p>
            <w:pPr>
              <w:keepNext w:val="0"/>
              <w:keepLines w:val="0"/>
              <w:pageBreakBefore w:val="0"/>
              <w:kinsoku/>
              <w:wordWrap/>
              <w:overflowPunct/>
              <w:topLinePunct w:val="0"/>
              <w:bidi w:val="0"/>
              <w:spacing w:line="360" w:lineRule="auto"/>
              <w:ind w:firstLine="0" w:firstLineChars="0"/>
              <w:rPr>
                <w:rFonts w:hint="eastAsia" w:ascii="宋体" w:hAnsi="宋体" w:cs="宋体"/>
                <w:b/>
                <w:color w:val="auto"/>
                <w:szCs w:val="21"/>
                <w:highlight w:val="none"/>
              </w:rPr>
            </w:pPr>
            <w:r>
              <w:rPr>
                <w:rFonts w:hint="eastAsia" w:ascii="宋体" w:hAnsi="宋体" w:cs="宋体"/>
                <w:b/>
                <w:color w:val="auto"/>
                <w:szCs w:val="21"/>
                <w:highlight w:val="none"/>
              </w:rPr>
              <w:t>注：</w:t>
            </w:r>
          </w:p>
          <w:p>
            <w:pPr>
              <w:keepNext w:val="0"/>
              <w:keepLines w:val="0"/>
              <w:pageBreakBefore w:val="0"/>
              <w:kinsoku/>
              <w:wordWrap/>
              <w:overflowPunct/>
              <w:topLinePunct w:val="0"/>
              <w:bidi w:val="0"/>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1.以上文件均须法定代表人或被授权人在规定签章处签字（或者电子签名或者加盖电子印章）并加盖单位电子公章，否则作竞标无效处理。</w:t>
            </w:r>
          </w:p>
          <w:p>
            <w:pPr>
              <w:keepNext w:val="0"/>
              <w:keepLines w:val="0"/>
              <w:pageBreakBefore w:val="0"/>
              <w:kinsoku/>
              <w:wordWrap/>
              <w:overflowPunct/>
              <w:topLinePunct w:val="0"/>
              <w:bidi w:val="0"/>
              <w:snapToGrid w:val="0"/>
              <w:spacing w:line="360" w:lineRule="auto"/>
              <w:ind w:firstLine="413" w:firstLineChars="196"/>
              <w:jc w:val="left"/>
              <w:rPr>
                <w:rFonts w:hint="eastAsia" w:ascii="宋体" w:hAnsi="宋体"/>
                <w:color w:val="auto"/>
                <w:szCs w:val="21"/>
                <w:highlight w:val="none"/>
              </w:rPr>
            </w:pPr>
            <w:r>
              <w:rPr>
                <w:rFonts w:hint="eastAsia" w:ascii="宋体" w:hAnsi="宋体" w:cs="宋体"/>
                <w:b/>
                <w:color w:val="auto"/>
                <w:szCs w:val="21"/>
                <w:highlight w:val="none"/>
              </w:rPr>
              <w:t>2.以上文件属于复印件的，必须加盖供应商电子公章，否则作竞标无效处理。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91" w:type="dxa"/>
            <w:vAlign w:val="center"/>
          </w:tcPr>
          <w:p>
            <w:pPr>
              <w:keepNext w:val="0"/>
              <w:keepLines w:val="0"/>
              <w:pageBreakBefore w:val="0"/>
              <w:kinsoku/>
              <w:wordWrap/>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925" w:type="dxa"/>
            <w:vAlign w:val="center"/>
          </w:tcPr>
          <w:p>
            <w:pPr>
              <w:keepNext w:val="0"/>
              <w:keepLines w:val="0"/>
              <w:pageBreakBefore w:val="0"/>
              <w:kinsoku/>
              <w:wordWrap/>
              <w:overflowPunct/>
              <w:topLinePunct w:val="0"/>
              <w:bidi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13.3</w:t>
            </w:r>
          </w:p>
        </w:tc>
        <w:tc>
          <w:tcPr>
            <w:tcW w:w="8038" w:type="dxa"/>
            <w:vAlign w:val="center"/>
          </w:tcPr>
          <w:p>
            <w:pPr>
              <w:keepNext w:val="0"/>
              <w:keepLines w:val="0"/>
              <w:pageBreakBefore w:val="0"/>
              <w:kinsoku/>
              <w:wordWrap/>
              <w:overflowPunct/>
              <w:topLinePunct w:val="0"/>
              <w:bidi w:val="0"/>
              <w:spacing w:line="360" w:lineRule="auto"/>
              <w:rPr>
                <w:rFonts w:ascii="宋体" w:hAnsi="宋体" w:cs="Adobe 宋体 Std L"/>
                <w:b/>
                <w:bCs/>
                <w:color w:val="auto"/>
                <w:szCs w:val="21"/>
                <w:highlight w:val="none"/>
              </w:rPr>
            </w:pPr>
            <w:r>
              <w:rPr>
                <w:rFonts w:hint="eastAsia" w:ascii="宋体" w:hAnsi="宋体" w:cs="Adobe 宋体 Std L"/>
                <w:b/>
                <w:bCs/>
                <w:color w:val="auto"/>
                <w:szCs w:val="21"/>
                <w:highlight w:val="none"/>
              </w:rPr>
              <w:t>报价文件</w:t>
            </w:r>
            <w:r>
              <w:rPr>
                <w:rFonts w:hint="eastAsia" w:ascii="宋体" w:hAnsi="宋体" w:cs="宋体"/>
                <w:b/>
                <w:color w:val="auto"/>
                <w:szCs w:val="21"/>
                <w:highlight w:val="none"/>
              </w:rPr>
              <w:t>【下列第1至</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项必须提供，否则响应文件按竞标无效处理</w:t>
            </w:r>
            <w:r>
              <w:rPr>
                <w:rFonts w:hint="eastAsia" w:ascii="宋体" w:hAnsi="宋体"/>
                <w:b/>
                <w:color w:val="auto"/>
                <w:szCs w:val="21"/>
                <w:highlight w:val="none"/>
              </w:rPr>
              <w:t>；</w:t>
            </w:r>
            <w:r>
              <w:rPr>
                <w:rFonts w:hint="eastAsia" w:ascii="宋体" w:hAnsi="宋体" w:cs="宋体"/>
                <w:b/>
                <w:color w:val="auto"/>
                <w:szCs w:val="21"/>
                <w:highlight w:val="none"/>
              </w:rPr>
              <w:t>其他如有请提供】：</w:t>
            </w:r>
          </w:p>
          <w:p>
            <w:pPr>
              <w:keepNext w:val="0"/>
              <w:keepLines w:val="0"/>
              <w:pageBreakBefore w:val="0"/>
              <w:kinsoku/>
              <w:wordWrap/>
              <w:overflowPunct/>
              <w:topLinePunct w:val="0"/>
              <w:bidi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（1）竞标函（按第四章要求格式填写）；</w:t>
            </w:r>
          </w:p>
          <w:p>
            <w:pPr>
              <w:keepNext w:val="0"/>
              <w:keepLines w:val="0"/>
              <w:pageBreakBefore w:val="0"/>
              <w:kinsoku/>
              <w:wordWrap/>
              <w:overflowPunct/>
              <w:topLinePunct w:val="0"/>
              <w:bidi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（2）报价表 (按第四章要求格式填写) ； </w:t>
            </w:r>
          </w:p>
          <w:p>
            <w:pPr>
              <w:keepNext w:val="0"/>
              <w:keepLines w:val="0"/>
              <w:pageBreakBefore w:val="0"/>
              <w:kinsoku/>
              <w:wordWrap/>
              <w:overflowPunct/>
              <w:topLinePunct w:val="0"/>
              <w:bidi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（3）中小企业声明函（供应商如为中小微型企业的请按第四章要求的格式提供，否则不予享受优惠政策）；</w:t>
            </w:r>
          </w:p>
          <w:p>
            <w:pPr>
              <w:keepNext w:val="0"/>
              <w:keepLines w:val="0"/>
              <w:pageBreakBefore w:val="0"/>
              <w:kinsoku/>
              <w:wordWrap/>
              <w:overflowPunct/>
              <w:topLinePunct w:val="0"/>
              <w:bidi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（4）监狱企业由省级以上监狱管理局、戒毒管理局（含新疆生产建设兵团）出具的属于监狱企业的证明文件；</w:t>
            </w:r>
          </w:p>
          <w:p>
            <w:pPr>
              <w:keepNext w:val="0"/>
              <w:keepLines w:val="0"/>
              <w:pageBreakBefore w:val="0"/>
              <w:kinsoku/>
              <w:wordWrap/>
              <w:overflowPunct/>
              <w:topLinePunct w:val="0"/>
              <w:bidi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（5）残疾人福利性单位声明函（供应商如为残疾人福利性单位的请按第四章要求的格式提供，否则不予享受优惠政策）；</w:t>
            </w:r>
          </w:p>
          <w:p>
            <w:pPr>
              <w:keepNext w:val="0"/>
              <w:keepLines w:val="0"/>
              <w:pageBreakBefore w:val="0"/>
              <w:kinsoku/>
              <w:wordWrap/>
              <w:overflowPunct/>
              <w:topLinePunct w:val="0"/>
              <w:bidi w:val="0"/>
              <w:snapToGrid w:val="0"/>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rPr>
              <w:t>（6）关于符合本国产品标准的声明</w:t>
            </w:r>
            <w:r>
              <w:rPr>
                <w:rFonts w:hint="eastAsia" w:ascii="宋体" w:hAnsi="宋体"/>
                <w:color w:val="auto"/>
                <w:szCs w:val="21"/>
                <w:highlight w:val="none"/>
              </w:rPr>
              <w:t xml:space="preserve"> (按第四章要求格式填写) ；</w:t>
            </w:r>
          </w:p>
          <w:p>
            <w:pPr>
              <w:keepNext w:val="0"/>
              <w:keepLines w:val="0"/>
              <w:pageBreakBefore w:val="0"/>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）供应商针对报价需要说明的其他文件和说明（如有，格式自拟）</w:t>
            </w:r>
          </w:p>
          <w:p>
            <w:pPr>
              <w:keepNext w:val="0"/>
              <w:keepLines w:val="0"/>
              <w:pageBreakBefore w:val="0"/>
              <w:kinsoku/>
              <w:wordWrap/>
              <w:overflowPunct/>
              <w:topLinePunct w:val="0"/>
              <w:bidi w:val="0"/>
              <w:spacing w:line="360" w:lineRule="auto"/>
              <w:ind w:firstLine="0" w:firstLineChars="0"/>
              <w:rPr>
                <w:rFonts w:hint="eastAsia" w:ascii="宋体" w:hAnsi="宋体" w:cs="宋体"/>
                <w:b/>
                <w:color w:val="auto"/>
                <w:szCs w:val="21"/>
                <w:highlight w:val="none"/>
              </w:rPr>
            </w:pPr>
            <w:r>
              <w:rPr>
                <w:rFonts w:hint="eastAsia" w:ascii="宋体" w:hAnsi="宋体" w:cs="宋体"/>
                <w:b/>
                <w:color w:val="auto"/>
                <w:szCs w:val="21"/>
                <w:highlight w:val="none"/>
              </w:rPr>
              <w:t>注：</w:t>
            </w:r>
          </w:p>
          <w:p>
            <w:pPr>
              <w:keepNext w:val="0"/>
              <w:keepLines w:val="0"/>
              <w:pageBreakBefore w:val="0"/>
              <w:kinsoku/>
              <w:wordWrap/>
              <w:overflowPunct/>
              <w:topLinePunct w:val="0"/>
              <w:bidi w:val="0"/>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1.以上文件均须法定代表人或被授权人在规定签章处签字（或者电子签名或者加盖电子印章）并加盖单位电子公章，否则作竞标无效处理。</w:t>
            </w:r>
          </w:p>
          <w:p>
            <w:pPr>
              <w:keepNext w:val="0"/>
              <w:keepLines w:val="0"/>
              <w:pageBreakBefore w:val="0"/>
              <w:kinsoku/>
              <w:wordWrap/>
              <w:overflowPunct/>
              <w:topLinePunct w:val="0"/>
              <w:bidi w:val="0"/>
              <w:spacing w:line="360" w:lineRule="auto"/>
              <w:rPr>
                <w:rFonts w:hint="eastAsia" w:ascii="宋体" w:hAnsi="宋体"/>
                <w:color w:val="auto"/>
                <w:szCs w:val="21"/>
                <w:highlight w:val="none"/>
              </w:rPr>
            </w:pPr>
            <w:r>
              <w:rPr>
                <w:rFonts w:hint="eastAsia" w:ascii="宋体" w:hAnsi="宋体" w:cs="宋体"/>
                <w:b/>
                <w:color w:val="auto"/>
                <w:szCs w:val="21"/>
                <w:highlight w:val="none"/>
              </w:rPr>
              <w:t>2.以上文件属于复印件的，必须加盖供应商电子公章，否则作竞标无效处理。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pPr>
              <w:keepNext w:val="0"/>
              <w:keepLines w:val="0"/>
              <w:pageBreakBefore w:val="0"/>
              <w:kinsoku/>
              <w:wordWrap/>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9</w:t>
            </w:r>
          </w:p>
        </w:tc>
        <w:tc>
          <w:tcPr>
            <w:tcW w:w="925" w:type="dxa"/>
            <w:vAlign w:val="center"/>
          </w:tcPr>
          <w:p>
            <w:pPr>
              <w:keepNext w:val="0"/>
              <w:keepLines w:val="0"/>
              <w:pageBreakBefore w:val="0"/>
              <w:kinsoku/>
              <w:wordWrap/>
              <w:overflowPunct/>
              <w:topLinePunct w:val="0"/>
              <w:bidi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34.6</w:t>
            </w:r>
          </w:p>
        </w:tc>
        <w:tc>
          <w:tcPr>
            <w:tcW w:w="8038" w:type="dxa"/>
            <w:vAlign w:val="center"/>
          </w:tcPr>
          <w:p>
            <w:pPr>
              <w:keepNext w:val="0"/>
              <w:keepLines w:val="0"/>
              <w:pageBreakBefore w:val="0"/>
              <w:kinsoku/>
              <w:wordWrap/>
              <w:overflowPunct/>
              <w:topLinePunct w:val="0"/>
              <w:bidi w:val="0"/>
              <w:spacing w:line="360" w:lineRule="auto"/>
              <w:ind w:firstLine="0" w:firstLineChars="0"/>
              <w:rPr>
                <w:rFonts w:ascii="宋体" w:hAnsi="宋体" w:cs="宋体"/>
                <w:b/>
                <w:color w:val="auto"/>
                <w:szCs w:val="21"/>
                <w:highlight w:val="none"/>
              </w:rPr>
            </w:pPr>
            <w:r>
              <w:rPr>
                <w:rFonts w:hint="eastAsia" w:ascii="MS Mincho" w:hAnsi="MS Mincho" w:eastAsia="宋体" w:cs="MS Mincho"/>
                <w:b/>
                <w:color w:val="auto"/>
                <w:szCs w:val="21"/>
                <w:highlight w:val="none"/>
                <w:lang w:eastAsia="zh-CN"/>
              </w:rPr>
              <w:t>□</w:t>
            </w:r>
            <w:r>
              <w:rPr>
                <w:rFonts w:hint="eastAsia" w:ascii="宋体" w:hAnsi="宋体" w:cs="宋体"/>
                <w:b/>
                <w:color w:val="auto"/>
                <w:szCs w:val="21"/>
                <w:highlight w:val="none"/>
              </w:rPr>
              <w:t>无履约保证金</w:t>
            </w:r>
          </w:p>
          <w:p>
            <w:pPr>
              <w:keepNext w:val="0"/>
              <w:keepLines w:val="0"/>
              <w:pageBreakBefore w:val="0"/>
              <w:kinsoku/>
              <w:wordWrap/>
              <w:overflowPunct/>
              <w:topLinePunct w:val="0"/>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有履约保证金</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w:t>
            </w:r>
            <w:r>
              <w:rPr>
                <w:rFonts w:hint="eastAsia" w:ascii="宋体" w:hAnsi="宋体" w:eastAsia="宋体" w:cs="宋体"/>
                <w:bCs/>
                <w:color w:val="auto"/>
                <w:kern w:val="2"/>
                <w:sz w:val="21"/>
                <w:szCs w:val="21"/>
                <w:highlight w:val="none"/>
              </w:rPr>
              <w:t>合同价款的5%，若</w:t>
            </w:r>
            <w:r>
              <w:rPr>
                <w:rFonts w:hint="eastAsia" w:ascii="宋体" w:hAnsi="宋体" w:eastAsia="宋体" w:cs="宋体"/>
                <w:bCs/>
                <w:color w:val="auto"/>
                <w:kern w:val="2"/>
                <w:sz w:val="21"/>
                <w:szCs w:val="21"/>
                <w:highlight w:val="none"/>
                <w:lang w:eastAsia="zh-CN"/>
              </w:rPr>
              <w:t>成交人</w:t>
            </w:r>
            <w:r>
              <w:rPr>
                <w:rFonts w:hint="eastAsia" w:ascii="宋体" w:hAnsi="宋体" w:eastAsia="宋体" w:cs="宋体"/>
                <w:bCs/>
                <w:color w:val="auto"/>
                <w:kern w:val="2"/>
                <w:sz w:val="21"/>
                <w:szCs w:val="21"/>
                <w:highlight w:val="none"/>
              </w:rPr>
              <w:t>是中小企业，则履约保证金按合同价款的2%收取。</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履约保证金提交时间</w:t>
            </w:r>
            <w:r>
              <w:rPr>
                <w:rFonts w:hint="eastAsia" w:ascii="宋体" w:hAnsi="宋体" w:eastAsia="宋体" w:cs="宋体"/>
                <w:color w:val="auto"/>
                <w:szCs w:val="21"/>
                <w:highlight w:val="none"/>
                <w:lang w:val="en-US" w:eastAsia="zh-CN"/>
              </w:rPr>
              <w:t>及方式</w:t>
            </w:r>
            <w:r>
              <w:rPr>
                <w:rFonts w:hint="eastAsia" w:ascii="宋体" w:hAnsi="宋体" w:eastAsia="宋体" w:cs="宋体"/>
                <w:color w:val="auto"/>
                <w:szCs w:val="21"/>
                <w:highlight w:val="none"/>
              </w:rPr>
              <w:t xml:space="preserve">：合同签订前 </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日内，</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必须以银行转账、支票、汇票、本票或者金融机构、担保机构出具的保险、保函（含电子保函）等非现金方式向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提交履约保证金。</w:t>
            </w:r>
          </w:p>
          <w:p>
            <w:pPr>
              <w:keepNext w:val="0"/>
              <w:keepLines w:val="0"/>
              <w:pageBreakBefore w:val="0"/>
              <w:widowControl w:val="0"/>
              <w:numPr>
                <w:ilvl w:val="0"/>
                <w:numId w:val="1"/>
              </w:numPr>
              <w:tabs>
                <w:tab w:val="left" w:pos="180"/>
                <w:tab w:val="left" w:pos="1620"/>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履约保证金退付条件及时</w:t>
            </w:r>
            <w:r>
              <w:rPr>
                <w:rFonts w:hint="eastAsia" w:ascii="宋体" w:hAnsi="宋体" w:eastAsia="宋体" w:cs="宋体"/>
                <w:bCs/>
                <w:color w:val="auto"/>
                <w:kern w:val="2"/>
                <w:sz w:val="21"/>
                <w:szCs w:val="21"/>
                <w:highlight w:val="none"/>
                <w:lang w:val="en-US" w:eastAsia="zh-CN"/>
              </w:rPr>
              <w:t>间</w:t>
            </w:r>
            <w:r>
              <w:rPr>
                <w:rFonts w:hint="eastAsia" w:ascii="宋体" w:hAnsi="宋体" w:eastAsia="宋体" w:cs="宋体"/>
                <w:bCs/>
                <w:color w:val="auto"/>
                <w:kern w:val="2"/>
                <w:sz w:val="21"/>
                <w:szCs w:val="21"/>
                <w:highlight w:val="none"/>
              </w:rPr>
              <w:t>:自项目验收合格之日起至质保期满无质量问题，采购人收到退付履约保证金申请后15个工作日内退还(无息)。</w:t>
            </w:r>
          </w:p>
          <w:p>
            <w:pPr>
              <w:keepNext w:val="0"/>
              <w:keepLines w:val="0"/>
              <w:pageBreakBefore w:val="0"/>
              <w:widowControl w:val="0"/>
              <w:numPr>
                <w:ilvl w:val="0"/>
                <w:numId w:val="1"/>
              </w:numPr>
              <w:tabs>
                <w:tab w:val="left" w:pos="180"/>
                <w:tab w:val="left" w:pos="1620"/>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下列情况因履约保证金不能退还或另行处理，所产生的后果由</w:t>
            </w:r>
            <w:r>
              <w:rPr>
                <w:rFonts w:hint="eastAsia" w:ascii="宋体" w:hAnsi="宋体" w:eastAsia="宋体" w:cs="宋体"/>
                <w:bCs/>
                <w:color w:val="auto"/>
                <w:kern w:val="2"/>
                <w:sz w:val="21"/>
                <w:szCs w:val="21"/>
                <w:highlight w:val="none"/>
                <w:lang w:eastAsia="zh-CN"/>
              </w:rPr>
              <w:t>成交人</w:t>
            </w:r>
            <w:r>
              <w:rPr>
                <w:rFonts w:hint="eastAsia" w:ascii="宋体" w:hAnsi="宋体" w:eastAsia="宋体" w:cs="宋体"/>
                <w:bCs/>
                <w:color w:val="auto"/>
                <w:kern w:val="2"/>
                <w:sz w:val="21"/>
                <w:szCs w:val="21"/>
                <w:highlight w:val="none"/>
              </w:rPr>
              <w:t>负责：</w:t>
            </w:r>
          </w:p>
          <w:p>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400" w:lineRule="exact"/>
              <w:ind w:left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（1）履行合同约定权利义务期间，</w:t>
            </w:r>
            <w:r>
              <w:rPr>
                <w:rFonts w:hint="eastAsia" w:ascii="宋体" w:hAnsi="宋体" w:eastAsia="宋体" w:cs="宋体"/>
                <w:bCs/>
                <w:color w:val="auto"/>
                <w:kern w:val="2"/>
                <w:sz w:val="21"/>
                <w:szCs w:val="21"/>
                <w:highlight w:val="none"/>
                <w:lang w:eastAsia="zh-CN"/>
              </w:rPr>
              <w:t>成交人</w:t>
            </w:r>
            <w:r>
              <w:rPr>
                <w:rFonts w:hint="eastAsia" w:ascii="宋体" w:hAnsi="宋体" w:eastAsia="宋体" w:cs="宋体"/>
                <w:bCs/>
                <w:color w:val="auto"/>
                <w:kern w:val="2"/>
                <w:sz w:val="21"/>
                <w:szCs w:val="21"/>
                <w:highlight w:val="none"/>
              </w:rPr>
              <w:t>不按合同履行质量保证义务的，</w:t>
            </w:r>
            <w:r>
              <w:rPr>
                <w:rFonts w:hint="eastAsia" w:ascii="宋体" w:hAnsi="宋体" w:eastAsia="宋体" w:cs="宋体"/>
                <w:bCs/>
                <w:color w:val="auto"/>
                <w:kern w:val="2"/>
                <w:sz w:val="21"/>
                <w:szCs w:val="21"/>
                <w:highlight w:val="none"/>
                <w:lang w:eastAsia="zh-CN"/>
              </w:rPr>
              <w:t>采购人</w:t>
            </w:r>
            <w:r>
              <w:rPr>
                <w:rFonts w:hint="eastAsia" w:ascii="宋体" w:hAnsi="宋体" w:eastAsia="宋体" w:cs="宋体"/>
                <w:bCs/>
                <w:color w:val="auto"/>
                <w:kern w:val="2"/>
                <w:sz w:val="21"/>
                <w:szCs w:val="21"/>
                <w:highlight w:val="none"/>
              </w:rPr>
              <w:t>有权对采购标的进行更换、维修维保，所需费用从</w:t>
            </w:r>
            <w:r>
              <w:rPr>
                <w:rFonts w:hint="eastAsia" w:ascii="宋体" w:hAnsi="宋体" w:eastAsia="宋体" w:cs="宋体"/>
                <w:bCs/>
                <w:color w:val="auto"/>
                <w:kern w:val="2"/>
                <w:sz w:val="21"/>
                <w:szCs w:val="21"/>
                <w:highlight w:val="none"/>
                <w:lang w:eastAsia="zh-CN"/>
              </w:rPr>
              <w:t>成交人</w:t>
            </w:r>
            <w:r>
              <w:rPr>
                <w:rFonts w:hint="eastAsia" w:ascii="宋体" w:hAnsi="宋体" w:eastAsia="宋体" w:cs="宋体"/>
                <w:bCs/>
                <w:color w:val="auto"/>
                <w:kern w:val="2"/>
                <w:sz w:val="21"/>
                <w:szCs w:val="21"/>
                <w:highlight w:val="none"/>
              </w:rPr>
              <w:t>提交的履约保证金中扣除，履约保证金不足以抵扣更换、维修维保费用的，不足部分由</w:t>
            </w:r>
            <w:r>
              <w:rPr>
                <w:rFonts w:hint="eastAsia" w:ascii="宋体" w:hAnsi="宋体" w:eastAsia="宋体" w:cs="宋体"/>
                <w:bCs/>
                <w:color w:val="auto"/>
                <w:kern w:val="2"/>
                <w:sz w:val="21"/>
                <w:szCs w:val="21"/>
                <w:highlight w:val="none"/>
                <w:lang w:eastAsia="zh-CN"/>
              </w:rPr>
              <w:t>成交人</w:t>
            </w:r>
            <w:r>
              <w:rPr>
                <w:rFonts w:hint="eastAsia" w:ascii="宋体" w:hAnsi="宋体" w:eastAsia="宋体" w:cs="宋体"/>
                <w:bCs/>
                <w:color w:val="auto"/>
                <w:kern w:val="2"/>
                <w:sz w:val="21"/>
                <w:szCs w:val="21"/>
                <w:highlight w:val="none"/>
              </w:rPr>
              <w:t>承担。同时，</w:t>
            </w:r>
            <w:r>
              <w:rPr>
                <w:rFonts w:hint="eastAsia" w:ascii="宋体" w:hAnsi="宋体" w:eastAsia="宋体" w:cs="宋体"/>
                <w:bCs/>
                <w:color w:val="auto"/>
                <w:kern w:val="2"/>
                <w:sz w:val="21"/>
                <w:szCs w:val="21"/>
                <w:highlight w:val="none"/>
                <w:lang w:eastAsia="zh-CN"/>
              </w:rPr>
              <w:t>采购人</w:t>
            </w:r>
            <w:r>
              <w:rPr>
                <w:rFonts w:hint="eastAsia" w:ascii="宋体" w:hAnsi="宋体" w:eastAsia="宋体" w:cs="宋体"/>
                <w:bCs/>
                <w:color w:val="auto"/>
                <w:kern w:val="2"/>
                <w:sz w:val="21"/>
                <w:szCs w:val="21"/>
                <w:highlight w:val="none"/>
              </w:rPr>
              <w:t>保留起诉</w:t>
            </w:r>
            <w:r>
              <w:rPr>
                <w:rFonts w:hint="eastAsia" w:ascii="宋体" w:hAnsi="宋体" w:eastAsia="宋体" w:cs="宋体"/>
                <w:bCs/>
                <w:color w:val="auto"/>
                <w:kern w:val="2"/>
                <w:sz w:val="21"/>
                <w:szCs w:val="21"/>
                <w:highlight w:val="none"/>
                <w:lang w:eastAsia="zh-CN"/>
              </w:rPr>
              <w:t>成交人</w:t>
            </w:r>
            <w:r>
              <w:rPr>
                <w:rFonts w:hint="eastAsia" w:ascii="宋体" w:hAnsi="宋体" w:eastAsia="宋体" w:cs="宋体"/>
                <w:bCs/>
                <w:color w:val="auto"/>
                <w:kern w:val="2"/>
                <w:sz w:val="21"/>
                <w:szCs w:val="21"/>
                <w:highlight w:val="none"/>
              </w:rPr>
              <w:t>的权利。</w:t>
            </w:r>
          </w:p>
          <w:p>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400" w:lineRule="exact"/>
              <w:ind w:left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w:t>
            </w:r>
            <w:r>
              <w:rPr>
                <w:rFonts w:hint="eastAsia" w:ascii="宋体" w:hAnsi="宋体" w:eastAsia="宋体" w:cs="宋体"/>
                <w:bCs/>
                <w:color w:val="auto"/>
                <w:kern w:val="2"/>
                <w:sz w:val="21"/>
                <w:szCs w:val="21"/>
                <w:highlight w:val="none"/>
                <w:lang w:eastAsia="zh-CN"/>
              </w:rPr>
              <w:t>成交人</w:t>
            </w:r>
            <w:r>
              <w:rPr>
                <w:rFonts w:hint="eastAsia" w:ascii="宋体" w:hAnsi="宋体" w:eastAsia="宋体" w:cs="宋体"/>
                <w:bCs/>
                <w:color w:val="auto"/>
                <w:kern w:val="2"/>
                <w:sz w:val="21"/>
                <w:szCs w:val="21"/>
                <w:highlight w:val="none"/>
              </w:rPr>
              <w:t>未履行完合同约定权利义务事项前，</w:t>
            </w:r>
            <w:r>
              <w:rPr>
                <w:rFonts w:hint="eastAsia" w:ascii="宋体" w:hAnsi="宋体" w:eastAsia="宋体" w:cs="宋体"/>
                <w:bCs/>
                <w:color w:val="auto"/>
                <w:kern w:val="2"/>
                <w:sz w:val="21"/>
                <w:szCs w:val="21"/>
                <w:highlight w:val="none"/>
                <w:lang w:eastAsia="zh-CN"/>
              </w:rPr>
              <w:t>成交人</w:t>
            </w:r>
            <w:r>
              <w:rPr>
                <w:rFonts w:hint="eastAsia" w:ascii="宋体" w:hAnsi="宋体" w:eastAsia="宋体" w:cs="宋体"/>
                <w:bCs/>
                <w:color w:val="auto"/>
                <w:kern w:val="2"/>
                <w:sz w:val="21"/>
                <w:szCs w:val="21"/>
                <w:highlight w:val="none"/>
              </w:rPr>
              <w:t>变更单位名称、联系方式等不及时告知</w:t>
            </w:r>
            <w:r>
              <w:rPr>
                <w:rFonts w:hint="eastAsia" w:ascii="宋体" w:hAnsi="宋体" w:eastAsia="宋体" w:cs="宋体"/>
                <w:bCs/>
                <w:color w:val="auto"/>
                <w:kern w:val="2"/>
                <w:sz w:val="21"/>
                <w:szCs w:val="21"/>
                <w:highlight w:val="none"/>
                <w:lang w:eastAsia="zh-CN"/>
              </w:rPr>
              <w:t>采购人</w:t>
            </w:r>
            <w:r>
              <w:rPr>
                <w:rFonts w:hint="eastAsia" w:ascii="宋体" w:hAnsi="宋体" w:eastAsia="宋体" w:cs="宋体"/>
                <w:bCs/>
                <w:color w:val="auto"/>
                <w:kern w:val="2"/>
                <w:sz w:val="21"/>
                <w:szCs w:val="21"/>
                <w:highlight w:val="none"/>
              </w:rPr>
              <w:t>并提供相关变更材料，造成</w:t>
            </w:r>
            <w:r>
              <w:rPr>
                <w:rFonts w:hint="eastAsia" w:ascii="宋体" w:hAnsi="宋体" w:eastAsia="宋体" w:cs="宋体"/>
                <w:bCs/>
                <w:color w:val="auto"/>
                <w:kern w:val="2"/>
                <w:sz w:val="21"/>
                <w:szCs w:val="21"/>
                <w:highlight w:val="none"/>
                <w:lang w:eastAsia="zh-CN"/>
              </w:rPr>
              <w:t>采购人</w:t>
            </w:r>
            <w:r>
              <w:rPr>
                <w:rFonts w:hint="eastAsia" w:ascii="宋体" w:hAnsi="宋体" w:eastAsia="宋体" w:cs="宋体"/>
                <w:bCs/>
                <w:color w:val="auto"/>
                <w:kern w:val="2"/>
                <w:sz w:val="21"/>
                <w:szCs w:val="21"/>
                <w:highlight w:val="none"/>
              </w:rPr>
              <w:t>无法通知</w:t>
            </w:r>
            <w:r>
              <w:rPr>
                <w:rFonts w:hint="eastAsia" w:ascii="宋体" w:hAnsi="宋体" w:eastAsia="宋体" w:cs="宋体"/>
                <w:bCs/>
                <w:color w:val="auto"/>
                <w:kern w:val="2"/>
                <w:sz w:val="21"/>
                <w:szCs w:val="21"/>
                <w:highlight w:val="none"/>
                <w:lang w:eastAsia="zh-CN"/>
              </w:rPr>
              <w:t>成交人</w:t>
            </w:r>
            <w:r>
              <w:rPr>
                <w:rFonts w:hint="eastAsia" w:ascii="宋体" w:hAnsi="宋体" w:eastAsia="宋体" w:cs="宋体"/>
                <w:bCs/>
                <w:color w:val="auto"/>
                <w:kern w:val="2"/>
                <w:sz w:val="21"/>
                <w:szCs w:val="21"/>
                <w:highlight w:val="none"/>
              </w:rPr>
              <w:t>的，视</w:t>
            </w:r>
            <w:r>
              <w:rPr>
                <w:rFonts w:hint="eastAsia" w:ascii="宋体" w:hAnsi="宋体" w:eastAsia="宋体" w:cs="宋体"/>
                <w:bCs/>
                <w:color w:val="auto"/>
                <w:kern w:val="2"/>
                <w:sz w:val="21"/>
                <w:szCs w:val="21"/>
                <w:highlight w:val="none"/>
                <w:lang w:eastAsia="zh-CN"/>
              </w:rPr>
              <w:t>成交人</w:t>
            </w:r>
            <w:r>
              <w:rPr>
                <w:rFonts w:hint="eastAsia" w:ascii="宋体" w:hAnsi="宋体" w:eastAsia="宋体" w:cs="宋体"/>
                <w:bCs/>
                <w:color w:val="auto"/>
                <w:kern w:val="2"/>
                <w:sz w:val="21"/>
                <w:szCs w:val="21"/>
                <w:highlight w:val="none"/>
              </w:rPr>
              <w:t>自动放弃领回履约保证金权利，</w:t>
            </w:r>
            <w:r>
              <w:rPr>
                <w:rFonts w:hint="eastAsia" w:ascii="宋体" w:hAnsi="宋体" w:eastAsia="宋体" w:cs="宋体"/>
                <w:bCs/>
                <w:color w:val="auto"/>
                <w:kern w:val="2"/>
                <w:sz w:val="21"/>
                <w:szCs w:val="21"/>
                <w:highlight w:val="none"/>
                <w:lang w:eastAsia="zh-CN"/>
              </w:rPr>
              <w:t>采购人</w:t>
            </w:r>
            <w:r>
              <w:rPr>
                <w:rFonts w:hint="eastAsia" w:ascii="宋体" w:hAnsi="宋体" w:eastAsia="宋体" w:cs="宋体"/>
                <w:bCs/>
                <w:color w:val="auto"/>
                <w:kern w:val="2"/>
                <w:sz w:val="21"/>
                <w:szCs w:val="21"/>
                <w:highlight w:val="none"/>
              </w:rPr>
              <w:t>有权对履约保证金进行另外处置。</w:t>
            </w:r>
          </w:p>
          <w:p>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400" w:lineRule="exact"/>
              <w:ind w:left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（3）其他因</w:t>
            </w:r>
            <w:r>
              <w:rPr>
                <w:rFonts w:hint="eastAsia" w:ascii="宋体" w:hAnsi="宋体" w:eastAsia="宋体" w:cs="宋体"/>
                <w:bCs/>
                <w:color w:val="auto"/>
                <w:kern w:val="2"/>
                <w:sz w:val="21"/>
                <w:szCs w:val="21"/>
                <w:highlight w:val="none"/>
                <w:lang w:eastAsia="zh-CN"/>
              </w:rPr>
              <w:t>成交人</w:t>
            </w:r>
            <w:r>
              <w:rPr>
                <w:rFonts w:hint="eastAsia" w:ascii="宋体" w:hAnsi="宋体" w:eastAsia="宋体" w:cs="宋体"/>
                <w:bCs/>
                <w:color w:val="auto"/>
                <w:kern w:val="2"/>
                <w:sz w:val="21"/>
                <w:szCs w:val="21"/>
                <w:highlight w:val="none"/>
              </w:rPr>
              <w:t>原因导致履约保证金无法按时退回的情形。</w:t>
            </w:r>
          </w:p>
          <w:p>
            <w:pPr>
              <w:keepNext w:val="0"/>
              <w:keepLines w:val="0"/>
              <w:pageBreakBefore w:val="0"/>
              <w:widowControl w:val="0"/>
              <w:tabs>
                <w:tab w:val="left" w:pos="180"/>
                <w:tab w:val="left" w:pos="1620"/>
              </w:tabs>
              <w:kinsoku/>
              <w:wordWrap/>
              <w:overflowPunct/>
              <w:topLinePunct w:val="0"/>
              <w:bidi w:val="0"/>
              <w:adjustRightInd/>
              <w:snapToGrid/>
              <w:spacing w:line="400" w:lineRule="exact"/>
              <w:ind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履约保证金账户:</w:t>
            </w:r>
          </w:p>
          <w:p>
            <w:pPr>
              <w:keepNext w:val="0"/>
              <w:keepLines w:val="0"/>
              <w:pageBreakBefore w:val="0"/>
              <w:widowControl w:val="0"/>
              <w:tabs>
                <w:tab w:val="left" w:pos="180"/>
                <w:tab w:val="left" w:pos="1620"/>
              </w:tabs>
              <w:kinsoku/>
              <w:wordWrap/>
              <w:overflowPunct/>
              <w:topLinePunct w:val="0"/>
              <w:bidi w:val="0"/>
              <w:adjustRightInd/>
              <w:snapToGrid/>
              <w:spacing w:line="400" w:lineRule="exact"/>
              <w:ind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全称:广西科技大学</w:t>
            </w:r>
          </w:p>
          <w:p>
            <w:pPr>
              <w:keepNext w:val="0"/>
              <w:keepLines w:val="0"/>
              <w:pageBreakBefore w:val="0"/>
              <w:widowControl w:val="0"/>
              <w:tabs>
                <w:tab w:val="left" w:pos="180"/>
                <w:tab w:val="left" w:pos="1620"/>
              </w:tabs>
              <w:kinsoku/>
              <w:wordWrap/>
              <w:overflowPunct/>
              <w:topLinePunct w:val="0"/>
              <w:bidi w:val="0"/>
              <w:adjustRightInd/>
              <w:snapToGrid/>
              <w:spacing w:line="400" w:lineRule="exact"/>
              <w:ind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账号:20-112801040000305</w:t>
            </w:r>
          </w:p>
          <w:p>
            <w:pPr>
              <w:keepNext w:val="0"/>
              <w:keepLines w:val="0"/>
              <w:pageBreakBefore w:val="0"/>
              <w:widowControl w:val="0"/>
              <w:tabs>
                <w:tab w:val="left" w:pos="180"/>
                <w:tab w:val="left" w:pos="1620"/>
              </w:tabs>
              <w:kinsoku/>
              <w:wordWrap/>
              <w:overflowPunct/>
              <w:topLinePunct w:val="0"/>
              <w:bidi w:val="0"/>
              <w:adjustRightInd/>
              <w:snapToGrid/>
              <w:spacing w:line="400" w:lineRule="exact"/>
              <w:ind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开户银行:中国农业银行柳州市祥兴支行</w:t>
            </w:r>
          </w:p>
          <w:p>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转帐时注明:项目名称+项目编号</w:t>
            </w:r>
          </w:p>
          <w:p>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备注：</w:t>
            </w:r>
          </w:p>
          <w:p>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lang w:eastAsia="zh-CN"/>
              </w:rPr>
              <w:t>成交人</w:t>
            </w:r>
            <w:r>
              <w:rPr>
                <w:rFonts w:hint="eastAsia" w:ascii="宋体" w:hAnsi="宋体" w:eastAsia="宋体" w:cs="宋体"/>
                <w:bCs/>
                <w:color w:val="auto"/>
                <w:kern w:val="2"/>
                <w:sz w:val="21"/>
                <w:szCs w:val="21"/>
                <w:highlight w:val="none"/>
              </w:rPr>
              <w:t>必须在签订合同前，按照规定提交方式，足额缴纳履约保证金。</w:t>
            </w:r>
          </w:p>
          <w:p>
            <w:pPr>
              <w:keepNext w:val="0"/>
              <w:keepLines w:val="0"/>
              <w:pageBreakBefore w:val="0"/>
              <w:kinsoku/>
              <w:wordWrap/>
              <w:overflowPunct/>
              <w:topLinePunct w:val="0"/>
              <w:bidi w:val="0"/>
              <w:spacing w:line="360" w:lineRule="auto"/>
              <w:rPr>
                <w:rFonts w:ascii="宋体" w:hAnsi="宋体"/>
                <w:color w:val="auto"/>
                <w:szCs w:val="21"/>
                <w:highlight w:val="none"/>
              </w:rPr>
            </w:pPr>
            <w:r>
              <w:rPr>
                <w:rFonts w:hint="eastAsia" w:ascii="宋体" w:hAnsi="宋体" w:eastAsia="宋体" w:cs="宋体"/>
                <w:bCs/>
                <w:color w:val="auto"/>
                <w:kern w:val="2"/>
                <w:sz w:val="21"/>
                <w:szCs w:val="21"/>
                <w:highlight w:val="none"/>
              </w:rPr>
              <w:t>2、</w:t>
            </w:r>
            <w:r>
              <w:rPr>
                <w:rFonts w:hint="eastAsia" w:ascii="宋体" w:hAnsi="宋体" w:eastAsia="宋体" w:cs="宋体"/>
                <w:bCs/>
                <w:color w:val="auto"/>
                <w:kern w:val="2"/>
                <w:sz w:val="21"/>
                <w:szCs w:val="21"/>
                <w:highlight w:val="none"/>
                <w:lang w:eastAsia="zh-CN"/>
              </w:rPr>
              <w:t>成交人</w:t>
            </w:r>
            <w:r>
              <w:rPr>
                <w:rFonts w:hint="eastAsia" w:ascii="宋体" w:hAnsi="宋体" w:eastAsia="宋体" w:cs="宋体"/>
                <w:bCs/>
                <w:color w:val="auto"/>
                <w:kern w:val="2"/>
                <w:sz w:val="21"/>
                <w:szCs w:val="21"/>
                <w:highlight w:val="none"/>
              </w:rPr>
              <w:t>未按规定缴纳履约保证金的，暂缓签订合同，责任由</w:t>
            </w:r>
            <w:r>
              <w:rPr>
                <w:rFonts w:hint="eastAsia" w:ascii="宋体" w:hAnsi="宋体" w:eastAsia="宋体" w:cs="宋体"/>
                <w:bCs/>
                <w:color w:val="auto"/>
                <w:kern w:val="2"/>
                <w:sz w:val="21"/>
                <w:szCs w:val="21"/>
                <w:highlight w:val="none"/>
                <w:lang w:eastAsia="zh-CN"/>
              </w:rPr>
              <w:t>成交人</w:t>
            </w:r>
            <w:r>
              <w:rPr>
                <w:rFonts w:hint="eastAsia" w:ascii="宋体" w:hAnsi="宋体" w:eastAsia="宋体" w:cs="宋体"/>
                <w:bCs/>
                <w:color w:val="auto"/>
                <w:kern w:val="2"/>
                <w:sz w:val="21"/>
                <w:szCs w:val="21"/>
                <w:highlight w:val="none"/>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pPr>
              <w:keepNext w:val="0"/>
              <w:keepLines w:val="0"/>
              <w:pageBreakBefore w:val="0"/>
              <w:kinsoku/>
              <w:wordWrap/>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10</w:t>
            </w:r>
          </w:p>
        </w:tc>
        <w:tc>
          <w:tcPr>
            <w:tcW w:w="925" w:type="dxa"/>
            <w:vAlign w:val="center"/>
          </w:tcPr>
          <w:p>
            <w:pPr>
              <w:keepNext w:val="0"/>
              <w:keepLines w:val="0"/>
              <w:pageBreakBefore w:val="0"/>
              <w:kinsoku/>
              <w:wordWrap/>
              <w:overflowPunct/>
              <w:topLinePunct w:val="0"/>
              <w:bidi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37.1</w:t>
            </w:r>
          </w:p>
        </w:tc>
        <w:tc>
          <w:tcPr>
            <w:tcW w:w="8038" w:type="dxa"/>
            <w:vAlign w:val="center"/>
          </w:tcPr>
          <w:p>
            <w:pPr>
              <w:keepNext w:val="0"/>
              <w:keepLines w:val="0"/>
              <w:pageBreakBefore w:val="0"/>
              <w:kinsoku/>
              <w:wordWrap/>
              <w:overflowPunct/>
              <w:topLinePunct w:val="0"/>
              <w:bidi w:val="0"/>
              <w:spacing w:line="360" w:lineRule="auto"/>
              <w:rPr>
                <w:rFonts w:hAnsi="宋体" w:cs="Arial"/>
                <w:color w:val="auto"/>
                <w:szCs w:val="21"/>
                <w:highlight w:val="none"/>
              </w:rPr>
            </w:pPr>
            <w:r>
              <w:rPr>
                <w:rFonts w:hint="eastAsia" w:ascii="宋体" w:hAnsi="宋体" w:cs="宋体"/>
                <w:color w:val="auto"/>
                <w:szCs w:val="21"/>
                <w:highlight w:val="none"/>
              </w:rPr>
              <w:t>代理服务收费标准：1.本项目</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应以人民币报价；2.不论</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结果如何，</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均应自行承担所有与</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有关的全部费用；3.本项目的代理服务费按本须知第40.2款规定的（</w:t>
            </w: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rPr>
              <w:t>类）标准采用差额定率累进计费方式</w:t>
            </w:r>
            <w:r>
              <w:rPr>
                <w:rFonts w:hint="eastAsia" w:ascii="宋体" w:hAnsi="宋体" w:cs="宋体"/>
                <w:color w:val="auto"/>
                <w:szCs w:val="21"/>
                <w:highlight w:val="none"/>
                <w:lang w:val="en-US" w:eastAsia="zh-CN"/>
              </w:rPr>
              <w:t>下浮10%</w:t>
            </w:r>
            <w:r>
              <w:rPr>
                <w:rFonts w:hint="eastAsia" w:ascii="宋体" w:hAnsi="宋体" w:cs="宋体"/>
                <w:color w:val="auto"/>
                <w:szCs w:val="21"/>
                <w:highlight w:val="none"/>
              </w:rPr>
              <w:t>计算（取整到元），由</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供应商向采购代理机构支付。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pPr>
              <w:keepNext w:val="0"/>
              <w:keepLines w:val="0"/>
              <w:pageBreakBefore w:val="0"/>
              <w:kinsoku/>
              <w:wordWrap/>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11</w:t>
            </w:r>
          </w:p>
        </w:tc>
        <w:tc>
          <w:tcPr>
            <w:tcW w:w="925" w:type="dxa"/>
            <w:vAlign w:val="center"/>
          </w:tcPr>
          <w:p>
            <w:pPr>
              <w:keepNext w:val="0"/>
              <w:keepLines w:val="0"/>
              <w:pageBreakBefore w:val="0"/>
              <w:kinsoku/>
              <w:wordWrap/>
              <w:overflowPunct/>
              <w:topLinePunct w:val="0"/>
              <w:bidi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34</w:t>
            </w:r>
          </w:p>
        </w:tc>
        <w:tc>
          <w:tcPr>
            <w:tcW w:w="8038" w:type="dxa"/>
            <w:vAlign w:val="center"/>
          </w:tcPr>
          <w:p>
            <w:pPr>
              <w:keepNext w:val="0"/>
              <w:keepLines w:val="0"/>
              <w:pageBreakBefore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pPr>
              <w:keepNext w:val="0"/>
              <w:keepLines w:val="0"/>
              <w:pageBreakBefore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w:t>
            </w:r>
          </w:p>
          <w:p>
            <w:pPr>
              <w:keepNext w:val="0"/>
              <w:keepLines w:val="0"/>
              <w:pageBreakBefore w:val="0"/>
              <w:kinsoku/>
              <w:wordWrap/>
              <w:overflowPunct/>
              <w:topLinePunct w:val="0"/>
              <w:bidi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pPr>
              <w:keepNext w:val="0"/>
              <w:keepLines w:val="0"/>
              <w:pageBreakBefore w:val="0"/>
              <w:kinsoku/>
              <w:wordWrap/>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12</w:t>
            </w:r>
          </w:p>
        </w:tc>
        <w:tc>
          <w:tcPr>
            <w:tcW w:w="925" w:type="dxa"/>
            <w:vAlign w:val="center"/>
          </w:tcPr>
          <w:p>
            <w:pPr>
              <w:keepNext w:val="0"/>
              <w:keepLines w:val="0"/>
              <w:pageBreakBefore w:val="0"/>
              <w:kinsoku/>
              <w:wordWrap/>
              <w:overflowPunct/>
              <w:topLinePunct w:val="0"/>
              <w:bidi w:val="0"/>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8</w:t>
            </w:r>
          </w:p>
        </w:tc>
        <w:tc>
          <w:tcPr>
            <w:tcW w:w="8038" w:type="dxa"/>
            <w:vAlign w:val="center"/>
          </w:tcPr>
          <w:p>
            <w:pPr>
              <w:keepNext w:val="0"/>
              <w:keepLines w:val="0"/>
              <w:pageBreakBefore w:val="0"/>
              <w:kinsoku/>
              <w:wordWrap/>
              <w:overflowPunct/>
              <w:topLinePunct w:val="0"/>
              <w:bidi w:val="0"/>
              <w:snapToGrid w:val="0"/>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pPr>
              <w:pStyle w:val="19"/>
              <w:keepNext w:val="0"/>
              <w:keepLines w:val="0"/>
              <w:pageBreakBefore w:val="0"/>
              <w:kinsoku/>
              <w:wordWrap/>
              <w:overflowPunct/>
              <w:topLinePunct w:val="0"/>
              <w:bidi w:val="0"/>
              <w:snapToGrid w:val="0"/>
              <w:spacing w:line="360" w:lineRule="auto"/>
              <w:ind w:firstLine="0" w:firstLineChars="0"/>
              <w:rPr>
                <w:rFonts w:hint="eastAsia"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lang w:eastAsia="zh-CN"/>
              </w:rPr>
              <w:t>广西银泰工程管理有限公司</w:t>
            </w:r>
            <w:r>
              <w:rPr>
                <w:rFonts w:hint="eastAsia" w:hAnsi="宋体" w:cs="宋体"/>
                <w:color w:val="auto"/>
                <w:kern w:val="2"/>
                <w:sz w:val="21"/>
                <w:highlight w:val="none"/>
                <w:lang w:val="en-US" w:eastAsia="zh-CN"/>
              </w:rPr>
              <w:t>项目部</w:t>
            </w:r>
            <w:r>
              <w:rPr>
                <w:rFonts w:hint="eastAsia" w:hAnsi="宋体" w:cs="宋体"/>
                <w:color w:val="auto"/>
                <w:kern w:val="2"/>
                <w:sz w:val="21"/>
                <w:highlight w:val="none"/>
              </w:rPr>
              <w:t>，联系电话：</w:t>
            </w:r>
            <w:r>
              <w:rPr>
                <w:rFonts w:hint="eastAsia" w:hAnsi="宋体" w:cs="宋体"/>
                <w:color w:val="auto"/>
                <w:kern w:val="2"/>
                <w:sz w:val="21"/>
                <w:highlight w:val="none"/>
                <w:lang w:eastAsia="zh-CN"/>
              </w:rPr>
              <w:t>0772-2813184</w:t>
            </w:r>
            <w:r>
              <w:rPr>
                <w:rFonts w:hint="eastAsia" w:hAnsi="宋体" w:cs="宋体"/>
                <w:color w:val="auto"/>
                <w:kern w:val="2"/>
                <w:sz w:val="21"/>
                <w:highlight w:val="none"/>
              </w:rPr>
              <w:t>，通讯地址：广西柳州市东环大道168号翡翠龙庭</w:t>
            </w:r>
            <w:r>
              <w:rPr>
                <w:rFonts w:hint="eastAsia" w:hAnsi="宋体" w:cs="宋体"/>
                <w:color w:val="auto"/>
                <w:kern w:val="2"/>
                <w:sz w:val="21"/>
                <w:highlight w:val="none"/>
                <w:lang w:eastAsia="zh-CN"/>
              </w:rPr>
              <w:t>12栋3-17</w:t>
            </w:r>
            <w:r>
              <w:rPr>
                <w:rFonts w:hint="eastAsia" w:hAnsi="宋体" w:cs="宋体"/>
                <w:color w:val="auto"/>
                <w:kern w:val="2"/>
                <w:sz w:val="21"/>
                <w:highlight w:val="none"/>
              </w:rPr>
              <w:t>。</w:t>
            </w:r>
          </w:p>
          <w:p>
            <w:pPr>
              <w:keepNext w:val="0"/>
              <w:keepLines w:val="0"/>
              <w:pageBreakBefore w:val="0"/>
              <w:kinsoku/>
              <w:wordWrap/>
              <w:overflowPunct/>
              <w:topLinePunct w:val="0"/>
              <w:bidi w:val="0"/>
              <w:spacing w:line="360" w:lineRule="auto"/>
              <w:rPr>
                <w:rFonts w:ascii="宋体" w:hAnsi="宋体" w:cs="宋体"/>
                <w:color w:val="auto"/>
                <w:szCs w:val="21"/>
                <w:highlight w:val="none"/>
              </w:rPr>
            </w:pPr>
            <w:r>
              <w:rPr>
                <w:rFonts w:hint="eastAsia" w:hAnsi="宋体" w:cs="宋体"/>
                <w:color w:val="auto"/>
                <w:highlight w:val="none"/>
              </w:rPr>
              <w:t>业务时间：8时</w:t>
            </w:r>
            <w:r>
              <w:rPr>
                <w:rFonts w:hint="eastAsia" w:hAnsi="宋体" w:cs="宋体"/>
                <w:color w:val="auto"/>
                <w:highlight w:val="none"/>
                <w:lang w:val="en-US" w:eastAsia="zh-CN"/>
              </w:rPr>
              <w:t>3</w:t>
            </w:r>
            <w:r>
              <w:rPr>
                <w:rFonts w:hint="eastAsia" w:hAnsi="宋体" w:cs="宋体"/>
                <w:color w:val="auto"/>
                <w:highlight w:val="none"/>
              </w:rPr>
              <w:t>0分到12时00分，1</w:t>
            </w:r>
            <w:r>
              <w:rPr>
                <w:rFonts w:hint="eastAsia" w:hAnsi="宋体" w:cs="宋体"/>
                <w:color w:val="auto"/>
                <w:highlight w:val="none"/>
                <w:lang w:val="en-US" w:eastAsia="zh-CN"/>
              </w:rPr>
              <w:t>4</w:t>
            </w:r>
            <w:r>
              <w:rPr>
                <w:rFonts w:hint="eastAsia" w:hAnsi="宋体" w:cs="宋体"/>
                <w:color w:val="auto"/>
                <w:highlight w:val="none"/>
              </w:rPr>
              <w:t>时</w:t>
            </w:r>
            <w:r>
              <w:rPr>
                <w:rFonts w:hint="eastAsia" w:hAnsi="宋体" w:cs="宋体"/>
                <w:color w:val="auto"/>
                <w:highlight w:val="none"/>
                <w:lang w:val="en-US" w:eastAsia="zh-CN"/>
              </w:rPr>
              <w:t>3</w:t>
            </w:r>
            <w:r>
              <w:rPr>
                <w:rFonts w:hint="eastAsia" w:hAnsi="宋体" w:cs="宋体"/>
                <w:color w:val="auto"/>
                <w:highlight w:val="none"/>
              </w:rPr>
              <w:t>0分到</w:t>
            </w:r>
            <w:r>
              <w:rPr>
                <w:rFonts w:hint="eastAsia" w:hAnsi="宋体" w:cs="宋体"/>
                <w:color w:val="auto"/>
                <w:highlight w:val="none"/>
                <w:lang w:val="en-US" w:eastAsia="zh-CN"/>
              </w:rPr>
              <w:t>18</w:t>
            </w:r>
            <w:r>
              <w:rPr>
                <w:rFonts w:hint="eastAsia" w:hAnsi="宋体" w:cs="宋体"/>
                <w:color w:val="auto"/>
                <w:highlight w:val="none"/>
              </w:rPr>
              <w:t>时</w:t>
            </w:r>
            <w:r>
              <w:rPr>
                <w:rFonts w:hint="eastAsia" w:hAnsi="宋体" w:cs="宋体"/>
                <w:color w:val="auto"/>
                <w:highlight w:val="none"/>
                <w:lang w:val="en-US" w:eastAsia="zh-CN"/>
              </w:rPr>
              <w:t>00</w:t>
            </w:r>
            <w:r>
              <w:rPr>
                <w:rFonts w:hint="eastAsia" w:hAnsi="宋体" w:cs="宋体"/>
                <w:color w:val="auto"/>
                <w:highlight w:val="none"/>
              </w:rPr>
              <w:t>分，</w:t>
            </w:r>
            <w:r>
              <w:rPr>
                <w:rFonts w:hint="eastAsia" w:hAnsi="宋体"/>
                <w:color w:val="auto"/>
                <w:highlight w:val="none"/>
              </w:rPr>
              <w:t>业务时间以外、双休日和法定节假日不办理业务。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1" w:type="dxa"/>
            <w:vAlign w:val="center"/>
          </w:tcPr>
          <w:p>
            <w:pPr>
              <w:keepNext w:val="0"/>
              <w:keepLines w:val="0"/>
              <w:pageBreakBefore w:val="0"/>
              <w:kinsoku/>
              <w:wordWrap/>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13</w:t>
            </w:r>
          </w:p>
        </w:tc>
        <w:tc>
          <w:tcPr>
            <w:tcW w:w="925" w:type="dxa"/>
            <w:vAlign w:val="center"/>
          </w:tcPr>
          <w:p>
            <w:pPr>
              <w:keepNext w:val="0"/>
              <w:keepLines w:val="0"/>
              <w:pageBreakBefore w:val="0"/>
              <w:kinsoku/>
              <w:wordWrap/>
              <w:overflowPunct/>
              <w:topLinePunct w:val="0"/>
              <w:bidi w:val="0"/>
              <w:spacing w:line="360" w:lineRule="auto"/>
              <w:jc w:val="center"/>
              <w:rPr>
                <w:rFonts w:hint="eastAsia" w:ascii="宋体" w:hAnsi="宋体"/>
                <w:color w:val="auto"/>
                <w:szCs w:val="21"/>
                <w:highlight w:val="none"/>
              </w:rPr>
            </w:pPr>
          </w:p>
        </w:tc>
        <w:tc>
          <w:tcPr>
            <w:tcW w:w="8038" w:type="dxa"/>
            <w:vAlign w:val="center"/>
          </w:tcPr>
          <w:p>
            <w:pPr>
              <w:keepNext w:val="0"/>
              <w:keepLines w:val="0"/>
              <w:pageBreakBefore w:val="0"/>
              <w:kinsoku/>
              <w:wordWrap/>
              <w:overflowPunct/>
              <w:topLinePunct w:val="0"/>
              <w:autoSpaceDE w:val="0"/>
              <w:autoSpaceDN w:val="0"/>
              <w:bidi w:val="0"/>
              <w:adjustRightInd w:val="0"/>
              <w:spacing w:line="360" w:lineRule="auto"/>
              <w:jc w:val="left"/>
              <w:rPr>
                <w:rFonts w:ascii="宋体" w:hAnsi="宋体" w:cs="宋体"/>
                <w:color w:val="auto"/>
                <w:szCs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竞争性磋商文件</w:t>
            </w:r>
            <w:r>
              <w:rPr>
                <w:rFonts w:hAnsi="宋体"/>
                <w:color w:val="auto"/>
                <w:sz w:val="21"/>
                <w:highlight w:val="none"/>
              </w:rPr>
              <w:t>的各个组成文件应互为解释，互为说明；除</w:t>
            </w:r>
            <w:r>
              <w:rPr>
                <w:rFonts w:hint="eastAsia" w:hAnsi="宋体"/>
                <w:color w:val="auto"/>
                <w:sz w:val="21"/>
                <w:highlight w:val="none"/>
              </w:rPr>
              <w:t>竞争性磋商文件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竞争性磋商文件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bl>
    <w:p>
      <w:pPr>
        <w:keepNext w:val="0"/>
        <w:keepLines w:val="0"/>
        <w:pageBreakBefore w:val="0"/>
        <w:kinsoku/>
        <w:wordWrap/>
        <w:overflowPunct/>
        <w:topLinePunct w:val="0"/>
        <w:bidi w:val="0"/>
        <w:spacing w:line="360" w:lineRule="auto"/>
        <w:rPr>
          <w:rFonts w:ascii="宋体" w:hAnsi="宋体"/>
          <w:b/>
          <w:color w:val="auto"/>
          <w:szCs w:val="21"/>
          <w:highlight w:val="none"/>
        </w:rPr>
      </w:pPr>
    </w:p>
    <w:p>
      <w:pPr>
        <w:pStyle w:val="19"/>
        <w:keepNext w:val="0"/>
        <w:keepLines w:val="0"/>
        <w:pageBreakBefore w:val="0"/>
        <w:kinsoku/>
        <w:wordWrap/>
        <w:overflowPunct/>
        <w:topLinePunct w:val="0"/>
        <w:bidi w:val="0"/>
        <w:spacing w:line="360" w:lineRule="auto"/>
        <w:jc w:val="center"/>
        <w:rPr>
          <w:rFonts w:hAnsi="宋体"/>
          <w:b/>
          <w:color w:val="auto"/>
          <w:sz w:val="21"/>
          <w:szCs w:val="21"/>
          <w:highlight w:val="none"/>
        </w:rPr>
      </w:pPr>
      <w:r>
        <w:rPr>
          <w:rFonts w:hAnsi="宋体"/>
          <w:b/>
          <w:color w:val="auto"/>
          <w:sz w:val="32"/>
          <w:highlight w:val="none"/>
        </w:rPr>
        <w:br w:type="page"/>
      </w:r>
      <w:r>
        <w:rPr>
          <w:rFonts w:hint="eastAsia" w:hAnsi="宋体"/>
          <w:b/>
          <w:color w:val="auto"/>
          <w:sz w:val="30"/>
          <w:szCs w:val="30"/>
          <w:highlight w:val="none"/>
        </w:rPr>
        <w:t>供应商须知正文</w:t>
      </w:r>
    </w:p>
    <w:p>
      <w:pPr>
        <w:pStyle w:val="19"/>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一、总　则</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1. 适用范围</w:t>
      </w:r>
      <w:r>
        <w:rPr>
          <w:rFonts w:hint="eastAsia" w:ascii="宋体" w:hAnsi="宋体" w:eastAsia="宋体" w:cs="宋体"/>
          <w:bCs/>
          <w:color w:val="auto"/>
          <w:szCs w:val="21"/>
          <w:highlight w:val="none"/>
        </w:rPr>
        <w:t>：本竞争性谈判文件（以下简称谈判文件）适用于本项目的所有采购程序和环节（法律、法规另有规定的，从其规定）。</w:t>
      </w:r>
    </w:p>
    <w:p>
      <w:pPr>
        <w:spacing w:before="120" w:line="360" w:lineRule="auto"/>
        <w:ind w:firstLine="422" w:firstLineChars="200"/>
        <w:outlineLvl w:val="2"/>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1.2 对本国产品的支持政策</w:t>
      </w:r>
    </w:p>
    <w:p>
      <w:pPr>
        <w:spacing w:before="120" w:line="360" w:lineRule="auto"/>
        <w:ind w:left="819" w:leftChars="190" w:hanging="420" w:hangingChars="200"/>
        <w:rPr>
          <w:rFonts w:hint="eastAsia" w:ascii="宋体" w:hAnsi="宋体" w:cs="宋体"/>
          <w:color w:val="auto"/>
          <w:szCs w:val="21"/>
          <w:highlight w:val="none"/>
        </w:rPr>
      </w:pPr>
      <w:r>
        <w:rPr>
          <w:rFonts w:hint="eastAsia" w:ascii="宋体" w:hAnsi="宋体" w:cs="宋体"/>
          <w:color w:val="auto"/>
          <w:szCs w:val="21"/>
          <w:highlight w:val="none"/>
        </w:rPr>
        <w:t>1.2.1本国产品标准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“本国产品标准的产品”是指：符合《国务院办公厅关于在政府采购中实施本国产品标准及相关政策的通知》（国办发〔2025〕34号）规定的本国产品标准的产品。</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本国产品标准的产品应当符合以下条件：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①为确保产品在运输或者储存期间保持某种状态而进行的操作；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②为产品运输或者销售进行的包装或者展示；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③在产品或者其包装上粘贴或者印刷品牌、标志、标识以及其他用于区别的标记；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④简单的上漆、磨光和分装；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⑤其他不属于属性改变的情形；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（2）中国境内生产的组件成本占比达到规定比例。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①产品在中国境内生产的组件成本占比应当达到规定比例，计算公式为：产品在中国境内生产的组件成本/产品总成本≥规定比例；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②产品在中国境内生产的组件成本，按照《中国境内生产的组件成本核算基本规则》计算；</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③中国境内生产的组件成本占比相关要求实施前，符合第（1）项条件的产品在政府采购活动中视同本国产品。</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（3）特定产品的关键组件和工序在中国境内完成。</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①对特定产品，在符合第（1）项和第（2）项条件的基础上，应当符合财政部会同有关行业主管部门确定的其关键组件、关键工序在中国境内生产、完成等要求；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②特定产品的关键组件、关键工序符合相关要求实施前，符合第（1）项和第（2）项条件的产品在政府采购活动中视同本国产品。</w:t>
      </w:r>
    </w:p>
    <w:p>
      <w:pPr>
        <w:spacing w:before="120" w:line="360" w:lineRule="auto"/>
        <w:ind w:left="819" w:leftChars="190" w:hanging="420" w:hangingChars="200"/>
        <w:rPr>
          <w:rFonts w:hint="eastAsia" w:ascii="宋体" w:hAnsi="宋体" w:cs="宋体"/>
          <w:color w:val="auto"/>
          <w:szCs w:val="21"/>
          <w:highlight w:val="none"/>
        </w:rPr>
      </w:pPr>
      <w:r>
        <w:rPr>
          <w:rFonts w:hint="eastAsia" w:ascii="宋体" w:hAnsi="宋体" w:cs="宋体"/>
          <w:color w:val="auto"/>
          <w:szCs w:val="21"/>
          <w:highlight w:val="none"/>
        </w:rPr>
        <w:t>1.2.2 本国产品标准的适用范围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ascii="宋体" w:hAnsi="宋体" w:cs="宋体"/>
          <w:b/>
          <w:bCs/>
          <w:color w:val="auto"/>
          <w:szCs w:val="21"/>
          <w:highlight w:val="none"/>
        </w:rPr>
        <w:t>本项目是否适用对本国产品的支持政策详见供应商须知前附表。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中华人民共和国缔结或者共同参加的国际条约、协定对政府采购中本国产品政策另有规定的，按照有关条约、协定执行。</w:t>
      </w:r>
    </w:p>
    <w:p>
      <w:pPr>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 价格评审优惠</w:t>
      </w:r>
    </w:p>
    <w:p>
      <w:pPr>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既有本国产品又有非本国产品参与竞争的，依法对本国产品给予价格评审优惠，对本国产品的报价给予20%的价格扣除，用扣除后的价格参与评审。</w:t>
      </w:r>
    </w:p>
    <w:p>
      <w:pPr>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价格扣除比例在第四章评审方法及标准中规定。</w:t>
      </w:r>
    </w:p>
    <w:p>
      <w:pPr>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1.2.4政策执行要求</w:t>
      </w:r>
    </w:p>
    <w:p>
      <w:pPr>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1.2.4.1产品在中国境内生产的组件成本核算规则：产品在中国境内生产的组件成本，按照《中国境内生产的组件成本核算基本规则》计算。</w:t>
      </w:r>
    </w:p>
    <w:p>
      <w:pPr>
        <w:spacing w:before="120" w:line="360" w:lineRule="auto"/>
        <w:ind w:firstLine="2520" w:firstLineChars="1200"/>
        <w:rPr>
          <w:rFonts w:hint="eastAsia" w:ascii="宋体" w:hAnsi="宋体" w:cs="宋体"/>
          <w:color w:val="auto"/>
          <w:szCs w:val="21"/>
          <w:highlight w:val="none"/>
        </w:rPr>
      </w:pPr>
      <w:r>
        <w:rPr>
          <w:rFonts w:hint="eastAsia" w:ascii="宋体" w:hAnsi="宋体" w:cs="宋体"/>
          <w:color w:val="auto"/>
          <w:szCs w:val="21"/>
          <w:highlight w:val="none"/>
        </w:rPr>
        <w:t>《中国境内生产的组件成本核算基本规则》</w:t>
      </w:r>
    </w:p>
    <w:p>
      <w:pPr>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pPr>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1.产品的一级组件是指直接组成产品的组件。产品的二级组件是指直接组成产品一级组件的组件。一级组件不可分解的，视同二级组件。</w:t>
      </w:r>
    </w:p>
    <w:p>
      <w:pPr>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2.二级组件在中国境内生产的，其全部成本计入中国境内生产的组件成本；二级组件不在中国境内生产的，其成本不计入中国境内生产的组件成本。</w:t>
      </w:r>
    </w:p>
    <w:p>
      <w:pPr>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3.产品总成本和组件成本以相关会计核算数据、采购合同、进货记录等为基础进行计算。</w:t>
      </w:r>
    </w:p>
    <w:p>
      <w:pPr>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4.需要对成本核算规则予以进一步明确的其他有关事项，由财政部会同有关部门另行规定。</w:t>
      </w:r>
    </w:p>
    <w:p>
      <w:pPr>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1.2.4.2证明材料要求：供应商需在投标文件中对其提供的产品出具《关于符合本国产品标准的声明函》（样式见投标文件格式）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pPr>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1.2.5 争议处理</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Cs w:val="21"/>
          <w:highlight w:val="none"/>
        </w:rPr>
      </w:pPr>
      <w:r>
        <w:rPr>
          <w:rFonts w:hint="eastAsia" w:ascii="宋体" w:hAnsi="宋体" w:cs="宋体"/>
          <w:color w:val="auto"/>
          <w:szCs w:val="21"/>
          <w:highlight w:val="no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 定义</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2.1“采购人”：</w:t>
      </w:r>
      <w:r>
        <w:rPr>
          <w:rFonts w:hint="eastAsia" w:ascii="宋体" w:hAnsi="宋体" w:eastAsia="宋体" w:cs="宋体"/>
          <w:color w:val="auto"/>
          <w:szCs w:val="21"/>
          <w:highlight w:val="none"/>
        </w:rPr>
        <w:t>详见竞争性谈判公告</w:t>
      </w:r>
      <w:r>
        <w:rPr>
          <w:rFonts w:hint="eastAsia" w:ascii="宋体" w:hAnsi="宋体" w:eastAsia="宋体" w:cs="宋体"/>
          <w:bCs/>
          <w:color w:val="auto"/>
          <w:szCs w:val="21"/>
          <w:highlight w:val="none"/>
        </w:rPr>
        <w:t>。</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2.2“采购代理机构”是指：</w:t>
      </w:r>
      <w:r>
        <w:rPr>
          <w:rFonts w:hint="eastAsia" w:ascii="宋体" w:hAnsi="宋体" w:eastAsia="宋体" w:cs="宋体"/>
          <w:bCs/>
          <w:color w:val="auto"/>
          <w:szCs w:val="21"/>
          <w:highlight w:val="none"/>
          <w:lang w:eastAsia="zh-CN"/>
        </w:rPr>
        <w:t>广西银泰工程管理有限公司</w:t>
      </w:r>
      <w:r>
        <w:rPr>
          <w:rFonts w:hint="eastAsia" w:ascii="宋体" w:hAnsi="宋体" w:eastAsia="宋体" w:cs="宋体"/>
          <w:bCs/>
          <w:color w:val="auto"/>
          <w:szCs w:val="21"/>
          <w:highlight w:val="none"/>
        </w:rPr>
        <w:t>。</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2.3“供应商”是指响应本谈判文件要求，参加谈判的法人、其他组织或者自然人。如果该供应商在本次谈判中成交，即为“成交供应商”。</w:t>
      </w:r>
      <w:r>
        <w:rPr>
          <w:rFonts w:hint="eastAsia" w:ascii="宋体" w:hAnsi="宋体" w:eastAsia="宋体" w:cs="宋体"/>
          <w:color w:val="auto"/>
          <w:szCs w:val="21"/>
          <w:highlight w:val="none"/>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2.4“货物”是指各种形态和种类的物品，包括原材料、燃料、设备、产品等。</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2.5“服务”是指除货物和工程以外的其他政府采购对象。</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2.6“书面形式”包括是指合同书、信件和数据电文（包括电报、电传、传真、电子数据交换和电子邮件）等可以有形地表现所载内容的形式。</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2.7“响应文件”是指：供应商根据本谈判文件要求，编制包含报价、技术和服务等所有内容的文件。</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2.8“▲”系指实质性要求条款。</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签字/签名”是指：指应商通过指定电子化政府采购平台办理数字证书（CA认证证书）获得的以供应商法定代表人（负责人、自然人）或者委托代理人姓名制作的个人电子印章或手写签字。没有办理个人CA证书的，可以为手写签字的形式。</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公章”是指供应商通过指定电子化政府采购平台办理数字证书（CA认证证书）获得的以法定主体行为名称制作的电子印章。本谈判文件中要求供应商对其电子响应文件的相关内容加盖公章的，均指采用CA证书签章。</w:t>
      </w:r>
    </w:p>
    <w:p>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2.11本谈判文件所称的“以上”“以下”“以内”“届满”，包括本数；所称的“不满”“超过”“以外”，不包括本数；如谈判文件另有特殊规定的从其规定。 </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供应商资格</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3.1供应商资格：详见供应商须知前附表。</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4.</w:t>
      </w:r>
      <w:r>
        <w:rPr>
          <w:rFonts w:hint="eastAsia" w:ascii="宋体" w:hAnsi="宋体" w:eastAsia="宋体" w:cs="宋体"/>
          <w:b/>
          <w:bCs/>
          <w:color w:val="auto"/>
          <w:szCs w:val="21"/>
          <w:highlight w:val="none"/>
        </w:rPr>
        <w:t>谈判费用</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4.1供应商应自行承担所有与编写和提交响应文件有关的费用，不论谈判结果如何，采购人和采购代理机构在任何情况下无义务和责任承担此类费用。</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 联合体竞标</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5.2联合体要求（联合体竞标时应满足下列要求）：</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（1）两个以上供应商可以组成一个竞标联合体，以一个供应商的身份共同参加投标，联合体供应商的名称应统一按“XXX公司与XXX公司的联合体”的规则填写。</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（2）以联合体形式参加投标的，联合体各方均应当符合“具有独立承担民事责任的能力”的条件。 本项目有特殊要求规定供应商特定条件的，联合体各方中至少应当有一方符合谈判文件规定的特定条件。</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竞标的，须提供《联合体投标协议书》（格式后附），协议书必须明确主体方（或者牵头方）并明确约定联合体各方承担的工作和相应的责任（各方承担责任与义务的分工必须符合采购需求，否则，联合体投标无效），并将联合投标协议放入响应文件。联合体各方必须共同与采购人签订采购合同，就采购合同约定的事项对采购人承担连带责任。</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（4）以联合体形式参加政府采购活动的，联合体各方不得再单独参加或者与其他供应商另外组成联合体参加同一合同项下的政府采购活动，否则与之相关的响应文件作废。</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（5）联合体中有同类资质的供应商按照联合体分工承担相同工作的，应当按照资质等级较低的供应商确定资质等级。</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（6）联合体投标业绩、履约能力按照联合体各方其中较高的一方认定并计算（谈判文件另有规定的除外）。</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（7）联合体各方均应按照谈判文件的规定提交资格证明文件。</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6. 分包与转包 </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供应商根据谈判文件的规定和采购项目的实际情况，拟在中标后将中标项目的非主体、非关键性工作分包的，应当在响应文件中载明分包承担主体，分包承担主体应当具备相应资质条件且不得再次分包。</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6.3本项目不允许转包。</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 特别说明</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出现下列情形之一的，在评审过程中，按一家供应商计算，评审后得分最高的同品牌供应商获得中标人推荐资格；评审得分相同的，以报价最低的供应商获得中标人推荐资格；评审得分及投标报价相同的，以技术得分最高的供应商获得中标人推荐资格；其他同品牌供应商不作为中标候选人：</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（1）提供相同品牌产品且通过资格审查、符合性审查的不同供应商参加单一产品的同一合同项下的政府采购活动的。</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（2）非单一产品采购项目中，多家供应商提供的核心产品品牌相同的，视为提供相同品牌产品。核心产品的名称应当在谈判文件中载明。</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7.2供应商投标所使用的资格、信誉、荣誉、业绩与企业认证必须为本供应商所拥有。</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7.3供应商应仔细阅读谈判文件的所有内容，按照谈判文件的要求提交响应文件，并对所提供的全部资料的真实性承担法律责任。</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供应商在投标活动中提供任何虚假材料，其投标无效，并报监管部门查处；中标后发现的，中标供应商须依照《中华人民共和国消费者权益保护法》规定赔偿采购人，且民事赔偿并不免除违法供应商的行政与刑事责任。</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7.5在政府采购活动中，采购人员及相关人员与供应商有下列利害关系之一的，应当回避：</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7.6有下列情形之一的视为供应商相互串通投标，其投标无效：</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（2）不同供应商委托同一单位或者个人办理投标事宜；</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（3）不同供应商的响应文件载明的项目管理成员或者联系人员为同一人；</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（4）不同供应商的响应文件异常一致或投标报价呈规律性差异；</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（6）不同供应商的投标保证金从同一单位或者个人账户转出。</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7.7供应商有下列情形之一的，属于恶意串通行为：</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（1）供应商直接或者间接从采购人或者采购代理机构处获得其他供应商的相关信息并修改其响应文件或者响应文件：</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（2）供应商按照采购人或者采购代理机构的授意撤换、修改响应文件或者响应文件；</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（6）供应商之间商定部分供应商放弃参加政府采购活动或者放弃中标；</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（7）供应商与采购人或者采购代理机构之间、供应商相互之间，为谋求特定供应商中标或者排斥其他供应商的其他串通行为。</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7.8关联供应商不得参加同一合同项下政府采购活动，否则响应文件将被视为无效：</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（1）单位负责人为同一人或者存在直接控股、管理关系的不同的供应商，不得参加同一合同项下的政府采购活动；</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（2）生产厂商授权给供应商后自己不得参加同一合同项下的政府采购活动；生产厂商对同一品牌同一型号的货物，仅能委托一个代理商参加投标。</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8.质疑和投诉</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供应商认为竞争性谈判文件、招标过程或中标结果使自己的合法权益受到损害的，应当在知道或者应知其权益受到损害之日起七个工作日内，以书面形式向采购人、采购代理机构提出质疑。供应商对招标采购单位的质疑答复不满意或者招标采购单位未在规定时间内作出答复的，可以在答复期满后十五个工作日内向同级采购监管部门投诉。</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质疑、投诉应当采用书面形式，质疑书、投诉书均应明确阐述竞争性谈判文件、招标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8.3质疑和投诉书面要求</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质疑人或投诉人提供的书面材料（如材料中有外文资料须同时附上中文译本）至少包括以下内容：</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（1）质疑人或投诉人的姓名或者名称、地址、邮编、联系人及联系电话；</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（2）质疑项目的名称、编号；</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（3）具体、明确的质疑事项和与质疑事项相关的请求；</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（5）必要的法律依据；</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（6）质疑人或投诉人的签章及质疑或投诉时间；</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（7）质疑或投诉的书面材料须提供法定代表人签名和加盖单位公章的原件。</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（8）质疑人须一次性提出针对同一采购程序环节的质疑。</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未持有有效授权委托书的代理人提交的质疑函或不在法定质疑期内提交的质疑函，将不予受理。</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8.4接受质疑函的联系方式等详见谈判公告中采购人、采购代理机构的联系方式。</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二、谈判文件</w:t>
      </w:r>
    </w:p>
    <w:p>
      <w:pPr>
        <w:keepNext w:val="0"/>
        <w:keepLines w:val="0"/>
        <w:pageBreakBefore w:val="0"/>
        <w:kinsoku/>
        <w:wordWrap/>
        <w:overflowPunct/>
        <w:topLinePunct w:val="0"/>
        <w:bidi w:val="0"/>
        <w:spacing w:line="360" w:lineRule="auto"/>
        <w:ind w:left="420" w:left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9.竞争性谈判文件的组成</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（1）谈判公告；</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（4）评审办法和定标标准；</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（5）响应文件格式；</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（6）合同主要条款；</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（7）其他资料。</w:t>
      </w:r>
    </w:p>
    <w:p>
      <w:pPr>
        <w:keepNext w:val="0"/>
        <w:keepLines w:val="0"/>
        <w:pageBreakBefore w:val="0"/>
        <w:kinsoku/>
        <w:wordWrap/>
        <w:overflowPunct/>
        <w:topLinePunct w:val="0"/>
        <w:bidi w:val="0"/>
        <w:spacing w:line="360" w:lineRule="auto"/>
        <w:ind w:left="420" w:left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 供应商的风险</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10.1供应商没有按照谈判文件要求提供全部资料，或者供应商没有对谈判文件在各方面作出实质性响应是供应商的风险，并可能导致其投标被拒绝。</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11.谈判文件的澄清或修改</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11.1供应商应认真</w:t>
      </w:r>
      <w:r>
        <w:rPr>
          <w:rFonts w:hint="eastAsia" w:ascii="宋体" w:hAnsi="宋体" w:eastAsia="宋体" w:cs="宋体"/>
          <w:bCs/>
          <w:color w:val="auto"/>
          <w:szCs w:val="21"/>
          <w:highlight w:val="none"/>
        </w:rPr>
        <w:t>阅读本谈判文件，发现</w:t>
      </w:r>
      <w:r>
        <w:rPr>
          <w:rFonts w:hint="eastAsia" w:ascii="宋体" w:hAnsi="宋体" w:eastAsia="宋体" w:cs="宋体"/>
          <w:color w:val="auto"/>
          <w:szCs w:val="21"/>
          <w:highlight w:val="none"/>
        </w:rPr>
        <w:t>谈判文件表述不清晰、存在歧视性、排他性或者其他违法内容的，应以书面形式要求招标采购单位作出书面解释、澄清，否则，由此产生的后果由供应商负责。</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11.2任何要求澄清谈判文件的供应商，均应在首次响应文件递交截止日期前的正常工作时间以书面形式通知采购人或采购代理机构，采购人或采购代理机构将以书面形式予以答复。</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采购人或采购代理机构对已发出的谈判文件进行必要澄清或者修改的，澄清和修改对供应商编制响应文件造成实质影响的，在谈判文件要求提交竞争性谈判响应文件截止时间三个工作日前（不足三个工作日顺延），并将以书面形式通知（在“供应商须知前附表”规定的发布媒体上发布更正公告）所有谈判文件收受人。该澄清或者修改的内容为性谈判文件的组成部分。</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11.4采购人可视具体情况，延长响应文件递交截止时间和开标时间，并在“供应商须知前附表”规定的发布媒体上发布变更公告。</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12.现场考察或答疑会</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12.1采购人可以视采购项目的具体情况，按须知前附表的规定组织供应商进行现场考察或召开谈判前答疑会，但不得单独或分别组织只有一个供应商参加的现场考察和答疑会。</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12.2供应商考察现场或参加答疑会发生的费用自理。</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12.3供应商自行负责在考察现场或参加答疑会中所发生的人员伤亡和财产损失。</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三、响应文件的编制</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13. </w:t>
      </w:r>
      <w:r>
        <w:rPr>
          <w:rFonts w:hint="eastAsia" w:ascii="宋体" w:hAnsi="宋体" w:eastAsia="宋体" w:cs="宋体"/>
          <w:b/>
          <w:color w:val="auto"/>
          <w:szCs w:val="21"/>
          <w:highlight w:val="none"/>
        </w:rPr>
        <w:t>响应文件的组成</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响应文件由资格证明文件、商务和技术文件、报价文件组成。</w:t>
      </w:r>
    </w:p>
    <w:p>
      <w:pPr>
        <w:keepNext w:val="0"/>
        <w:keepLines w:val="0"/>
        <w:pageBreakBefore w:val="0"/>
        <w:kinsoku/>
        <w:wordWrap/>
        <w:overflowPunct/>
        <w:topLinePunct w:val="0"/>
        <w:bidi w:val="0"/>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.1资格证明文件：详见须知前附表</w:t>
      </w:r>
    </w:p>
    <w:p>
      <w:pPr>
        <w:keepNext w:val="0"/>
        <w:keepLines w:val="0"/>
        <w:pageBreakBefore w:val="0"/>
        <w:kinsoku/>
        <w:wordWrap/>
        <w:overflowPunct/>
        <w:topLinePunct w:val="0"/>
        <w:bidi w:val="0"/>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.2商务技术文件：详见须知前附表</w:t>
      </w:r>
    </w:p>
    <w:p>
      <w:pPr>
        <w:keepNext w:val="0"/>
        <w:keepLines w:val="0"/>
        <w:pageBreakBefore w:val="0"/>
        <w:kinsoku/>
        <w:wordWrap/>
        <w:overflowPunct/>
        <w:topLinePunct w:val="0"/>
        <w:bidi w:val="0"/>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报价文件：详见须知前附表</w:t>
      </w:r>
    </w:p>
    <w:p>
      <w:pPr>
        <w:pStyle w:val="19"/>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 响应文件的语言及计量</w:t>
      </w:r>
    </w:p>
    <w:p>
      <w:pPr>
        <w:pStyle w:val="19"/>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14.1响应文件以及竞标方与招标方就有关竞标事宜的所有来往函电，均应以中文汉语书写。除签名、盖章、专用名称等特殊情形外，以中文汉语以外的文字表述的响应文件视同未提供。</w:t>
      </w:r>
    </w:p>
    <w:p>
      <w:pPr>
        <w:pStyle w:val="19"/>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14.2竞标计量单位，谈判文件已有明确规定的，使用谈判文件规定的计量单位；谈判文件没有规定的，应采用中华人民共和国法定计量单位（货币单位：人民币元），否则视同未响应。</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15、响应文件报价要求</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15.1本项目最高限价详见须知前附表。响应文件报价须小于等于最高限价，否则响应无效。</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15.2对于本谈判文件中未列明，而供应商认为必需的费用也需列入总报价。在合同实施时，采购人将不予支付成交供应商没有列入的项目费用，并认为此项目的费用已包括在总报价中。</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成交供应商负责本项目所需服务的全部工作，包括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本谈判采购文件中未列明，而供应商认为必需的费用也需列入报价。</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15.4供应商应就第三章《采购需求》中的全部服务内容作完整唯一报价。</w:t>
      </w:r>
    </w:p>
    <w:p>
      <w:pPr>
        <w:keepNext w:val="0"/>
        <w:keepLines w:val="0"/>
        <w:pageBreakBefore w:val="0"/>
        <w:kinsoku/>
        <w:wordWrap/>
        <w:overflowPunct/>
        <w:topLinePunct w:val="0"/>
        <w:bidi w:val="0"/>
        <w:spacing w:line="360" w:lineRule="auto"/>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15.5响应文件只允许有一个报价，有选择的或有条件的报价将不予接受（谈判文件另有规定的除外）。</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15.6供应商应在响应文件报价表上标明单价和总价。响应文件的大写金额和小写金额不一致的，以大写金额为准；总价金额与按单价汇总金额不一致的，以单价金额计算结果为准；单价金额小数点有明显错位的，应以总价为准，并修改单价。对不同文字文本竞争性谈判响应文件的解释发生异议的，以中文文本为准。除上述原因以外，如果因供应商原因引起的报价失误，并在谈判时被接受，其后果由供应商自负。</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16、响应文件有效期</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16.1响应文件有效期：详见供应商须知前附表。有效期不足的响应文件将被拒绝。</w:t>
      </w:r>
    </w:p>
    <w:p>
      <w:pPr>
        <w:pStyle w:val="19"/>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16.2在特殊情况下，采购人可与供应商协商延长响应文件的有效期，这种要求和答复均以书面形式进行。</w:t>
      </w:r>
    </w:p>
    <w:p>
      <w:pPr>
        <w:pStyle w:val="19"/>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16.3供应商可拒绝接受延长有效期要求而不会导致竞标保证金被没收。同意延长有效期的供应商需要相应延长竞标保证金的有效期，但不能修改响应文件其它内容。 </w:t>
      </w:r>
    </w:p>
    <w:p>
      <w:pPr>
        <w:pStyle w:val="19"/>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16.4供应商的响应文件自开标之日起至合同履行完毕止均应保持有效。</w:t>
      </w:r>
    </w:p>
    <w:p>
      <w:pPr>
        <w:pStyle w:val="19"/>
        <w:keepNext w:val="0"/>
        <w:keepLines w:val="0"/>
        <w:pageBreakBefore w:val="0"/>
        <w:kinsoku/>
        <w:wordWrap/>
        <w:overflowPunct/>
        <w:topLinePunct w:val="0"/>
        <w:bidi w:val="0"/>
        <w:spacing w:line="360" w:lineRule="auto"/>
        <w:ind w:firstLine="422" w:firstLineChars="200"/>
        <w:jc w:val="left"/>
        <w:rPr>
          <w:rFonts w:hint="eastAsia" w:ascii="宋体" w:hAnsi="宋体" w:eastAsia="宋体" w:cs="宋体"/>
          <w:color w:val="auto"/>
          <w:kern w:val="2"/>
          <w:sz w:val="21"/>
          <w:szCs w:val="21"/>
          <w:highlight w:val="none"/>
        </w:rPr>
      </w:pPr>
      <w:r>
        <w:rPr>
          <w:rFonts w:hint="eastAsia" w:ascii="宋体" w:hAnsi="宋体" w:eastAsia="宋体" w:cs="宋体"/>
          <w:b/>
          <w:color w:val="auto"/>
          <w:sz w:val="21"/>
          <w:szCs w:val="21"/>
          <w:highlight w:val="none"/>
        </w:rPr>
        <w:t>17、竞标保证金</w:t>
      </w:r>
    </w:p>
    <w:p>
      <w:pPr>
        <w:keepNext w:val="0"/>
        <w:keepLines w:val="0"/>
        <w:pageBreakBefore w:val="0"/>
        <w:kinsoku/>
        <w:wordWrap/>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w:t>
      </w:r>
      <w:r>
        <w:rPr>
          <w:rFonts w:hint="eastAsia" w:ascii="宋体" w:hAnsi="宋体" w:eastAsia="宋体" w:cs="宋体"/>
          <w:color w:val="auto"/>
          <w:szCs w:val="21"/>
          <w:highlight w:val="none"/>
          <w:lang w:val="en-US" w:eastAsia="zh-CN"/>
        </w:rPr>
        <w:t>竞标</w:t>
      </w:r>
      <w:r>
        <w:rPr>
          <w:rFonts w:hint="eastAsia" w:ascii="宋体" w:hAnsi="宋体" w:eastAsia="宋体" w:cs="宋体"/>
          <w:color w:val="auto"/>
          <w:szCs w:val="21"/>
          <w:highlight w:val="none"/>
        </w:rPr>
        <w:t>保证金。</w:t>
      </w:r>
    </w:p>
    <w:p>
      <w:pPr>
        <w:keepNext w:val="0"/>
        <w:keepLines w:val="0"/>
        <w:pageBreakBefore w:val="0"/>
        <w:kinsoku/>
        <w:wordWrap/>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保证金的退还。</w:t>
      </w:r>
    </w:p>
    <w:p>
      <w:pPr>
        <w:keepNext w:val="0"/>
        <w:keepLines w:val="0"/>
        <w:pageBreakBefore w:val="0"/>
        <w:kinsoku/>
        <w:wordWrap/>
        <w:overflowPunct/>
        <w:topLinePunct w:val="0"/>
        <w:bidi w:val="0"/>
        <w:spacing w:line="360" w:lineRule="auto"/>
        <w:ind w:firstLine="420"/>
        <w:rPr>
          <w:rFonts w:hint="eastAsia" w:ascii="宋体" w:hAnsi="宋体" w:eastAsia="宋体" w:cs="宋体"/>
          <w:color w:val="auto"/>
          <w:szCs w:val="21"/>
          <w:highlight w:val="none"/>
        </w:rPr>
      </w:pPr>
      <w:bookmarkStart w:id="2" w:name="_Hlk66782243"/>
      <w:r>
        <w:rPr>
          <w:rFonts w:hint="eastAsia" w:ascii="宋体" w:hAnsi="宋体" w:eastAsia="宋体" w:cs="宋体"/>
          <w:color w:val="auto"/>
          <w:szCs w:val="21"/>
          <w:highlight w:val="none"/>
        </w:rPr>
        <w:t>未成交供应商的竞标保证金自成交通知书发出之日起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个工作日内退还；成交供应商的</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保证金自签订合同之日起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个工作日内退还。</w:t>
      </w:r>
      <w:bookmarkEnd w:id="2"/>
      <w:r>
        <w:rPr>
          <w:rFonts w:hint="eastAsia" w:ascii="宋体" w:hAnsi="宋体" w:eastAsia="宋体" w:cs="宋体"/>
          <w:color w:val="auto"/>
          <w:szCs w:val="21"/>
          <w:highlight w:val="none"/>
        </w:rPr>
        <w:t xml:space="preserve"> </w:t>
      </w:r>
    </w:p>
    <w:p>
      <w:pPr>
        <w:keepNext w:val="0"/>
        <w:keepLines w:val="0"/>
        <w:pageBreakBefore w:val="0"/>
        <w:kinsoku/>
        <w:wordWrap/>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（1）采用银行转账支付方式的，均以转账方式退回到供应商银行账户。</w:t>
      </w:r>
    </w:p>
    <w:p>
      <w:pPr>
        <w:keepNext w:val="0"/>
        <w:keepLines w:val="0"/>
        <w:pageBreakBefore w:val="0"/>
        <w:kinsoku/>
        <w:wordWrap/>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（2）采用支票、汇票或本票方式的，以转账方式退回到供应商银行账户或由供应商代表持相关授权证明材料至采购人或采购代理机构办理支票、汇票或本票原件退还手续。 </w:t>
      </w:r>
    </w:p>
    <w:p>
      <w:pPr>
        <w:keepNext w:val="0"/>
        <w:keepLines w:val="0"/>
        <w:pageBreakBefore w:val="0"/>
        <w:kinsoku/>
        <w:wordWrap/>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（3）采用金融机构、担保机构出具的保函、保险方式的，由供应商代表持相关授权证明材料至采购人或采购代理机构办理保函、保险原件退还手续。</w:t>
      </w:r>
    </w:p>
    <w:p>
      <w:pPr>
        <w:keepNext w:val="0"/>
        <w:keepLines w:val="0"/>
        <w:pageBreakBefore w:val="0"/>
        <w:kinsoku/>
        <w:wordWrap/>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保证金不计息。</w:t>
      </w:r>
    </w:p>
    <w:p>
      <w:pPr>
        <w:keepNext w:val="0"/>
        <w:keepLines w:val="0"/>
        <w:pageBreakBefore w:val="0"/>
        <w:kinsoku/>
        <w:wordWrap/>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17.4供应商有下列情形之一的，</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 xml:space="preserve">保证金将不予退还： </w:t>
      </w:r>
    </w:p>
    <w:p>
      <w:pPr>
        <w:keepNext w:val="0"/>
        <w:keepLines w:val="0"/>
        <w:pageBreakBefore w:val="0"/>
        <w:kinsoku/>
        <w:wordWrap/>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pPr>
        <w:keepNext w:val="0"/>
        <w:keepLines w:val="0"/>
        <w:pageBreakBefore w:val="0"/>
        <w:kinsoku/>
        <w:wordWrap/>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pPr>
        <w:keepNext w:val="0"/>
        <w:keepLines w:val="0"/>
        <w:pageBreakBefore w:val="0"/>
        <w:kinsoku/>
        <w:wordWrap/>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（3）供应商在响应文件中提供虚假材料的；</w:t>
      </w:r>
    </w:p>
    <w:p>
      <w:pPr>
        <w:keepNext w:val="0"/>
        <w:keepLines w:val="0"/>
        <w:pageBreakBefore w:val="0"/>
        <w:kinsoku/>
        <w:wordWrap/>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（4）除因不可抗力或者</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文件认可的情形以外，成交供应商不与采购人签订合同的；</w:t>
      </w:r>
    </w:p>
    <w:p>
      <w:pPr>
        <w:keepNext w:val="0"/>
        <w:keepLines w:val="0"/>
        <w:pageBreakBefore w:val="0"/>
        <w:kinsoku/>
        <w:wordWrap/>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（5）供应商与采购人、其他供应商或者采购代理机构恶意串通的；</w:t>
      </w:r>
    </w:p>
    <w:p>
      <w:pPr>
        <w:keepNext w:val="0"/>
        <w:keepLines w:val="0"/>
        <w:pageBreakBefore w:val="0"/>
        <w:kinsoku/>
        <w:wordWrap/>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（6）法律法规规定的其他情形。</w:t>
      </w:r>
    </w:p>
    <w:p>
      <w:pPr>
        <w:keepNext w:val="0"/>
        <w:keepLines w:val="0"/>
        <w:pageBreakBefore w:val="0"/>
        <w:kinsoku/>
        <w:wordWrap/>
        <w:overflowPunct/>
        <w:topLinePunct w:val="0"/>
        <w:bidi w:val="0"/>
        <w:spacing w:line="360" w:lineRule="auto"/>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18、</w:t>
      </w:r>
      <w:bookmarkStart w:id="3" w:name="_Toc254970542"/>
      <w:bookmarkStart w:id="4" w:name="_Toc254970683"/>
      <w:r>
        <w:rPr>
          <w:rFonts w:hint="eastAsia" w:ascii="宋体" w:hAnsi="宋体" w:eastAsia="宋体" w:cs="宋体"/>
          <w:b/>
          <w:color w:val="auto"/>
          <w:szCs w:val="21"/>
          <w:highlight w:val="none"/>
        </w:rPr>
        <w:t>响应文件的</w:t>
      </w:r>
      <w:bookmarkEnd w:id="3"/>
      <w:bookmarkEnd w:id="4"/>
      <w:r>
        <w:rPr>
          <w:rFonts w:hint="eastAsia" w:ascii="宋体" w:hAnsi="宋体" w:eastAsia="宋体" w:cs="宋体"/>
          <w:b/>
          <w:color w:val="auto"/>
          <w:szCs w:val="21"/>
          <w:highlight w:val="none"/>
        </w:rPr>
        <w:t>编制</w:t>
      </w:r>
    </w:p>
    <w:p>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18.1供应商应按本性谈判文件规定的格式和顺序编制、装订响应文件并标注页码，响应文件内容不完整、编排混乱导致响应文件被误读、漏读或者查找不到相关内容的，所引起的后果由供应商负责。</w:t>
      </w:r>
    </w:p>
    <w:p>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18.2响应文件应按资格证明、报价分别编制，商务技术文件合并编制，本谈判只接受电子版响应文件。</w:t>
      </w:r>
    </w:p>
    <w:p>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响应文件电子版要求：按照本谈判文件“第四章 响应文件格式”编写（第四章未附格式的，由供应商自行拟定），并在规定加盖公章处加盖电子公章，否则响应文件按无效响应处理。</w:t>
      </w:r>
      <w:r>
        <w:rPr>
          <w:rFonts w:hint="eastAsia" w:ascii="宋体" w:hAnsi="宋体" w:eastAsia="宋体" w:cs="宋体"/>
          <w:color w:val="auto"/>
          <w:kern w:val="0"/>
          <w:szCs w:val="21"/>
          <w:highlight w:val="none"/>
        </w:rPr>
        <w:t>骑缝盖</w:t>
      </w:r>
      <w:r>
        <w:rPr>
          <w:rFonts w:hint="eastAsia" w:ascii="宋体" w:hAnsi="宋体" w:eastAsia="宋体" w:cs="宋体"/>
          <w:color w:val="auto"/>
          <w:szCs w:val="21"/>
          <w:highlight w:val="none"/>
        </w:rPr>
        <w:t>公章不视为在规定位置盖章。</w:t>
      </w:r>
    </w:p>
    <w:p>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eastAsia="宋体" w:cs="宋体"/>
          <w:color w:val="auto"/>
          <w:kern w:val="0"/>
          <w:szCs w:val="21"/>
          <w:highlight w:val="none"/>
        </w:rPr>
        <w:t>响应文件应避免涂改、行间插字或者删除，否则其响应文件按无效响应处理。</w:t>
      </w:r>
    </w:p>
    <w:p>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18.6供应商进行电子交易应安装客户端软件—“广西政府采购云平台客户端”，并按照谈判文件和电子交易平台的要求编制并加密响应文件。供应商未按规定加密的响应文件，电子交易平台将拒收并提示。</w:t>
      </w:r>
    </w:p>
    <w:p>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18.7使用“广西政府采购云平台客户端”需要提前申领CA数字证书，申领流程见该项目采购公告附件。</w:t>
      </w:r>
    </w:p>
    <w:p>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18.8为确保网上操作合法、有效和安全，供应商应当在响应文件提交截止时间前完成在“政府采购云平台”的身份认证，确保在电子交易过程中能够对相关数据电文进行加密和使用电子签名。</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19.响应文件的递交</w:t>
      </w:r>
    </w:p>
    <w:p>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19.1供应商必须在“供应商须知前附表”规定的响应文件接收时间和地点提交电子版响应文件。电子响应文件应在制作完成后，在提交截止时间前通过有效数字证书（CA认证锁）进行</w:t>
      </w:r>
      <w:r>
        <w:rPr>
          <w:rFonts w:hint="eastAsia" w:ascii="宋体" w:hAnsi="宋体" w:eastAsia="宋体" w:cs="宋体"/>
          <w:color w:val="auto"/>
          <w:szCs w:val="21"/>
          <w:highlight w:val="none"/>
          <w:lang w:eastAsia="zh-CN"/>
        </w:rPr>
        <w:t>电子公章</w:t>
      </w:r>
      <w:r>
        <w:rPr>
          <w:rFonts w:hint="eastAsia" w:ascii="宋体" w:hAnsi="宋体" w:eastAsia="宋体" w:cs="宋体"/>
          <w:color w:val="auto"/>
          <w:szCs w:val="21"/>
          <w:highlight w:val="none"/>
        </w:rPr>
        <w:t>、加密，然后通过网络将加密的电子响应文件递交至“广西政府采购云平台”。</w:t>
      </w:r>
    </w:p>
    <w:p>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19.2未在规定时间内提交或者未按照谈判文件要求密封或者标记的电子响应文件，“广西政府采购云平台”将拒收。</w:t>
      </w:r>
    </w:p>
    <w:p>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19.3电子版响应文件提交方式见“谈判公告”中“四、提交响应文件截止时间、开标时间和地点”。</w:t>
      </w:r>
    </w:p>
    <w:p>
      <w:pPr>
        <w:keepNext w:val="0"/>
        <w:keepLines w:val="0"/>
        <w:pageBreakBefore w:val="0"/>
        <w:kinsoku/>
        <w:wordWrap/>
        <w:overflowPunct/>
        <w:topLinePunct w:val="0"/>
        <w:bidi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20.响应文件的补充、修改、撤回与退回</w:t>
      </w:r>
    </w:p>
    <w:p>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应当在首次提交响应文件截止时间前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广西政府采购云平台”平台将拒收。</w:t>
      </w:r>
    </w:p>
    <w:p>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“广西政府采购云平台”平台收到响应文件，将妥善保存并即时向供应商发出确认回执通知。在提交响应文件截止时间前，除供应商补充、修改或者撤回响应文件外，任何单位和个人不得解密或提取响应文件。</w:t>
      </w:r>
    </w:p>
    <w:p>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20.3在提交响应文件截止时间止提交电子版响应文件的供应商不足3家时，电子版响应文件由代理机构在“广西政府采购云平台”平台操作退回，除此之外采购人和采购代理机构对已提交的响应文件概不退回。</w:t>
      </w:r>
    </w:p>
    <w:p>
      <w:pPr>
        <w:keepNext w:val="0"/>
        <w:keepLines w:val="0"/>
        <w:pageBreakBefore w:val="0"/>
        <w:kinsoku/>
        <w:wordWrap/>
        <w:overflowPunct/>
        <w:topLinePunct w:val="0"/>
        <w:bidi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四、评审及谈判</w:t>
      </w:r>
    </w:p>
    <w:p>
      <w:pPr>
        <w:pStyle w:val="19"/>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21.谈判小组</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21.1竞争性谈判小组由采购人代表和评审专家共三人以上的单数组成。其中评审专家人数不少于谈判小组成员总数的2/3。</w:t>
      </w:r>
      <w:r>
        <w:rPr>
          <w:rFonts w:hint="eastAsia" w:ascii="宋体" w:hAnsi="宋体" w:eastAsia="宋体" w:cs="宋体"/>
          <w:color w:val="auto"/>
          <w:szCs w:val="21"/>
          <w:highlight w:val="none"/>
        </w:rPr>
        <w:t>采购人不得以评审专家身份参加本部门或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pPr>
        <w:keepNext w:val="0"/>
        <w:keepLines w:val="0"/>
        <w:pageBreakBefore w:val="0"/>
        <w:kinsoku/>
        <w:wordWrap/>
        <w:overflowPunct/>
        <w:topLinePunct w:val="0"/>
        <w:bidi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22.首次响应文件的开启</w:t>
      </w:r>
    </w:p>
    <w:p>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22.1首次响应文件由谈判小组或者采购代理机构在“供应商须知前附表”规定的时间开启。</w:t>
      </w:r>
    </w:p>
    <w:p>
      <w:pPr>
        <w:keepNext w:val="0"/>
        <w:keepLines w:val="0"/>
        <w:pageBreakBefore w:val="0"/>
        <w:kinsoku/>
        <w:wordWrap/>
        <w:overflowPunct/>
        <w:topLinePunct w:val="0"/>
        <w:bidi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 响应文件解密</w:t>
      </w:r>
    </w:p>
    <w:p>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23.1采购代理机构将在“供应商须知前附表”规定的时间通过电子交易平台组织响应文件开启采购机构依托电子交易平台发起开始解密指令，供应商的法定代表人或其委托代理人须携带加密时所用的CA锁按平台提示和谈判文件的规定登录到“广西政府采购云平台”平台电子开标大厅签到并在发起解密指令之时起30分钟内完成对电子响应文件在线解密。发起解密指令之时起5分钟内供应商还未进行解密的，代理机构通知供应商，</w:t>
      </w:r>
      <w:r>
        <w:rPr>
          <w:rFonts w:hint="eastAsia" w:ascii="宋体" w:hAnsi="宋体" w:eastAsia="宋体" w:cs="宋体"/>
          <w:bCs/>
          <w:color w:val="auto"/>
          <w:szCs w:val="21"/>
          <w:highlight w:val="none"/>
        </w:rPr>
        <w:t>通知后，</w:t>
      </w:r>
      <w:r>
        <w:rPr>
          <w:rFonts w:hint="eastAsia" w:ascii="宋体" w:hAnsi="宋体" w:eastAsia="宋体" w:cs="宋体"/>
          <w:color w:val="auto"/>
          <w:szCs w:val="21"/>
          <w:highlight w:val="none"/>
        </w:rPr>
        <w:t>响应</w:t>
      </w:r>
      <w:r>
        <w:rPr>
          <w:rFonts w:hint="eastAsia" w:ascii="宋体" w:hAnsi="宋体" w:eastAsia="宋体" w:cs="宋体"/>
          <w:bCs/>
          <w:color w:val="auto"/>
          <w:szCs w:val="21"/>
          <w:highlight w:val="none"/>
        </w:rPr>
        <w:t>文件仍未按时解密，或者</w:t>
      </w:r>
      <w:r>
        <w:rPr>
          <w:rFonts w:hint="eastAsia" w:ascii="宋体" w:hAnsi="宋体" w:eastAsia="宋体" w:cs="宋体"/>
          <w:color w:val="auto"/>
          <w:szCs w:val="21"/>
          <w:highlight w:val="none"/>
        </w:rPr>
        <w:t>供应商</w:t>
      </w:r>
      <w:r>
        <w:rPr>
          <w:rFonts w:hint="eastAsia" w:ascii="宋体" w:hAnsi="宋体" w:eastAsia="宋体" w:cs="宋体"/>
          <w:bCs/>
          <w:color w:val="auto"/>
          <w:szCs w:val="21"/>
          <w:highlight w:val="none"/>
        </w:rPr>
        <w:t>没预留联系方式或预留联系方式无效，</w:t>
      </w:r>
      <w:r>
        <w:rPr>
          <w:rFonts w:hint="eastAsia" w:ascii="宋体" w:hAnsi="宋体" w:eastAsia="宋体" w:cs="宋体"/>
          <w:color w:val="auto"/>
          <w:szCs w:val="21"/>
          <w:highlight w:val="none"/>
        </w:rPr>
        <w:t>非代理机构原因导致代理机构无法联系到供应商进行解密的</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视为响应文件无效</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（解密异常情况处理：详见本章30.电子交易活动的中止。）</w:t>
      </w:r>
    </w:p>
    <w:p>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23.2如供应商成功解密响应文件，但未在“广西政府采购云平台”电子开标大厅参加谈判的，视同认可谈判过程和结果，由此产生的后果由供应商自行负责。参与谈判的供应商不足3家的，不得谈判。</w:t>
      </w:r>
    </w:p>
    <w:p>
      <w:pPr>
        <w:keepNext w:val="0"/>
        <w:keepLines w:val="0"/>
        <w:pageBreakBefore w:val="0"/>
        <w:kinsoku/>
        <w:wordWrap/>
        <w:overflowPunct/>
        <w:topLinePunct w:val="0"/>
        <w:bidi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24.评审程序</w:t>
      </w:r>
    </w:p>
    <w:p>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24.1谈判小组按照“第六章 评审方法和评审标准”规定的方法、评审因素、标准和程序对响应文件进行评审。</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w:t>
      </w:r>
      <w:r>
        <w:rPr>
          <w:rFonts w:hint="eastAsia" w:ascii="宋体" w:hAnsi="宋体" w:eastAsia="宋体" w:cs="宋体"/>
          <w:bCs/>
          <w:color w:val="auto"/>
          <w:szCs w:val="21"/>
          <w:highlight w:val="none"/>
        </w:rPr>
        <w:t>资格审查</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响应文件开启后，谈判小组依法对供应商的资格文件进行审查</w:t>
      </w:r>
      <w:r>
        <w:rPr>
          <w:rFonts w:hint="eastAsia" w:ascii="宋体" w:hAnsi="宋体" w:eastAsia="宋体" w:cs="宋体"/>
          <w:color w:val="auto"/>
          <w:spacing w:val="-2"/>
          <w:szCs w:val="21"/>
          <w:highlight w:val="none"/>
        </w:rPr>
        <w:t>。</w:t>
      </w:r>
      <w:r>
        <w:rPr>
          <w:rFonts w:hint="eastAsia" w:ascii="宋体" w:hAnsi="宋体" w:eastAsia="宋体" w:cs="宋体"/>
          <w:b/>
          <w:bCs/>
          <w:color w:val="auto"/>
          <w:szCs w:val="21"/>
          <w:highlight w:val="none"/>
        </w:rPr>
        <w:t>在资格审查时，如发现下列情形之一的，响应文件将被视为无效：</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（1）不具备谈判文件中规定的资格要求的；（注：其中信用查询由谈判小组于资格审查时</w:t>
      </w:r>
      <w:r>
        <w:rPr>
          <w:rFonts w:hint="eastAsia" w:ascii="宋体" w:hAnsi="宋体" w:eastAsia="宋体" w:cs="宋体"/>
          <w:color w:val="auto"/>
          <w:szCs w:val="21"/>
          <w:highlight w:val="none"/>
        </w:rPr>
        <w:t>在“信用中国”网站和“中国政府采购网”</w:t>
      </w:r>
      <w:r>
        <w:rPr>
          <w:rFonts w:hint="eastAsia" w:ascii="宋体" w:hAnsi="宋体" w:eastAsia="宋体" w:cs="宋体"/>
          <w:bCs/>
          <w:color w:val="auto"/>
          <w:szCs w:val="21"/>
          <w:highlight w:val="none"/>
        </w:rPr>
        <w:t>对供应商进行信用查询，联合体成员存在不良信用记录的视同联合体存在不良信用记录。）</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（2）未提供谈判文件中“13.响应文件的组成13.1资格证明文件”要求必须提供的资料的；</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（3）法律、法规和谈判文件规定的其他无效情形。</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通过资格审查的合格供应商不足3家的，不得进入符合性审查环节，采购人或者采购代理机构应当重新开展采购活动。</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24.3符合性审查</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谈判小组依法对供应商的符合性进行审查</w:t>
      </w:r>
      <w:r>
        <w:rPr>
          <w:rFonts w:hint="eastAsia" w:ascii="宋体" w:hAnsi="宋体" w:eastAsia="宋体" w:cs="宋体"/>
          <w:color w:val="auto"/>
          <w:spacing w:val="-2"/>
          <w:szCs w:val="21"/>
          <w:highlight w:val="none"/>
        </w:rPr>
        <w:t>。</w:t>
      </w:r>
      <w:r>
        <w:rPr>
          <w:rFonts w:hint="eastAsia" w:ascii="宋体" w:hAnsi="宋体" w:eastAsia="宋体" w:cs="宋体"/>
          <w:b/>
          <w:bCs/>
          <w:color w:val="auto"/>
          <w:szCs w:val="21"/>
          <w:highlight w:val="none"/>
        </w:rPr>
        <w:t>在符合性审查时，如发现下列情形之一的，响应文件将被视为无效：</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未按照竞争性谈判文件的规定足额交纳投标保证金的</w:t>
      </w:r>
      <w:r>
        <w:rPr>
          <w:rFonts w:hint="eastAsia" w:ascii="宋体" w:hAnsi="宋体" w:eastAsia="宋体" w:cs="宋体"/>
          <w:bCs/>
          <w:color w:val="auto"/>
          <w:szCs w:val="21"/>
          <w:highlight w:val="none"/>
        </w:rPr>
        <w:t>；</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（2）响应文件未按谈判文件要求签署、盖章的；</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（3）投标代表人未能出具身份证明或与法定代表人授权委托人身份不符的；</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（4）响应文件的实质性内容未使用中文表述、意思表述不明确、前后矛盾或者使用计量单位不符合谈判文件要求的（经</w:t>
      </w:r>
      <w:r>
        <w:rPr>
          <w:rFonts w:hint="eastAsia" w:ascii="宋体" w:hAnsi="宋体" w:cs="宋体"/>
          <w:color w:val="auto"/>
          <w:szCs w:val="21"/>
          <w:highlight w:val="none"/>
          <w:lang w:eastAsia="zh-CN"/>
        </w:rPr>
        <w:t>谈判小组</w:t>
      </w:r>
      <w:r>
        <w:rPr>
          <w:rFonts w:hint="eastAsia" w:ascii="宋体" w:hAnsi="宋体" w:eastAsia="宋体" w:cs="宋体"/>
          <w:color w:val="auto"/>
          <w:szCs w:val="21"/>
          <w:highlight w:val="none"/>
        </w:rPr>
        <w:t>认定并允许其当场更正的笔误除外）</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（5）响应文件有效期、服务期或交货期、质保期等商务条款不能满足</w:t>
      </w:r>
      <w:r>
        <w:rPr>
          <w:rFonts w:hint="eastAsia" w:ascii="宋体" w:hAnsi="宋体" w:cs="宋体"/>
          <w:bCs/>
          <w:color w:val="auto"/>
          <w:szCs w:val="21"/>
          <w:highlight w:val="none"/>
          <w:lang w:eastAsia="zh-CN"/>
        </w:rPr>
        <w:t>采购文件</w:t>
      </w:r>
      <w:r>
        <w:rPr>
          <w:rFonts w:hint="eastAsia" w:ascii="宋体" w:hAnsi="宋体" w:eastAsia="宋体" w:cs="宋体"/>
          <w:bCs/>
          <w:color w:val="auto"/>
          <w:szCs w:val="21"/>
          <w:highlight w:val="none"/>
        </w:rPr>
        <w:t>要求的；</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（6）未实质性响应谈判文件要求或者响应文件有采购人不能接受的附加条件的。</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（7）未提供谈判文件中“13.响应文件的组成13.2商务和技术文件”要求必须提供的资料的；</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（8）未提供或未如实提供投标货物的技术参数，或者响应文件标明的响应或偏离与事实不符或虚假投标的；</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（9）明显不符合</w:t>
      </w:r>
      <w:r>
        <w:rPr>
          <w:rFonts w:hint="eastAsia" w:ascii="宋体" w:hAnsi="宋体" w:cs="宋体"/>
          <w:bCs/>
          <w:color w:val="auto"/>
          <w:szCs w:val="21"/>
          <w:highlight w:val="none"/>
          <w:lang w:eastAsia="zh-CN"/>
        </w:rPr>
        <w:t>采购文件</w:t>
      </w:r>
      <w:r>
        <w:rPr>
          <w:rFonts w:hint="eastAsia" w:ascii="宋体" w:hAnsi="宋体" w:eastAsia="宋体" w:cs="宋体"/>
          <w:bCs/>
          <w:color w:val="auto"/>
          <w:szCs w:val="21"/>
          <w:highlight w:val="none"/>
        </w:rPr>
        <w:t>要求的规格型号、质量标准和采购需求的，或者与</w:t>
      </w:r>
      <w:r>
        <w:rPr>
          <w:rFonts w:hint="eastAsia" w:ascii="宋体" w:hAnsi="宋体" w:cs="宋体"/>
          <w:bCs/>
          <w:color w:val="auto"/>
          <w:szCs w:val="21"/>
          <w:highlight w:val="none"/>
          <w:lang w:eastAsia="zh-CN"/>
        </w:rPr>
        <w:t>采购文件</w:t>
      </w:r>
      <w:r>
        <w:rPr>
          <w:rFonts w:hint="eastAsia" w:ascii="宋体" w:hAnsi="宋体" w:eastAsia="宋体" w:cs="宋体"/>
          <w:bCs/>
          <w:color w:val="auto"/>
          <w:szCs w:val="21"/>
          <w:highlight w:val="none"/>
        </w:rPr>
        <w:t>中标“▲”的技术指标、主要功能项目发生实质性偏离的；</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（10）允许偏离的技术、性能指标或者辅助功能项目发生负偏离</w:t>
      </w:r>
      <w:r>
        <w:rPr>
          <w:rFonts w:hint="eastAsia" w:ascii="宋体" w:hAnsi="宋体" w:cs="宋体"/>
          <w:bCs/>
          <w:color w:val="auto"/>
          <w:szCs w:val="21"/>
          <w:highlight w:val="none"/>
          <w:lang w:val="en-US" w:eastAsia="zh-CN"/>
        </w:rPr>
        <w:t>项数超过规定</w:t>
      </w:r>
      <w:r>
        <w:rPr>
          <w:rFonts w:hint="eastAsia" w:ascii="宋体" w:hAnsi="宋体" w:eastAsia="宋体" w:cs="宋体"/>
          <w:bCs/>
          <w:color w:val="auto"/>
          <w:szCs w:val="21"/>
          <w:highlight w:val="none"/>
        </w:rPr>
        <w:t>的；</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（11）技术方案不明确，存在一个或一个以上备选（替代）竞标方案的。</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（12）未提供谈判文件中“13.响应文件的组成13.3报价文件”要求必须提供的资料的；</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（13）报价超过</w:t>
      </w:r>
      <w:r>
        <w:rPr>
          <w:rFonts w:hint="eastAsia" w:ascii="宋体" w:hAnsi="宋体" w:cs="宋体"/>
          <w:bCs/>
          <w:color w:val="auto"/>
          <w:szCs w:val="21"/>
          <w:highlight w:val="none"/>
          <w:lang w:eastAsia="zh-CN"/>
        </w:rPr>
        <w:t>采购文件</w:t>
      </w:r>
      <w:r>
        <w:rPr>
          <w:rFonts w:hint="eastAsia" w:ascii="宋体" w:hAnsi="宋体" w:eastAsia="宋体" w:cs="宋体"/>
          <w:bCs/>
          <w:color w:val="auto"/>
          <w:szCs w:val="21"/>
          <w:highlight w:val="none"/>
        </w:rPr>
        <w:t>中规定的预算金额或者最高限价的；</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（14）未采用人民币报价或者未按照</w:t>
      </w:r>
      <w:r>
        <w:rPr>
          <w:rFonts w:hint="eastAsia" w:ascii="宋体" w:hAnsi="宋体" w:cs="宋体"/>
          <w:bCs/>
          <w:color w:val="auto"/>
          <w:szCs w:val="21"/>
          <w:highlight w:val="none"/>
          <w:lang w:eastAsia="zh-CN"/>
        </w:rPr>
        <w:t>采购文件</w:t>
      </w:r>
      <w:r>
        <w:rPr>
          <w:rFonts w:hint="eastAsia" w:ascii="宋体" w:hAnsi="宋体" w:eastAsia="宋体" w:cs="宋体"/>
          <w:bCs/>
          <w:color w:val="auto"/>
          <w:szCs w:val="21"/>
          <w:highlight w:val="none"/>
        </w:rPr>
        <w:t>标明的币种报价的；</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（15）竞标报价具有选择性，或者云平台中开标记录表的报价与响应文件承诺的优惠（折扣）价格不一致的；</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（16）法律、法规和</w:t>
      </w:r>
      <w:r>
        <w:rPr>
          <w:rFonts w:hint="eastAsia" w:ascii="宋体" w:hAnsi="宋体" w:cs="宋体"/>
          <w:bCs/>
          <w:color w:val="auto"/>
          <w:szCs w:val="21"/>
          <w:highlight w:val="none"/>
          <w:lang w:eastAsia="zh-CN"/>
        </w:rPr>
        <w:t>采购文件</w:t>
      </w:r>
      <w:r>
        <w:rPr>
          <w:rFonts w:hint="eastAsia" w:ascii="宋体" w:hAnsi="宋体" w:eastAsia="宋体" w:cs="宋体"/>
          <w:bCs/>
          <w:color w:val="auto"/>
          <w:szCs w:val="21"/>
          <w:highlight w:val="none"/>
        </w:rPr>
        <w:t>规定的其他无效情形。</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（17）出现恶意竞争低于成本价的情形</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（18）修正后的报价，</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不确认的。</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通过符合性审查的合格供应商不足3家的，不得进入谈判环节，应当重新开展采购活动。</w:t>
      </w:r>
    </w:p>
    <w:p>
      <w:pPr>
        <w:keepNext w:val="0"/>
        <w:keepLines w:val="0"/>
        <w:pageBreakBefore w:val="0"/>
        <w:kinsoku/>
        <w:wordWrap/>
        <w:overflowPunct/>
        <w:topLinePunct w:val="0"/>
        <w:bidi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25.谈判程序</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auto"/>
          <w:szCs w:val="21"/>
          <w:highlight w:val="none"/>
        </w:rPr>
        <w:t>其响应文件按无效响应处理。</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25.3对谈判文件作出的实质性变动是谈判文件的有效组成部分，由谈判小组及时以电子澄清函形式同时通知所有参加谈判的供应商。</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25.5谈判中，谈判的任何一方不得透露与谈判有关的其他供应商的技术资料、价格和其他信息。</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25.6谈判小组应对谈判过程和重要谈判内容进行记录，作为评标报告一部分，谈判小组在记录上签字确认。</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25.7谈判过程中重新提交的响应文件，供应商可以在开启前补充、修改。</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25.8对谈判过程提交的响应文件进行有效性、完整性和响应程度审查，通过审查的合格供应商不足3家的，采购人或者采购代理机构应当重新开展采购活动。</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26.最后报价</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26.1谈判文件能够详细列明采购标的的技术、服务要求的，谈判结束后，由谈判小组要求所有继续参加谈判的供应商在规定时间内密封提交最后报价，提交最后报价的供应商不得少于3家，否则必须重新采购。</w:t>
      </w:r>
      <w:r>
        <w:rPr>
          <w:rFonts w:hint="eastAsia" w:ascii="宋体" w:hAnsi="宋体" w:eastAsia="宋体" w:cs="宋体"/>
          <w:color w:val="auto"/>
          <w:kern w:val="0"/>
          <w:szCs w:val="21"/>
          <w:highlight w:val="none"/>
        </w:rPr>
        <w:t>继续参加谈判的供应商</w:t>
      </w:r>
      <w:r>
        <w:rPr>
          <w:rFonts w:hint="eastAsia" w:ascii="宋体" w:hAnsi="宋体" w:eastAsia="宋体" w:cs="宋体"/>
          <w:color w:val="auto"/>
          <w:szCs w:val="21"/>
          <w:highlight w:val="none"/>
        </w:rPr>
        <w:t>作最后报价</w:t>
      </w:r>
      <w:r>
        <w:rPr>
          <w:rFonts w:hint="eastAsia" w:ascii="宋体" w:hAnsi="宋体" w:eastAsia="宋体" w:cs="宋体"/>
          <w:b/>
          <w:color w:val="auto"/>
          <w:szCs w:val="21"/>
          <w:highlight w:val="none"/>
        </w:rPr>
        <w:t>并附相应的最后报价明细表（报价明细表按第四章要求格式填写），最后报价和相应的最后报价明细表须由其法定代表人或授权代表签字或者加盖电子公章</w:t>
      </w:r>
      <w:r>
        <w:rPr>
          <w:rFonts w:hint="eastAsia" w:ascii="宋体" w:hAnsi="宋体" w:eastAsia="宋体" w:cs="宋体"/>
          <w:b/>
          <w:color w:val="auto"/>
          <w:kern w:val="0"/>
          <w:szCs w:val="21"/>
          <w:highlight w:val="none"/>
        </w:rPr>
        <w:t>后递交</w:t>
      </w:r>
      <w:r>
        <w:rPr>
          <w:rFonts w:hint="eastAsia" w:ascii="宋体" w:hAnsi="宋体" w:eastAsia="宋体" w:cs="宋体"/>
          <w:b/>
          <w:color w:val="auto"/>
          <w:szCs w:val="21"/>
          <w:highlight w:val="none"/>
        </w:rPr>
        <w:t>。</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谈判文件不能详细列明采购标的的技术、服务要求，需经谈判由供应商提供最后设计方案或者解决方案的，谈判结束后，由谈判小组按照少数服从多数的原则投票推荐3家以上供应商的设计方案或者解决方案，并要求其在规定时间内密封提交最后报价。</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最后报价是供应商响应文件的有效组成部分。</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26.4已经提交响应文件的供应商，在提交最后报价之前，可以根据谈判情况退出谈判，退出谈判的供应商的响应文件按无效响应处理。</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26.5供应商未在规定时间内提交最后报价的，视同</w:t>
      </w:r>
      <w:r>
        <w:rPr>
          <w:rFonts w:hint="eastAsia" w:ascii="宋体" w:hAnsi="宋体" w:eastAsia="宋体" w:cs="宋体"/>
          <w:b/>
          <w:color w:val="auto"/>
          <w:kern w:val="0"/>
          <w:szCs w:val="21"/>
          <w:highlight w:val="none"/>
        </w:rPr>
        <w:t>放弃报价权利退出谈判</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26.6谈判小组收齐项目或某一分标最后报价后统一开启，谈判小组对最后报价进行有效性、完整性和响应程度的审查。</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26.7最终响应文件的报价出现前后不一致的，按照本章第29.1条的规定修正。</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26.8修正后的最终报价出现下列情形的，按无效响应处理：</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26.9经供应商确认修正后的最后报价作为评审及签订合同的依据。</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26.10供应商出现最后报价按无效响应处理或者响应文件按无效处理时，谈判小组应当告知有关供应商。</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26.11最后报价结束后，谈判小组不得再与供应商进行任何形式的商谈。</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 最后报价政府采购政策性扣除</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评审价为供应商的最后报价进行政策性扣除后的价格，评审价只是作为评审时使用。最终成交供应商的成交金额等于最后报价（如有修正，以确认修正后的最后报价为准）。如价格未进行政策性扣除，则评审价=最后报价。</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27.2谈判小组从质量和服务均能满足竞争性谈判文件实质性响应要求的供应商中，按照最后评审价由低到高的顺序提出3名以上成交候选人；</w:t>
      </w:r>
      <w:r>
        <w:rPr>
          <w:rFonts w:hint="eastAsia" w:ascii="宋体" w:hAnsi="宋体" w:eastAsia="宋体" w:cs="宋体"/>
          <w:color w:val="auto"/>
          <w:highlight w:val="none"/>
        </w:rPr>
        <w:t>最后评审报价相同时，依次最后竞标报价低优先、</w:t>
      </w:r>
      <w:r>
        <w:rPr>
          <w:rFonts w:hint="eastAsia" w:ascii="宋体" w:hAnsi="宋体" w:eastAsia="宋体" w:cs="宋体"/>
          <w:color w:val="auto"/>
          <w:szCs w:val="21"/>
          <w:highlight w:val="none"/>
        </w:rPr>
        <w:t>依次按节能环保产品累计金额高的优先、</w:t>
      </w:r>
      <w:r>
        <w:rPr>
          <w:rFonts w:hint="eastAsia" w:ascii="宋体" w:hAnsi="宋体" w:eastAsia="宋体" w:cs="宋体"/>
          <w:color w:val="auto"/>
          <w:highlight w:val="none"/>
        </w:rPr>
        <w:t>环境标志产品优先、关键技术指标高优先、质量保证期长优先、</w:t>
      </w:r>
      <w:r>
        <w:rPr>
          <w:rFonts w:hint="eastAsia" w:ascii="宋体" w:hAnsi="宋体" w:eastAsia="宋体" w:cs="宋体"/>
          <w:bCs/>
          <w:color w:val="auto"/>
          <w:highlight w:val="none"/>
        </w:rPr>
        <w:t>交货期</w:t>
      </w:r>
      <w:r>
        <w:rPr>
          <w:rFonts w:hint="eastAsia" w:ascii="宋体" w:hAnsi="宋体" w:eastAsia="宋体" w:cs="宋体"/>
          <w:color w:val="auto"/>
          <w:highlight w:val="none"/>
        </w:rPr>
        <w:t>短优先、故障处理时间短优先的顺序排列</w:t>
      </w:r>
      <w:r>
        <w:rPr>
          <w:rFonts w:hint="eastAsia" w:ascii="宋体" w:hAnsi="宋体" w:eastAsia="宋体" w:cs="宋体"/>
          <w:color w:val="auto"/>
          <w:szCs w:val="21"/>
          <w:highlight w:val="none"/>
        </w:rPr>
        <w:t>成交候选人，并编写评审报告。最后报价是供应商竞争性谈判响应文件的有效组成部分。</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28.澄清问题的形式</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28.1对于响应文件中含义不明确、同类问题表述不一致或者有明显文字和计算错误的内容，</w:t>
      </w:r>
      <w:r>
        <w:rPr>
          <w:rFonts w:hint="eastAsia" w:ascii="宋体" w:hAnsi="宋体" w:cs="宋体"/>
          <w:color w:val="auto"/>
          <w:szCs w:val="21"/>
          <w:highlight w:val="none"/>
          <w:lang w:eastAsia="zh-CN"/>
        </w:rPr>
        <w:t>谈判小组</w:t>
      </w:r>
      <w:r>
        <w:rPr>
          <w:rFonts w:hint="eastAsia" w:ascii="宋体" w:hAnsi="宋体" w:eastAsia="宋体" w:cs="宋体"/>
          <w:color w:val="auto"/>
          <w:szCs w:val="21"/>
          <w:highlight w:val="none"/>
        </w:rPr>
        <w:t>应在“广西政府采购云平台”平台发布电子澄清函，要求供应商在规定时间内作出必要的澄清、说明或者补正。供应商在“广西政府采购云平台”平台接收到电子澄清函后根据澄清函内容上传PDF格式回函，电子澄清答复函使用CA证书加盖单位公章后在线上传至</w:t>
      </w:r>
      <w:r>
        <w:rPr>
          <w:rFonts w:hint="eastAsia" w:ascii="宋体" w:hAnsi="宋体" w:cs="宋体"/>
          <w:color w:val="auto"/>
          <w:szCs w:val="21"/>
          <w:highlight w:val="none"/>
          <w:lang w:eastAsia="zh-CN"/>
        </w:rPr>
        <w:t>谈判小组</w:t>
      </w:r>
      <w:r>
        <w:rPr>
          <w:rFonts w:hint="eastAsia" w:ascii="宋体" w:hAnsi="宋体" w:eastAsia="宋体" w:cs="宋体"/>
          <w:color w:val="auto"/>
          <w:szCs w:val="21"/>
          <w:highlight w:val="none"/>
        </w:rPr>
        <w:t>。供应商的澄清、说明或者补正不得超出响应文件的范围或者改变响应文件的实质性内容。供应商未在规定时间内进行澄清、说明或者补正的，按无效竞标处理。</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28.2异常情况处理：如遇无法正常使用线上发送澄清函的情况，将启动书面形式办理。启动书面形式办理的情况下，</w:t>
      </w:r>
      <w:r>
        <w:rPr>
          <w:rFonts w:hint="eastAsia" w:ascii="宋体" w:hAnsi="宋体" w:cs="宋体"/>
          <w:color w:val="auto"/>
          <w:szCs w:val="21"/>
          <w:highlight w:val="none"/>
          <w:lang w:eastAsia="zh-CN"/>
        </w:rPr>
        <w:t>谈判小组</w:t>
      </w:r>
      <w:r>
        <w:rPr>
          <w:rFonts w:hint="eastAsia" w:ascii="宋体" w:hAnsi="宋体" w:eastAsia="宋体" w:cs="宋体"/>
          <w:color w:val="auto"/>
          <w:szCs w:val="21"/>
          <w:highlight w:val="none"/>
        </w:rPr>
        <w:t>以书面形式要求供应商在规定时间内作出必要的澄清、说明或者补正。供应商的澄清、说明或者补正必须采用书面形式，并加盖公章，或者由法定代表人或者其授权的代表签字。</w:t>
      </w:r>
    </w:p>
    <w:p>
      <w:pPr>
        <w:keepNext w:val="0"/>
        <w:keepLines w:val="0"/>
        <w:pageBreakBefore w:val="0"/>
        <w:widowControl/>
        <w:tabs>
          <w:tab w:val="left" w:pos="540"/>
        </w:tabs>
        <w:kinsoku/>
        <w:wordWrap/>
        <w:overflowPunct/>
        <w:topLinePunct w:val="0"/>
        <w:bidi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29.错误修正</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29.1竞争性谈判响应文件如果出现计算或表达上的错误，修正错误的原则如下：</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（1）响应文件中开标一览表（报价表）内容与响应文件中相应内容不一致的，以开标一览表（报价表）为准；</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（3）单价金额小数点或者百分比有明显错位的，以开标一览表的总价为准，并修改单价；</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pPr>
        <w:keepNext w:val="0"/>
        <w:keepLines w:val="0"/>
        <w:pageBreakBefore w:val="0"/>
        <w:widowControl/>
        <w:tabs>
          <w:tab w:val="left" w:pos="540"/>
        </w:tabs>
        <w:kinsoku/>
        <w:wordWrap/>
        <w:overflowPunct/>
        <w:topLinePunct w:val="0"/>
        <w:bidi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同时出现两种以上不一致的，按照前款规定的顺序修正。修正后的报价经供应商确认并加盖公章或者由法定代表人或其授权的代表签字后产生约束力，供应商不确认的，其竞标无效。</w:t>
      </w:r>
    </w:p>
    <w:p>
      <w:pPr>
        <w:keepNext w:val="0"/>
        <w:keepLines w:val="0"/>
        <w:pageBreakBefore w:val="0"/>
        <w:widowControl/>
        <w:tabs>
          <w:tab w:val="left" w:pos="540"/>
        </w:tabs>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29.2经供应商确认修正后的首次及最后报价若超过采购预算金额，供应商的响应文件作无效处理。</w:t>
      </w:r>
    </w:p>
    <w:p>
      <w:pPr>
        <w:keepNext w:val="0"/>
        <w:keepLines w:val="0"/>
        <w:pageBreakBefore w:val="0"/>
        <w:widowControl/>
        <w:tabs>
          <w:tab w:val="left" w:pos="540"/>
        </w:tabs>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29.3经供应商确认修正后的最后报价作为评审及签订合同的依据。</w:t>
      </w:r>
    </w:p>
    <w:p>
      <w:pPr>
        <w:keepNext w:val="0"/>
        <w:keepLines w:val="0"/>
        <w:pageBreakBefore w:val="0"/>
        <w:widowControl/>
        <w:kinsoku/>
        <w:wordWrap/>
        <w:overflowPunct/>
        <w:topLinePunct w:val="0"/>
        <w:bidi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30.电子交易活动的中止</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30.1采购过程中出现以下情形，导致电子交易平台无法正常运行，或者无法保证电子交易的公平、公正和安全时，采购机构可中止电子交易活动：</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（1）电子交易平台发生故障而无法登录访问的；</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（2）电子交易平台应用或数据库出现错误，不能进行正常操作的；</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（3）电子交易平台发现严重安全漏洞，有潜在泄密危险的；</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（4）病毒发作导致不能进行正常操作的；</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（5）其他无法保证电子交易的公平、公正和安全的情况。</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keepNext w:val="0"/>
        <w:keepLines w:val="0"/>
        <w:pageBreakBefore w:val="0"/>
        <w:widowControl/>
        <w:tabs>
          <w:tab w:val="left" w:pos="540"/>
        </w:tabs>
        <w:kinsoku/>
        <w:wordWrap/>
        <w:overflowPunct/>
        <w:topLinePunct w:val="0"/>
        <w:bidi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31.评委表决</w:t>
      </w:r>
    </w:p>
    <w:p>
      <w:pPr>
        <w:keepNext w:val="0"/>
        <w:keepLines w:val="0"/>
        <w:pageBreakBefore w:val="0"/>
        <w:widowControl/>
        <w:tabs>
          <w:tab w:val="left" w:pos="540"/>
        </w:tabs>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31.1在评标过程中出现法律法规和谈判文件均没有明确规定的情形时，由谈判小组现场协商解决，协商不一致的，由全体评委投票表决，以得票率二分之一以上专家的意见为准。</w:t>
      </w:r>
    </w:p>
    <w:p>
      <w:pPr>
        <w:keepNext w:val="0"/>
        <w:keepLines w:val="0"/>
        <w:pageBreakBefore w:val="0"/>
        <w:widowControl/>
        <w:tabs>
          <w:tab w:val="left" w:pos="540"/>
        </w:tabs>
        <w:kinsoku/>
        <w:wordWrap/>
        <w:overflowPunct/>
        <w:topLinePunct w:val="0"/>
        <w:bidi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32.评审过程的监控</w:t>
      </w:r>
    </w:p>
    <w:p>
      <w:pPr>
        <w:keepNext w:val="0"/>
        <w:keepLines w:val="0"/>
        <w:pageBreakBefore w:val="0"/>
        <w:widowControl/>
        <w:tabs>
          <w:tab w:val="left" w:pos="540"/>
        </w:tabs>
        <w:kinsoku/>
        <w:wordWrap/>
        <w:overflowPunct/>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32.1本项目电子评标过程实行网上留痕、全程录音、录像监控，供应商在评审过程中所进行的试图影响评审结果的不公正活动，可能导致其竞争性谈判被拒绝。</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五、成交及合同</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33.确定成交供应商</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33.1 </w:t>
      </w:r>
      <w:r>
        <w:rPr>
          <w:rFonts w:hint="eastAsia" w:ascii="宋体" w:hAnsi="宋体" w:eastAsia="宋体" w:cs="宋体"/>
          <w:color w:val="auto"/>
          <w:kern w:val="0"/>
          <w:szCs w:val="21"/>
          <w:highlight w:val="none"/>
        </w:rPr>
        <w:t>根据以下原则确定成交供应商：响应文件满足谈判文件全部实质性要求，且评审报价最低的供应商为成交供应商。</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33.2采购代理机构将在评标结束后两个工作日内将评标报告送采购人，采购人在五个工作日内按照评标报告中推荐的成交候选人顺序确定成交人。采购人也可以事先授权谈判小组直接确定成交人。</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33.3成交供应商确定后二个工作日内，采购代理机构或采购人</w:t>
      </w:r>
      <w:r>
        <w:rPr>
          <w:rFonts w:hint="eastAsia" w:ascii="宋体" w:hAnsi="宋体" w:eastAsia="宋体" w:cs="宋体"/>
          <w:color w:val="auto"/>
          <w:kern w:val="0"/>
          <w:szCs w:val="21"/>
          <w:highlight w:val="none"/>
        </w:rPr>
        <w:t>应当对成交人信用进行核实</w:t>
      </w:r>
      <w:r>
        <w:rPr>
          <w:rFonts w:hint="eastAsia" w:ascii="宋体" w:hAnsi="宋体" w:eastAsia="宋体" w:cs="宋体"/>
          <w:color w:val="auto"/>
          <w:szCs w:val="21"/>
          <w:highlight w:val="none"/>
        </w:rPr>
        <w:t>，如其未被列入失信被执行人、重大税收违法案件当事人名单、政府采购严重违法失信行为记录名单，则采购代理机构在公告发布媒体中标公告；如其被列入失信被执行人、重大税收违法案件当事人名单、政府采购严重违法失信行为记录名单，则取消其中标资格，</w:t>
      </w:r>
      <w:r>
        <w:rPr>
          <w:rFonts w:hint="eastAsia" w:ascii="宋体" w:hAnsi="宋体" w:eastAsia="宋体" w:cs="宋体"/>
          <w:color w:val="auto"/>
          <w:spacing w:val="-3"/>
          <w:szCs w:val="21"/>
          <w:highlight w:val="none"/>
        </w:rPr>
        <w:t>并确定排名第二的中标候选人为中标人。排名第二的中标候选人因前款规定的同样原因被取消中标资格的，采购人可以确定排名第三的中标候选人为中标人</w:t>
      </w:r>
      <w:r>
        <w:rPr>
          <w:rFonts w:hint="eastAsia" w:ascii="宋体" w:hAnsi="宋体" w:cs="宋体"/>
          <w:color w:val="auto"/>
          <w:spacing w:val="-3"/>
          <w:szCs w:val="21"/>
          <w:highlight w:val="none"/>
          <w:lang w:eastAsia="zh-CN"/>
        </w:rPr>
        <w:t>，其余以此类推，也可重新采购。</w:t>
      </w:r>
      <w:r>
        <w:rPr>
          <w:rFonts w:hint="eastAsia" w:ascii="宋体" w:hAnsi="宋体" w:eastAsia="宋体" w:cs="宋体"/>
          <w:color w:val="auto"/>
          <w:spacing w:val="-3"/>
          <w:szCs w:val="21"/>
          <w:highlight w:val="none"/>
        </w:rPr>
        <w:t>以上信息查询记录</w:t>
      </w:r>
      <w:r>
        <w:rPr>
          <w:rFonts w:hint="eastAsia" w:ascii="宋体" w:hAnsi="宋体" w:eastAsia="宋体" w:cs="宋体"/>
          <w:color w:val="auto"/>
          <w:szCs w:val="21"/>
          <w:highlight w:val="none"/>
        </w:rPr>
        <w:t>及相关证据与谈判文件一并保存。</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33.4在发布成交公告的同时，采购代理机构向成交供应商</w:t>
      </w:r>
      <w:r>
        <w:rPr>
          <w:rFonts w:hint="eastAsia" w:ascii="宋体" w:hAnsi="宋体" w:eastAsia="宋体" w:cs="宋体"/>
          <w:color w:val="auto"/>
          <w:kern w:val="0"/>
          <w:szCs w:val="21"/>
          <w:highlight w:val="none"/>
        </w:rPr>
        <w:t>通过“广西政府采购云平台”平台发出电子</w:t>
      </w:r>
      <w:r>
        <w:rPr>
          <w:rFonts w:hint="eastAsia" w:ascii="宋体" w:hAnsi="宋体" w:eastAsia="宋体" w:cs="宋体"/>
          <w:color w:val="auto"/>
          <w:szCs w:val="21"/>
          <w:highlight w:val="none"/>
        </w:rPr>
        <w:t>成交通知书。</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33.5供应商认为竞争性谈判文件、招标过程和成交结果使自己的权益受到损害的，可以在知道或者应知其权益受到损害之日起七个工作日内，以书面形式向招标采购单位提出质疑，并及时索要书面回执。</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33.6采购代理机构应当按照有关规定就采购人委托授权范围内的事项在收到供应商的书面质疑后七个工作日内做出答复，但答复的内容不得涉及商业秘密。</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34.签订合同</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成交供应商应在成交通知书发出之日起二十五日内，按谈判文件确定的合同文本及采购标的、规格型号、采购金额、采购数量、技术和服务要求等事项与采购人签订政府采购合同。如成交供应商为联合体的，由联合体成员各方法定代表人或其授权代表与采购人代表签订合同。</w:t>
      </w:r>
      <w:r>
        <w:rPr>
          <w:rFonts w:hint="eastAsia" w:ascii="宋体" w:hAnsi="宋体" w:eastAsia="宋体" w:cs="宋体"/>
          <w:color w:val="auto"/>
          <w:kern w:val="0"/>
          <w:szCs w:val="21"/>
          <w:highlight w:val="none"/>
        </w:rPr>
        <w:t>电子采购合同需要供应商通过有效CA证书进行电子签名与签章。</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34.3如成交人不按成交通知书的规定签订合同，则按成交人违约处理，采购代理机构将没收成交人投标的全部竞标保证金并上缴同级财政国库。</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34.4成交人拒绝签订政府采购合同或者因不可抗力或自身原因不能履行采购合同的，采购人可以按照评审报告推荐的成交候选人名单排序，确定下一候选人为成交供应商，也可以重新开展采购活动。拒绝签订政府采购合同的成交供应商不得参加对该项目重新开展的采购活动。</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34.5政府采购合同公告：采购人或者受托采购代理机构应当自政府采购合同签订之日起2个工作日内，将政府采购合同在“广西政府采购网”（http://zfcg.gxzf.gov.cn）上发布公告，但政府采购合同中涉及国家秘密、商业秘密的内容除外。因此请各供应商应在响应文件中注明投标内容中涉及商业秘密的部分，未注明的视为响应文件中不涉及商业秘密。</w:t>
      </w:r>
    </w:p>
    <w:p>
      <w:pPr>
        <w:pStyle w:val="19"/>
        <w:keepNext w:val="0"/>
        <w:keepLines w:val="0"/>
        <w:pageBreakBefore w:val="0"/>
        <w:kinsoku/>
        <w:wordWrap/>
        <w:overflowPunct/>
        <w:topLinePunct w:val="0"/>
        <w:bidi w:val="0"/>
        <w:spacing w:line="360" w:lineRule="auto"/>
        <w:ind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34.6履约保证金</w:t>
      </w:r>
    </w:p>
    <w:p>
      <w:pPr>
        <w:keepNext w:val="0"/>
        <w:keepLines w:val="0"/>
        <w:pageBreakBefore w:val="0"/>
        <w:kinsoku/>
        <w:wordWrap/>
        <w:overflowPunct/>
        <w:topLinePunct w:val="0"/>
        <w:bidi w:val="0"/>
        <w:spacing w:line="360" w:lineRule="auto"/>
        <w:ind w:firstLine="283" w:firstLineChars="13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34.6.1履约保证金金额：详见供应商须知前附</w:t>
      </w:r>
      <w:r>
        <w:rPr>
          <w:rFonts w:hint="eastAsia" w:ascii="宋体" w:hAnsi="宋体" w:eastAsia="宋体" w:cs="宋体"/>
          <w:color w:val="auto"/>
          <w:szCs w:val="21"/>
          <w:highlight w:val="none"/>
        </w:rPr>
        <w:t>表</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bidi w:val="0"/>
        <w:spacing w:line="360" w:lineRule="auto"/>
        <w:ind w:firstLine="283" w:firstLineChars="13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34.6.2履约保证金递交时间：详见供应商须知前附</w:t>
      </w:r>
      <w:r>
        <w:rPr>
          <w:rFonts w:hint="eastAsia" w:ascii="宋体" w:hAnsi="宋体" w:eastAsia="宋体" w:cs="宋体"/>
          <w:color w:val="auto"/>
          <w:szCs w:val="21"/>
          <w:highlight w:val="none"/>
        </w:rPr>
        <w:t>表，未在规定时间内足额缴纳履约保证金的，不予签订合同</w:t>
      </w:r>
      <w:r>
        <w:rPr>
          <w:rFonts w:hint="eastAsia" w:ascii="宋体" w:hAnsi="宋体" w:eastAsia="宋体" w:cs="宋体"/>
          <w:color w:val="auto"/>
          <w:kern w:val="0"/>
          <w:szCs w:val="21"/>
          <w:highlight w:val="none"/>
        </w:rPr>
        <w:t>。</w:t>
      </w:r>
    </w:p>
    <w:p>
      <w:pPr>
        <w:pStyle w:val="19"/>
        <w:keepNext w:val="0"/>
        <w:keepLines w:val="0"/>
        <w:pageBreakBefore w:val="0"/>
        <w:kinsoku/>
        <w:wordWrap/>
        <w:overflowPunct/>
        <w:topLinePunct w:val="0"/>
        <w:bidi w:val="0"/>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34.6.3在履约保证金退还日期前，若中标供应商的开户名称、开户银行、帐号有变动的，请以书面形式通知保证金收取单位，否则由此产生的后果由中标供应商自负。</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六、验收</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35.验收</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35.1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35.2采购人可以邀请参加本项目的其他供应商或者第三方机构参与验收。参与验收的供应商或者第三方机构的意见作为验收书的参考资料一并存档。</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35.3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35.4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35.5项目验收完毕，成交供应商将壹份《广西壮族自治区政府采购项目合同验收书》（格式详见附件）送采购代理机构存档。</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七、其他事项</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36. 需要补充的其他内容</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36.1本谈判文件解释规则详见“供应商须知前附表”。</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37.2其他事项详见“供应商须知前附表”。</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37. 成交服务费</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成交服务费：代理服务费以成交价为计费依据，参照国家发展计划委员会《招标代理服务收费管理暂行办法》(计价格[2002]1980号)收费标准及《国家发展改革委关于降低部分建设项目收费标准规范收费行为等有关问题的通知》(发改价格[2011]534号)标准费率的规定下浮</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%向成交供应商收取。成交供应商在领取成交通知书时，一次性向采购代理机构支付。</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37.2成交服务费收费标准：</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641350</wp:posOffset>
                      </wp:positionH>
                      <wp:positionV relativeFrom="paragraph">
                        <wp:posOffset>12065</wp:posOffset>
                      </wp:positionV>
                      <wp:extent cx="831850" cy="1131570"/>
                      <wp:effectExtent l="3810" t="2540" r="21590" b="8890"/>
                      <wp:wrapNone/>
                      <wp:docPr id="3" name="直线 20"/>
                      <wp:cNvGraphicFramePr/>
                      <a:graphic xmlns:a="http://schemas.openxmlformats.org/drawingml/2006/main">
                        <a:graphicData uri="http://schemas.microsoft.com/office/word/2010/wordprocessingShape">
                          <wps:wsp>
                            <wps:cNvCnPr/>
                            <wps:spPr>
                              <a:xfrm flipH="1" flipV="1">
                                <a:off x="0" y="0"/>
                                <a:ext cx="831850" cy="11315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0" o:spid="_x0000_s1026" o:spt="20" style="position:absolute;left:0pt;flip:x y;margin-left:50.5pt;margin-top:0.95pt;height:89.1pt;width:65.5pt;z-index:251661312;mso-width-relative:page;mso-height-relative:page;" filled="f" stroked="t" coordsize="21600,21600" o:gfxdata="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uCX0tEAAAAJAQAADwAAAAAAAAABACAAAAAiAAAAZHJzL2Rvd25yZXYueG1sUEsBAhQAFAAA&#10;AAgAh07iQIX8OZv2AQAA9wMAAA4AAAAAAAAAAQAgAAAAIAEAAGRycy9lMm9Eb2MueG1sUEsFBgAA&#10;AAAGAAYAWQEAAIgFAAAAAA==&#10;">
                      <v:fill on="f" focussize="0,0"/>
                      <v:stroke color="#000000" joinstyle="round"/>
                      <v:imagedata o:title=""/>
                      <o:lock v:ext="edit" aspectratio="f"/>
                    </v:line>
                  </w:pict>
                </mc:Fallback>
              </mc:AlternateContent>
            </w:r>
            <w:r>
              <w:rPr>
                <w:rFonts w:hint="eastAsia" w:ascii="宋体" w:hAnsi="宋体" w:eastAsia="宋体" w:cs="宋体"/>
                <w:b/>
                <w:color w:val="auto"/>
                <w:szCs w:val="21"/>
                <w:highlight w:val="none"/>
              </w:rPr>
              <w:t>费率</w:t>
            </w: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1" name="直线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8"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uR037VAAAACQEAAA8A&#10;AAAAAAAAAQAgAAAAIgAAAGRycy9kb3ducmV2LnhtbFBLAQIUABQAAAAIAIdO4kCpcURx4QEAANoD&#10;AAAOAAAAAAAAAAEAIAAAACQBAABkcnMvZTJvRG9jLnhtbFBLBQYAAAAABgAGAFkBAAB3BQAAAAA=&#10;">
                      <v:fill on="f" focussize="0,0"/>
                      <v:stroke color="#000000" joinstyle="round"/>
                      <v:imagedata o:title=""/>
                      <o:lock v:ext="edit" aspectratio="f"/>
                    </v:line>
                  </w:pict>
                </mc:Fallback>
              </mc:AlternateContent>
            </w:r>
            <w:r>
              <w:rPr>
                <w:rFonts w:hint="eastAsia" w:ascii="宋体" w:hAnsi="宋体" w:eastAsia="宋体" w:cs="宋体"/>
                <w:b/>
                <w:color w:val="auto"/>
                <w:szCs w:val="21"/>
                <w:highlight w:val="none"/>
              </w:rPr>
              <w:t xml:space="preserve">    服务类型</w:t>
            </w:r>
          </w:p>
          <w:p>
            <w:pPr>
              <w:keepNext w:val="0"/>
              <w:keepLines w:val="0"/>
              <w:pageBreakBefore w:val="0"/>
              <w:kinsoku/>
              <w:wordWrap/>
              <w:overflowPunct/>
              <w:topLinePunct w:val="0"/>
              <w:bidi w:val="0"/>
              <w:spacing w:line="360" w:lineRule="auto"/>
              <w:ind w:firstLine="422" w:firstLineChars="200"/>
              <w:jc w:val="center"/>
              <w:rPr>
                <w:rFonts w:hint="eastAsia" w:ascii="宋体" w:hAnsi="宋体" w:eastAsia="宋体" w:cs="宋体"/>
                <w:b/>
                <w:color w:val="auto"/>
                <w:szCs w:val="21"/>
                <w:highlight w:val="none"/>
              </w:rPr>
            </w:pP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-159385</wp:posOffset>
                      </wp:positionV>
                      <wp:extent cx="1508760" cy="723265"/>
                      <wp:effectExtent l="1905" t="4445" r="13335" b="15240"/>
                      <wp:wrapNone/>
                      <wp:docPr id="2" name="直线 19"/>
                      <wp:cNvGraphicFramePr/>
                      <a:graphic xmlns:a="http://schemas.openxmlformats.org/drawingml/2006/main">
                        <a:graphicData uri="http://schemas.microsoft.com/office/word/2010/wordprocessingShape">
                          <wps:wsp>
                            <wps:cNvCnPr/>
                            <wps:spPr>
                              <a:xfrm flipH="1" flipV="1">
                                <a:off x="0" y="0"/>
                                <a:ext cx="1508760" cy="72326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9" o:spid="_x0000_s1026" o:spt="20" style="position:absolute;left:0pt;flip:x y;margin-left:-2.85pt;margin-top:-12.55pt;height:56.95pt;width:118.8pt;z-index:251660288;mso-width-relative:page;mso-height-relative:page;" filled="f" stroked="t" coordsize="21600,21600" o:gfxdata="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K7I93VAAAACQEAAA8AAAAAAAAAAQAgAAAAIgAAAGRycy9kb3ducmV2LnhtbFBLAQIU&#10;ABQAAAAIAIdO4kDo/BH+9gEAAPcDAAAOAAAAAAAAAAEAIAAAACQBAABkcnMvZTJvRG9jLnhtbFBL&#10;BQYAAAAABgAGAFkBAACMBQAAAAA=&#10;">
                      <v:fill on="f" focussize="0,0"/>
                      <v:stroke color="#000000" joinstyle="round"/>
                      <v:imagedata o:title=""/>
                      <o:lock v:ext="edit" aspectratio="f"/>
                    </v:line>
                  </w:pict>
                </mc:Fallback>
              </mc:AlternateContent>
            </w:r>
          </w:p>
          <w:p>
            <w:pPr>
              <w:keepNext w:val="0"/>
              <w:keepLines w:val="0"/>
              <w:pageBreakBefore w:val="0"/>
              <w:kinsoku/>
              <w:wordWrap/>
              <w:overflowPunct/>
              <w:topLinePunct w:val="0"/>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成交金额（万元）</w:t>
            </w: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服务招标</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100以下</w:t>
            </w:r>
          </w:p>
        </w:tc>
        <w:tc>
          <w:tcPr>
            <w:tcW w:w="19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w:t>
            </w:r>
          </w:p>
        </w:tc>
        <w:tc>
          <w:tcPr>
            <w:tcW w:w="19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w:t>
            </w:r>
          </w:p>
        </w:tc>
        <w:tc>
          <w:tcPr>
            <w:tcW w:w="270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100-500</w:t>
            </w:r>
          </w:p>
        </w:tc>
        <w:tc>
          <w:tcPr>
            <w:tcW w:w="19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w:t>
            </w:r>
          </w:p>
        </w:tc>
        <w:tc>
          <w:tcPr>
            <w:tcW w:w="19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0.8%</w:t>
            </w:r>
          </w:p>
        </w:tc>
        <w:tc>
          <w:tcPr>
            <w:tcW w:w="270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500-1000</w:t>
            </w:r>
          </w:p>
        </w:tc>
        <w:tc>
          <w:tcPr>
            <w:tcW w:w="19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0.8%</w:t>
            </w:r>
          </w:p>
        </w:tc>
        <w:tc>
          <w:tcPr>
            <w:tcW w:w="19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0.45%</w:t>
            </w:r>
          </w:p>
        </w:tc>
        <w:tc>
          <w:tcPr>
            <w:tcW w:w="270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1000-5000</w:t>
            </w:r>
          </w:p>
        </w:tc>
        <w:tc>
          <w:tcPr>
            <w:tcW w:w="19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0.5%</w:t>
            </w:r>
          </w:p>
        </w:tc>
        <w:tc>
          <w:tcPr>
            <w:tcW w:w="19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0.25%</w:t>
            </w:r>
          </w:p>
        </w:tc>
        <w:tc>
          <w:tcPr>
            <w:tcW w:w="270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5000-10000</w:t>
            </w:r>
          </w:p>
        </w:tc>
        <w:tc>
          <w:tcPr>
            <w:tcW w:w="19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0.25%</w:t>
            </w:r>
          </w:p>
        </w:tc>
        <w:tc>
          <w:tcPr>
            <w:tcW w:w="19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0.1%</w:t>
            </w:r>
          </w:p>
        </w:tc>
        <w:tc>
          <w:tcPr>
            <w:tcW w:w="270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10000-100000</w:t>
            </w:r>
          </w:p>
        </w:tc>
        <w:tc>
          <w:tcPr>
            <w:tcW w:w="19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0.05%</w:t>
            </w:r>
          </w:p>
        </w:tc>
        <w:tc>
          <w:tcPr>
            <w:tcW w:w="19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0.05%</w:t>
            </w:r>
          </w:p>
        </w:tc>
        <w:tc>
          <w:tcPr>
            <w:tcW w:w="270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1000000以上</w:t>
            </w:r>
          </w:p>
        </w:tc>
        <w:tc>
          <w:tcPr>
            <w:tcW w:w="19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0.01%</w:t>
            </w:r>
          </w:p>
        </w:tc>
        <w:tc>
          <w:tcPr>
            <w:tcW w:w="198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0.01%</w:t>
            </w:r>
          </w:p>
        </w:tc>
        <w:tc>
          <w:tcPr>
            <w:tcW w:w="270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bidi w:val="0"/>
              <w:spacing w:line="360" w:lineRule="auto"/>
              <w:ind w:firstLine="420" w:firstLineChars="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0.01%</w:t>
            </w:r>
          </w:p>
        </w:tc>
      </w:tr>
    </w:tbl>
    <w:p>
      <w:pPr>
        <w:pStyle w:val="19"/>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注：招标代理服务费收费按差额定率累进法计算。</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38.供应商信用查询相关规定</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38.1信用查询渠道：“信用中国”网站（www.creditchina.gov.cn）、中国政府采购网（www.ccgp.gov.cn）；</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38.2信用查询截止时点：资格审查时。</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38.3信用信息查询记录：“列入失信被执行人”、“ 重大税收违法案件当事人名单”、“政府采购严重违法失信行为记录名单”。</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38.4信用信息的使用规则：如供应商被列入“列入失信被执行人”、 “ 重大税收违法案件当事人名单”、“政府采购严重违法失信行为记录名单”等名单内的，将按照信用信息使用规则处理。</w:t>
      </w:r>
    </w:p>
    <w:p>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39.关于中小企业的相关规定</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39.1根据《政府采购促进中小企业发展管理办法》（财库[2020]46号），本谈判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39.3在货物采购项目中，供应商提供的货物既有中小企业制造货物，也有大型企业制造货物的，不享受中小企业扶持政策。</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39.4以联合体形式参加政府采购活动，联合体各方均为中小企业的，联合体视同中小企业。其中，联合体各方均为小微企业的，联合体视同小微企业。</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39.5享受中小企业扶持政策获得政府采购合同的，小微企业不得将合同分包给大中型企业，中型企业不得将合同分包给大型企业。</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39.6供应商（货物项目时为</w:t>
      </w:r>
      <w:r>
        <w:rPr>
          <w:rFonts w:hint="eastAsia" w:ascii="宋体" w:hAnsi="宋体" w:eastAsia="宋体" w:cs="宋体"/>
          <w:color w:val="auto"/>
          <w:szCs w:val="21"/>
          <w:highlight w:val="none"/>
          <w:lang w:eastAsia="zh-CN"/>
        </w:rPr>
        <w:t>竞标产品</w:t>
      </w:r>
      <w:r>
        <w:rPr>
          <w:rFonts w:hint="eastAsia" w:ascii="宋体" w:hAnsi="宋体" w:eastAsia="宋体" w:cs="宋体"/>
          <w:color w:val="auto"/>
          <w:szCs w:val="21"/>
          <w:highlight w:val="none"/>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39.7供应商（货物项目时为</w:t>
      </w:r>
      <w:r>
        <w:rPr>
          <w:rFonts w:hint="eastAsia" w:ascii="宋体" w:hAnsi="宋体" w:eastAsia="宋体" w:cs="宋体"/>
          <w:color w:val="auto"/>
          <w:szCs w:val="21"/>
          <w:highlight w:val="none"/>
          <w:lang w:eastAsia="zh-CN"/>
        </w:rPr>
        <w:t>竞标产品</w:t>
      </w:r>
      <w:r>
        <w:rPr>
          <w:rFonts w:hint="eastAsia" w:ascii="宋体" w:hAnsi="宋体" w:eastAsia="宋体" w:cs="宋体"/>
          <w:color w:val="auto"/>
          <w:szCs w:val="21"/>
          <w:highlight w:val="none"/>
        </w:rPr>
        <w:t>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pPr>
        <w:keepNext w:val="0"/>
        <w:keepLines w:val="0"/>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39.8对于专门面向中小企业采购的采购项目或者采购包，通过发布公告方式邀请供应商后，符合资格条件的中小企业数量不足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家的，应当中止采购活动，视同非专门面向中小企业采购的采购项目或者采购包，按照《政府采购促进中小企业发展管理办法》（财库[2020]46号）第九条有关规定重新组织采购活动。</w:t>
      </w:r>
      <w:r>
        <w:rPr>
          <w:rFonts w:hint="eastAsia" w:ascii="宋体" w:hAnsi="宋体" w:eastAsia="宋体" w:cs="宋体"/>
          <w:color w:val="auto"/>
          <w:kern w:val="0"/>
          <w:szCs w:val="21"/>
          <w:highlight w:val="none"/>
        </w:rPr>
        <w:t xml:space="preserve"> </w:t>
      </w:r>
    </w:p>
    <w:p>
      <w:pPr>
        <w:keepNext w:val="0"/>
        <w:keepLines w:val="0"/>
        <w:pageBreakBefore w:val="0"/>
        <w:kinsoku/>
        <w:wordWrap/>
        <w:overflowPunct/>
        <w:topLinePunct w:val="0"/>
        <w:bidi w:val="0"/>
        <w:spacing w:line="360" w:lineRule="auto"/>
        <w:ind w:firstLine="420" w:firstLineChars="200"/>
        <w:rPr>
          <w:rFonts w:ascii="宋体" w:hAnsi="宋体" w:cs="Adobe 宋体 Std L"/>
          <w:color w:val="auto"/>
          <w:szCs w:val="21"/>
          <w:highlight w:val="none"/>
        </w:rPr>
      </w:pPr>
    </w:p>
    <w:p>
      <w:pPr>
        <w:keepNext w:val="0"/>
        <w:keepLines w:val="0"/>
        <w:pageBreakBefore w:val="0"/>
        <w:tabs>
          <w:tab w:val="left" w:pos="2835"/>
        </w:tabs>
        <w:kinsoku/>
        <w:wordWrap/>
        <w:overflowPunct/>
        <w:topLinePunct w:val="0"/>
        <w:bidi w:val="0"/>
        <w:spacing w:line="360" w:lineRule="auto"/>
        <w:rPr>
          <w:rFonts w:ascii="宋体" w:hAnsi="宋体"/>
          <w:color w:val="auto"/>
          <w:szCs w:val="21"/>
          <w:highlight w:val="none"/>
        </w:rPr>
      </w:pPr>
    </w:p>
    <w:p>
      <w:pPr>
        <w:pStyle w:val="3"/>
        <w:rPr>
          <w:rFonts w:ascii="宋体" w:hAnsi="宋体"/>
          <w:color w:val="auto"/>
          <w:highlight w:val="none"/>
        </w:rPr>
        <w:sectPr>
          <w:pgSz w:w="11906" w:h="16838"/>
          <w:pgMar w:top="1134" w:right="1134" w:bottom="1134" w:left="1134" w:header="720" w:footer="720" w:gutter="0"/>
          <w:pgNumType w:fmt="decimal"/>
          <w:cols w:space="0" w:num="1"/>
          <w:docGrid w:type="lines" w:linePitch="312" w:charSpace="0"/>
        </w:sectPr>
      </w:pPr>
      <w:r>
        <w:rPr>
          <w:rFonts w:ascii="宋体" w:hAnsi="宋体"/>
          <w:color w:val="auto"/>
          <w:highlight w:val="none"/>
        </w:rPr>
        <w:br w:type="page"/>
      </w:r>
    </w:p>
    <w:p>
      <w:pPr>
        <w:tabs>
          <w:tab w:val="left" w:pos="2835"/>
        </w:tabs>
        <w:ind w:firstLine="0" w:firstLineChars="0"/>
        <w:rPr>
          <w:rFonts w:hint="eastAsia" w:ascii="宋体" w:hAnsi="宋体" w:cs="宋体"/>
          <w:b/>
          <w:color w:val="auto"/>
          <w:highlight w:val="none"/>
        </w:rPr>
      </w:pPr>
      <w:r>
        <w:rPr>
          <w:rFonts w:hint="eastAsia" w:ascii="宋体" w:hAnsi="宋体" w:cs="宋体"/>
          <w:b/>
          <w:color w:val="auto"/>
          <w:highlight w:val="none"/>
        </w:rPr>
        <w:t>附件1</w:t>
      </w:r>
    </w:p>
    <w:p>
      <w:pPr>
        <w:pStyle w:val="19"/>
        <w:snapToGrid w:val="0"/>
        <w:spacing w:line="360" w:lineRule="auto"/>
        <w:ind w:firstLine="0" w:firstLineChars="0"/>
        <w:jc w:val="center"/>
        <w:rPr>
          <w:rFonts w:hint="eastAsia" w:hAnsi="宋体" w:cs="宋体"/>
          <w:color w:val="auto"/>
          <w:sz w:val="36"/>
          <w:szCs w:val="36"/>
          <w:highlight w:val="none"/>
        </w:rPr>
      </w:pPr>
      <w:r>
        <w:rPr>
          <w:rFonts w:hint="eastAsia" w:hAnsi="宋体" w:cs="宋体"/>
          <w:b/>
          <w:color w:val="auto"/>
          <w:sz w:val="36"/>
          <w:szCs w:val="36"/>
          <w:highlight w:val="none"/>
        </w:rPr>
        <w:t>广西壮族自治区政府采购项目合同验收书</w:t>
      </w:r>
      <w:r>
        <w:rPr>
          <w:rFonts w:hint="eastAsia" w:hAnsi="宋体" w:cs="宋体"/>
          <w:color w:val="auto"/>
          <w:sz w:val="36"/>
          <w:szCs w:val="36"/>
          <w:highlight w:val="none"/>
        </w:rPr>
        <w:t>（格式）</w:t>
      </w:r>
    </w:p>
    <w:p>
      <w:pPr>
        <w:widowControl/>
        <w:shd w:val="clear" w:color="auto" w:fill="FFFFFF"/>
        <w:snapToGrid w:val="0"/>
        <w:spacing w:line="360" w:lineRule="auto"/>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项目名称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 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36"/>
        <w:tblW w:w="9639" w:type="dxa"/>
        <w:jc w:val="center"/>
        <w:tblLayout w:type="fixed"/>
        <w:tblCellMar>
          <w:top w:w="0" w:type="dxa"/>
          <w:left w:w="0" w:type="dxa"/>
          <w:bottom w:w="0" w:type="dxa"/>
          <w:right w:w="0" w:type="dxa"/>
        </w:tblCellMar>
      </w:tblPr>
      <w:tblGrid>
        <w:gridCol w:w="1519"/>
        <w:gridCol w:w="2193"/>
        <w:gridCol w:w="911"/>
        <w:gridCol w:w="116"/>
        <w:gridCol w:w="2285"/>
        <w:gridCol w:w="203"/>
        <w:gridCol w:w="782"/>
        <w:gridCol w:w="1630"/>
      </w:tblGrid>
      <w:tr>
        <w:trPr>
          <w:trHeight w:val="497" w:hRule="atLeast"/>
          <w:jc w:val="center"/>
        </w:trPr>
        <w:tc>
          <w:tcPr>
            <w:tcW w:w="3712" w:type="dxa"/>
            <w:gridSpan w:val="2"/>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60" w:lineRule="auto"/>
              <w:ind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927" w:type="dxa"/>
            <w:gridSpan w:val="6"/>
            <w:tcBorders>
              <w:top w:val="single" w:color="auto" w:sz="8" w:space="0"/>
              <w:left w:val="nil"/>
              <w:bottom w:val="single" w:color="auto" w:sz="8" w:space="0"/>
              <w:right w:val="single" w:color="auto" w:sz="8" w:space="0"/>
            </w:tcBorders>
            <w:noWrap w:val="0"/>
            <w:vAlign w:val="center"/>
          </w:tcPr>
          <w:p>
            <w:pPr>
              <w:widowControl/>
              <w:snapToGrid w:val="0"/>
              <w:spacing w:before="100" w:beforeAutospacing="1" w:after="100" w:afterAutospacing="1" w:line="360" w:lineRule="auto"/>
              <w:ind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tblPrEx>
          <w:tblCellMar>
            <w:top w:w="0" w:type="dxa"/>
            <w:left w:w="0" w:type="dxa"/>
            <w:bottom w:w="0" w:type="dxa"/>
            <w:right w:w="0" w:type="dxa"/>
          </w:tblCellMar>
        </w:tblPrEx>
        <w:trPr>
          <w:trHeight w:val="622" w:hRule="atLeast"/>
          <w:jc w:val="center"/>
        </w:trPr>
        <w:tc>
          <w:tcPr>
            <w:tcW w:w="1519" w:type="dxa"/>
            <w:tcBorders>
              <w:top w:val="nil"/>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60" w:lineRule="auto"/>
              <w:ind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93" w:type="dxa"/>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360" w:lineRule="auto"/>
              <w:ind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名称</w:t>
            </w:r>
          </w:p>
        </w:tc>
        <w:tc>
          <w:tcPr>
            <w:tcW w:w="3312" w:type="dxa"/>
            <w:gridSpan w:val="3"/>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360" w:lineRule="auto"/>
              <w:ind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985" w:type="dxa"/>
            <w:gridSpan w:val="2"/>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360" w:lineRule="auto"/>
              <w:ind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30" w:type="dxa"/>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360" w:lineRule="auto"/>
              <w:ind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金额</w:t>
            </w:r>
          </w:p>
        </w:tc>
      </w:tr>
      <w:tr>
        <w:tblPrEx>
          <w:tblCellMar>
            <w:top w:w="0" w:type="dxa"/>
            <w:left w:w="0" w:type="dxa"/>
            <w:bottom w:w="0" w:type="dxa"/>
            <w:right w:w="0" w:type="dxa"/>
          </w:tblCellMar>
        </w:tblPrEx>
        <w:trPr>
          <w:trHeight w:val="487" w:hRule="atLeast"/>
          <w:jc w:val="center"/>
        </w:trPr>
        <w:tc>
          <w:tcPr>
            <w:tcW w:w="1519" w:type="dxa"/>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center"/>
              <w:rPr>
                <w:rFonts w:hint="eastAsia" w:ascii="宋体" w:hAnsi="宋体" w:cs="宋体"/>
                <w:color w:val="auto"/>
                <w:kern w:val="0"/>
                <w:szCs w:val="21"/>
                <w:highlight w:val="none"/>
              </w:rPr>
            </w:pPr>
          </w:p>
        </w:tc>
        <w:tc>
          <w:tcPr>
            <w:tcW w:w="2193" w:type="dxa"/>
            <w:tcBorders>
              <w:top w:val="nil"/>
              <w:left w:val="nil"/>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center"/>
              <w:rPr>
                <w:rFonts w:hint="eastAsia" w:ascii="宋体" w:hAnsi="宋体" w:cs="宋体"/>
                <w:color w:val="auto"/>
                <w:kern w:val="0"/>
                <w:szCs w:val="21"/>
                <w:highlight w:val="none"/>
              </w:rPr>
            </w:pPr>
          </w:p>
        </w:tc>
        <w:tc>
          <w:tcPr>
            <w:tcW w:w="3312" w:type="dxa"/>
            <w:gridSpan w:val="3"/>
            <w:tcBorders>
              <w:top w:val="nil"/>
              <w:left w:val="nil"/>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center"/>
              <w:rPr>
                <w:rFonts w:hint="eastAsia" w:ascii="宋体" w:hAnsi="宋体" w:cs="宋体"/>
                <w:color w:val="auto"/>
                <w:kern w:val="0"/>
                <w:szCs w:val="21"/>
                <w:highlight w:val="none"/>
              </w:rPr>
            </w:pPr>
          </w:p>
        </w:tc>
        <w:tc>
          <w:tcPr>
            <w:tcW w:w="985"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center"/>
              <w:rPr>
                <w:rFonts w:hint="eastAsia" w:ascii="宋体" w:hAnsi="宋体" w:cs="宋体"/>
                <w:color w:val="auto"/>
                <w:kern w:val="0"/>
                <w:szCs w:val="21"/>
                <w:highlight w:val="none"/>
              </w:rPr>
            </w:pPr>
          </w:p>
        </w:tc>
        <w:tc>
          <w:tcPr>
            <w:tcW w:w="1630" w:type="dxa"/>
            <w:tcBorders>
              <w:top w:val="nil"/>
              <w:left w:val="nil"/>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center"/>
              <w:rPr>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1519" w:type="dxa"/>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center"/>
              <w:rPr>
                <w:rFonts w:hint="eastAsia" w:ascii="宋体" w:hAnsi="宋体" w:cs="宋体"/>
                <w:color w:val="auto"/>
                <w:kern w:val="0"/>
                <w:szCs w:val="21"/>
                <w:highlight w:val="none"/>
              </w:rPr>
            </w:pPr>
          </w:p>
        </w:tc>
        <w:tc>
          <w:tcPr>
            <w:tcW w:w="2193" w:type="dxa"/>
            <w:tcBorders>
              <w:top w:val="nil"/>
              <w:left w:val="nil"/>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center"/>
              <w:rPr>
                <w:rFonts w:hint="eastAsia" w:ascii="宋体" w:hAnsi="宋体" w:cs="宋体"/>
                <w:color w:val="auto"/>
                <w:kern w:val="0"/>
                <w:szCs w:val="21"/>
                <w:highlight w:val="none"/>
              </w:rPr>
            </w:pPr>
          </w:p>
        </w:tc>
        <w:tc>
          <w:tcPr>
            <w:tcW w:w="3312" w:type="dxa"/>
            <w:gridSpan w:val="3"/>
            <w:tcBorders>
              <w:top w:val="nil"/>
              <w:left w:val="nil"/>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center"/>
              <w:rPr>
                <w:rFonts w:hint="eastAsia" w:ascii="宋体" w:hAnsi="宋体" w:cs="宋体"/>
                <w:color w:val="auto"/>
                <w:kern w:val="0"/>
                <w:szCs w:val="21"/>
                <w:highlight w:val="none"/>
              </w:rPr>
            </w:pPr>
          </w:p>
        </w:tc>
        <w:tc>
          <w:tcPr>
            <w:tcW w:w="985"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center"/>
              <w:rPr>
                <w:rFonts w:hint="eastAsia" w:ascii="宋体" w:hAnsi="宋体" w:cs="宋体"/>
                <w:color w:val="auto"/>
                <w:kern w:val="0"/>
                <w:szCs w:val="21"/>
                <w:highlight w:val="none"/>
              </w:rPr>
            </w:pPr>
          </w:p>
        </w:tc>
        <w:tc>
          <w:tcPr>
            <w:tcW w:w="1630" w:type="dxa"/>
            <w:tcBorders>
              <w:top w:val="nil"/>
              <w:left w:val="nil"/>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center"/>
              <w:rPr>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7024" w:type="dxa"/>
            <w:gridSpan w:val="5"/>
            <w:tcBorders>
              <w:top w:val="nil"/>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60" w:lineRule="auto"/>
              <w:ind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p>
        </w:tc>
        <w:tc>
          <w:tcPr>
            <w:tcW w:w="985"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center"/>
              <w:rPr>
                <w:rFonts w:hint="eastAsia" w:ascii="宋体" w:hAnsi="宋体" w:cs="宋体"/>
                <w:color w:val="auto"/>
                <w:kern w:val="0"/>
                <w:szCs w:val="21"/>
                <w:highlight w:val="none"/>
              </w:rPr>
            </w:pPr>
          </w:p>
        </w:tc>
        <w:tc>
          <w:tcPr>
            <w:tcW w:w="1630" w:type="dxa"/>
            <w:tcBorders>
              <w:top w:val="nil"/>
              <w:left w:val="nil"/>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center"/>
              <w:rPr>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641" w:hRule="atLeast"/>
          <w:jc w:val="center"/>
        </w:trPr>
        <w:tc>
          <w:tcPr>
            <w:tcW w:w="9639" w:type="dxa"/>
            <w:gridSpan w:val="8"/>
            <w:tcBorders>
              <w:top w:val="nil"/>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60" w:lineRule="auto"/>
              <w:ind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tblPrEx>
          <w:tblCellMar>
            <w:top w:w="0" w:type="dxa"/>
            <w:left w:w="0" w:type="dxa"/>
            <w:bottom w:w="0" w:type="dxa"/>
            <w:right w:w="0" w:type="dxa"/>
          </w:tblCellMar>
        </w:tblPrEx>
        <w:trPr>
          <w:trHeight w:val="641" w:hRule="atLeast"/>
          <w:jc w:val="center"/>
        </w:trPr>
        <w:tc>
          <w:tcPr>
            <w:tcW w:w="1519" w:type="dxa"/>
            <w:tcBorders>
              <w:top w:val="nil"/>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60" w:lineRule="auto"/>
              <w:ind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104"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center"/>
              <w:rPr>
                <w:rFonts w:hint="eastAsia" w:ascii="宋体" w:hAnsi="宋体" w:cs="宋体"/>
                <w:color w:val="auto"/>
                <w:kern w:val="0"/>
                <w:szCs w:val="21"/>
                <w:highlight w:val="none"/>
              </w:rPr>
            </w:pPr>
          </w:p>
        </w:tc>
        <w:tc>
          <w:tcPr>
            <w:tcW w:w="2604" w:type="dxa"/>
            <w:gridSpan w:val="3"/>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360" w:lineRule="auto"/>
              <w:ind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12"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center"/>
              <w:rPr>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394" w:hRule="atLeast"/>
          <w:jc w:val="center"/>
        </w:trPr>
        <w:tc>
          <w:tcPr>
            <w:tcW w:w="1519" w:type="dxa"/>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center"/>
              <w:rPr>
                <w:rFonts w:hint="eastAsia" w:ascii="宋体" w:hAnsi="宋体" w:cs="宋体"/>
                <w:color w:val="auto"/>
                <w:kern w:val="0"/>
                <w:szCs w:val="21"/>
                <w:highlight w:val="none"/>
              </w:rPr>
            </w:pPr>
          </w:p>
        </w:tc>
        <w:tc>
          <w:tcPr>
            <w:tcW w:w="3104"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center"/>
              <w:rPr>
                <w:rFonts w:hint="eastAsia" w:ascii="宋体" w:hAnsi="宋体" w:cs="宋体"/>
                <w:color w:val="auto"/>
                <w:kern w:val="0"/>
                <w:szCs w:val="21"/>
                <w:highlight w:val="none"/>
              </w:rPr>
            </w:pPr>
          </w:p>
        </w:tc>
        <w:tc>
          <w:tcPr>
            <w:tcW w:w="2604" w:type="dxa"/>
            <w:gridSpan w:val="3"/>
            <w:tcBorders>
              <w:top w:val="nil"/>
              <w:left w:val="nil"/>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center"/>
              <w:rPr>
                <w:rFonts w:hint="eastAsia" w:ascii="宋体" w:hAnsi="宋体" w:cs="宋体"/>
                <w:color w:val="auto"/>
                <w:kern w:val="0"/>
                <w:szCs w:val="21"/>
                <w:highlight w:val="none"/>
              </w:rPr>
            </w:pPr>
          </w:p>
        </w:tc>
        <w:tc>
          <w:tcPr>
            <w:tcW w:w="2412"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center"/>
              <w:rPr>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693" w:hRule="atLeast"/>
          <w:jc w:val="center"/>
        </w:trPr>
        <w:tc>
          <w:tcPr>
            <w:tcW w:w="151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before="100" w:beforeAutospacing="1" w:after="100" w:afterAutospacing="1" w:line="360" w:lineRule="auto"/>
              <w:ind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2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before="100" w:beforeAutospacing="1" w:after="100" w:afterAutospacing="1" w:line="360" w:lineRule="auto"/>
              <w:ind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采购文件、竞标响应文件及验收方案等进行验收；并核对中标或者成交供应商在安装调试等方面是否违反合同约定或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51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60" w:lineRule="auto"/>
              <w:ind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20" w:type="dxa"/>
            <w:gridSpan w:val="7"/>
            <w:tcBorders>
              <w:top w:val="nil"/>
              <w:left w:val="nil"/>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519" w:type="dxa"/>
            <w:vMerge w:val="continue"/>
            <w:tcBorders>
              <w:top w:val="nil"/>
              <w:left w:val="single" w:color="auto" w:sz="8" w:space="0"/>
              <w:bottom w:val="single" w:color="auto" w:sz="8" w:space="0"/>
              <w:right w:val="single" w:color="auto" w:sz="8" w:space="0"/>
            </w:tcBorders>
            <w:noWrap w:val="0"/>
            <w:vAlign w:val="center"/>
          </w:tcPr>
          <w:p>
            <w:pPr>
              <w:widowControl/>
              <w:spacing w:line="360" w:lineRule="auto"/>
              <w:ind w:firstLine="0" w:firstLineChars="0"/>
              <w:jc w:val="left"/>
              <w:rPr>
                <w:rFonts w:hint="eastAsia" w:ascii="宋体" w:hAnsi="宋体" w:cs="宋体"/>
                <w:color w:val="auto"/>
                <w:kern w:val="0"/>
                <w:szCs w:val="21"/>
                <w:highlight w:val="none"/>
              </w:rPr>
            </w:pPr>
          </w:p>
        </w:tc>
        <w:tc>
          <w:tcPr>
            <w:tcW w:w="8120" w:type="dxa"/>
            <w:gridSpan w:val="7"/>
            <w:tcBorders>
              <w:top w:val="nil"/>
              <w:left w:val="nil"/>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pPr>
              <w:widowControl/>
              <w:spacing w:before="100" w:beforeAutospacing="1" w:after="100" w:afterAutospacing="1" w:line="360" w:lineRule="auto"/>
              <w:ind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p>
        </w:tc>
      </w:tr>
      <w:tr>
        <w:tblPrEx>
          <w:tblCellMar>
            <w:top w:w="0" w:type="dxa"/>
            <w:left w:w="0" w:type="dxa"/>
            <w:bottom w:w="0" w:type="dxa"/>
            <w:right w:w="0" w:type="dxa"/>
          </w:tblCellMar>
        </w:tblPrEx>
        <w:trPr>
          <w:trHeight w:val="507" w:hRule="atLeast"/>
          <w:jc w:val="center"/>
        </w:trPr>
        <w:tc>
          <w:tcPr>
            <w:tcW w:w="9639"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60" w:lineRule="auto"/>
              <w:ind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9639"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60" w:lineRule="auto"/>
              <w:ind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pPr>
              <w:widowControl/>
              <w:spacing w:before="100" w:beforeAutospacing="1" w:after="100" w:afterAutospacing="1" w:line="360" w:lineRule="auto"/>
              <w:ind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tblPrEx>
          <w:tblCellMar>
            <w:top w:w="0" w:type="dxa"/>
            <w:left w:w="0" w:type="dxa"/>
            <w:bottom w:w="0" w:type="dxa"/>
            <w:right w:w="0" w:type="dxa"/>
          </w:tblCellMar>
        </w:tblPrEx>
        <w:trPr>
          <w:trHeight w:val="758" w:hRule="atLeast"/>
          <w:jc w:val="center"/>
        </w:trPr>
        <w:tc>
          <w:tcPr>
            <w:tcW w:w="4739"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pPr>
              <w:widowControl/>
              <w:spacing w:before="100" w:beforeAutospacing="1" w:after="100" w:afterAutospacing="1" w:line="360" w:lineRule="auto"/>
              <w:ind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pPr>
              <w:widowControl/>
              <w:spacing w:before="100" w:beforeAutospacing="1" w:after="100" w:afterAutospacing="1" w:line="360" w:lineRule="auto"/>
              <w:ind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900" w:type="dxa"/>
            <w:gridSpan w:val="4"/>
            <w:tcBorders>
              <w:top w:val="nil"/>
              <w:left w:val="nil"/>
              <w:bottom w:val="single" w:color="auto" w:sz="8" w:space="0"/>
              <w:right w:val="single" w:color="auto" w:sz="8" w:space="0"/>
            </w:tcBorders>
            <w:noWrap w:val="0"/>
            <w:vAlign w:val="center"/>
          </w:tcPr>
          <w:p>
            <w:pPr>
              <w:widowControl/>
              <w:spacing w:before="100" w:beforeAutospacing="1" w:after="100" w:afterAutospacing="1" w:line="360" w:lineRule="auto"/>
              <w:ind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pPr>
              <w:widowControl/>
              <w:spacing w:before="100" w:beforeAutospacing="1" w:after="100" w:afterAutospacing="1" w:line="360" w:lineRule="auto"/>
              <w:ind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pPr>
        <w:ind w:firstLine="422"/>
        <w:jc w:val="left"/>
        <w:rPr>
          <w:rFonts w:hAnsi="宋体"/>
          <w:b/>
          <w:color w:val="auto"/>
          <w:highlight w:val="none"/>
        </w:rPr>
      </w:pPr>
    </w:p>
    <w:p>
      <w:pPr>
        <w:tabs>
          <w:tab w:val="left" w:pos="2835"/>
        </w:tabs>
        <w:ind w:firstLine="0" w:firstLineChars="0"/>
        <w:rPr>
          <w:rFonts w:hint="eastAsia" w:ascii="宋体" w:hAnsi="宋体" w:cs="宋体"/>
          <w:b/>
          <w:color w:val="auto"/>
          <w:highlight w:val="none"/>
        </w:rPr>
      </w:pPr>
      <w:r>
        <w:rPr>
          <w:rFonts w:hAnsi="宋体"/>
          <w:b/>
          <w:color w:val="auto"/>
          <w:highlight w:val="none"/>
        </w:rPr>
        <w:br w:type="page"/>
      </w:r>
      <w:r>
        <w:rPr>
          <w:rFonts w:hint="eastAsia" w:ascii="宋体" w:hAnsi="宋体" w:cs="宋体"/>
          <w:b/>
          <w:color w:val="auto"/>
          <w:highlight w:val="none"/>
        </w:rPr>
        <w:t>附件2：</w:t>
      </w:r>
    </w:p>
    <w:p>
      <w:pPr>
        <w:pStyle w:val="19"/>
        <w:snapToGrid w:val="0"/>
        <w:spacing w:line="360" w:lineRule="auto"/>
        <w:ind w:firstLine="0" w:firstLineChars="0"/>
        <w:jc w:val="center"/>
        <w:rPr>
          <w:rFonts w:hint="eastAsia" w:hAnsi="宋体" w:cs="宋体"/>
          <w:b/>
          <w:color w:val="auto"/>
          <w:sz w:val="36"/>
          <w:szCs w:val="36"/>
          <w:highlight w:val="none"/>
          <w:lang w:eastAsia="zh-CN"/>
        </w:rPr>
      </w:pPr>
      <w:r>
        <w:rPr>
          <w:rFonts w:hint="eastAsia" w:hAnsi="宋体" w:cs="宋体"/>
          <w:b/>
          <w:color w:val="auto"/>
          <w:sz w:val="36"/>
          <w:szCs w:val="36"/>
          <w:highlight w:val="none"/>
        </w:rPr>
        <w:t>政府采购项目履约保证金退付意见书</w:t>
      </w:r>
      <w:r>
        <w:rPr>
          <w:rFonts w:hint="eastAsia" w:hAnsi="宋体" w:cs="宋体"/>
          <w:color w:val="auto"/>
          <w:sz w:val="36"/>
          <w:szCs w:val="36"/>
          <w:highlight w:val="none"/>
        </w:rPr>
        <w:t>（参考）</w:t>
      </w:r>
    </w:p>
    <w:tbl>
      <w:tblPr>
        <w:tblStyle w:val="3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08" w:type="dxa"/>
            <w:vMerge w:val="restart"/>
            <w:noWrap w:val="0"/>
            <w:vAlign w:val="center"/>
          </w:tcPr>
          <w:p>
            <w:pPr>
              <w:ind w:left="1" w:leftChars="-51" w:hanging="108" w:hangingChars="45"/>
              <w:jc w:val="center"/>
              <w:rPr>
                <w:rFonts w:hint="eastAsia"/>
                <w:color w:val="auto"/>
                <w:sz w:val="24"/>
                <w:highlight w:val="none"/>
              </w:rPr>
            </w:pPr>
            <w:r>
              <w:rPr>
                <w:rFonts w:hint="eastAsia"/>
                <w:color w:val="auto"/>
                <w:sz w:val="24"/>
                <w:highlight w:val="none"/>
              </w:rPr>
              <w:t>供</w:t>
            </w:r>
          </w:p>
          <w:p>
            <w:pPr>
              <w:ind w:left="1" w:leftChars="-51" w:hanging="108" w:hangingChars="45"/>
              <w:jc w:val="center"/>
              <w:rPr>
                <w:rFonts w:hint="eastAsia"/>
                <w:color w:val="auto"/>
                <w:sz w:val="24"/>
                <w:highlight w:val="none"/>
              </w:rPr>
            </w:pPr>
            <w:r>
              <w:rPr>
                <w:rFonts w:hint="eastAsia"/>
                <w:color w:val="auto"/>
                <w:sz w:val="24"/>
                <w:highlight w:val="none"/>
              </w:rPr>
              <w:t>应</w:t>
            </w:r>
          </w:p>
          <w:p>
            <w:pPr>
              <w:ind w:left="1" w:leftChars="-51" w:hanging="108" w:hangingChars="45"/>
              <w:jc w:val="center"/>
              <w:rPr>
                <w:rFonts w:hint="eastAsia"/>
                <w:color w:val="auto"/>
                <w:sz w:val="24"/>
                <w:highlight w:val="none"/>
              </w:rPr>
            </w:pPr>
            <w:r>
              <w:rPr>
                <w:rFonts w:hint="eastAsia"/>
                <w:color w:val="auto"/>
                <w:sz w:val="24"/>
                <w:highlight w:val="none"/>
              </w:rPr>
              <w:t>商</w:t>
            </w:r>
          </w:p>
          <w:p>
            <w:pPr>
              <w:ind w:left="1" w:leftChars="-51" w:hanging="108" w:hangingChars="45"/>
              <w:jc w:val="center"/>
              <w:rPr>
                <w:rFonts w:hint="eastAsia"/>
                <w:color w:val="auto"/>
                <w:sz w:val="24"/>
                <w:highlight w:val="none"/>
              </w:rPr>
            </w:pPr>
            <w:r>
              <w:rPr>
                <w:rFonts w:hint="eastAsia"/>
                <w:color w:val="auto"/>
                <w:sz w:val="24"/>
                <w:highlight w:val="none"/>
              </w:rPr>
              <w:t>申</w:t>
            </w:r>
          </w:p>
          <w:p>
            <w:pPr>
              <w:ind w:left="1" w:leftChars="-51" w:hanging="108" w:hangingChars="45"/>
              <w:jc w:val="center"/>
              <w:rPr>
                <w:rFonts w:hint="eastAsia"/>
                <w:color w:val="auto"/>
                <w:sz w:val="24"/>
                <w:highlight w:val="none"/>
              </w:rPr>
            </w:pPr>
            <w:r>
              <w:rPr>
                <w:rFonts w:hint="eastAsia"/>
                <w:color w:val="auto"/>
                <w:sz w:val="24"/>
                <w:highlight w:val="none"/>
              </w:rPr>
              <w:t>请</w:t>
            </w:r>
          </w:p>
        </w:tc>
        <w:tc>
          <w:tcPr>
            <w:tcW w:w="8456" w:type="dxa"/>
            <w:noWrap w:val="0"/>
            <w:vAlign w:val="center"/>
          </w:tcPr>
          <w:p>
            <w:pPr>
              <w:ind w:firstLine="480"/>
              <w:rPr>
                <w:rFonts w:hint="eastAsia"/>
                <w:color w:val="auto"/>
                <w:sz w:val="24"/>
                <w:highlight w:val="none"/>
              </w:rPr>
            </w:pPr>
            <w:r>
              <w:rPr>
                <w:rFonts w:hint="eastAsia"/>
                <w:color w:val="auto"/>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08" w:type="dxa"/>
            <w:vMerge w:val="continue"/>
            <w:noWrap w:val="0"/>
            <w:vAlign w:val="center"/>
          </w:tcPr>
          <w:p>
            <w:pPr>
              <w:ind w:left="1" w:leftChars="-51" w:hanging="108" w:hangingChars="45"/>
              <w:rPr>
                <w:rFonts w:hint="eastAsia"/>
                <w:color w:val="auto"/>
                <w:sz w:val="24"/>
                <w:highlight w:val="none"/>
              </w:rPr>
            </w:pPr>
          </w:p>
        </w:tc>
        <w:tc>
          <w:tcPr>
            <w:tcW w:w="8456" w:type="dxa"/>
            <w:noWrap w:val="0"/>
            <w:vAlign w:val="center"/>
          </w:tcPr>
          <w:p>
            <w:pPr>
              <w:ind w:firstLine="480"/>
              <w:rPr>
                <w:rFonts w:hint="eastAsia"/>
                <w:color w:val="auto"/>
                <w:sz w:val="24"/>
                <w:highlight w:val="none"/>
              </w:rPr>
            </w:pPr>
            <w:r>
              <w:rPr>
                <w:rFonts w:hint="eastAsia"/>
                <w:color w:val="auto"/>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ind w:left="1" w:leftChars="-51" w:hanging="108" w:hangingChars="45"/>
              <w:rPr>
                <w:rFonts w:hint="eastAsia"/>
                <w:color w:val="auto"/>
                <w:sz w:val="24"/>
                <w:highlight w:val="none"/>
              </w:rPr>
            </w:pPr>
          </w:p>
        </w:tc>
        <w:tc>
          <w:tcPr>
            <w:tcW w:w="8456" w:type="dxa"/>
            <w:noWrap w:val="0"/>
            <w:vAlign w:val="top"/>
          </w:tcPr>
          <w:p>
            <w:pPr>
              <w:ind w:firstLine="480"/>
              <w:rPr>
                <w:rFonts w:hint="eastAsia"/>
                <w:color w:val="auto"/>
                <w:sz w:val="24"/>
                <w:highlight w:val="none"/>
              </w:rPr>
            </w:pPr>
            <w:r>
              <w:rPr>
                <w:rFonts w:hint="eastAsia"/>
                <w:color w:val="auto"/>
                <w:sz w:val="24"/>
                <w:highlight w:val="none"/>
              </w:rPr>
              <w:t xml:space="preserve">  </w:t>
            </w:r>
          </w:p>
          <w:p>
            <w:pPr>
              <w:spacing w:line="400" w:lineRule="exact"/>
              <w:ind w:firstLine="480"/>
              <w:rPr>
                <w:rFonts w:hint="eastAsia"/>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（小写）退付到达以下帐户。</w:t>
            </w:r>
          </w:p>
          <w:p>
            <w:pPr>
              <w:spacing w:line="400" w:lineRule="exact"/>
              <w:ind w:firstLine="480"/>
              <w:rPr>
                <w:rFonts w:hint="eastAsia"/>
                <w:color w:val="auto"/>
                <w:sz w:val="24"/>
                <w:highlight w:val="none"/>
              </w:rPr>
            </w:pPr>
            <w:r>
              <w:rPr>
                <w:rFonts w:hint="eastAsia"/>
                <w:color w:val="auto"/>
                <w:sz w:val="24"/>
                <w:highlight w:val="none"/>
              </w:rPr>
              <w:t>单位名称：</w:t>
            </w:r>
          </w:p>
          <w:p>
            <w:pPr>
              <w:spacing w:line="400" w:lineRule="exact"/>
              <w:ind w:firstLine="480"/>
              <w:rPr>
                <w:rFonts w:hint="eastAsia"/>
                <w:color w:val="auto"/>
                <w:sz w:val="24"/>
                <w:highlight w:val="none"/>
              </w:rPr>
            </w:pPr>
            <w:r>
              <w:rPr>
                <w:rFonts w:hint="eastAsia"/>
                <w:color w:val="auto"/>
                <w:sz w:val="24"/>
                <w:highlight w:val="none"/>
              </w:rPr>
              <w:t>开户银行：</w:t>
            </w:r>
          </w:p>
          <w:p>
            <w:pPr>
              <w:spacing w:line="400" w:lineRule="exact"/>
              <w:ind w:firstLine="480"/>
              <w:rPr>
                <w:rFonts w:hint="eastAsia"/>
                <w:color w:val="auto"/>
                <w:sz w:val="24"/>
                <w:highlight w:val="none"/>
              </w:rPr>
            </w:pPr>
            <w:r>
              <w:rPr>
                <w:rFonts w:hint="eastAsia"/>
                <w:color w:val="auto"/>
                <w:sz w:val="24"/>
                <w:highlight w:val="none"/>
              </w:rPr>
              <w:t>帐   号：</w:t>
            </w:r>
          </w:p>
          <w:p>
            <w:pPr>
              <w:spacing w:line="400" w:lineRule="exact"/>
              <w:ind w:firstLine="480"/>
              <w:rPr>
                <w:rFonts w:hint="eastAsia"/>
                <w:color w:val="auto"/>
                <w:sz w:val="24"/>
                <w:highlight w:val="none"/>
              </w:rPr>
            </w:pPr>
            <w:r>
              <w:rPr>
                <w:rFonts w:hint="eastAsia"/>
                <w:color w:val="auto"/>
                <w:sz w:val="24"/>
                <w:highlight w:val="none"/>
              </w:rPr>
              <w:t>联系人及电话：</w:t>
            </w:r>
          </w:p>
          <w:p>
            <w:pPr>
              <w:spacing w:line="400" w:lineRule="exact"/>
              <w:ind w:firstLine="480"/>
              <w:rPr>
                <w:rFonts w:hint="eastAsia"/>
                <w:color w:val="auto"/>
                <w:sz w:val="24"/>
                <w:highlight w:val="none"/>
              </w:rPr>
            </w:pPr>
          </w:p>
          <w:p>
            <w:pPr>
              <w:spacing w:line="520" w:lineRule="exact"/>
              <w:ind w:firstLine="480"/>
              <w:jc w:val="center"/>
              <w:rPr>
                <w:rFonts w:hint="eastAsia"/>
                <w:color w:val="auto"/>
                <w:sz w:val="24"/>
                <w:highlight w:val="none"/>
              </w:rPr>
            </w:pPr>
            <w:r>
              <w:rPr>
                <w:rFonts w:hint="eastAsia"/>
                <w:color w:val="auto"/>
                <w:sz w:val="24"/>
                <w:highlight w:val="none"/>
              </w:rPr>
              <w:t xml:space="preserve">         供应商签章：</w:t>
            </w:r>
          </w:p>
          <w:p>
            <w:pPr>
              <w:spacing w:line="520" w:lineRule="exact"/>
              <w:ind w:firstLine="480"/>
              <w:jc w:val="center"/>
              <w:rPr>
                <w:rFonts w:hint="eastAsia"/>
                <w:color w:val="auto"/>
                <w:sz w:val="24"/>
                <w:highlight w:val="none"/>
              </w:rPr>
            </w:pPr>
            <w:r>
              <w:rPr>
                <w:rFonts w:hint="eastAsia"/>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1008" w:type="dxa"/>
            <w:noWrap w:val="0"/>
            <w:vAlign w:val="center"/>
          </w:tcPr>
          <w:p>
            <w:pPr>
              <w:ind w:left="1" w:leftChars="-51" w:hanging="108" w:hangingChars="45"/>
              <w:jc w:val="center"/>
              <w:rPr>
                <w:rFonts w:hint="eastAsia"/>
                <w:color w:val="auto"/>
                <w:sz w:val="24"/>
                <w:highlight w:val="none"/>
              </w:rPr>
            </w:pPr>
            <w:r>
              <w:rPr>
                <w:rFonts w:hint="eastAsia"/>
                <w:color w:val="auto"/>
                <w:sz w:val="24"/>
                <w:highlight w:val="none"/>
              </w:rPr>
              <w:t>采</w:t>
            </w:r>
          </w:p>
          <w:p>
            <w:pPr>
              <w:ind w:left="1" w:leftChars="-51" w:hanging="108" w:hangingChars="45"/>
              <w:jc w:val="center"/>
              <w:rPr>
                <w:rFonts w:hint="eastAsia"/>
                <w:color w:val="auto"/>
                <w:sz w:val="24"/>
                <w:highlight w:val="none"/>
              </w:rPr>
            </w:pPr>
            <w:r>
              <w:rPr>
                <w:rFonts w:hint="eastAsia"/>
                <w:color w:val="auto"/>
                <w:sz w:val="24"/>
                <w:highlight w:val="none"/>
              </w:rPr>
              <w:t>购</w:t>
            </w:r>
          </w:p>
          <w:p>
            <w:pPr>
              <w:ind w:left="1" w:leftChars="-51" w:hanging="108" w:hangingChars="45"/>
              <w:jc w:val="center"/>
              <w:rPr>
                <w:rFonts w:hint="eastAsia"/>
                <w:color w:val="auto"/>
                <w:sz w:val="24"/>
                <w:highlight w:val="none"/>
              </w:rPr>
            </w:pPr>
            <w:r>
              <w:rPr>
                <w:rFonts w:hint="eastAsia"/>
                <w:color w:val="auto"/>
                <w:sz w:val="24"/>
                <w:highlight w:val="none"/>
              </w:rPr>
              <w:t>人</w:t>
            </w:r>
          </w:p>
          <w:p>
            <w:pPr>
              <w:ind w:left="1" w:leftChars="-51" w:hanging="108" w:hangingChars="45"/>
              <w:jc w:val="center"/>
              <w:rPr>
                <w:rFonts w:hint="eastAsia"/>
                <w:color w:val="auto"/>
                <w:sz w:val="24"/>
                <w:highlight w:val="none"/>
              </w:rPr>
            </w:pPr>
            <w:r>
              <w:rPr>
                <w:rFonts w:hint="eastAsia"/>
                <w:color w:val="auto"/>
                <w:sz w:val="24"/>
                <w:highlight w:val="none"/>
              </w:rPr>
              <w:t>意</w:t>
            </w:r>
          </w:p>
          <w:p>
            <w:pPr>
              <w:ind w:left="1" w:leftChars="-51" w:hanging="108" w:hangingChars="45"/>
              <w:jc w:val="center"/>
              <w:rPr>
                <w:rFonts w:hint="eastAsia"/>
                <w:color w:val="auto"/>
                <w:sz w:val="24"/>
                <w:highlight w:val="none"/>
              </w:rPr>
            </w:pPr>
            <w:r>
              <w:rPr>
                <w:rFonts w:hint="eastAsia"/>
                <w:color w:val="auto"/>
                <w:sz w:val="24"/>
                <w:highlight w:val="none"/>
              </w:rPr>
              <w:t>见</w:t>
            </w:r>
          </w:p>
        </w:tc>
        <w:tc>
          <w:tcPr>
            <w:tcW w:w="8456" w:type="dxa"/>
            <w:noWrap w:val="0"/>
            <w:vAlign w:val="top"/>
          </w:tcPr>
          <w:p>
            <w:pPr>
              <w:ind w:firstLine="480"/>
              <w:rPr>
                <w:rFonts w:hint="eastAsia"/>
                <w:color w:val="auto"/>
                <w:sz w:val="24"/>
                <w:highlight w:val="none"/>
              </w:rPr>
            </w:pPr>
          </w:p>
          <w:p>
            <w:pPr>
              <w:ind w:firstLine="480"/>
              <w:rPr>
                <w:rFonts w:hint="eastAsia"/>
                <w:color w:val="auto"/>
                <w:sz w:val="24"/>
                <w:highlight w:val="none"/>
              </w:rPr>
            </w:pPr>
            <w:r>
              <w:rPr>
                <w:rFonts w:hint="eastAsia"/>
                <w:color w:val="auto"/>
                <w:sz w:val="24"/>
                <w:highlight w:val="none"/>
              </w:rPr>
              <w:t>退付意见：（是否同意退付履约保证金及退付金额）</w:t>
            </w:r>
          </w:p>
          <w:p>
            <w:pPr>
              <w:ind w:firstLine="480"/>
              <w:rPr>
                <w:rFonts w:hint="eastAsia"/>
                <w:color w:val="auto"/>
                <w:sz w:val="24"/>
                <w:highlight w:val="none"/>
              </w:rPr>
            </w:pPr>
          </w:p>
          <w:p>
            <w:pPr>
              <w:ind w:firstLine="480"/>
              <w:rPr>
                <w:rFonts w:hint="eastAsia"/>
                <w:color w:val="auto"/>
                <w:sz w:val="24"/>
                <w:highlight w:val="none"/>
              </w:rPr>
            </w:pPr>
          </w:p>
          <w:p>
            <w:pPr>
              <w:ind w:firstLine="480"/>
              <w:rPr>
                <w:rFonts w:hint="eastAsia"/>
                <w:color w:val="auto"/>
                <w:sz w:val="24"/>
                <w:highlight w:val="none"/>
              </w:rPr>
            </w:pPr>
          </w:p>
          <w:p>
            <w:pPr>
              <w:ind w:firstLine="480"/>
              <w:rPr>
                <w:rFonts w:hint="eastAsia"/>
                <w:color w:val="auto"/>
                <w:sz w:val="24"/>
                <w:highlight w:val="none"/>
              </w:rPr>
            </w:pPr>
          </w:p>
          <w:p>
            <w:pPr>
              <w:spacing w:line="520" w:lineRule="exact"/>
              <w:ind w:firstLine="480"/>
              <w:rPr>
                <w:rFonts w:hint="eastAsia"/>
                <w:color w:val="auto"/>
                <w:sz w:val="24"/>
                <w:highlight w:val="none"/>
              </w:rPr>
            </w:pPr>
            <w:r>
              <w:rPr>
                <w:rFonts w:hint="eastAsia"/>
                <w:color w:val="auto"/>
                <w:sz w:val="24"/>
                <w:highlight w:val="none"/>
              </w:rPr>
              <w:t>联系人及电话：                         采购人签章</w:t>
            </w:r>
          </w:p>
          <w:p>
            <w:pPr>
              <w:spacing w:line="520" w:lineRule="exact"/>
              <w:ind w:firstLine="480"/>
              <w:jc w:val="center"/>
              <w:rPr>
                <w:rFonts w:hint="eastAsia"/>
                <w:color w:val="auto"/>
                <w:sz w:val="24"/>
                <w:highlight w:val="none"/>
              </w:rPr>
            </w:pPr>
            <w:r>
              <w:rPr>
                <w:rFonts w:hint="eastAsia"/>
                <w:color w:val="auto"/>
                <w:sz w:val="24"/>
                <w:highlight w:val="none"/>
              </w:rPr>
              <w:t xml:space="preserve">                                        年    月     日</w:t>
            </w:r>
          </w:p>
          <w:p>
            <w:pPr>
              <w:spacing w:line="520" w:lineRule="exact"/>
              <w:ind w:firstLine="480"/>
              <w:jc w:val="center"/>
              <w:rPr>
                <w:rFonts w:hint="eastAsia"/>
                <w:color w:val="auto"/>
                <w:sz w:val="24"/>
                <w:highlight w:val="none"/>
              </w:rPr>
            </w:pPr>
          </w:p>
        </w:tc>
      </w:tr>
    </w:tbl>
    <w:p>
      <w:pPr>
        <w:ind w:firstLine="181" w:firstLineChars="100"/>
        <w:rPr>
          <w:rFonts w:hint="eastAsia" w:ascii="黑体" w:hAnsi="黑体" w:eastAsia="黑体"/>
          <w:color w:val="auto"/>
          <w:szCs w:val="21"/>
          <w:highlight w:val="none"/>
        </w:rPr>
      </w:pPr>
      <w:r>
        <w:rPr>
          <w:rFonts w:hint="eastAsia" w:ascii="宋体"/>
          <w:b/>
          <w:bCs/>
          <w:color w:val="auto"/>
          <w:sz w:val="18"/>
          <w:szCs w:val="18"/>
          <w:highlight w:val="none"/>
        </w:rPr>
        <w:t>注：供应商凭经采购人审批的退付意见书到履约保证金收取单位财务部门办理履约保证金退付事宜。</w:t>
      </w:r>
    </w:p>
    <w:p>
      <w:pPr>
        <w:pStyle w:val="3"/>
        <w:rPr>
          <w:rFonts w:hint="eastAsia" w:ascii="宋体" w:hAnsi="宋体"/>
          <w:color w:val="auto"/>
          <w:highlight w:val="none"/>
        </w:rPr>
        <w:sectPr>
          <w:pgSz w:w="11906" w:h="16838"/>
          <w:pgMar w:top="1134" w:right="1134" w:bottom="1134" w:left="1134" w:header="720" w:footer="720" w:gutter="0"/>
          <w:pgNumType w:fmt="decimal"/>
          <w:cols w:space="0" w:num="1"/>
          <w:docGrid w:type="lines" w:linePitch="312" w:charSpace="0"/>
        </w:sectPr>
      </w:pPr>
    </w:p>
    <w:p>
      <w:pPr>
        <w:pStyle w:val="3"/>
        <w:rPr>
          <w:rFonts w:ascii="宋体" w:hAnsi="宋体"/>
          <w:color w:val="auto"/>
          <w:highlight w:val="none"/>
        </w:rPr>
      </w:pPr>
      <w:bookmarkStart w:id="5" w:name="_Toc29464"/>
      <w:r>
        <w:rPr>
          <w:rFonts w:hint="eastAsia" w:ascii="宋体" w:hAnsi="宋体"/>
          <w:color w:val="auto"/>
          <w:highlight w:val="none"/>
        </w:rPr>
        <w:t>第三章 采购需求</w:t>
      </w:r>
      <w:bookmarkEnd w:id="5"/>
      <w:bookmarkStart w:id="6" w:name="_Toc37670349"/>
      <w:bookmarkStart w:id="7" w:name="_Toc78604590"/>
      <w:bookmarkStart w:id="8" w:name="_Toc83636396"/>
      <w:bookmarkStart w:id="9" w:name="_Toc49329249"/>
    </w:p>
    <w:bookmarkEnd w:id="6"/>
    <w:bookmarkEnd w:id="7"/>
    <w:bookmarkEnd w:id="8"/>
    <w:bookmarkEnd w:id="9"/>
    <w:p>
      <w:pPr>
        <w:keepNext w:val="0"/>
        <w:keepLines w:val="0"/>
        <w:pageBreakBefore w:val="0"/>
        <w:kinsoku/>
        <w:wordWrap/>
        <w:overflowPunct/>
        <w:topLinePunct w:val="0"/>
        <w:autoSpaceDE/>
        <w:autoSpaceDN/>
        <w:bidi w:val="0"/>
        <w:adjustRightInd/>
        <w:snapToGrid/>
        <w:spacing w:line="360" w:lineRule="exact"/>
        <w:ind w:firstLine="422" w:firstLineChars="200"/>
        <w:rPr>
          <w:rFonts w:ascii="宋体" w:hAnsi="宋体" w:cs="Courier New"/>
          <w:b/>
          <w:color w:val="auto"/>
          <w:sz w:val="21"/>
          <w:szCs w:val="21"/>
          <w:highlight w:val="none"/>
        </w:rPr>
      </w:pPr>
      <w:r>
        <w:rPr>
          <w:rFonts w:hint="eastAsia" w:ascii="宋体" w:hAnsi="宋体" w:cs="Courier New"/>
          <w:b/>
          <w:color w:val="auto"/>
          <w:sz w:val="21"/>
          <w:szCs w:val="21"/>
          <w:highlight w:val="none"/>
        </w:rPr>
        <w:t>说明：</w:t>
      </w:r>
    </w:p>
    <w:p>
      <w:pPr>
        <w:keepNext w:val="0"/>
        <w:keepLines w:val="0"/>
        <w:pageBreakBefore w:val="0"/>
        <w:kinsoku/>
        <w:wordWrap/>
        <w:overflowPunct/>
        <w:topLinePunct w:val="0"/>
        <w:autoSpaceDE/>
        <w:autoSpaceDN/>
        <w:bidi w:val="0"/>
        <w:adjustRightInd/>
        <w:snapToGrid/>
        <w:spacing w:line="360" w:lineRule="exact"/>
        <w:ind w:firstLine="420" w:firstLineChars="200"/>
        <w:rPr>
          <w:rFonts w:ascii="宋体" w:hAnsi="宋体" w:cs="Courier New"/>
          <w:color w:val="auto"/>
          <w:sz w:val="21"/>
          <w:szCs w:val="21"/>
          <w:highlight w:val="none"/>
        </w:rPr>
      </w:pPr>
      <w:r>
        <w:rPr>
          <w:rFonts w:hint="eastAsia" w:ascii="宋体" w:hAnsi="宋体" w:cs="Courier New"/>
          <w:color w:val="auto"/>
          <w:sz w:val="21"/>
          <w:szCs w:val="21"/>
          <w:highlight w:val="none"/>
        </w:rPr>
        <w:t>一、本一览表中的品牌、型号技术参数及其性能（配置）仅起参考作用，供应商可选用其他产品替代，但这些替代的产品要实质上相当于或优于参考品牌型号及其技术参数性能（配置）要求。</w:t>
      </w:r>
    </w:p>
    <w:p>
      <w:pPr>
        <w:keepNext w:val="0"/>
        <w:keepLines w:val="0"/>
        <w:pageBreakBefore w:val="0"/>
        <w:kinsoku/>
        <w:wordWrap/>
        <w:overflowPunct/>
        <w:topLinePunct w:val="0"/>
        <w:autoSpaceDE/>
        <w:autoSpaceDN/>
        <w:bidi w:val="0"/>
        <w:adjustRightInd/>
        <w:snapToGrid/>
        <w:spacing w:line="360" w:lineRule="exact"/>
        <w:ind w:firstLine="420" w:firstLineChars="200"/>
        <w:rPr>
          <w:rFonts w:ascii="宋体" w:hAnsi="宋体" w:cs="Courier New"/>
          <w:color w:val="auto"/>
          <w:sz w:val="21"/>
          <w:szCs w:val="21"/>
          <w:highlight w:val="none"/>
        </w:rPr>
      </w:pPr>
      <w:r>
        <w:rPr>
          <w:rFonts w:hint="eastAsia" w:ascii="宋体" w:hAnsi="宋体" w:cs="Courier New"/>
          <w:color w:val="auto"/>
          <w:sz w:val="21"/>
          <w:szCs w:val="21"/>
          <w:highlight w:val="none"/>
        </w:rPr>
        <w:t>二、本一览表中参考品牌、型号及技术参数性能（配置）不明确或有误的，或供应商选用其他产品替代的，须说明品牌型号和详细的技术参数性能（配置）同时填写投标明细表和技术响应表。</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cs="宋体"/>
          <w:color w:val="auto"/>
          <w:sz w:val="21"/>
          <w:szCs w:val="21"/>
          <w:highlight w:val="none"/>
        </w:rPr>
      </w:pPr>
      <w:bookmarkStart w:id="10" w:name="_Toc511133381"/>
      <w:bookmarkStart w:id="11" w:name="_Toc519523657"/>
      <w:r>
        <w:rPr>
          <w:rFonts w:hint="eastAsia" w:ascii="宋体" w:hAnsi="宋体" w:cs="宋体"/>
          <w:color w:val="auto"/>
          <w:sz w:val="21"/>
          <w:szCs w:val="21"/>
          <w:highlight w:val="none"/>
        </w:rPr>
        <w:t>三、供应商必须自行为其</w:t>
      </w:r>
      <w:r>
        <w:rPr>
          <w:rFonts w:hint="eastAsia" w:ascii="宋体" w:hAnsi="宋体" w:cs="宋体"/>
          <w:color w:val="auto"/>
          <w:sz w:val="21"/>
          <w:szCs w:val="21"/>
          <w:highlight w:val="none"/>
          <w:lang w:eastAsia="zh-CN"/>
        </w:rPr>
        <w:t>竞标产品</w:t>
      </w:r>
      <w:r>
        <w:rPr>
          <w:rFonts w:hint="eastAsia" w:ascii="宋体" w:hAnsi="宋体" w:cs="宋体"/>
          <w:color w:val="auto"/>
          <w:sz w:val="21"/>
          <w:szCs w:val="21"/>
          <w:highlight w:val="none"/>
        </w:rPr>
        <w:t>侵权其他供应商或专利人的专利成果承担相应法律责任；同时，具有产品专利的供应商应在其响应文件中提供与其自有产品专利相关的有效证明材料，否则，不能就其产品的专利在本项目投标过程中被侵权问题提出异议。</w:t>
      </w:r>
      <w:bookmarkEnd w:id="10"/>
      <w:bookmarkEnd w:id="11"/>
    </w:p>
    <w:p>
      <w:pPr>
        <w:tabs>
          <w:tab w:val="left" w:pos="7230"/>
        </w:tabs>
        <w:ind w:firstLine="210" w:firstLineChars="100"/>
        <w:rPr>
          <w:rFonts w:hint="eastAsia" w:ascii="宋体" w:hAnsi="宋体" w:cs="宋体"/>
          <w:color w:val="auto"/>
          <w:sz w:val="21"/>
          <w:szCs w:val="21"/>
          <w:highlight w:val="none"/>
        </w:rPr>
      </w:pPr>
      <w:r>
        <w:rPr>
          <w:rFonts w:hint="eastAsia" w:ascii="宋体" w:hAnsi="宋体" w:cs="宋体"/>
          <w:bCs/>
          <w:color w:val="auto"/>
          <w:highlight w:val="none"/>
        </w:rPr>
        <w:t>▲</w:t>
      </w:r>
      <w:r>
        <w:rPr>
          <w:rFonts w:hint="eastAsia" w:ascii="宋体" w:hAnsi="宋体" w:cs="Courier New"/>
          <w:color w:val="auto"/>
          <w:szCs w:val="21"/>
          <w:highlight w:val="none"/>
        </w:rPr>
        <w:t>四、</w:t>
      </w:r>
      <w:r>
        <w:rPr>
          <w:rFonts w:hint="eastAsia" w:ascii="宋体" w:hAnsi="宋体" w:cs="Courier New"/>
          <w:b/>
          <w:bCs/>
          <w:color w:val="auto"/>
          <w:szCs w:val="21"/>
          <w:highlight w:val="none"/>
        </w:rPr>
        <w:t>本一览表中要求采购的货</w:t>
      </w:r>
      <w:r>
        <w:rPr>
          <w:rFonts w:hint="eastAsia" w:ascii="宋体" w:hAnsi="宋体" w:eastAsia="宋体" w:cs="Courier New"/>
          <w:b/>
          <w:bCs/>
          <w:color w:val="auto"/>
          <w:szCs w:val="21"/>
          <w:highlight w:val="none"/>
        </w:rPr>
        <w:t>物“</w:t>
      </w:r>
      <w:r>
        <w:rPr>
          <w:rFonts w:hint="eastAsia" w:ascii="宋体" w:hAnsi="宋体" w:eastAsia="宋体" w:cs="Courier New"/>
          <w:b/>
          <w:bCs/>
          <w:color w:val="auto"/>
          <w:szCs w:val="21"/>
          <w:highlight w:val="none"/>
          <w:lang w:eastAsia="zh-CN"/>
        </w:rPr>
        <w:t>振动噪声测试与控制协同创新平台--扫描式激光测振仪采购</w:t>
      </w:r>
      <w:r>
        <w:rPr>
          <w:rFonts w:hint="eastAsia" w:ascii="宋体" w:hAnsi="宋体" w:eastAsia="宋体" w:cs="Courier New"/>
          <w:b/>
          <w:bCs/>
          <w:color w:val="auto"/>
          <w:szCs w:val="21"/>
          <w:highlight w:val="none"/>
        </w:rPr>
        <w:t>”所涉及的货物已按规定</w:t>
      </w:r>
      <w:r>
        <w:rPr>
          <w:rFonts w:hint="eastAsia" w:ascii="宋体" w:hAnsi="宋体" w:cs="Courier New"/>
          <w:b/>
          <w:bCs/>
          <w:color w:val="auto"/>
          <w:szCs w:val="21"/>
          <w:highlight w:val="none"/>
        </w:rPr>
        <w:t>办妥进口产品采购审核手续，投标产品可选用进口产品；但如选用进口产品时必须为全套原装进口产品(即通过中国海关报关验放进入中国境内且产自关境外的产品)，同时供应商必须负责办理进口产品所有相关手续并承担所有费用。</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rPr>
          <w:rFonts w:ascii="宋体" w:hAnsi="宋体" w:cs="宋体"/>
          <w:bCs/>
          <w:color w:val="auto"/>
          <w:kern w:val="0"/>
          <w:sz w:val="21"/>
          <w:szCs w:val="21"/>
          <w:highlight w:val="none"/>
        </w:rPr>
      </w:pPr>
      <w:r>
        <w:rPr>
          <w:rFonts w:hint="eastAsia" w:ascii="宋体" w:hAnsi="宋体" w:cs="宋体"/>
          <w:bCs/>
          <w:color w:val="auto"/>
          <w:sz w:val="21"/>
          <w:szCs w:val="21"/>
          <w:highlight w:val="none"/>
        </w:rPr>
        <w:t>▲</w:t>
      </w:r>
      <w:r>
        <w:rPr>
          <w:rFonts w:hint="eastAsia" w:ascii="宋体" w:hAnsi="宋体" w:cs="宋体"/>
          <w:bCs/>
          <w:color w:val="auto"/>
          <w:sz w:val="21"/>
          <w:szCs w:val="21"/>
          <w:highlight w:val="none"/>
          <w:lang w:eastAsia="zh-CN"/>
        </w:rPr>
        <w:t>五</w:t>
      </w:r>
      <w:r>
        <w:rPr>
          <w:rFonts w:hint="eastAsia" w:ascii="宋体" w:hAnsi="宋体" w:cs="宋体"/>
          <w:bCs/>
          <w:color w:val="auto"/>
          <w:sz w:val="21"/>
          <w:szCs w:val="21"/>
          <w:highlight w:val="none"/>
        </w:rPr>
        <w:t>、根据《财政部发展改革委生态环境部市场监管总局关于调整优化节能产品、环境标志产品政府采购执行机制的通知》（财库〔2019〕9号）和《关于印发节能产品政府采购品目清单的通知》（财库〔2019〕19号）的规定，采购需求中的货物属于节能产品政府采购品目清单内标注“★”的（详见本章后附的节能产品政府采购品目清单，专业定制除外），供应商的投标货物必须使用政府强制采购的节能产品，供应商必须在响应文件（商务及技术文件）中提供所</w:t>
      </w:r>
      <w:r>
        <w:rPr>
          <w:rFonts w:hint="eastAsia" w:ascii="宋体" w:hAnsi="宋体" w:cs="宋体"/>
          <w:bCs/>
          <w:color w:val="auto"/>
          <w:sz w:val="21"/>
          <w:szCs w:val="21"/>
          <w:highlight w:val="none"/>
          <w:lang w:eastAsia="zh-CN"/>
        </w:rPr>
        <w:t>竞标产品</w:t>
      </w:r>
      <w:r>
        <w:rPr>
          <w:rFonts w:hint="eastAsia" w:ascii="宋体" w:hAnsi="宋体" w:cs="宋体"/>
          <w:bCs/>
          <w:color w:val="auto"/>
          <w:sz w:val="21"/>
          <w:szCs w:val="21"/>
          <w:highlight w:val="none"/>
        </w:rPr>
        <w:t>的节能产品认证证书复印件（或扫描件）（加盖供应商</w:t>
      </w:r>
      <w:r>
        <w:rPr>
          <w:rFonts w:hint="eastAsia" w:ascii="宋体" w:hAnsi="宋体" w:cs="宋体"/>
          <w:bCs/>
          <w:color w:val="auto"/>
          <w:sz w:val="21"/>
          <w:szCs w:val="21"/>
          <w:highlight w:val="none"/>
          <w:lang w:eastAsia="zh-CN"/>
        </w:rPr>
        <w:t>电子公章</w:t>
      </w:r>
      <w:r>
        <w:rPr>
          <w:rFonts w:hint="eastAsia" w:ascii="宋体" w:hAnsi="宋体" w:cs="宋体"/>
          <w:bCs/>
          <w:color w:val="auto"/>
          <w:sz w:val="21"/>
          <w:szCs w:val="21"/>
          <w:highlight w:val="none"/>
        </w:rPr>
        <w:t>），否则按无效投标处理。如本项目包含的货物属于品目清单内非标注“★”的产品时，应优先采购，具体详见“第四章 评标方法及评标标准”。</w:t>
      </w:r>
      <w:r>
        <w:rPr>
          <w:rFonts w:hint="eastAsia" w:ascii="宋体" w:hAnsi="宋体" w:cs="宋体"/>
          <w:bCs/>
          <w:color w:val="auto"/>
          <w:kern w:val="0"/>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rPr>
          <w:rFonts w:ascii="宋体" w:hAnsi="宋体" w:cs="宋体"/>
          <w:b/>
          <w:color w:val="auto"/>
          <w:sz w:val="21"/>
          <w:szCs w:val="21"/>
          <w:highlight w:val="none"/>
        </w:rPr>
      </w:pPr>
      <w:r>
        <w:rPr>
          <w:rFonts w:hint="eastAsia" w:ascii="宋体" w:hAnsi="宋体" w:cs="宋体"/>
          <w:b/>
          <w:color w:val="auto"/>
          <w:sz w:val="21"/>
          <w:szCs w:val="21"/>
          <w:highlight w:val="none"/>
        </w:rPr>
        <w:t>▲</w:t>
      </w:r>
      <w:r>
        <w:rPr>
          <w:rFonts w:hint="eastAsia" w:ascii="宋体" w:hAnsi="宋体" w:cs="宋体"/>
          <w:b/>
          <w:color w:val="auto"/>
          <w:sz w:val="21"/>
          <w:szCs w:val="21"/>
          <w:highlight w:val="none"/>
          <w:lang w:eastAsia="zh-CN"/>
        </w:rPr>
        <w:t>六、</w:t>
      </w:r>
      <w:r>
        <w:rPr>
          <w:rFonts w:hint="eastAsia" w:ascii="宋体" w:hAnsi="宋体" w:cs="宋体"/>
          <w:b/>
          <w:color w:val="auto"/>
          <w:sz w:val="21"/>
          <w:szCs w:val="21"/>
          <w:highlight w:val="none"/>
        </w:rPr>
        <w:t>本一览表中带“</w:t>
      </w:r>
      <w:r>
        <w:rPr>
          <w:color w:val="auto"/>
          <w:sz w:val="20"/>
          <w:szCs w:val="20"/>
          <w:highlight w:val="none"/>
        </w:rPr>
        <w:t>▲</w:t>
      </w:r>
      <w:r>
        <w:rPr>
          <w:rFonts w:hint="eastAsia" w:ascii="宋体" w:hAnsi="宋体" w:cs="宋体"/>
          <w:b/>
          <w:color w:val="auto"/>
          <w:sz w:val="21"/>
          <w:szCs w:val="21"/>
          <w:highlight w:val="none"/>
        </w:rPr>
        <w:t>”的技术参数及其性能（配置）为必须满足的项目，供应商必须提供相当于或优于这些技术参数性能（配置）要求。本一览表中不带“</w:t>
      </w:r>
      <w:r>
        <w:rPr>
          <w:color w:val="auto"/>
          <w:sz w:val="20"/>
          <w:szCs w:val="20"/>
          <w:highlight w:val="none"/>
        </w:rPr>
        <w:t>▲</w:t>
      </w:r>
      <w:r>
        <w:rPr>
          <w:rFonts w:hint="eastAsia" w:ascii="宋体" w:hAnsi="宋体" w:cs="宋体"/>
          <w:b/>
          <w:color w:val="auto"/>
          <w:sz w:val="21"/>
          <w:szCs w:val="21"/>
          <w:highlight w:val="none"/>
        </w:rPr>
        <w:t>”的技术参数为可负偏离的项目，但偏离超过</w:t>
      </w:r>
      <w:r>
        <w:rPr>
          <w:rFonts w:hint="eastAsia" w:ascii="宋体" w:hAnsi="宋体" w:cs="宋体"/>
          <w:b/>
          <w:color w:val="auto"/>
          <w:sz w:val="21"/>
          <w:szCs w:val="21"/>
          <w:highlight w:val="none"/>
          <w:lang w:val="en-US" w:eastAsia="zh-CN"/>
        </w:rPr>
        <w:t>3</w:t>
      </w:r>
      <w:r>
        <w:rPr>
          <w:rFonts w:hint="eastAsia" w:ascii="宋体" w:hAnsi="宋体" w:cs="宋体"/>
          <w:b/>
          <w:color w:val="auto"/>
          <w:sz w:val="21"/>
          <w:szCs w:val="21"/>
          <w:highlight w:val="none"/>
        </w:rPr>
        <w:t>项以上的响应文件将被视为无效。</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lang w:eastAsia="zh-CN"/>
        </w:rPr>
        <w:t>七</w:t>
      </w:r>
      <w:r>
        <w:rPr>
          <w:rFonts w:hint="eastAsia" w:ascii="宋体" w:hAnsi="宋体" w:cs="宋体"/>
          <w:bCs/>
          <w:color w:val="auto"/>
          <w:sz w:val="21"/>
          <w:szCs w:val="21"/>
          <w:highlight w:val="none"/>
        </w:rPr>
        <w:t>、根据财政部令87号规定，提供相同品牌产品且通过资格审查、符合性审查的不同供应商参加同一合同项下投标的，按一家供应商计算，评审后得分最高的同品牌供应商获得中标人推荐资格；评审得分相同时，以总报价最低的同品牌供应商获得中标人推荐资格；当总报价相同时，则以技术标最优的同品牌供应商获得中标人推荐资格；均相同时，由</w:t>
      </w:r>
      <w:r>
        <w:rPr>
          <w:rFonts w:hint="eastAsia" w:ascii="宋体" w:hAnsi="宋体" w:cs="宋体"/>
          <w:bCs/>
          <w:color w:val="auto"/>
          <w:sz w:val="21"/>
          <w:szCs w:val="21"/>
          <w:highlight w:val="none"/>
          <w:lang w:eastAsia="zh-CN"/>
        </w:rPr>
        <w:t>谈判小组</w:t>
      </w:r>
      <w:r>
        <w:rPr>
          <w:rFonts w:hint="eastAsia" w:ascii="宋体" w:hAnsi="宋体" w:cs="宋体"/>
          <w:bCs/>
          <w:color w:val="auto"/>
          <w:sz w:val="21"/>
          <w:szCs w:val="21"/>
          <w:highlight w:val="none"/>
        </w:rPr>
        <w:t>集体决定。</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非单一产品采购项目中，多家供应商提供的核心产品(具体核心产品以“◆”标注)品牌相同的，视为提供相同品牌产品。</w:t>
      </w:r>
    </w:p>
    <w:p>
      <w:pPr>
        <w:keepNext w:val="0"/>
        <w:keepLines w:val="0"/>
        <w:pageBreakBefore w:val="0"/>
        <w:kinsoku/>
        <w:wordWrap/>
        <w:overflowPunct/>
        <w:topLinePunct w:val="0"/>
        <w:autoSpaceDE/>
        <w:autoSpaceDN/>
        <w:bidi w:val="0"/>
        <w:adjustRightInd/>
        <w:snapToGrid/>
        <w:spacing w:line="36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lang w:eastAsia="zh-CN"/>
        </w:rPr>
        <w:t>八</w:t>
      </w:r>
      <w:r>
        <w:rPr>
          <w:rFonts w:hint="eastAsia" w:ascii="宋体" w:hAnsi="宋体" w:cs="宋体"/>
          <w:b/>
          <w:color w:val="auto"/>
          <w:sz w:val="21"/>
          <w:szCs w:val="21"/>
          <w:highlight w:val="none"/>
        </w:rPr>
        <w:t>、本项目所属行业：</w:t>
      </w:r>
      <w:r>
        <w:rPr>
          <w:rFonts w:hint="eastAsia" w:ascii="宋体" w:hAnsi="宋体" w:cs="宋体"/>
          <w:b/>
          <w:color w:val="auto"/>
          <w:sz w:val="21"/>
          <w:szCs w:val="21"/>
          <w:highlight w:val="none"/>
          <w:u w:val="single"/>
        </w:rPr>
        <w:t xml:space="preserve">  工业  </w:t>
      </w:r>
      <w:r>
        <w:rPr>
          <w:rFonts w:hint="eastAsia" w:ascii="宋体" w:hAnsi="宋体" w:cs="宋体"/>
          <w:b/>
          <w:color w:val="auto"/>
          <w:sz w:val="21"/>
          <w:szCs w:val="21"/>
          <w:highlight w:val="none"/>
        </w:rPr>
        <w:t>，划分依据：《关于印发中小企业划型标准规定的通知》（工信部联企业[2011]300号）。</w:t>
      </w:r>
    </w:p>
    <w:tbl>
      <w:tblPr>
        <w:tblStyle w:val="3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41"/>
        <w:gridCol w:w="1183"/>
        <w:gridCol w:w="750"/>
        <w:gridCol w:w="786"/>
        <w:gridCol w:w="5564"/>
        <w:gridCol w:w="8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1" w:type="dxa"/>
            <w:vAlign w:val="center"/>
          </w:tcPr>
          <w:p>
            <w:pPr>
              <w:pStyle w:val="48"/>
              <w:keepNext w:val="0"/>
              <w:keepLines w:val="0"/>
              <w:pageBreakBefore w:val="0"/>
              <w:kinsoku/>
              <w:wordWrap/>
              <w:overflowPunct/>
              <w:topLinePunct w:val="0"/>
              <w:autoSpaceDE/>
              <w:autoSpaceDN/>
              <w:bidi w:val="0"/>
              <w:adjustRightInd/>
              <w:snapToGrid/>
              <w:spacing w:line="36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83" w:type="dxa"/>
            <w:vAlign w:val="center"/>
          </w:tcPr>
          <w:p>
            <w:pPr>
              <w:pStyle w:val="48"/>
              <w:keepNext w:val="0"/>
              <w:keepLines w:val="0"/>
              <w:pageBreakBefore w:val="0"/>
              <w:kinsoku/>
              <w:wordWrap/>
              <w:overflowPunct/>
              <w:topLinePunct w:val="0"/>
              <w:autoSpaceDE/>
              <w:autoSpaceDN/>
              <w:bidi w:val="0"/>
              <w:adjustRightInd/>
              <w:snapToGrid/>
              <w:spacing w:line="360" w:lineRule="exact"/>
              <w:ind w:firstLine="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设备</w:t>
            </w:r>
            <w:r>
              <w:rPr>
                <w:rFonts w:hint="eastAsia" w:ascii="宋体" w:hAnsi="宋体" w:eastAsia="宋体" w:cs="宋体"/>
                <w:color w:val="auto"/>
                <w:sz w:val="21"/>
                <w:szCs w:val="21"/>
                <w:highlight w:val="none"/>
              </w:rPr>
              <w:t>名称</w:t>
            </w:r>
          </w:p>
        </w:tc>
        <w:tc>
          <w:tcPr>
            <w:tcW w:w="750" w:type="dxa"/>
            <w:vAlign w:val="center"/>
          </w:tcPr>
          <w:p>
            <w:pPr>
              <w:pStyle w:val="48"/>
              <w:keepNext w:val="0"/>
              <w:keepLines w:val="0"/>
              <w:pageBreakBefore w:val="0"/>
              <w:kinsoku/>
              <w:wordWrap/>
              <w:overflowPunct/>
              <w:topLinePunct w:val="0"/>
              <w:autoSpaceDE/>
              <w:autoSpaceDN/>
              <w:bidi w:val="0"/>
              <w:adjustRightInd/>
              <w:snapToGrid/>
              <w:spacing w:line="36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786" w:type="dxa"/>
            <w:vAlign w:val="center"/>
          </w:tcPr>
          <w:p>
            <w:pPr>
              <w:pStyle w:val="48"/>
              <w:keepNext w:val="0"/>
              <w:keepLines w:val="0"/>
              <w:pageBreakBefore w:val="0"/>
              <w:kinsoku/>
              <w:wordWrap/>
              <w:overflowPunct/>
              <w:topLinePunct w:val="0"/>
              <w:autoSpaceDE/>
              <w:autoSpaceDN/>
              <w:bidi w:val="0"/>
              <w:adjustRightInd/>
              <w:snapToGrid/>
              <w:spacing w:line="36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564" w:type="dxa"/>
            <w:vAlign w:val="center"/>
          </w:tcPr>
          <w:p>
            <w:pPr>
              <w:pStyle w:val="48"/>
              <w:keepNext w:val="0"/>
              <w:keepLines w:val="0"/>
              <w:pageBreakBefore w:val="0"/>
              <w:kinsoku/>
              <w:wordWrap/>
              <w:overflowPunct/>
              <w:topLinePunct w:val="0"/>
              <w:autoSpaceDE/>
              <w:autoSpaceDN/>
              <w:bidi w:val="0"/>
              <w:adjustRightInd/>
              <w:snapToGrid/>
              <w:spacing w:line="36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技术指标要求</w:t>
            </w:r>
          </w:p>
        </w:tc>
        <w:tc>
          <w:tcPr>
            <w:tcW w:w="817" w:type="dxa"/>
            <w:vAlign w:val="center"/>
          </w:tcPr>
          <w:p>
            <w:pPr>
              <w:pStyle w:val="48"/>
              <w:keepNext w:val="0"/>
              <w:keepLines w:val="0"/>
              <w:pageBreakBefore w:val="0"/>
              <w:kinsoku/>
              <w:wordWrap/>
              <w:overflowPunct/>
              <w:topLinePunct w:val="0"/>
              <w:autoSpaceDE/>
              <w:autoSpaceDN/>
              <w:bidi w:val="0"/>
              <w:adjustRightInd/>
              <w:snapToGrid/>
              <w:spacing w:line="360" w:lineRule="exact"/>
              <w:ind w:firstLine="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1" w:type="dxa"/>
            <w:vAlign w:val="center"/>
          </w:tcPr>
          <w:p>
            <w:pPr>
              <w:pStyle w:val="48"/>
              <w:keepNext w:val="0"/>
              <w:keepLines w:val="0"/>
              <w:pageBreakBefore w:val="0"/>
              <w:kinsoku/>
              <w:wordWrap/>
              <w:overflowPunct/>
              <w:topLinePunct w:val="0"/>
              <w:autoSpaceDE/>
              <w:autoSpaceDN/>
              <w:bidi w:val="0"/>
              <w:adjustRightInd/>
              <w:snapToGrid/>
              <w:spacing w:line="36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3" w:type="dxa"/>
            <w:vAlign w:val="top"/>
          </w:tcPr>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pStyle w:val="139"/>
              <w:keepNext w:val="0"/>
              <w:keepLines w:val="0"/>
              <w:pageBreakBefore w:val="0"/>
              <w:kinsoku/>
              <w:wordWrap/>
              <w:overflowPunct/>
              <w:topLinePunct w:val="0"/>
              <w:autoSpaceDE/>
              <w:autoSpaceDN/>
              <w:bidi w:val="0"/>
              <w:adjustRightInd/>
              <w:snapToGrid/>
              <w:spacing w:before="68" w:line="360" w:lineRule="exact"/>
              <w:rPr>
                <w:rFonts w:hint="default" w:ascii="宋体" w:hAnsi="宋体" w:eastAsia="宋体" w:cs="宋体"/>
                <w:color w:val="auto"/>
                <w:sz w:val="21"/>
                <w:szCs w:val="21"/>
                <w:highlight w:val="none"/>
                <w:lang w:val="en-US" w:eastAsia="zh-CN"/>
              </w:rPr>
            </w:pPr>
            <w:r>
              <w:rPr>
                <w:color w:val="auto"/>
                <w:spacing w:val="-2"/>
                <w:sz w:val="21"/>
                <w:szCs w:val="21"/>
                <w:highlight w:val="none"/>
              </w:rPr>
              <w:t>激光测振仪</w:t>
            </w:r>
            <w:r>
              <w:rPr>
                <w:rFonts w:hint="eastAsia"/>
                <w:color w:val="auto"/>
                <w:spacing w:val="-2"/>
                <w:sz w:val="21"/>
                <w:szCs w:val="21"/>
                <w:highlight w:val="none"/>
                <w:lang w:eastAsia="zh-CN"/>
              </w:rPr>
              <w:t>（</w:t>
            </w:r>
            <w:r>
              <w:rPr>
                <w:rFonts w:hint="eastAsia" w:ascii="宋体" w:hAnsi="宋体" w:cs="宋体"/>
                <w:bCs/>
                <w:color w:val="auto"/>
                <w:sz w:val="21"/>
                <w:szCs w:val="21"/>
                <w:highlight w:val="none"/>
              </w:rPr>
              <w:t>◆</w:t>
            </w:r>
            <w:r>
              <w:rPr>
                <w:rFonts w:hint="eastAsia"/>
                <w:color w:val="auto"/>
                <w:spacing w:val="-2"/>
                <w:sz w:val="21"/>
                <w:szCs w:val="21"/>
                <w:highlight w:val="none"/>
                <w:lang w:val="en-US" w:eastAsia="zh-CN"/>
              </w:rPr>
              <w:t>核心产品）</w:t>
            </w:r>
          </w:p>
        </w:tc>
        <w:tc>
          <w:tcPr>
            <w:tcW w:w="750" w:type="dxa"/>
            <w:vAlign w:val="top"/>
          </w:tcPr>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pStyle w:val="139"/>
              <w:keepNext w:val="0"/>
              <w:keepLines w:val="0"/>
              <w:pageBreakBefore w:val="0"/>
              <w:kinsoku/>
              <w:wordWrap/>
              <w:overflowPunct/>
              <w:topLinePunct w:val="0"/>
              <w:autoSpaceDE/>
              <w:autoSpaceDN/>
              <w:bidi w:val="0"/>
              <w:adjustRightInd/>
              <w:snapToGrid/>
              <w:spacing w:before="68" w:line="360" w:lineRule="exact"/>
              <w:ind w:left="183" w:leftChars="0"/>
              <w:rPr>
                <w:rFonts w:hint="eastAsia" w:ascii="宋体" w:hAnsi="宋体" w:eastAsia="宋体" w:cs="宋体"/>
                <w:bCs/>
                <w:color w:val="auto"/>
                <w:sz w:val="21"/>
                <w:szCs w:val="21"/>
                <w:highlight w:val="none"/>
                <w:lang w:val="en-US" w:eastAsia="zh-CN"/>
              </w:rPr>
            </w:pPr>
            <w:r>
              <w:rPr>
                <w:color w:val="auto"/>
                <w:sz w:val="21"/>
                <w:szCs w:val="21"/>
                <w:highlight w:val="none"/>
              </w:rPr>
              <w:t>套</w:t>
            </w:r>
          </w:p>
        </w:tc>
        <w:tc>
          <w:tcPr>
            <w:tcW w:w="786" w:type="dxa"/>
            <w:vAlign w:val="top"/>
          </w:tcPr>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pStyle w:val="139"/>
              <w:keepNext w:val="0"/>
              <w:keepLines w:val="0"/>
              <w:pageBreakBefore w:val="0"/>
              <w:kinsoku/>
              <w:wordWrap/>
              <w:overflowPunct/>
              <w:topLinePunct w:val="0"/>
              <w:autoSpaceDE/>
              <w:autoSpaceDN/>
              <w:bidi w:val="0"/>
              <w:adjustRightInd/>
              <w:snapToGrid/>
              <w:spacing w:before="68" w:line="360" w:lineRule="exact"/>
              <w:ind w:firstLine="210" w:firstLineChars="100"/>
              <w:rPr>
                <w:rFonts w:hint="eastAsia" w:ascii="宋体" w:hAnsi="宋体" w:eastAsia="宋体" w:cs="宋体"/>
                <w:bCs/>
                <w:color w:val="auto"/>
                <w:sz w:val="21"/>
                <w:szCs w:val="21"/>
                <w:highlight w:val="none"/>
                <w:lang w:val="en-US" w:eastAsia="zh-CN"/>
              </w:rPr>
            </w:pPr>
            <w:r>
              <w:rPr>
                <w:color w:val="auto"/>
                <w:sz w:val="21"/>
                <w:szCs w:val="21"/>
                <w:highlight w:val="none"/>
              </w:rPr>
              <w:t>1</w:t>
            </w:r>
          </w:p>
        </w:tc>
        <w:tc>
          <w:tcPr>
            <w:tcW w:w="5564" w:type="dxa"/>
            <w:vAlign w:val="top"/>
          </w:tcPr>
          <w:p>
            <w:pPr>
              <w:pStyle w:val="139"/>
              <w:keepNext w:val="0"/>
              <w:keepLines w:val="0"/>
              <w:pageBreakBefore w:val="0"/>
              <w:kinsoku/>
              <w:wordWrap/>
              <w:overflowPunct/>
              <w:topLinePunct w:val="0"/>
              <w:autoSpaceDE/>
              <w:autoSpaceDN/>
              <w:bidi w:val="0"/>
              <w:adjustRightInd/>
              <w:snapToGrid/>
              <w:spacing w:before="97" w:line="360" w:lineRule="exact"/>
              <w:ind w:left="4"/>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▲1.1系统采用主流的一体化结构，光测模块，电测模块、参考信号输入模块以及信号发生输出模块都内置于同一个机箱内。</w:t>
            </w:r>
          </w:p>
          <w:p>
            <w:pPr>
              <w:pStyle w:val="139"/>
              <w:keepNext w:val="0"/>
              <w:keepLines w:val="0"/>
              <w:pageBreakBefore w:val="0"/>
              <w:kinsoku/>
              <w:wordWrap/>
              <w:overflowPunct/>
              <w:topLinePunct w:val="0"/>
              <w:autoSpaceDE/>
              <w:autoSpaceDN/>
              <w:bidi w:val="0"/>
              <w:adjustRightInd/>
              <w:snapToGrid/>
              <w:spacing w:line="360" w:lineRule="exact"/>
              <w:ind w:left="4" w:firstLine="78"/>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▲1.2能扫描测量振动速度，振动位移两种振动物理量，实时显示两种振动物理量的时域波形、频谱。振动位移为原始测量物理量，不应由振动速度积分计算获得。</w:t>
            </w:r>
          </w:p>
          <w:p>
            <w:pPr>
              <w:pStyle w:val="139"/>
              <w:keepNext w:val="0"/>
              <w:keepLines w:val="0"/>
              <w:pageBreakBefore w:val="0"/>
              <w:kinsoku/>
              <w:wordWrap/>
              <w:overflowPunct/>
              <w:topLinePunct w:val="0"/>
              <w:autoSpaceDE/>
              <w:autoSpaceDN/>
              <w:bidi w:val="0"/>
              <w:adjustRightInd/>
              <w:snapToGrid/>
              <w:spacing w:before="4" w:line="360" w:lineRule="exact"/>
              <w:ind w:left="4" w:firstLine="59"/>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1.3通过千兆网口完成数据采集，激光测振仪遥控，系统更新和升级。系统可直接配套市面主流的基于WINDOWS的计算机系统，不必采用专用计算机。</w:t>
            </w:r>
          </w:p>
          <w:p>
            <w:pPr>
              <w:pStyle w:val="139"/>
              <w:keepNext w:val="0"/>
              <w:keepLines w:val="0"/>
              <w:pageBreakBefore w:val="0"/>
              <w:kinsoku/>
              <w:wordWrap/>
              <w:overflowPunct/>
              <w:topLinePunct w:val="0"/>
              <w:autoSpaceDE/>
              <w:autoSpaceDN/>
              <w:bidi w:val="0"/>
              <w:adjustRightInd/>
              <w:snapToGrid/>
              <w:spacing w:before="1" w:line="360" w:lineRule="exact"/>
              <w:ind w:right="32"/>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1.4频带宽度不小于DC-1MHz,在此频率范围内可实现全带宽逐点自动扫描</w:t>
            </w:r>
          </w:p>
          <w:p>
            <w:pPr>
              <w:pStyle w:val="139"/>
              <w:keepNext w:val="0"/>
              <w:keepLines w:val="0"/>
              <w:pageBreakBefore w:val="0"/>
              <w:kinsoku/>
              <w:wordWrap/>
              <w:overflowPunct/>
              <w:topLinePunct w:val="0"/>
              <w:autoSpaceDE/>
              <w:autoSpaceDN/>
              <w:bidi w:val="0"/>
              <w:adjustRightInd/>
              <w:snapToGrid/>
              <w:spacing w:before="120" w:line="36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1.5最大速度量程不小于±5m/s</w:t>
            </w:r>
          </w:p>
          <w:p>
            <w:pPr>
              <w:pStyle w:val="139"/>
              <w:keepNext w:val="0"/>
              <w:keepLines w:val="0"/>
              <w:pageBreakBefore w:val="0"/>
              <w:kinsoku/>
              <w:wordWrap/>
              <w:overflowPunct/>
              <w:topLinePunct w:val="0"/>
              <w:autoSpaceDE/>
              <w:autoSpaceDN/>
              <w:bidi w:val="0"/>
              <w:adjustRightInd/>
              <w:snapToGrid/>
              <w:spacing w:before="109" w:line="36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1.6最佳速度分辨率优于1.7 nm/s/√Hz(验证测试条件为：带宽2.5kHz,频谱分辨率为1Hz)。</w:t>
            </w:r>
          </w:p>
          <w:p>
            <w:pPr>
              <w:pStyle w:val="139"/>
              <w:keepNext w:val="0"/>
              <w:keepLines w:val="0"/>
              <w:pageBreakBefore w:val="0"/>
              <w:kinsoku/>
              <w:wordWrap/>
              <w:overflowPunct/>
              <w:topLinePunct w:val="0"/>
              <w:autoSpaceDE/>
              <w:autoSpaceDN/>
              <w:bidi w:val="0"/>
              <w:adjustRightInd/>
              <w:snapToGrid/>
              <w:spacing w:before="118" w:line="36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1.7最大位移量程不小于±100mm</w:t>
            </w:r>
          </w:p>
          <w:p>
            <w:pPr>
              <w:pStyle w:val="139"/>
              <w:keepNext w:val="0"/>
              <w:keepLines w:val="0"/>
              <w:pageBreakBefore w:val="0"/>
              <w:kinsoku/>
              <w:wordWrap/>
              <w:overflowPunct/>
              <w:topLinePunct w:val="0"/>
              <w:autoSpaceDE/>
              <w:autoSpaceDN/>
              <w:bidi w:val="0"/>
              <w:adjustRightInd/>
              <w:snapToGrid/>
              <w:spacing w:before="119" w:line="360" w:lineRule="exact"/>
              <w:ind w:right="6"/>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1.8最佳位移分辨率不大于50fm/√Hz(验证测试条件为：带宽2.5kHz,频谱分辨率为1Hz)。</w:t>
            </w:r>
          </w:p>
          <w:p>
            <w:pPr>
              <w:pStyle w:val="139"/>
              <w:keepNext w:val="0"/>
              <w:keepLines w:val="0"/>
              <w:pageBreakBefore w:val="0"/>
              <w:kinsoku/>
              <w:wordWrap/>
              <w:overflowPunct/>
              <w:topLinePunct w:val="0"/>
              <w:autoSpaceDE/>
              <w:autoSpaceDN/>
              <w:bidi w:val="0"/>
              <w:adjustRightInd/>
              <w:snapToGrid/>
              <w:spacing w:before="125" w:line="360" w:lineRule="exact"/>
              <w:ind w:right="51"/>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▲1.9每个位移数据样本的长度可以是32位分辨率(通过提供原始数据验证)。</w:t>
            </w:r>
          </w:p>
          <w:p>
            <w:pPr>
              <w:pStyle w:val="139"/>
              <w:keepNext w:val="0"/>
              <w:keepLines w:val="0"/>
              <w:pageBreakBefore w:val="0"/>
              <w:kinsoku/>
              <w:wordWrap/>
              <w:overflowPunct/>
              <w:topLinePunct w:val="0"/>
              <w:autoSpaceDE/>
              <w:autoSpaceDN/>
              <w:bidi w:val="0"/>
              <w:adjustRightInd/>
              <w:snapToGrid/>
              <w:spacing w:before="121" w:line="36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1.10测量位移信号时，同一个量程的测量动态范围可达220dB,也即采用10mm级别的量程进行测量时，仪器频域本底噪声低于100fm。</w:t>
            </w:r>
          </w:p>
          <w:p>
            <w:pPr>
              <w:pStyle w:val="139"/>
              <w:keepNext w:val="0"/>
              <w:keepLines w:val="0"/>
              <w:pageBreakBefore w:val="0"/>
              <w:kinsoku/>
              <w:wordWrap/>
              <w:overflowPunct/>
              <w:topLinePunct w:val="0"/>
              <w:autoSpaceDE/>
              <w:autoSpaceDN/>
              <w:bidi w:val="0"/>
              <w:adjustRightInd/>
              <w:snapToGrid/>
              <w:spacing w:before="150" w:line="360" w:lineRule="exact"/>
              <w:ind w:right="2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1.11输入参考通道数：2个。采用24位A/D,可以输入力、加速度等参考信号，支持IEPE模式。</w:t>
            </w:r>
          </w:p>
          <w:p>
            <w:pPr>
              <w:pStyle w:val="139"/>
              <w:keepNext w:val="0"/>
              <w:keepLines w:val="0"/>
              <w:pageBreakBefore w:val="0"/>
              <w:kinsoku/>
              <w:wordWrap/>
              <w:overflowPunct/>
              <w:topLinePunct w:val="0"/>
              <w:autoSpaceDE/>
              <w:autoSpaceDN/>
              <w:bidi w:val="0"/>
              <w:adjustRightInd/>
              <w:snapToGrid/>
              <w:spacing w:before="68" w:line="36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1.12内置2个信号发生器通道，其中一个带宽可达DC到1MHz,用于高频模态测试。可预设标准以及用户自定义的信号。能驱动模态激振器，压电陶瓷片等激励装置。</w:t>
            </w:r>
          </w:p>
          <w:p>
            <w:pPr>
              <w:pStyle w:val="139"/>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1.13外部触发输入通道数：1个</w:t>
            </w:r>
          </w:p>
          <w:p>
            <w:pPr>
              <w:pStyle w:val="139"/>
              <w:keepNext w:val="0"/>
              <w:keepLines w:val="0"/>
              <w:pageBreakBefore w:val="0"/>
              <w:kinsoku/>
              <w:wordWrap/>
              <w:overflowPunct/>
              <w:topLinePunct w:val="0"/>
              <w:autoSpaceDE/>
              <w:autoSpaceDN/>
              <w:bidi w:val="0"/>
              <w:adjustRightInd/>
              <w:snapToGrid/>
              <w:spacing w:before="147" w:line="360" w:lineRule="exact"/>
              <w:ind w:right="14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1.14扫描角不小于50°×40°,角度稳定性不低于0.001°/h,分辨率优于0.001°</w:t>
            </w:r>
          </w:p>
          <w:p>
            <w:pPr>
              <w:pStyle w:val="139"/>
              <w:keepNext w:val="0"/>
              <w:keepLines w:val="0"/>
              <w:pageBreakBefore w:val="0"/>
              <w:kinsoku/>
              <w:wordWrap/>
              <w:overflowPunct/>
              <w:topLinePunct w:val="0"/>
              <w:autoSpaceDE/>
              <w:autoSpaceDN/>
              <w:bidi w:val="0"/>
              <w:adjustRightInd/>
              <w:snapToGrid/>
              <w:spacing w:before="157" w:line="36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1.15最大激光扫描点速不低于30点/秒</w:t>
            </w:r>
          </w:p>
          <w:p>
            <w:pPr>
              <w:pStyle w:val="139"/>
              <w:keepNext w:val="0"/>
              <w:keepLines w:val="0"/>
              <w:pageBreakBefore w:val="0"/>
              <w:kinsoku/>
              <w:wordWrap/>
              <w:overflowPunct/>
              <w:topLinePunct w:val="0"/>
              <w:autoSpaceDE/>
              <w:autoSpaceDN/>
              <w:bidi w:val="0"/>
              <w:adjustRightInd/>
              <w:snapToGrid/>
              <w:spacing w:before="139" w:line="360" w:lineRule="exact"/>
              <w:ind w:right="23"/>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1.16扫描点密度可达512x512点，具有专业布点功能，即任意改变某区域扫描密度，任意增加扫描点的功能。</w:t>
            </w:r>
          </w:p>
          <w:p>
            <w:pPr>
              <w:pStyle w:val="139"/>
              <w:keepNext w:val="0"/>
              <w:keepLines w:val="0"/>
              <w:pageBreakBefore w:val="0"/>
              <w:kinsoku/>
              <w:wordWrap/>
              <w:overflowPunct/>
              <w:topLinePunct w:val="0"/>
              <w:autoSpaceDE/>
              <w:autoSpaceDN/>
              <w:bidi w:val="0"/>
              <w:adjustRightInd/>
              <w:snapToGrid/>
              <w:spacing w:before="117" w:line="360" w:lineRule="exact"/>
              <w:ind w:right="36"/>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1.17内置Full HD(1920x1080)全高清摄像头，30倍光学变焦，USB3.0接口</w:t>
            </w:r>
          </w:p>
          <w:p>
            <w:pPr>
              <w:pStyle w:val="139"/>
              <w:keepNext w:val="0"/>
              <w:keepLines w:val="0"/>
              <w:pageBreakBefore w:val="0"/>
              <w:kinsoku/>
              <w:wordWrap/>
              <w:overflowPunct/>
              <w:topLinePunct w:val="0"/>
              <w:autoSpaceDE/>
              <w:autoSpaceDN/>
              <w:bidi w:val="0"/>
              <w:adjustRightInd/>
              <w:snapToGrid/>
              <w:spacing w:before="110" w:line="36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1.18测量对象的大小：从小于1mm²到大于10m²</w:t>
            </w:r>
          </w:p>
          <w:p>
            <w:pPr>
              <w:pStyle w:val="139"/>
              <w:keepNext w:val="0"/>
              <w:keepLines w:val="0"/>
              <w:pageBreakBefore w:val="0"/>
              <w:kinsoku/>
              <w:wordWrap/>
              <w:overflowPunct/>
              <w:topLinePunct w:val="0"/>
              <w:autoSpaceDE/>
              <w:autoSpaceDN/>
              <w:bidi w:val="0"/>
              <w:adjustRightInd/>
              <w:snapToGrid/>
              <w:spacing w:before="140" w:line="36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▲1.19内置高品质外差式激光干涉仪</w:t>
            </w:r>
          </w:p>
          <w:p>
            <w:pPr>
              <w:pStyle w:val="139"/>
              <w:keepNext w:val="0"/>
              <w:keepLines w:val="0"/>
              <w:pageBreakBefore w:val="0"/>
              <w:kinsoku/>
              <w:wordWrap/>
              <w:overflowPunct/>
              <w:topLinePunct w:val="0"/>
              <w:autoSpaceDE/>
              <w:autoSpaceDN/>
              <w:bidi w:val="0"/>
              <w:adjustRightInd/>
              <w:snapToGrid/>
              <w:spacing w:before="132" w:line="36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1.20标准工作距离：优于250mm到100m</w:t>
            </w:r>
          </w:p>
          <w:p>
            <w:pPr>
              <w:pStyle w:val="139"/>
              <w:keepNext w:val="0"/>
              <w:keepLines w:val="0"/>
              <w:pageBreakBefore w:val="0"/>
              <w:kinsoku/>
              <w:wordWrap/>
              <w:overflowPunct/>
              <w:topLinePunct w:val="0"/>
              <w:autoSpaceDE/>
              <w:autoSpaceDN/>
              <w:bidi w:val="0"/>
              <w:adjustRightInd/>
              <w:snapToGrid/>
              <w:spacing w:before="126" w:line="360" w:lineRule="exact"/>
              <w:ind w:right="11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1.21测振激光：波长1550nm,输出功率小于10毫瓦，1级安全等级。</w:t>
            </w:r>
          </w:p>
          <w:p>
            <w:pPr>
              <w:pStyle w:val="139"/>
              <w:keepNext w:val="0"/>
              <w:keepLines w:val="0"/>
              <w:pageBreakBefore w:val="0"/>
              <w:kinsoku/>
              <w:wordWrap/>
              <w:overflowPunct/>
              <w:topLinePunct w:val="0"/>
              <w:autoSpaceDE/>
              <w:autoSpaceDN/>
              <w:bidi w:val="0"/>
              <w:adjustRightInd/>
              <w:snapToGrid/>
              <w:spacing w:before="109" w:line="360" w:lineRule="exact"/>
              <w:ind w:right="173"/>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1.22定位激光：波长510-530nm,输出功率小于1毫瓦，2级安全等级。</w:t>
            </w:r>
          </w:p>
          <w:p>
            <w:pPr>
              <w:pStyle w:val="139"/>
              <w:keepNext w:val="0"/>
              <w:keepLines w:val="0"/>
              <w:pageBreakBefore w:val="0"/>
              <w:kinsoku/>
              <w:wordWrap/>
              <w:overflowPunct/>
              <w:topLinePunct w:val="0"/>
              <w:autoSpaceDE/>
              <w:autoSpaceDN/>
              <w:bidi w:val="0"/>
              <w:adjustRightInd/>
              <w:snapToGrid/>
              <w:spacing w:before="111" w:line="36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1.23镜头：长距离镜头，焦距为100毫米</w:t>
            </w:r>
          </w:p>
          <w:p>
            <w:pPr>
              <w:pStyle w:val="139"/>
              <w:keepNext w:val="0"/>
              <w:keepLines w:val="0"/>
              <w:pageBreakBefore w:val="0"/>
              <w:kinsoku/>
              <w:wordWrap/>
              <w:overflowPunct/>
              <w:topLinePunct w:val="0"/>
              <w:autoSpaceDE/>
              <w:autoSpaceDN/>
              <w:bidi w:val="0"/>
              <w:adjustRightInd/>
              <w:snapToGrid/>
              <w:spacing w:before="131" w:line="36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1.24对焦：自动，遥控及手动对焦可选。</w:t>
            </w:r>
          </w:p>
          <w:p>
            <w:pPr>
              <w:pStyle w:val="139"/>
              <w:keepNext w:val="0"/>
              <w:keepLines w:val="0"/>
              <w:pageBreakBefore w:val="0"/>
              <w:kinsoku/>
              <w:wordWrap/>
              <w:overflowPunct/>
              <w:topLinePunct w:val="0"/>
              <w:autoSpaceDE/>
              <w:autoSpaceDN/>
              <w:bidi w:val="0"/>
              <w:adjustRightInd/>
              <w:snapToGrid/>
              <w:spacing w:before="130" w:line="36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▲1.25</w:t>
            </w:r>
            <w:r>
              <w:rPr>
                <w:rFonts w:hint="eastAsia" w:cs="宋体"/>
                <w:bCs/>
                <w:color w:val="auto"/>
                <w:kern w:val="2"/>
                <w:sz w:val="21"/>
                <w:szCs w:val="21"/>
                <w:highlight w:val="none"/>
                <w:lang w:val="en-US" w:eastAsia="zh-CN" w:bidi="ar-SA"/>
              </w:rPr>
              <w:t>整机</w:t>
            </w:r>
            <w:r>
              <w:rPr>
                <w:rFonts w:hint="eastAsia" w:ascii="宋体" w:hAnsi="宋体" w:eastAsia="宋体" w:cs="宋体"/>
                <w:bCs/>
                <w:color w:val="auto"/>
                <w:kern w:val="2"/>
                <w:sz w:val="21"/>
                <w:szCs w:val="21"/>
                <w:highlight w:val="none"/>
                <w:lang w:val="en-US" w:eastAsia="zh-CN" w:bidi="ar-SA"/>
              </w:rPr>
              <w:t>一体化设计，便于移动及携带。外部只需配电脑就可工作。</w:t>
            </w:r>
          </w:p>
          <w:p>
            <w:pPr>
              <w:pStyle w:val="139"/>
              <w:keepNext w:val="0"/>
              <w:keepLines w:val="0"/>
              <w:pageBreakBefore w:val="0"/>
              <w:kinsoku/>
              <w:wordWrap/>
              <w:overflowPunct/>
              <w:topLinePunct w:val="0"/>
              <w:autoSpaceDE/>
              <w:autoSpaceDN/>
              <w:bidi w:val="0"/>
              <w:adjustRightInd/>
              <w:snapToGrid/>
              <w:spacing w:before="117" w:line="36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▲1.26低功耗设计，整机功耗不大于60W,系统发热量小，系统热稳定性好。可用电池供电在 外场进行长时间测试。</w:t>
            </w:r>
          </w:p>
          <w:p>
            <w:pPr>
              <w:pStyle w:val="139"/>
              <w:keepNext w:val="0"/>
              <w:keepLines w:val="0"/>
              <w:pageBreakBefore w:val="0"/>
              <w:kinsoku/>
              <w:wordWrap/>
              <w:overflowPunct/>
              <w:topLinePunct w:val="0"/>
              <w:autoSpaceDE/>
              <w:autoSpaceDN/>
              <w:bidi w:val="0"/>
              <w:adjustRightInd/>
              <w:snapToGrid/>
              <w:spacing w:before="139" w:line="36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1.27无内置风扇，无工作噪声，自然空冷，适用于消声室的应用。</w:t>
            </w:r>
          </w:p>
          <w:p>
            <w:pPr>
              <w:pStyle w:val="139"/>
              <w:keepNext w:val="0"/>
              <w:keepLines w:val="0"/>
              <w:pageBreakBefore w:val="0"/>
              <w:kinsoku/>
              <w:wordWrap/>
              <w:overflowPunct/>
              <w:topLinePunct w:val="0"/>
              <w:autoSpaceDE/>
              <w:autoSpaceDN/>
              <w:bidi w:val="0"/>
              <w:adjustRightInd/>
              <w:snapToGrid/>
              <w:spacing w:before="137" w:line="36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1.28供电要求：110-240VAC(50Hz)或12VDC</w:t>
            </w:r>
          </w:p>
          <w:p>
            <w:pPr>
              <w:pStyle w:val="139"/>
              <w:keepNext w:val="0"/>
              <w:keepLines w:val="0"/>
              <w:pageBreakBefore w:val="0"/>
              <w:kinsoku/>
              <w:wordWrap/>
              <w:overflowPunct/>
              <w:topLinePunct w:val="0"/>
              <w:autoSpaceDE/>
              <w:autoSpaceDN/>
              <w:bidi w:val="0"/>
              <w:adjustRightInd/>
              <w:snapToGrid/>
              <w:spacing w:before="93" w:line="360" w:lineRule="exact"/>
              <w:ind w:right="19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1.29外观尺寸(不含手柄):不大于450x240x180毫米(长x宽x高)</w:t>
            </w:r>
          </w:p>
          <w:p>
            <w:pPr>
              <w:pStyle w:val="139"/>
              <w:keepNext w:val="0"/>
              <w:keepLines w:val="0"/>
              <w:pageBreakBefore w:val="0"/>
              <w:kinsoku/>
              <w:wordWrap/>
              <w:overflowPunct/>
              <w:topLinePunct w:val="0"/>
              <w:autoSpaceDE/>
              <w:autoSpaceDN/>
              <w:bidi w:val="0"/>
              <w:adjustRightInd/>
              <w:snapToGrid/>
              <w:spacing w:before="93" w:line="360" w:lineRule="exact"/>
              <w:ind w:right="19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▲1.30激光测振仪整机重量(不含计算机):不大于12公斤</w:t>
            </w:r>
          </w:p>
          <w:p>
            <w:pPr>
              <w:pStyle w:val="139"/>
              <w:keepNext w:val="0"/>
              <w:keepLines w:val="0"/>
              <w:pageBreakBefore w:val="0"/>
              <w:kinsoku/>
              <w:wordWrap/>
              <w:overflowPunct/>
              <w:topLinePunct w:val="0"/>
              <w:autoSpaceDE/>
              <w:autoSpaceDN/>
              <w:bidi w:val="0"/>
              <w:adjustRightInd/>
              <w:snapToGrid/>
              <w:spacing w:before="131" w:line="360" w:lineRule="exact"/>
              <w:ind w:right="42"/>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1.31带防护镜，防止灰尘，风以及环境噪声进入机体内部影响测量。</w:t>
            </w:r>
          </w:p>
          <w:p>
            <w:pPr>
              <w:pStyle w:val="139"/>
              <w:keepNext w:val="0"/>
              <w:keepLines w:val="0"/>
              <w:pageBreakBefore w:val="0"/>
              <w:kinsoku/>
              <w:wordWrap/>
              <w:overflowPunct/>
              <w:topLinePunct w:val="0"/>
              <w:autoSpaceDE/>
              <w:autoSpaceDN/>
              <w:bidi w:val="0"/>
              <w:adjustRightInd/>
              <w:snapToGrid/>
              <w:spacing w:before="120" w:line="360" w:lineRule="exact"/>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1.32标配带包装箱，坚固耐用。</w:t>
            </w:r>
          </w:p>
          <w:p>
            <w:pPr>
              <w:pStyle w:val="139"/>
              <w:keepNext w:val="0"/>
              <w:keepLines w:val="0"/>
              <w:pageBreakBefore w:val="0"/>
              <w:kinsoku/>
              <w:wordWrap/>
              <w:overflowPunct/>
              <w:topLinePunct w:val="0"/>
              <w:autoSpaceDE/>
              <w:autoSpaceDN/>
              <w:bidi w:val="0"/>
              <w:adjustRightInd/>
              <w:snapToGrid/>
              <w:spacing w:before="143" w:line="360" w:lineRule="exact"/>
              <w:ind w:right="72"/>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1.33工作温度：0℃到40℃;存储温度：-10℃到65℃;相对湿度：最大80%,不冷凝。</w:t>
            </w:r>
          </w:p>
          <w:p>
            <w:pPr>
              <w:pStyle w:val="139"/>
              <w:keepNext w:val="0"/>
              <w:keepLines w:val="0"/>
              <w:pageBreakBefore w:val="0"/>
              <w:kinsoku/>
              <w:wordWrap/>
              <w:overflowPunct/>
              <w:topLinePunct w:val="0"/>
              <w:autoSpaceDE/>
              <w:autoSpaceDN/>
              <w:bidi w:val="0"/>
              <w:adjustRightInd/>
              <w:snapToGrid/>
              <w:spacing w:before="137" w:line="36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1.34配备高性能三脚架，带有液压云台，用于精密调节扫描激光测振仪的姿态。</w:t>
            </w:r>
          </w:p>
        </w:tc>
        <w:tc>
          <w:tcPr>
            <w:tcW w:w="81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1" w:type="dxa"/>
            <w:shd w:val="clear" w:color="auto" w:fill="auto"/>
            <w:vAlign w:val="top"/>
          </w:tcPr>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pStyle w:val="139"/>
              <w:keepNext w:val="0"/>
              <w:keepLines w:val="0"/>
              <w:pageBreakBefore w:val="0"/>
              <w:kinsoku/>
              <w:wordWrap/>
              <w:overflowPunct/>
              <w:topLinePunct w:val="0"/>
              <w:autoSpaceDE/>
              <w:autoSpaceDN/>
              <w:bidi w:val="0"/>
              <w:adjustRightInd/>
              <w:snapToGrid/>
              <w:spacing w:before="69" w:line="360" w:lineRule="exact"/>
              <w:ind w:left="324" w:leftChars="0"/>
              <w:rPr>
                <w:rFonts w:hint="eastAsia" w:ascii="宋体" w:hAnsi="宋体" w:eastAsia="宋体" w:cs="宋体"/>
                <w:color w:val="auto"/>
                <w:kern w:val="2"/>
                <w:sz w:val="21"/>
                <w:szCs w:val="21"/>
                <w:highlight w:val="none"/>
                <w:lang w:val="en-US" w:eastAsia="en-US" w:bidi="ar-SA"/>
              </w:rPr>
            </w:pPr>
            <w:r>
              <w:rPr>
                <w:color w:val="auto"/>
                <w:sz w:val="21"/>
                <w:szCs w:val="21"/>
                <w:highlight w:val="none"/>
              </w:rPr>
              <w:t>2</w:t>
            </w:r>
          </w:p>
        </w:tc>
        <w:tc>
          <w:tcPr>
            <w:tcW w:w="1183" w:type="dxa"/>
            <w:shd w:val="clear" w:color="auto" w:fill="auto"/>
            <w:vAlign w:val="top"/>
          </w:tcPr>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pStyle w:val="139"/>
              <w:keepNext w:val="0"/>
              <w:keepLines w:val="0"/>
              <w:pageBreakBefore w:val="0"/>
              <w:kinsoku/>
              <w:wordWrap/>
              <w:overflowPunct/>
              <w:topLinePunct w:val="0"/>
              <w:autoSpaceDE/>
              <w:autoSpaceDN/>
              <w:bidi w:val="0"/>
              <w:adjustRightInd/>
              <w:snapToGrid/>
              <w:spacing w:before="69" w:line="360" w:lineRule="exact"/>
              <w:rPr>
                <w:rFonts w:ascii="宋体" w:hAnsi="宋体" w:eastAsia="宋体" w:cs="宋体"/>
                <w:color w:val="auto"/>
                <w:kern w:val="2"/>
                <w:sz w:val="21"/>
                <w:szCs w:val="21"/>
                <w:highlight w:val="none"/>
                <w:lang w:val="en-US" w:eastAsia="en-US" w:bidi="ar-SA"/>
              </w:rPr>
            </w:pPr>
            <w:r>
              <w:rPr>
                <w:rFonts w:hint="eastAsia"/>
                <w:color w:val="auto"/>
                <w:spacing w:val="-2"/>
                <w:sz w:val="21"/>
                <w:szCs w:val="21"/>
                <w:highlight w:val="none"/>
                <w:lang w:val="en-US" w:eastAsia="zh-CN"/>
              </w:rPr>
              <w:t>多</w:t>
            </w:r>
            <w:r>
              <w:rPr>
                <w:color w:val="auto"/>
                <w:spacing w:val="-2"/>
                <w:sz w:val="21"/>
                <w:szCs w:val="21"/>
                <w:highlight w:val="none"/>
              </w:rPr>
              <w:t>通道</w:t>
            </w:r>
            <w:r>
              <w:rPr>
                <w:rFonts w:hint="eastAsia"/>
                <w:color w:val="auto"/>
                <w:spacing w:val="-2"/>
                <w:sz w:val="21"/>
                <w:szCs w:val="21"/>
                <w:highlight w:val="none"/>
                <w:lang w:val="en-US" w:eastAsia="zh-CN"/>
              </w:rPr>
              <w:t>采集器</w:t>
            </w:r>
          </w:p>
        </w:tc>
        <w:tc>
          <w:tcPr>
            <w:tcW w:w="750" w:type="dxa"/>
            <w:shd w:val="clear" w:color="auto" w:fill="auto"/>
            <w:vAlign w:val="top"/>
          </w:tcPr>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pStyle w:val="139"/>
              <w:keepNext w:val="0"/>
              <w:keepLines w:val="0"/>
              <w:pageBreakBefore w:val="0"/>
              <w:kinsoku/>
              <w:wordWrap/>
              <w:overflowPunct/>
              <w:topLinePunct w:val="0"/>
              <w:autoSpaceDE/>
              <w:autoSpaceDN/>
              <w:bidi w:val="0"/>
              <w:adjustRightInd/>
              <w:snapToGrid/>
              <w:spacing w:before="69" w:line="360" w:lineRule="exact"/>
              <w:ind w:left="203" w:leftChars="0"/>
              <w:rPr>
                <w:rFonts w:ascii="宋体" w:hAnsi="宋体" w:eastAsia="宋体" w:cs="宋体"/>
                <w:color w:val="auto"/>
                <w:kern w:val="2"/>
                <w:sz w:val="21"/>
                <w:szCs w:val="21"/>
                <w:highlight w:val="none"/>
                <w:lang w:val="en-US" w:eastAsia="en-US" w:bidi="ar-SA"/>
              </w:rPr>
            </w:pPr>
            <w:r>
              <w:rPr>
                <w:color w:val="auto"/>
                <w:sz w:val="21"/>
                <w:szCs w:val="21"/>
                <w:highlight w:val="none"/>
              </w:rPr>
              <w:t>套</w:t>
            </w:r>
          </w:p>
        </w:tc>
        <w:tc>
          <w:tcPr>
            <w:tcW w:w="786" w:type="dxa"/>
            <w:shd w:val="clear" w:color="auto" w:fill="auto"/>
            <w:vAlign w:val="top"/>
          </w:tcPr>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pStyle w:val="139"/>
              <w:keepNext w:val="0"/>
              <w:keepLines w:val="0"/>
              <w:pageBreakBefore w:val="0"/>
              <w:kinsoku/>
              <w:wordWrap/>
              <w:overflowPunct/>
              <w:topLinePunct w:val="0"/>
              <w:autoSpaceDE/>
              <w:autoSpaceDN/>
              <w:bidi w:val="0"/>
              <w:adjustRightInd/>
              <w:snapToGrid/>
              <w:spacing w:before="69" w:line="360" w:lineRule="exact"/>
              <w:ind w:left="244" w:leftChars="0"/>
              <w:rPr>
                <w:rFonts w:ascii="宋体" w:hAnsi="宋体" w:eastAsia="宋体" w:cs="宋体"/>
                <w:color w:val="auto"/>
                <w:kern w:val="2"/>
                <w:sz w:val="21"/>
                <w:szCs w:val="21"/>
                <w:highlight w:val="none"/>
                <w:lang w:val="en-US" w:eastAsia="en-US" w:bidi="ar-SA"/>
              </w:rPr>
            </w:pPr>
            <w:r>
              <w:rPr>
                <w:color w:val="auto"/>
                <w:sz w:val="21"/>
                <w:szCs w:val="21"/>
                <w:highlight w:val="none"/>
              </w:rPr>
              <w:t>1</w:t>
            </w:r>
          </w:p>
        </w:tc>
        <w:tc>
          <w:tcPr>
            <w:tcW w:w="5564" w:type="dxa"/>
            <w:shd w:val="clear" w:color="auto" w:fill="auto"/>
            <w:vAlign w:val="top"/>
          </w:tcPr>
          <w:p>
            <w:pPr>
              <w:pStyle w:val="139"/>
              <w:keepNext w:val="0"/>
              <w:keepLines w:val="0"/>
              <w:pageBreakBefore w:val="0"/>
              <w:kinsoku/>
              <w:wordWrap/>
              <w:overflowPunct/>
              <w:topLinePunct w:val="0"/>
              <w:autoSpaceDE/>
              <w:autoSpaceDN/>
              <w:bidi w:val="0"/>
              <w:adjustRightInd/>
              <w:snapToGrid/>
              <w:spacing w:before="100" w:line="360" w:lineRule="exact"/>
              <w:ind w:right="87"/>
              <w:rPr>
                <w:rFonts w:hint="eastAsia"/>
                <w:bCs/>
                <w:color w:val="auto"/>
                <w:sz w:val="21"/>
                <w:szCs w:val="21"/>
                <w:highlight w:val="none"/>
                <w:lang w:eastAsia="zh-CN"/>
              </w:rPr>
            </w:pPr>
            <w:r>
              <w:rPr>
                <w:rFonts w:hint="eastAsia"/>
                <w:bCs/>
                <w:color w:val="auto"/>
                <w:sz w:val="21"/>
                <w:szCs w:val="21"/>
                <w:highlight w:val="none"/>
                <w:lang w:eastAsia="zh-CN"/>
              </w:rPr>
              <w:t>▲2.1具备至少8通道桥路 / ICP / 电压输入（每通道均兼容3种信号输入方式），并支持TEDS。</w:t>
            </w:r>
          </w:p>
          <w:p>
            <w:pPr>
              <w:pStyle w:val="139"/>
              <w:keepNext w:val="0"/>
              <w:keepLines w:val="0"/>
              <w:pageBreakBefore w:val="0"/>
              <w:kinsoku/>
              <w:wordWrap/>
              <w:overflowPunct/>
              <w:topLinePunct w:val="0"/>
              <w:autoSpaceDE/>
              <w:autoSpaceDN/>
              <w:bidi w:val="0"/>
              <w:adjustRightInd/>
              <w:snapToGrid/>
              <w:spacing w:before="100" w:line="360" w:lineRule="exact"/>
              <w:ind w:right="87"/>
              <w:rPr>
                <w:rFonts w:hint="eastAsia"/>
                <w:bCs/>
                <w:color w:val="auto"/>
                <w:sz w:val="21"/>
                <w:szCs w:val="21"/>
                <w:highlight w:val="none"/>
                <w:lang w:eastAsia="zh-CN"/>
              </w:rPr>
            </w:pPr>
            <w:r>
              <w:rPr>
                <w:rFonts w:hint="eastAsia"/>
                <w:bCs/>
                <w:color w:val="auto"/>
                <w:sz w:val="21"/>
                <w:szCs w:val="21"/>
                <w:highlight w:val="none"/>
                <w:lang w:eastAsia="zh-CN"/>
              </w:rPr>
              <w:t>▲2.2支持固定采样、阶次跟踪、倍频程滤波和角度域分析功能；最大采样率≥204.8KHz；最大分析带宽≥88kHz；总体动态范围≥170dB。</w:t>
            </w:r>
          </w:p>
          <w:p>
            <w:pPr>
              <w:pStyle w:val="139"/>
              <w:keepNext w:val="0"/>
              <w:keepLines w:val="0"/>
              <w:pageBreakBefore w:val="0"/>
              <w:kinsoku/>
              <w:wordWrap/>
              <w:overflowPunct/>
              <w:topLinePunct w:val="0"/>
              <w:autoSpaceDE/>
              <w:autoSpaceDN/>
              <w:bidi w:val="0"/>
              <w:adjustRightInd/>
              <w:snapToGrid/>
              <w:spacing w:before="100" w:line="360" w:lineRule="exact"/>
              <w:ind w:right="87"/>
              <w:rPr>
                <w:rFonts w:hint="eastAsia"/>
                <w:bCs/>
                <w:color w:val="auto"/>
                <w:sz w:val="21"/>
                <w:szCs w:val="21"/>
                <w:highlight w:val="none"/>
                <w:lang w:eastAsia="zh-CN"/>
              </w:rPr>
            </w:pPr>
            <w:r>
              <w:rPr>
                <w:rFonts w:hint="eastAsia"/>
                <w:bCs/>
                <w:color w:val="auto"/>
                <w:sz w:val="21"/>
                <w:szCs w:val="21"/>
                <w:highlight w:val="none"/>
                <w:lang w:eastAsia="zh-CN"/>
              </w:rPr>
              <w:t>2.3 24 位A/D转换；</w:t>
            </w:r>
          </w:p>
          <w:p>
            <w:pPr>
              <w:pStyle w:val="139"/>
              <w:keepNext w:val="0"/>
              <w:keepLines w:val="0"/>
              <w:pageBreakBefore w:val="0"/>
              <w:kinsoku/>
              <w:wordWrap/>
              <w:overflowPunct/>
              <w:topLinePunct w:val="0"/>
              <w:autoSpaceDE/>
              <w:autoSpaceDN/>
              <w:bidi w:val="0"/>
              <w:adjustRightInd/>
              <w:snapToGrid/>
              <w:spacing w:before="100" w:line="360" w:lineRule="exact"/>
              <w:ind w:right="87"/>
              <w:rPr>
                <w:rFonts w:hint="eastAsia"/>
                <w:bCs/>
                <w:color w:val="auto"/>
                <w:sz w:val="21"/>
                <w:szCs w:val="21"/>
                <w:highlight w:val="none"/>
                <w:lang w:eastAsia="zh-CN"/>
              </w:rPr>
            </w:pPr>
            <w:r>
              <w:rPr>
                <w:rFonts w:hint="eastAsia"/>
                <w:bCs/>
                <w:color w:val="auto"/>
                <w:sz w:val="21"/>
                <w:szCs w:val="21"/>
                <w:highlight w:val="none"/>
                <w:lang w:eastAsia="zh-CN"/>
              </w:rPr>
              <w:t>▲2.4 输入模式至少包含电压，ICP，桥路（AC或DC激励），有源传感器，LVDT，变送器，电位计；</w:t>
            </w:r>
          </w:p>
          <w:p>
            <w:pPr>
              <w:pStyle w:val="139"/>
              <w:keepNext w:val="0"/>
              <w:keepLines w:val="0"/>
              <w:pageBreakBefore w:val="0"/>
              <w:kinsoku/>
              <w:wordWrap/>
              <w:overflowPunct/>
              <w:topLinePunct w:val="0"/>
              <w:autoSpaceDE/>
              <w:autoSpaceDN/>
              <w:bidi w:val="0"/>
              <w:adjustRightInd/>
              <w:snapToGrid/>
              <w:spacing w:before="100" w:line="360" w:lineRule="exact"/>
              <w:ind w:right="87"/>
              <w:rPr>
                <w:rFonts w:hint="eastAsia"/>
                <w:bCs/>
                <w:color w:val="auto"/>
                <w:sz w:val="21"/>
                <w:szCs w:val="21"/>
                <w:highlight w:val="none"/>
                <w:lang w:eastAsia="zh-CN"/>
              </w:rPr>
            </w:pPr>
            <w:r>
              <w:rPr>
                <w:rFonts w:hint="eastAsia"/>
                <w:bCs/>
                <w:color w:val="auto"/>
                <w:sz w:val="21"/>
                <w:szCs w:val="21"/>
                <w:highlight w:val="none"/>
                <w:lang w:eastAsia="zh-CN"/>
              </w:rPr>
              <w:t>2.5 电压输入范围：±31.6mV 到±10V（桥路）；±10V（ICP）；</w:t>
            </w:r>
          </w:p>
          <w:p>
            <w:pPr>
              <w:pStyle w:val="139"/>
              <w:keepNext w:val="0"/>
              <w:keepLines w:val="0"/>
              <w:pageBreakBefore w:val="0"/>
              <w:kinsoku/>
              <w:wordWrap/>
              <w:overflowPunct/>
              <w:topLinePunct w:val="0"/>
              <w:autoSpaceDE/>
              <w:autoSpaceDN/>
              <w:bidi w:val="0"/>
              <w:adjustRightInd/>
              <w:snapToGrid/>
              <w:spacing w:before="100" w:line="360" w:lineRule="exact"/>
              <w:ind w:right="87"/>
              <w:rPr>
                <w:rFonts w:hint="eastAsia"/>
                <w:bCs/>
                <w:color w:val="auto"/>
                <w:sz w:val="21"/>
                <w:szCs w:val="21"/>
                <w:highlight w:val="none"/>
                <w:lang w:eastAsia="zh-CN"/>
              </w:rPr>
            </w:pPr>
            <w:r>
              <w:rPr>
                <w:rFonts w:hint="eastAsia"/>
                <w:bCs/>
                <w:color w:val="auto"/>
                <w:sz w:val="21"/>
                <w:szCs w:val="21"/>
                <w:highlight w:val="none"/>
                <w:lang w:eastAsia="zh-CN"/>
              </w:rPr>
              <w:t>2.6 共模抑制（60Hz）：80dB@10V；100dB@1V；110dB@≤100mV；</w:t>
            </w:r>
          </w:p>
          <w:p>
            <w:pPr>
              <w:pStyle w:val="139"/>
              <w:keepNext w:val="0"/>
              <w:keepLines w:val="0"/>
              <w:pageBreakBefore w:val="0"/>
              <w:kinsoku/>
              <w:wordWrap/>
              <w:overflowPunct/>
              <w:topLinePunct w:val="0"/>
              <w:autoSpaceDE/>
              <w:autoSpaceDN/>
              <w:bidi w:val="0"/>
              <w:adjustRightInd/>
              <w:snapToGrid/>
              <w:spacing w:before="100" w:line="360" w:lineRule="exact"/>
              <w:ind w:right="87"/>
              <w:rPr>
                <w:rFonts w:hint="eastAsia"/>
                <w:bCs/>
                <w:color w:val="auto"/>
                <w:sz w:val="21"/>
                <w:szCs w:val="21"/>
                <w:highlight w:val="none"/>
                <w:lang w:eastAsia="zh-CN"/>
              </w:rPr>
            </w:pPr>
            <w:r>
              <w:rPr>
                <w:rFonts w:hint="eastAsia"/>
                <w:bCs/>
                <w:color w:val="auto"/>
                <w:sz w:val="21"/>
                <w:szCs w:val="21"/>
                <w:highlight w:val="none"/>
                <w:lang w:eastAsia="zh-CN"/>
              </w:rPr>
              <w:t>2.7 输入幅值精度≤0.2% @ 1kHz；</w:t>
            </w:r>
          </w:p>
          <w:p>
            <w:pPr>
              <w:pStyle w:val="139"/>
              <w:keepNext w:val="0"/>
              <w:keepLines w:val="0"/>
              <w:pageBreakBefore w:val="0"/>
              <w:kinsoku/>
              <w:wordWrap/>
              <w:overflowPunct/>
              <w:topLinePunct w:val="0"/>
              <w:autoSpaceDE/>
              <w:autoSpaceDN/>
              <w:bidi w:val="0"/>
              <w:adjustRightInd/>
              <w:snapToGrid/>
              <w:spacing w:before="100" w:line="360" w:lineRule="exact"/>
              <w:ind w:right="87"/>
              <w:rPr>
                <w:rFonts w:hint="eastAsia"/>
                <w:bCs/>
                <w:color w:val="auto"/>
                <w:sz w:val="21"/>
                <w:szCs w:val="21"/>
                <w:highlight w:val="none"/>
                <w:lang w:eastAsia="zh-CN"/>
              </w:rPr>
            </w:pPr>
            <w:r>
              <w:rPr>
                <w:rFonts w:hint="eastAsia"/>
                <w:bCs/>
                <w:color w:val="auto"/>
                <w:sz w:val="21"/>
                <w:szCs w:val="21"/>
                <w:highlight w:val="none"/>
                <w:lang w:eastAsia="zh-CN"/>
              </w:rPr>
              <w:t>2.8 相位匹配≤0.2°@1kHz；</w:t>
            </w:r>
          </w:p>
          <w:p>
            <w:pPr>
              <w:pStyle w:val="139"/>
              <w:keepNext w:val="0"/>
              <w:keepLines w:val="0"/>
              <w:pageBreakBefore w:val="0"/>
              <w:kinsoku/>
              <w:wordWrap/>
              <w:overflowPunct/>
              <w:topLinePunct w:val="0"/>
              <w:autoSpaceDE/>
              <w:autoSpaceDN/>
              <w:bidi w:val="0"/>
              <w:adjustRightInd/>
              <w:snapToGrid/>
              <w:spacing w:before="100" w:line="360" w:lineRule="exact"/>
              <w:ind w:right="87"/>
              <w:rPr>
                <w:rFonts w:hint="eastAsia"/>
                <w:bCs/>
                <w:color w:val="auto"/>
                <w:sz w:val="21"/>
                <w:szCs w:val="21"/>
                <w:highlight w:val="none"/>
                <w:lang w:eastAsia="zh-CN"/>
              </w:rPr>
            </w:pPr>
            <w:r>
              <w:rPr>
                <w:rFonts w:hint="eastAsia"/>
                <w:bCs/>
                <w:color w:val="auto"/>
                <w:sz w:val="21"/>
                <w:szCs w:val="21"/>
                <w:highlight w:val="none"/>
                <w:lang w:eastAsia="zh-CN"/>
              </w:rPr>
              <w:t>2.9 任意通道间抗串扰≤-120dB；</w:t>
            </w:r>
          </w:p>
          <w:p>
            <w:pPr>
              <w:pStyle w:val="139"/>
              <w:keepNext w:val="0"/>
              <w:keepLines w:val="0"/>
              <w:pageBreakBefore w:val="0"/>
              <w:kinsoku/>
              <w:wordWrap/>
              <w:overflowPunct/>
              <w:topLinePunct w:val="0"/>
              <w:autoSpaceDE/>
              <w:autoSpaceDN/>
              <w:bidi w:val="0"/>
              <w:adjustRightInd/>
              <w:snapToGrid/>
              <w:spacing w:before="100" w:line="360" w:lineRule="exact"/>
              <w:ind w:right="87"/>
              <w:rPr>
                <w:rFonts w:hint="eastAsia"/>
                <w:bCs/>
                <w:color w:val="auto"/>
                <w:sz w:val="21"/>
                <w:szCs w:val="21"/>
                <w:highlight w:val="none"/>
                <w:lang w:eastAsia="zh-CN"/>
              </w:rPr>
            </w:pPr>
            <w:r>
              <w:rPr>
                <w:rFonts w:hint="eastAsia"/>
                <w:bCs/>
                <w:color w:val="auto"/>
                <w:sz w:val="21"/>
                <w:szCs w:val="21"/>
                <w:highlight w:val="none"/>
                <w:lang w:eastAsia="zh-CN"/>
              </w:rPr>
              <w:t>2.10 无杂波本底噪音≤-150dB（10V量程）；</w:t>
            </w:r>
          </w:p>
          <w:p>
            <w:pPr>
              <w:pStyle w:val="139"/>
              <w:keepNext w:val="0"/>
              <w:keepLines w:val="0"/>
              <w:pageBreakBefore w:val="0"/>
              <w:kinsoku/>
              <w:wordWrap/>
              <w:overflowPunct/>
              <w:topLinePunct w:val="0"/>
              <w:autoSpaceDE/>
              <w:autoSpaceDN/>
              <w:bidi w:val="0"/>
              <w:adjustRightInd/>
              <w:snapToGrid/>
              <w:spacing w:before="100" w:line="360" w:lineRule="exact"/>
              <w:ind w:right="87"/>
              <w:rPr>
                <w:rFonts w:hint="eastAsia"/>
                <w:bCs/>
                <w:color w:val="auto"/>
                <w:sz w:val="21"/>
                <w:szCs w:val="21"/>
                <w:highlight w:val="none"/>
                <w:lang w:eastAsia="zh-CN"/>
              </w:rPr>
            </w:pPr>
            <w:r>
              <w:rPr>
                <w:rFonts w:hint="eastAsia"/>
                <w:bCs/>
                <w:color w:val="auto"/>
                <w:sz w:val="21"/>
                <w:szCs w:val="21"/>
                <w:highlight w:val="none"/>
                <w:lang w:eastAsia="zh-CN"/>
              </w:rPr>
              <w:t>2.11 接口：7芯Lemo接口，保证线缆连接的稳定可靠性；</w:t>
            </w:r>
          </w:p>
          <w:p>
            <w:pPr>
              <w:pStyle w:val="139"/>
              <w:keepNext w:val="0"/>
              <w:keepLines w:val="0"/>
              <w:pageBreakBefore w:val="0"/>
              <w:kinsoku/>
              <w:wordWrap/>
              <w:overflowPunct/>
              <w:topLinePunct w:val="0"/>
              <w:autoSpaceDE/>
              <w:autoSpaceDN/>
              <w:bidi w:val="0"/>
              <w:adjustRightInd/>
              <w:snapToGrid/>
              <w:spacing w:before="100" w:line="360" w:lineRule="exact"/>
              <w:ind w:right="87"/>
              <w:rPr>
                <w:rFonts w:hint="eastAsia"/>
                <w:bCs/>
                <w:color w:val="auto"/>
                <w:sz w:val="21"/>
                <w:szCs w:val="21"/>
                <w:highlight w:val="none"/>
                <w:lang w:eastAsia="zh-CN"/>
              </w:rPr>
            </w:pPr>
            <w:r>
              <w:rPr>
                <w:rFonts w:hint="eastAsia"/>
                <w:bCs/>
                <w:color w:val="auto"/>
                <w:sz w:val="21"/>
                <w:szCs w:val="21"/>
                <w:highlight w:val="none"/>
                <w:lang w:eastAsia="zh-CN"/>
              </w:rPr>
              <w:t>▲2.12 每通道均有模拟和数字抗混淆滤波器和信号增益放大，软件控制；</w:t>
            </w:r>
          </w:p>
          <w:p>
            <w:pPr>
              <w:pStyle w:val="139"/>
              <w:keepNext w:val="0"/>
              <w:keepLines w:val="0"/>
              <w:pageBreakBefore w:val="0"/>
              <w:kinsoku/>
              <w:wordWrap/>
              <w:overflowPunct/>
              <w:topLinePunct w:val="0"/>
              <w:autoSpaceDE/>
              <w:autoSpaceDN/>
              <w:bidi w:val="0"/>
              <w:adjustRightInd/>
              <w:snapToGrid/>
              <w:spacing w:before="100" w:line="360" w:lineRule="exact"/>
              <w:ind w:right="87"/>
              <w:rPr>
                <w:rFonts w:hint="eastAsia"/>
                <w:bCs/>
                <w:color w:val="auto"/>
                <w:sz w:val="21"/>
                <w:szCs w:val="21"/>
                <w:highlight w:val="none"/>
                <w:lang w:eastAsia="zh-CN"/>
              </w:rPr>
            </w:pPr>
            <w:r>
              <w:rPr>
                <w:rFonts w:hint="eastAsia"/>
                <w:bCs/>
                <w:color w:val="auto"/>
                <w:sz w:val="21"/>
                <w:szCs w:val="21"/>
                <w:highlight w:val="none"/>
                <w:lang w:eastAsia="zh-CN"/>
              </w:rPr>
              <w:t>2.13 DC桥路信号调理功能支持桥路类型：全桥，半桥及1/4桥，120Ω或350Ω 补偿电阻；</w:t>
            </w:r>
          </w:p>
          <w:p>
            <w:pPr>
              <w:pStyle w:val="139"/>
              <w:keepNext w:val="0"/>
              <w:keepLines w:val="0"/>
              <w:pageBreakBefore w:val="0"/>
              <w:kinsoku/>
              <w:wordWrap/>
              <w:overflowPunct/>
              <w:topLinePunct w:val="0"/>
              <w:autoSpaceDE/>
              <w:autoSpaceDN/>
              <w:bidi w:val="0"/>
              <w:adjustRightInd/>
              <w:snapToGrid/>
              <w:spacing w:before="100" w:line="360" w:lineRule="exact"/>
              <w:ind w:right="87"/>
              <w:rPr>
                <w:rFonts w:hint="eastAsia"/>
                <w:bCs/>
                <w:color w:val="auto"/>
                <w:sz w:val="21"/>
                <w:szCs w:val="21"/>
                <w:highlight w:val="none"/>
                <w:lang w:eastAsia="zh-CN"/>
              </w:rPr>
            </w:pPr>
            <w:r>
              <w:rPr>
                <w:rFonts w:hint="eastAsia"/>
                <w:bCs/>
                <w:color w:val="auto"/>
                <w:sz w:val="21"/>
                <w:szCs w:val="21"/>
                <w:highlight w:val="none"/>
                <w:lang w:eastAsia="zh-CN"/>
              </w:rPr>
              <w:t>2.14 AC桥路信号调理功能支持桥路类型：全桥，半桥及1/4桥，电感半桥，AC-LVDT；</w:t>
            </w:r>
          </w:p>
          <w:p>
            <w:pPr>
              <w:pStyle w:val="139"/>
              <w:keepNext w:val="0"/>
              <w:keepLines w:val="0"/>
              <w:pageBreakBefore w:val="0"/>
              <w:kinsoku/>
              <w:wordWrap/>
              <w:overflowPunct/>
              <w:topLinePunct w:val="0"/>
              <w:autoSpaceDE/>
              <w:autoSpaceDN/>
              <w:bidi w:val="0"/>
              <w:adjustRightInd/>
              <w:snapToGrid/>
              <w:spacing w:before="100" w:line="360" w:lineRule="exact"/>
              <w:ind w:right="87"/>
              <w:rPr>
                <w:rFonts w:hint="eastAsia"/>
                <w:bCs/>
                <w:color w:val="auto"/>
                <w:sz w:val="21"/>
                <w:szCs w:val="21"/>
                <w:highlight w:val="none"/>
                <w:lang w:eastAsia="zh-CN"/>
              </w:rPr>
            </w:pPr>
            <w:r>
              <w:rPr>
                <w:rFonts w:hint="eastAsia"/>
                <w:bCs/>
                <w:color w:val="auto"/>
                <w:sz w:val="21"/>
                <w:szCs w:val="21"/>
                <w:highlight w:val="none"/>
                <w:lang w:eastAsia="zh-CN"/>
              </w:rPr>
              <w:t>▲2.15测量过程中，具备信号过载检查及LED信号灯指示；检查每通道ICP传感器和电缆连接是否正常，并用LED信号灯指示</w:t>
            </w:r>
          </w:p>
          <w:p>
            <w:pPr>
              <w:pStyle w:val="139"/>
              <w:keepNext w:val="0"/>
              <w:keepLines w:val="0"/>
              <w:pageBreakBefore w:val="0"/>
              <w:kinsoku/>
              <w:wordWrap/>
              <w:overflowPunct/>
              <w:topLinePunct w:val="0"/>
              <w:autoSpaceDE/>
              <w:autoSpaceDN/>
              <w:bidi w:val="0"/>
              <w:adjustRightInd/>
              <w:snapToGrid/>
              <w:spacing w:before="140" w:line="360" w:lineRule="exact"/>
              <w:ind w:right="89" w:rightChars="0"/>
              <w:rPr>
                <w:rFonts w:hint="eastAsia" w:ascii="宋体" w:hAnsi="宋体" w:eastAsia="宋体" w:cs="宋体"/>
                <w:bCs/>
                <w:color w:val="auto"/>
                <w:kern w:val="2"/>
                <w:sz w:val="21"/>
                <w:szCs w:val="21"/>
                <w:highlight w:val="none"/>
                <w:lang w:val="en-US" w:eastAsia="en-US" w:bidi="ar-SA"/>
              </w:rPr>
            </w:pPr>
            <w:r>
              <w:rPr>
                <w:rFonts w:hint="eastAsia"/>
                <w:bCs/>
                <w:color w:val="auto"/>
                <w:sz w:val="21"/>
                <w:szCs w:val="21"/>
                <w:highlight w:val="none"/>
                <w:lang w:eastAsia="zh-CN"/>
              </w:rPr>
              <w:t>▲2.16 为提高设备的效能，</w:t>
            </w:r>
            <w:r>
              <w:rPr>
                <w:rFonts w:hint="eastAsia"/>
                <w:bCs/>
                <w:color w:val="auto"/>
                <w:sz w:val="21"/>
                <w:szCs w:val="21"/>
                <w:highlight w:val="none"/>
                <w:lang w:val="en-US" w:eastAsia="zh-CN"/>
              </w:rPr>
              <w:t>多</w:t>
            </w:r>
            <w:r>
              <w:rPr>
                <w:rFonts w:hint="eastAsia"/>
                <w:bCs/>
                <w:color w:val="auto"/>
                <w:sz w:val="21"/>
                <w:szCs w:val="21"/>
                <w:highlight w:val="none"/>
                <w:lang w:eastAsia="zh-CN"/>
              </w:rPr>
              <w:t>通道</w:t>
            </w:r>
            <w:r>
              <w:rPr>
                <w:rFonts w:hint="eastAsia"/>
                <w:bCs/>
                <w:color w:val="auto"/>
                <w:sz w:val="21"/>
                <w:szCs w:val="21"/>
                <w:highlight w:val="none"/>
                <w:lang w:val="en-US" w:eastAsia="zh-CN"/>
              </w:rPr>
              <w:t>采集器</w:t>
            </w:r>
            <w:r>
              <w:rPr>
                <w:rFonts w:hint="eastAsia"/>
                <w:bCs/>
                <w:color w:val="auto"/>
                <w:sz w:val="21"/>
                <w:szCs w:val="21"/>
                <w:highlight w:val="none"/>
                <w:lang w:eastAsia="zh-CN"/>
              </w:rPr>
              <w:t>需与我单位的LMS 机箱实现联调。</w:t>
            </w:r>
          </w:p>
        </w:tc>
        <w:tc>
          <w:tcPr>
            <w:tcW w:w="81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1" w:type="dxa"/>
            <w:shd w:val="clear" w:color="auto" w:fill="auto"/>
            <w:vAlign w:val="top"/>
          </w:tcPr>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pStyle w:val="139"/>
              <w:keepNext w:val="0"/>
              <w:keepLines w:val="0"/>
              <w:pageBreakBefore w:val="0"/>
              <w:kinsoku/>
              <w:wordWrap/>
              <w:overflowPunct/>
              <w:topLinePunct w:val="0"/>
              <w:autoSpaceDE/>
              <w:autoSpaceDN/>
              <w:bidi w:val="0"/>
              <w:adjustRightInd/>
              <w:snapToGrid/>
              <w:spacing w:before="69" w:line="360" w:lineRule="exact"/>
              <w:ind w:left="305" w:leftChars="0"/>
              <w:rPr>
                <w:rFonts w:ascii="宋体" w:hAnsi="宋体" w:eastAsia="宋体" w:cs="宋体"/>
                <w:color w:val="auto"/>
                <w:kern w:val="2"/>
                <w:sz w:val="21"/>
                <w:szCs w:val="21"/>
                <w:highlight w:val="none"/>
                <w:lang w:val="en-US" w:eastAsia="en-US" w:bidi="ar-SA"/>
              </w:rPr>
            </w:pPr>
            <w:r>
              <w:rPr>
                <w:color w:val="auto"/>
                <w:sz w:val="21"/>
                <w:szCs w:val="21"/>
                <w:highlight w:val="none"/>
              </w:rPr>
              <w:t>3</w:t>
            </w:r>
          </w:p>
        </w:tc>
        <w:tc>
          <w:tcPr>
            <w:tcW w:w="1183" w:type="dxa"/>
            <w:shd w:val="clear" w:color="auto" w:fill="auto"/>
            <w:vAlign w:val="top"/>
          </w:tcPr>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pStyle w:val="139"/>
              <w:keepNext w:val="0"/>
              <w:keepLines w:val="0"/>
              <w:pageBreakBefore w:val="0"/>
              <w:kinsoku/>
              <w:wordWrap/>
              <w:overflowPunct/>
              <w:topLinePunct w:val="0"/>
              <w:autoSpaceDE/>
              <w:autoSpaceDN/>
              <w:bidi w:val="0"/>
              <w:adjustRightInd/>
              <w:snapToGrid/>
              <w:spacing w:before="68" w:line="360" w:lineRule="exact"/>
              <w:ind w:right="114" w:rightChars="0"/>
              <w:rPr>
                <w:rFonts w:ascii="宋体" w:hAnsi="宋体" w:eastAsia="宋体" w:cs="宋体"/>
                <w:color w:val="auto"/>
                <w:kern w:val="2"/>
                <w:sz w:val="21"/>
                <w:szCs w:val="21"/>
                <w:highlight w:val="none"/>
                <w:lang w:val="en-US" w:eastAsia="en-US" w:bidi="ar-SA"/>
              </w:rPr>
            </w:pPr>
            <w:r>
              <w:rPr>
                <w:color w:val="auto"/>
                <w:spacing w:val="-2"/>
                <w:sz w:val="21"/>
                <w:szCs w:val="21"/>
                <w:highlight w:val="none"/>
              </w:rPr>
              <w:t>激光测振仪分</w:t>
            </w:r>
            <w:r>
              <w:rPr>
                <w:color w:val="auto"/>
                <w:spacing w:val="-3"/>
                <w:sz w:val="21"/>
                <w:szCs w:val="21"/>
                <w:highlight w:val="none"/>
              </w:rPr>
              <w:t>析</w:t>
            </w:r>
            <w:r>
              <w:rPr>
                <w:rFonts w:hint="eastAsia"/>
                <w:color w:val="auto"/>
                <w:spacing w:val="-3"/>
                <w:sz w:val="21"/>
                <w:szCs w:val="21"/>
                <w:highlight w:val="none"/>
                <w:lang w:val="en-US" w:eastAsia="zh-CN"/>
              </w:rPr>
              <w:t>及仿真</w:t>
            </w:r>
            <w:r>
              <w:rPr>
                <w:color w:val="auto"/>
                <w:spacing w:val="-3"/>
                <w:sz w:val="21"/>
                <w:szCs w:val="21"/>
                <w:highlight w:val="none"/>
              </w:rPr>
              <w:t>软件</w:t>
            </w:r>
          </w:p>
        </w:tc>
        <w:tc>
          <w:tcPr>
            <w:tcW w:w="750" w:type="dxa"/>
            <w:shd w:val="clear" w:color="auto" w:fill="auto"/>
            <w:vAlign w:val="top"/>
          </w:tcPr>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pStyle w:val="139"/>
              <w:keepNext w:val="0"/>
              <w:keepLines w:val="0"/>
              <w:pageBreakBefore w:val="0"/>
              <w:kinsoku/>
              <w:wordWrap/>
              <w:overflowPunct/>
              <w:topLinePunct w:val="0"/>
              <w:autoSpaceDE/>
              <w:autoSpaceDN/>
              <w:bidi w:val="0"/>
              <w:adjustRightInd/>
              <w:snapToGrid/>
              <w:spacing w:before="68" w:line="360" w:lineRule="exact"/>
              <w:ind w:left="192" w:leftChars="0"/>
              <w:rPr>
                <w:color w:val="auto"/>
                <w:sz w:val="21"/>
                <w:szCs w:val="21"/>
                <w:highlight w:val="none"/>
              </w:rPr>
            </w:pPr>
          </w:p>
          <w:p>
            <w:pPr>
              <w:pStyle w:val="139"/>
              <w:keepNext w:val="0"/>
              <w:keepLines w:val="0"/>
              <w:pageBreakBefore w:val="0"/>
              <w:kinsoku/>
              <w:wordWrap/>
              <w:overflowPunct/>
              <w:topLinePunct w:val="0"/>
              <w:autoSpaceDE/>
              <w:autoSpaceDN/>
              <w:bidi w:val="0"/>
              <w:adjustRightInd/>
              <w:snapToGrid/>
              <w:spacing w:before="68" w:line="360" w:lineRule="exact"/>
              <w:ind w:left="192" w:leftChars="0"/>
              <w:rPr>
                <w:rFonts w:ascii="宋体" w:hAnsi="宋体" w:eastAsia="宋体" w:cs="宋体"/>
                <w:color w:val="auto"/>
                <w:kern w:val="2"/>
                <w:sz w:val="21"/>
                <w:szCs w:val="21"/>
                <w:highlight w:val="none"/>
                <w:lang w:val="en-US" w:eastAsia="en-US" w:bidi="ar-SA"/>
              </w:rPr>
            </w:pPr>
            <w:r>
              <w:rPr>
                <w:color w:val="auto"/>
                <w:sz w:val="21"/>
                <w:szCs w:val="21"/>
                <w:highlight w:val="none"/>
              </w:rPr>
              <w:t>套</w:t>
            </w:r>
          </w:p>
        </w:tc>
        <w:tc>
          <w:tcPr>
            <w:tcW w:w="786" w:type="dxa"/>
            <w:shd w:val="clear" w:color="auto" w:fill="auto"/>
            <w:vAlign w:val="top"/>
          </w:tcPr>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exact"/>
              <w:rPr>
                <w:rFonts w:ascii="Arial"/>
                <w:color w:val="auto"/>
                <w:sz w:val="21"/>
                <w:szCs w:val="21"/>
                <w:highlight w:val="none"/>
              </w:rPr>
            </w:pPr>
          </w:p>
          <w:p>
            <w:pPr>
              <w:pStyle w:val="139"/>
              <w:keepNext w:val="0"/>
              <w:keepLines w:val="0"/>
              <w:pageBreakBefore w:val="0"/>
              <w:kinsoku/>
              <w:wordWrap/>
              <w:overflowPunct/>
              <w:topLinePunct w:val="0"/>
              <w:autoSpaceDE/>
              <w:autoSpaceDN/>
              <w:bidi w:val="0"/>
              <w:adjustRightInd/>
              <w:snapToGrid/>
              <w:spacing w:before="68" w:line="360" w:lineRule="exact"/>
              <w:ind w:left="243" w:leftChars="0"/>
              <w:rPr>
                <w:rFonts w:ascii="宋体" w:hAnsi="宋体" w:eastAsia="宋体" w:cs="宋体"/>
                <w:color w:val="auto"/>
                <w:kern w:val="2"/>
                <w:sz w:val="21"/>
                <w:szCs w:val="21"/>
                <w:highlight w:val="none"/>
                <w:lang w:val="en-US" w:eastAsia="en-US" w:bidi="ar-SA"/>
              </w:rPr>
            </w:pPr>
            <w:r>
              <w:rPr>
                <w:color w:val="auto"/>
                <w:sz w:val="21"/>
                <w:szCs w:val="21"/>
                <w:highlight w:val="none"/>
              </w:rPr>
              <w:t>1</w:t>
            </w:r>
          </w:p>
        </w:tc>
        <w:tc>
          <w:tcPr>
            <w:tcW w:w="5564" w:type="dxa"/>
            <w:shd w:val="clear" w:color="auto" w:fill="auto"/>
            <w:vAlign w:val="top"/>
          </w:tcPr>
          <w:p>
            <w:pPr>
              <w:pStyle w:val="139"/>
              <w:keepNext w:val="0"/>
              <w:keepLines w:val="0"/>
              <w:pageBreakBefore w:val="0"/>
              <w:kinsoku/>
              <w:wordWrap/>
              <w:overflowPunct/>
              <w:topLinePunct w:val="0"/>
              <w:autoSpaceDE/>
              <w:autoSpaceDN/>
              <w:bidi w:val="0"/>
              <w:adjustRightInd/>
              <w:snapToGrid/>
              <w:spacing w:before="152" w:line="360" w:lineRule="exact"/>
              <w:ind w:right="133"/>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w:t>
            </w:r>
            <w:r>
              <w:rPr>
                <w:rFonts w:hint="eastAsia"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.1测试分析软件必须与数采前端设备为同一制造商，动态信号采集和分析必须为同一软件平台，无需任何数据导入/导出和转换即可对试验数据进行分析，软件授权使用期限为永久授权；</w:t>
            </w:r>
          </w:p>
          <w:p>
            <w:pPr>
              <w:pStyle w:val="139"/>
              <w:keepNext w:val="0"/>
              <w:keepLines w:val="0"/>
              <w:pageBreakBefore w:val="0"/>
              <w:kinsoku/>
              <w:wordWrap/>
              <w:overflowPunct/>
              <w:topLinePunct w:val="0"/>
              <w:autoSpaceDE/>
              <w:autoSpaceDN/>
              <w:bidi w:val="0"/>
              <w:adjustRightInd/>
              <w:snapToGrid/>
              <w:spacing w:before="152" w:line="360" w:lineRule="exact"/>
              <w:ind w:right="133"/>
              <w:rPr>
                <w:rFonts w:hint="eastAsia" w:ascii="宋体" w:hAnsi="宋体" w:eastAsia="宋体" w:cs="宋体"/>
                <w:bCs/>
                <w:color w:val="auto"/>
                <w:kern w:val="2"/>
                <w:sz w:val="21"/>
                <w:szCs w:val="21"/>
                <w:highlight w:val="none"/>
                <w:lang w:val="en-US" w:eastAsia="zh-CN" w:bidi="ar-SA"/>
              </w:rPr>
            </w:pPr>
            <w:r>
              <w:rPr>
                <w:rFonts w:hint="eastAsia"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.2软件可读入用户编写的Matlab或Python脚本文件，对数据进行后处理；</w:t>
            </w:r>
          </w:p>
          <w:p>
            <w:pPr>
              <w:pStyle w:val="139"/>
              <w:keepNext w:val="0"/>
              <w:keepLines w:val="0"/>
              <w:pageBreakBefore w:val="0"/>
              <w:kinsoku/>
              <w:wordWrap/>
              <w:overflowPunct/>
              <w:topLinePunct w:val="0"/>
              <w:autoSpaceDE/>
              <w:autoSpaceDN/>
              <w:bidi w:val="0"/>
              <w:adjustRightInd/>
              <w:snapToGrid/>
              <w:spacing w:before="152" w:line="360" w:lineRule="exact"/>
              <w:ind w:right="133"/>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w:t>
            </w:r>
            <w:r>
              <w:rPr>
                <w:rFonts w:hint="eastAsia"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.3所有通道采集数据可同步保存；配置多种光标灵活变换，例如主光标、区间光标、参考光标、谐波光标、偏移谐次光标、峰值自动搜索光标等，以及处理光标功能，可以在另一个窗口同 步显示时域切片或频率切片；支持传感器数据库，在测试软件中可直接快速访问调用；</w:t>
            </w:r>
          </w:p>
          <w:p>
            <w:pPr>
              <w:pStyle w:val="139"/>
              <w:keepNext w:val="0"/>
              <w:keepLines w:val="0"/>
              <w:pageBreakBefore w:val="0"/>
              <w:kinsoku/>
              <w:wordWrap/>
              <w:overflowPunct/>
              <w:topLinePunct w:val="0"/>
              <w:autoSpaceDE/>
              <w:autoSpaceDN/>
              <w:bidi w:val="0"/>
              <w:adjustRightInd/>
              <w:snapToGrid/>
              <w:spacing w:before="152" w:line="360" w:lineRule="exact"/>
              <w:ind w:right="133"/>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r>
              <w:rPr>
                <w:rFonts w:hint="eastAsia" w:cs="宋体"/>
                <w:bCs/>
                <w:color w:val="auto"/>
                <w:kern w:val="2"/>
                <w:sz w:val="21"/>
                <w:szCs w:val="21"/>
                <w:highlight w:val="none"/>
                <w:lang w:val="en-US" w:eastAsia="zh-CN" w:bidi="ar-SA"/>
              </w:rPr>
              <w:t>4</w:t>
            </w:r>
            <w:r>
              <w:rPr>
                <w:rFonts w:hint="eastAsia" w:ascii="宋体" w:hAnsi="宋体" w:eastAsia="宋体" w:cs="宋体"/>
                <w:bCs/>
                <w:color w:val="auto"/>
                <w:kern w:val="2"/>
                <w:sz w:val="21"/>
                <w:szCs w:val="21"/>
                <w:highlight w:val="none"/>
                <w:lang w:val="en-US" w:eastAsia="zh-CN" w:bidi="ar-SA"/>
              </w:rPr>
              <w:t>支持多种格式文件读取及导出功能，能自由进行多种数据格式转换，数据格式至少应支持UFF、wav、ASAM-ODSatfx、Excel,以实现数据的进一步处理；</w:t>
            </w:r>
          </w:p>
          <w:p>
            <w:pPr>
              <w:pStyle w:val="139"/>
              <w:keepNext w:val="0"/>
              <w:keepLines w:val="0"/>
              <w:pageBreakBefore w:val="0"/>
              <w:kinsoku/>
              <w:wordWrap/>
              <w:overflowPunct/>
              <w:topLinePunct w:val="0"/>
              <w:autoSpaceDE/>
              <w:autoSpaceDN/>
              <w:bidi w:val="0"/>
              <w:adjustRightInd/>
              <w:snapToGrid/>
              <w:spacing w:before="152" w:line="360" w:lineRule="exact"/>
              <w:ind w:right="133"/>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r>
              <w:rPr>
                <w:rFonts w:hint="eastAsia" w:cs="宋体"/>
                <w:bCs/>
                <w:color w:val="auto"/>
                <w:kern w:val="2"/>
                <w:sz w:val="21"/>
                <w:szCs w:val="21"/>
                <w:highlight w:val="none"/>
                <w:lang w:val="en-US" w:eastAsia="zh-CN" w:bidi="ar-SA"/>
              </w:rPr>
              <w:t>5</w:t>
            </w:r>
            <w:r>
              <w:rPr>
                <w:rFonts w:hint="eastAsia" w:ascii="宋体" w:hAnsi="宋体" w:eastAsia="宋体" w:cs="宋体"/>
                <w:bCs/>
                <w:color w:val="auto"/>
                <w:kern w:val="2"/>
                <w:sz w:val="21"/>
                <w:szCs w:val="21"/>
                <w:highlight w:val="none"/>
                <w:lang w:val="en-US" w:eastAsia="zh-CN" w:bidi="ar-SA"/>
              </w:rPr>
              <w:t>具备建立模态分析几何模型的功能，几何节点可与测点关联，以三维方式显示测量和分析结果；几何模型的导入至少应支持.stl、NASTRAN、 CADA-X、UniversalFile等格式；</w:t>
            </w:r>
          </w:p>
          <w:p>
            <w:pPr>
              <w:pStyle w:val="139"/>
              <w:keepNext w:val="0"/>
              <w:keepLines w:val="0"/>
              <w:pageBreakBefore w:val="0"/>
              <w:kinsoku/>
              <w:wordWrap/>
              <w:overflowPunct/>
              <w:topLinePunct w:val="0"/>
              <w:autoSpaceDE/>
              <w:autoSpaceDN/>
              <w:bidi w:val="0"/>
              <w:adjustRightInd/>
              <w:snapToGrid/>
              <w:spacing w:before="152" w:line="360" w:lineRule="exact"/>
              <w:ind w:right="133"/>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r>
              <w:rPr>
                <w:rFonts w:hint="eastAsia" w:cs="宋体"/>
                <w:bCs/>
                <w:color w:val="auto"/>
                <w:kern w:val="2"/>
                <w:sz w:val="21"/>
                <w:szCs w:val="21"/>
                <w:highlight w:val="none"/>
                <w:lang w:val="en-US" w:eastAsia="zh-CN" w:bidi="ar-SA"/>
              </w:rPr>
              <w:t>6</w:t>
            </w:r>
            <w:r>
              <w:rPr>
                <w:rFonts w:hint="eastAsia" w:ascii="宋体" w:hAnsi="宋体" w:eastAsia="宋体" w:cs="宋体"/>
                <w:bCs/>
                <w:color w:val="auto"/>
                <w:kern w:val="2"/>
                <w:sz w:val="21"/>
                <w:szCs w:val="21"/>
                <w:highlight w:val="none"/>
                <w:lang w:val="en-US" w:eastAsia="zh-CN" w:bidi="ar-SA"/>
              </w:rPr>
              <w:t>频响函数的测试支持多点响应测量、移动传感器和移动激励点的三种方法，测点编号能够自动增加 ；</w:t>
            </w:r>
          </w:p>
          <w:p>
            <w:pPr>
              <w:pStyle w:val="139"/>
              <w:keepNext w:val="0"/>
              <w:keepLines w:val="0"/>
              <w:pageBreakBefore w:val="0"/>
              <w:kinsoku/>
              <w:wordWrap/>
              <w:overflowPunct/>
              <w:topLinePunct w:val="0"/>
              <w:autoSpaceDE/>
              <w:autoSpaceDN/>
              <w:bidi w:val="0"/>
              <w:adjustRightInd/>
              <w:snapToGrid/>
              <w:spacing w:before="152" w:line="360" w:lineRule="exact"/>
              <w:ind w:right="133"/>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r>
              <w:rPr>
                <w:rFonts w:hint="eastAsia" w:cs="宋体"/>
                <w:bCs/>
                <w:color w:val="auto"/>
                <w:kern w:val="2"/>
                <w:sz w:val="21"/>
                <w:szCs w:val="21"/>
                <w:highlight w:val="none"/>
                <w:lang w:val="en-US" w:eastAsia="zh-CN" w:bidi="ar-SA"/>
              </w:rPr>
              <w:t>7</w:t>
            </w:r>
            <w:r>
              <w:rPr>
                <w:rFonts w:hint="eastAsia" w:ascii="宋体" w:hAnsi="宋体" w:eastAsia="宋体" w:cs="宋体"/>
                <w:bCs/>
                <w:color w:val="auto"/>
                <w:kern w:val="2"/>
                <w:sz w:val="21"/>
                <w:szCs w:val="21"/>
                <w:highlight w:val="none"/>
                <w:lang w:val="en-US" w:eastAsia="zh-CN" w:bidi="ar-SA"/>
              </w:rPr>
              <w:t>提供多种智能技术引导试验，系统能够自动建议合理的试验参数，如试验触发电平、预触发、分析带宽、力窗指数窗定义等，帮助工程师完成整个试验过程；</w:t>
            </w:r>
          </w:p>
          <w:p>
            <w:pPr>
              <w:pStyle w:val="139"/>
              <w:keepNext w:val="0"/>
              <w:keepLines w:val="0"/>
              <w:pageBreakBefore w:val="0"/>
              <w:kinsoku/>
              <w:wordWrap/>
              <w:overflowPunct/>
              <w:topLinePunct w:val="0"/>
              <w:autoSpaceDE/>
              <w:autoSpaceDN/>
              <w:bidi w:val="0"/>
              <w:adjustRightInd/>
              <w:snapToGrid/>
              <w:spacing w:before="152" w:line="360" w:lineRule="exact"/>
              <w:ind w:right="133"/>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r>
              <w:rPr>
                <w:rFonts w:hint="eastAsia" w:cs="宋体"/>
                <w:bCs/>
                <w:color w:val="auto"/>
                <w:kern w:val="2"/>
                <w:sz w:val="21"/>
                <w:szCs w:val="21"/>
                <w:highlight w:val="none"/>
                <w:lang w:val="en-US" w:eastAsia="zh-CN" w:bidi="ar-SA"/>
              </w:rPr>
              <w:t>8</w:t>
            </w:r>
            <w:r>
              <w:rPr>
                <w:rFonts w:hint="eastAsia" w:ascii="宋体" w:hAnsi="宋体" w:eastAsia="宋体" w:cs="宋体"/>
                <w:bCs/>
                <w:color w:val="auto"/>
                <w:kern w:val="2"/>
                <w:sz w:val="21"/>
                <w:szCs w:val="21"/>
                <w:highlight w:val="none"/>
                <w:lang w:val="en-US" w:eastAsia="zh-CN" w:bidi="ar-SA"/>
              </w:rPr>
              <w:t>测试过程中支持几何、声音等多重反馈系统，对于过载、双击、测点自动更新有声音提示功能，对于响应点和激励点能够在几何模型上进行反馈，以能够实现单人完成整个模态试验； 支持频率响应函数的快速浏览和质量检查；</w:t>
            </w:r>
          </w:p>
          <w:p>
            <w:pPr>
              <w:pStyle w:val="139"/>
              <w:keepNext w:val="0"/>
              <w:keepLines w:val="0"/>
              <w:pageBreakBefore w:val="0"/>
              <w:kinsoku/>
              <w:wordWrap/>
              <w:overflowPunct/>
              <w:topLinePunct w:val="0"/>
              <w:autoSpaceDE/>
              <w:autoSpaceDN/>
              <w:bidi w:val="0"/>
              <w:adjustRightInd/>
              <w:snapToGrid/>
              <w:spacing w:before="152" w:line="360" w:lineRule="exact"/>
              <w:ind w:right="133"/>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r>
              <w:rPr>
                <w:rFonts w:hint="eastAsia" w:cs="宋体"/>
                <w:bCs/>
                <w:color w:val="auto"/>
                <w:kern w:val="2"/>
                <w:sz w:val="21"/>
                <w:szCs w:val="21"/>
                <w:highlight w:val="none"/>
                <w:lang w:val="en-US" w:eastAsia="zh-CN" w:bidi="ar-SA"/>
              </w:rPr>
              <w:t>9</w:t>
            </w:r>
            <w:r>
              <w:rPr>
                <w:rFonts w:hint="eastAsia" w:ascii="宋体" w:hAnsi="宋体" w:eastAsia="宋体" w:cs="宋体"/>
                <w:bCs/>
                <w:color w:val="auto"/>
                <w:kern w:val="2"/>
                <w:sz w:val="21"/>
                <w:szCs w:val="21"/>
                <w:highlight w:val="none"/>
                <w:lang w:val="en-US" w:eastAsia="zh-CN" w:bidi="ar-SA"/>
              </w:rPr>
              <w:t>识别的模态参数至少应包括：模态频率、模态阻尼、模态振型、模态参与因子、模态刚度、模态质量，且能够估计模态频率和模态阻尼统计置信区间；</w:t>
            </w:r>
          </w:p>
          <w:p>
            <w:pPr>
              <w:pStyle w:val="139"/>
              <w:keepNext w:val="0"/>
              <w:keepLines w:val="0"/>
              <w:pageBreakBefore w:val="0"/>
              <w:kinsoku/>
              <w:wordWrap/>
              <w:overflowPunct/>
              <w:topLinePunct w:val="0"/>
              <w:autoSpaceDE/>
              <w:autoSpaceDN/>
              <w:bidi w:val="0"/>
              <w:adjustRightInd/>
              <w:snapToGrid/>
              <w:spacing w:before="152" w:line="360" w:lineRule="exact"/>
              <w:ind w:right="133"/>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3.1</w:t>
            </w:r>
            <w:r>
              <w:rPr>
                <w:rFonts w:hint="eastAsia" w:cs="宋体"/>
                <w:bCs/>
                <w:color w:val="auto"/>
                <w:kern w:val="2"/>
                <w:sz w:val="21"/>
                <w:szCs w:val="21"/>
                <w:highlight w:val="none"/>
                <w:lang w:val="en-US" w:eastAsia="zh-CN" w:bidi="ar-SA"/>
              </w:rPr>
              <w:t>0</w:t>
            </w:r>
            <w:r>
              <w:rPr>
                <w:rFonts w:hint="eastAsia" w:ascii="宋体" w:hAnsi="宋体" w:eastAsia="宋体" w:cs="宋体"/>
                <w:bCs/>
                <w:color w:val="auto"/>
                <w:kern w:val="2"/>
                <w:sz w:val="21"/>
                <w:szCs w:val="21"/>
                <w:highlight w:val="none"/>
                <w:lang w:val="en-US" w:eastAsia="zh-CN" w:bidi="ar-SA"/>
              </w:rPr>
              <w:t>具备读取三维有限元模型及模型数据，用于试验仿真的相关性分析，支持的仿真数据格式至少包括：ANSYS的.rst格式、Abaqus的.obd格式、Nastran的.0P2格式、VLMotion的.motionresults格式、SimcenterMotion的.mres格式，具备有限元模型节点与试验模型节点的映射表格创建功能；</w:t>
            </w:r>
          </w:p>
          <w:p>
            <w:pPr>
              <w:pStyle w:val="139"/>
              <w:keepNext w:val="0"/>
              <w:keepLines w:val="0"/>
              <w:pageBreakBefore w:val="0"/>
              <w:kinsoku/>
              <w:wordWrap/>
              <w:overflowPunct/>
              <w:topLinePunct w:val="0"/>
              <w:autoSpaceDE/>
              <w:autoSpaceDN/>
              <w:bidi w:val="0"/>
              <w:adjustRightInd/>
              <w:snapToGrid/>
              <w:spacing w:before="152" w:line="360" w:lineRule="exact"/>
              <w:ind w:right="133"/>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3.1</w:t>
            </w:r>
            <w:r>
              <w:rPr>
                <w:rFonts w:hint="eastAsia"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模态参数质量的评价方法至少应包括：稳态图、MAC模态置信准则、模态相位共线性、平均相位偏差等；支持分批分组测试，以消除传感器附加质量的影响；</w:t>
            </w:r>
          </w:p>
          <w:p>
            <w:pPr>
              <w:pStyle w:val="139"/>
              <w:keepNext w:val="0"/>
              <w:keepLines w:val="0"/>
              <w:pageBreakBefore w:val="0"/>
              <w:kinsoku/>
              <w:wordWrap/>
              <w:overflowPunct/>
              <w:topLinePunct w:val="0"/>
              <w:autoSpaceDE/>
              <w:autoSpaceDN/>
              <w:bidi w:val="0"/>
              <w:adjustRightInd/>
              <w:snapToGrid/>
              <w:spacing w:before="152" w:line="360" w:lineRule="exact"/>
              <w:ind w:right="133"/>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▲3.1</w:t>
            </w:r>
            <w:r>
              <w:rPr>
                <w:rFonts w:hint="eastAsia"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支持模态参数自动提取功能，稳态图中自动地识别极点、模态频率、模态阻尼等模态参数；</w:t>
            </w:r>
          </w:p>
          <w:p>
            <w:pPr>
              <w:pStyle w:val="139"/>
              <w:keepNext w:val="0"/>
              <w:keepLines w:val="0"/>
              <w:pageBreakBefore w:val="0"/>
              <w:kinsoku/>
              <w:wordWrap/>
              <w:overflowPunct/>
              <w:topLinePunct w:val="0"/>
              <w:autoSpaceDE/>
              <w:autoSpaceDN/>
              <w:bidi w:val="0"/>
              <w:adjustRightInd/>
              <w:snapToGrid/>
              <w:spacing w:before="152" w:line="360" w:lineRule="exact"/>
              <w:ind w:right="133"/>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3.1</w:t>
            </w:r>
            <w:r>
              <w:rPr>
                <w:rFonts w:hint="eastAsia"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具备模态修改预测功能，以模态识别结果为基础，可修改节点质量、节点间的刚度、节点间的阻尼以及动力吸振器的添加，预测这些修改对结构模态参数的影响；</w:t>
            </w:r>
          </w:p>
          <w:p>
            <w:pPr>
              <w:pStyle w:val="139"/>
              <w:keepNext w:val="0"/>
              <w:keepLines w:val="0"/>
              <w:pageBreakBefore w:val="0"/>
              <w:kinsoku/>
              <w:wordWrap/>
              <w:overflowPunct/>
              <w:topLinePunct w:val="0"/>
              <w:autoSpaceDE/>
              <w:autoSpaceDN/>
              <w:bidi w:val="0"/>
              <w:adjustRightInd/>
              <w:snapToGrid/>
              <w:spacing w:before="152" w:line="360" w:lineRule="exact"/>
              <w:ind w:right="133"/>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r>
              <w:rPr>
                <w:rFonts w:hint="eastAsia" w:cs="宋体"/>
                <w:bCs/>
                <w:color w:val="auto"/>
                <w:kern w:val="2"/>
                <w:sz w:val="21"/>
                <w:szCs w:val="21"/>
                <w:highlight w:val="none"/>
                <w:lang w:val="en-US" w:eastAsia="zh-CN" w:bidi="ar-SA"/>
              </w:rPr>
              <w:t>14</w:t>
            </w:r>
            <w:r>
              <w:rPr>
                <w:rFonts w:hint="eastAsia" w:ascii="宋体" w:hAnsi="宋体" w:eastAsia="宋体" w:cs="宋体"/>
                <w:bCs/>
                <w:color w:val="auto"/>
                <w:kern w:val="2"/>
                <w:sz w:val="21"/>
                <w:szCs w:val="21"/>
                <w:highlight w:val="none"/>
                <w:lang w:val="en-US" w:eastAsia="zh-CN" w:bidi="ar-SA"/>
              </w:rPr>
              <w:t>具备刚体特性参数计算功能，参数至少包括质心的坐标、相对质心或用户自定义参考点的转动惯量和惯量积、主转动惯量和惯量主轴方向等；支持多组模态试验结果的合并分析，消除外部环境、边界条件和结构本身变化对模态参 数识别结果的影响；支持模态振型的几何动画显示，可以单图叠放、多图等方式对比显示多个振型；支持工况模态分析OMA,分析算法至少 应包含最小二乘复频域法；支持时域和频域工作变形分析ODS;</w:t>
            </w:r>
          </w:p>
          <w:p>
            <w:pPr>
              <w:pStyle w:val="139"/>
              <w:keepNext w:val="0"/>
              <w:keepLines w:val="0"/>
              <w:pageBreakBefore w:val="0"/>
              <w:kinsoku/>
              <w:wordWrap/>
              <w:overflowPunct/>
              <w:topLinePunct w:val="0"/>
              <w:autoSpaceDE/>
              <w:autoSpaceDN/>
              <w:bidi w:val="0"/>
              <w:adjustRightInd/>
              <w:snapToGrid/>
              <w:spacing w:before="152" w:line="360" w:lineRule="exact"/>
              <w:ind w:right="133"/>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r>
              <w:rPr>
                <w:rFonts w:hint="eastAsia" w:cs="宋体"/>
                <w:bCs/>
                <w:color w:val="auto"/>
                <w:kern w:val="2"/>
                <w:sz w:val="21"/>
                <w:szCs w:val="21"/>
                <w:highlight w:val="none"/>
                <w:lang w:val="en-US" w:eastAsia="zh-CN" w:bidi="ar-SA"/>
              </w:rPr>
              <w:t>15</w:t>
            </w:r>
            <w:r>
              <w:rPr>
                <w:rFonts w:hint="eastAsia" w:ascii="宋体" w:hAnsi="宋体" w:eastAsia="宋体" w:cs="宋体"/>
                <w:bCs/>
                <w:color w:val="auto"/>
                <w:kern w:val="2"/>
                <w:sz w:val="21"/>
                <w:szCs w:val="21"/>
                <w:highlight w:val="none"/>
                <w:lang w:val="en-US" w:eastAsia="zh-CN" w:bidi="ar-SA"/>
              </w:rPr>
              <w:t>模态调谐频率精度最低可达0.0001Hz;</w:t>
            </w:r>
          </w:p>
          <w:p>
            <w:pPr>
              <w:pStyle w:val="139"/>
              <w:keepNext w:val="0"/>
              <w:keepLines w:val="0"/>
              <w:pageBreakBefore w:val="0"/>
              <w:kinsoku/>
              <w:wordWrap/>
              <w:overflowPunct/>
              <w:topLinePunct w:val="0"/>
              <w:autoSpaceDE/>
              <w:autoSpaceDN/>
              <w:bidi w:val="0"/>
              <w:adjustRightInd/>
              <w:snapToGrid/>
              <w:spacing w:before="152" w:line="360" w:lineRule="exact"/>
              <w:ind w:right="133"/>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r>
              <w:rPr>
                <w:rFonts w:hint="eastAsia" w:cs="宋体"/>
                <w:bCs/>
                <w:color w:val="auto"/>
                <w:kern w:val="2"/>
                <w:sz w:val="21"/>
                <w:szCs w:val="21"/>
                <w:highlight w:val="none"/>
                <w:lang w:val="en-US" w:eastAsia="zh-CN" w:bidi="ar-SA"/>
              </w:rPr>
              <w:t>16</w:t>
            </w:r>
            <w:r>
              <w:rPr>
                <w:rFonts w:hint="eastAsia" w:ascii="宋体" w:hAnsi="宋体" w:eastAsia="宋体" w:cs="宋体"/>
                <w:bCs/>
                <w:color w:val="auto"/>
                <w:kern w:val="2"/>
                <w:sz w:val="21"/>
                <w:szCs w:val="21"/>
                <w:highlight w:val="none"/>
                <w:lang w:val="en-US" w:eastAsia="zh-CN" w:bidi="ar-SA"/>
              </w:rPr>
              <w:t>支持多种调谐状态评价指标，至少应包括利萨如图、模态指示因子、几何变形、时域信号、力参考通道与响应通道的相位差；调谐方式至少应包含自动、手动、半自动三种；对于多个激振器初始力幅值比的确定，支持频率响应函数的导入和自动计算；具备安全防护功能，可设定最大输出力及最大振动响应的安全级别；当调谐之后，支持进一步模态阻尼的估计，估计方法至少应包括单自由度法、复功率法、指数衰减法和力正交法。</w:t>
            </w:r>
          </w:p>
          <w:p>
            <w:pPr>
              <w:pStyle w:val="139"/>
              <w:keepNext w:val="0"/>
              <w:keepLines w:val="0"/>
              <w:pageBreakBefore w:val="0"/>
              <w:kinsoku/>
              <w:wordWrap/>
              <w:overflowPunct/>
              <w:topLinePunct w:val="0"/>
              <w:autoSpaceDE/>
              <w:autoSpaceDN/>
              <w:bidi w:val="0"/>
              <w:adjustRightInd/>
              <w:snapToGrid/>
              <w:spacing w:before="152" w:line="360" w:lineRule="exact"/>
              <w:ind w:right="133"/>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r>
              <w:rPr>
                <w:rFonts w:hint="eastAsia" w:cs="宋体"/>
                <w:bCs/>
                <w:color w:val="auto"/>
                <w:kern w:val="2"/>
                <w:sz w:val="21"/>
                <w:szCs w:val="21"/>
                <w:highlight w:val="none"/>
                <w:lang w:val="en-US" w:eastAsia="zh-CN" w:bidi="ar-SA"/>
              </w:rPr>
              <w:t>17</w:t>
            </w:r>
            <w:r>
              <w:rPr>
                <w:rFonts w:hint="eastAsia" w:ascii="宋体" w:hAnsi="宋体" w:eastAsia="宋体" w:cs="宋体"/>
                <w:bCs/>
                <w:color w:val="auto"/>
                <w:kern w:val="2"/>
                <w:sz w:val="21"/>
                <w:szCs w:val="21"/>
                <w:highlight w:val="none"/>
                <w:lang w:val="en-US" w:eastAsia="zh-CN" w:bidi="ar-SA"/>
              </w:rPr>
              <w:t>具备OPAX工况传递路径分析；</w:t>
            </w:r>
          </w:p>
          <w:p>
            <w:pPr>
              <w:pStyle w:val="139"/>
              <w:keepNext w:val="0"/>
              <w:keepLines w:val="0"/>
              <w:pageBreakBefore w:val="0"/>
              <w:kinsoku/>
              <w:wordWrap/>
              <w:overflowPunct/>
              <w:topLinePunct w:val="0"/>
              <w:autoSpaceDE/>
              <w:autoSpaceDN/>
              <w:bidi w:val="0"/>
              <w:adjustRightInd/>
              <w:snapToGrid/>
              <w:spacing w:before="152" w:line="360" w:lineRule="exact"/>
              <w:ind w:right="133"/>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r>
              <w:rPr>
                <w:rFonts w:hint="eastAsia" w:cs="宋体"/>
                <w:bCs/>
                <w:color w:val="auto"/>
                <w:kern w:val="2"/>
                <w:sz w:val="21"/>
                <w:szCs w:val="21"/>
                <w:highlight w:val="none"/>
                <w:lang w:val="en-US" w:eastAsia="zh-CN" w:bidi="ar-SA"/>
              </w:rPr>
              <w:t xml:space="preserve">18 </w:t>
            </w:r>
            <w:r>
              <w:rPr>
                <w:rFonts w:hint="eastAsia" w:ascii="宋体" w:hAnsi="宋体" w:eastAsia="宋体" w:cs="宋体"/>
                <w:bCs/>
                <w:color w:val="auto"/>
                <w:kern w:val="2"/>
                <w:sz w:val="21"/>
                <w:szCs w:val="21"/>
                <w:highlight w:val="none"/>
                <w:lang w:val="en-US" w:eastAsia="zh-CN" w:bidi="ar-SA"/>
              </w:rPr>
              <w:t>具备随机控制设置，激励信号可以是随机和伪随机；对于所有通道都可以定义限制谱，包括控制通道；具备正弦控制设置，多点控制策略：平均、最大值、最小值和加权控制；</w:t>
            </w:r>
          </w:p>
          <w:p>
            <w:pPr>
              <w:pStyle w:val="139"/>
              <w:keepNext w:val="0"/>
              <w:keepLines w:val="0"/>
              <w:pageBreakBefore w:val="0"/>
              <w:kinsoku/>
              <w:wordWrap/>
              <w:overflowPunct/>
              <w:topLinePunct w:val="0"/>
              <w:autoSpaceDE/>
              <w:autoSpaceDN/>
              <w:bidi w:val="0"/>
              <w:adjustRightInd/>
              <w:snapToGrid/>
              <w:spacing w:before="152" w:line="360" w:lineRule="exact"/>
              <w:ind w:right="133"/>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r>
              <w:rPr>
                <w:rFonts w:hint="eastAsia" w:cs="宋体"/>
                <w:bCs/>
                <w:color w:val="auto"/>
                <w:kern w:val="2"/>
                <w:sz w:val="21"/>
                <w:szCs w:val="21"/>
                <w:highlight w:val="none"/>
                <w:lang w:val="en-US" w:eastAsia="zh-CN" w:bidi="ar-SA"/>
              </w:rPr>
              <w:t xml:space="preserve">19 </w:t>
            </w:r>
            <w:r>
              <w:rPr>
                <w:rFonts w:hint="eastAsia" w:ascii="宋体" w:hAnsi="宋体" w:eastAsia="宋体" w:cs="宋体"/>
                <w:bCs/>
                <w:color w:val="auto"/>
                <w:kern w:val="2"/>
                <w:sz w:val="21"/>
                <w:szCs w:val="21"/>
                <w:highlight w:val="none"/>
                <w:lang w:val="en-US" w:eastAsia="zh-CN" w:bidi="ar-SA"/>
              </w:rPr>
              <w:t>具备正弦下凹控制，可通过定义下凹谱，来限制所有通道(包括控制和测量通道)的振动量级，下凹控制通道可达256个。</w:t>
            </w:r>
          </w:p>
          <w:p>
            <w:pPr>
              <w:pStyle w:val="139"/>
              <w:keepNext w:val="0"/>
              <w:keepLines w:val="0"/>
              <w:pageBreakBefore w:val="0"/>
              <w:kinsoku/>
              <w:wordWrap/>
              <w:overflowPunct/>
              <w:topLinePunct w:val="0"/>
              <w:autoSpaceDE/>
              <w:autoSpaceDN/>
              <w:bidi w:val="0"/>
              <w:adjustRightInd/>
              <w:snapToGrid/>
              <w:spacing w:before="152" w:line="360" w:lineRule="exact"/>
              <w:ind w:left="0" w:right="133" w:right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r>
              <w:rPr>
                <w:rFonts w:hint="eastAsia" w:cs="宋体"/>
                <w:bCs/>
                <w:color w:val="auto"/>
                <w:kern w:val="2"/>
                <w:sz w:val="21"/>
                <w:szCs w:val="21"/>
                <w:highlight w:val="none"/>
                <w:lang w:val="en-US" w:eastAsia="zh-CN" w:bidi="ar-SA"/>
              </w:rPr>
              <w:t>20</w:t>
            </w:r>
            <w:r>
              <w:rPr>
                <w:rFonts w:hint="eastAsia" w:ascii="宋体" w:hAnsi="宋体" w:eastAsia="宋体" w:cs="宋体"/>
                <w:bCs/>
                <w:color w:val="auto"/>
                <w:kern w:val="2"/>
                <w:sz w:val="21"/>
                <w:szCs w:val="21"/>
                <w:highlight w:val="none"/>
                <w:lang w:val="en-US" w:eastAsia="zh-CN" w:bidi="ar-SA"/>
              </w:rPr>
              <w:t>测试分析软件支持自定义数据报告，报告上至少包含数据曲线显示区域、数据表格显示区域、测试信息输入区域、数据选择和截取区域、计算参数输入区域和报告存储区域。为方便报告格式的调整需提供软件源代码。</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rPr>
                <w:rFonts w:hint="eastAsia"/>
                <w:bCs/>
                <w:color w:val="auto"/>
                <w:sz w:val="21"/>
                <w:szCs w:val="21"/>
                <w:highlight w:val="none"/>
                <w:lang w:eastAsia="zh-CN"/>
              </w:rPr>
            </w:pPr>
            <w:r>
              <w:rPr>
                <w:rFonts w:hint="eastAsia" w:ascii="宋体" w:hAnsi="宋体" w:eastAsia="宋体" w:cs="宋体"/>
                <w:bCs/>
                <w:color w:val="auto"/>
                <w:kern w:val="2"/>
                <w:sz w:val="21"/>
                <w:szCs w:val="21"/>
                <w:highlight w:val="none"/>
                <w:lang w:val="en-US" w:eastAsia="zh-CN" w:bidi="ar-SA"/>
              </w:rPr>
              <w:t>▲</w:t>
            </w:r>
            <w:r>
              <w:rPr>
                <w:rFonts w:hint="eastAsia" w:cs="宋体"/>
                <w:bCs/>
                <w:color w:val="auto"/>
                <w:kern w:val="2"/>
                <w:sz w:val="21"/>
                <w:szCs w:val="21"/>
                <w:highlight w:val="none"/>
                <w:lang w:val="en-US" w:eastAsia="zh-CN" w:bidi="ar-SA"/>
              </w:rPr>
              <w:t>3.21</w:t>
            </w:r>
            <w:r>
              <w:rPr>
                <w:rFonts w:hint="eastAsia"/>
                <w:bCs/>
                <w:color w:val="auto"/>
                <w:sz w:val="21"/>
                <w:szCs w:val="21"/>
                <w:highlight w:val="none"/>
                <w:lang w:eastAsia="zh-CN"/>
              </w:rPr>
              <w:t>具备传感器虚拟安装功能，能够导入结构的三维CAD模型，在模型上布置振动测试传感器、力锤、激振器等，生成精确的测试几何模型（包含三维坐标和欧拉角）</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rPr>
                <w:rFonts w:hint="eastAsia"/>
                <w:bCs/>
                <w:color w:val="auto"/>
                <w:sz w:val="21"/>
                <w:szCs w:val="21"/>
                <w:highlight w:val="none"/>
                <w:lang w:eastAsia="zh-CN"/>
              </w:rPr>
            </w:pPr>
            <w:r>
              <w:rPr>
                <w:rFonts w:hint="eastAsia" w:ascii="宋体" w:hAnsi="宋体" w:eastAsia="宋体" w:cs="宋体"/>
                <w:bCs/>
                <w:color w:val="auto"/>
                <w:kern w:val="2"/>
                <w:sz w:val="21"/>
                <w:szCs w:val="21"/>
                <w:highlight w:val="none"/>
                <w:lang w:val="en-US" w:eastAsia="zh-CN" w:bidi="ar-SA"/>
              </w:rPr>
              <w:t>▲</w:t>
            </w:r>
            <w:r>
              <w:rPr>
                <w:rFonts w:hint="eastAsia"/>
                <w:bCs/>
                <w:color w:val="auto"/>
                <w:sz w:val="21"/>
                <w:szCs w:val="21"/>
                <w:highlight w:val="none"/>
                <w:lang w:val="en-US" w:eastAsia="zh-CN"/>
              </w:rPr>
              <w:t>3.22</w:t>
            </w:r>
            <w:r>
              <w:rPr>
                <w:rFonts w:hint="eastAsia"/>
                <w:bCs/>
                <w:color w:val="auto"/>
                <w:sz w:val="21"/>
                <w:szCs w:val="21"/>
                <w:highlight w:val="none"/>
                <w:lang w:eastAsia="zh-CN"/>
              </w:rPr>
              <w:t>支持基于机器学习的AI模态分析，能够在测试频响函数基础上点击一个按键就能同时将模态的所有参数（频率、阻尼、振型、刚度、质量）计算出来，此过程无需手动介入</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rPr>
                <w:rFonts w:hint="eastAsia"/>
                <w:bCs/>
                <w:color w:val="auto"/>
                <w:sz w:val="21"/>
                <w:szCs w:val="21"/>
                <w:highlight w:val="none"/>
                <w:lang w:eastAsia="zh-CN"/>
              </w:rPr>
            </w:pPr>
            <w:r>
              <w:rPr>
                <w:rFonts w:hint="eastAsia"/>
                <w:bCs/>
                <w:color w:val="auto"/>
                <w:sz w:val="21"/>
                <w:szCs w:val="21"/>
                <w:highlight w:val="none"/>
                <w:lang w:val="en-US" w:eastAsia="zh-CN"/>
              </w:rPr>
              <w:t>3.23</w:t>
            </w:r>
            <w:r>
              <w:rPr>
                <w:rFonts w:hint="eastAsia"/>
                <w:bCs/>
                <w:color w:val="auto"/>
                <w:sz w:val="21"/>
                <w:szCs w:val="21"/>
                <w:highlight w:val="none"/>
                <w:lang w:eastAsia="zh-CN"/>
              </w:rPr>
              <w:t>支持线性和非线性结构分析、耐久性/疲劳分析、热与流体分析、运动分析</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rPr>
                <w:rFonts w:hint="eastAsia"/>
                <w:bCs/>
                <w:color w:val="auto"/>
                <w:sz w:val="21"/>
                <w:szCs w:val="21"/>
                <w:highlight w:val="none"/>
                <w:lang w:eastAsia="zh-CN"/>
              </w:rPr>
            </w:pPr>
            <w:r>
              <w:rPr>
                <w:rFonts w:hint="eastAsia"/>
                <w:bCs/>
                <w:color w:val="auto"/>
                <w:sz w:val="21"/>
                <w:szCs w:val="21"/>
                <w:highlight w:val="none"/>
                <w:lang w:eastAsia="zh-CN"/>
              </w:rPr>
              <w:t>▲</w:t>
            </w:r>
            <w:r>
              <w:rPr>
                <w:rFonts w:hint="eastAsia"/>
                <w:bCs/>
                <w:color w:val="auto"/>
                <w:sz w:val="21"/>
                <w:szCs w:val="21"/>
                <w:highlight w:val="none"/>
                <w:lang w:val="en-US" w:eastAsia="zh-CN"/>
              </w:rPr>
              <w:t>3.24</w:t>
            </w:r>
            <w:r>
              <w:rPr>
                <w:rFonts w:hint="eastAsia"/>
                <w:bCs/>
                <w:color w:val="auto"/>
                <w:sz w:val="21"/>
                <w:szCs w:val="21"/>
                <w:highlight w:val="none"/>
                <w:lang w:eastAsia="zh-CN"/>
              </w:rPr>
              <w:t>支持一个多体运动建模预处理/后处理解决方案，运动建模具备与多学科复杂系统建模仿真平台接口，可联合多学科复杂系统建模仿真平台的电子，液压，控制组件模型进行系统仿真。</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rPr>
                <w:rFonts w:hint="eastAsia"/>
                <w:bCs/>
                <w:color w:val="auto"/>
                <w:sz w:val="21"/>
                <w:szCs w:val="21"/>
                <w:highlight w:val="none"/>
                <w:lang w:eastAsia="zh-CN"/>
              </w:rPr>
            </w:pPr>
            <w:r>
              <w:rPr>
                <w:rFonts w:hint="eastAsia"/>
                <w:bCs/>
                <w:color w:val="auto"/>
                <w:sz w:val="21"/>
                <w:szCs w:val="21"/>
                <w:highlight w:val="none"/>
                <w:lang w:eastAsia="zh-CN"/>
              </w:rPr>
              <w:t>▲</w:t>
            </w:r>
            <w:r>
              <w:rPr>
                <w:rFonts w:hint="eastAsia"/>
                <w:bCs/>
                <w:color w:val="auto"/>
                <w:sz w:val="21"/>
                <w:szCs w:val="21"/>
                <w:highlight w:val="none"/>
                <w:lang w:val="en-US" w:eastAsia="zh-CN"/>
              </w:rPr>
              <w:t>3.25</w:t>
            </w:r>
            <w:r>
              <w:rPr>
                <w:rFonts w:hint="eastAsia"/>
                <w:bCs/>
                <w:color w:val="auto"/>
                <w:sz w:val="21"/>
                <w:szCs w:val="21"/>
                <w:highlight w:val="none"/>
                <w:lang w:eastAsia="zh-CN"/>
              </w:rPr>
              <w:t>支持与产品数据生命周期管理及协同管理平台集成，用以存取、查询仿真数据、仿真结果及模板，可实现基于同一模型的设计、仿真快速迭代，设计与仿真数据关联，并可获取设计参数化数据进行自动迭代求解流程。</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rPr>
                <w:rFonts w:hint="eastAsia"/>
                <w:bCs/>
                <w:color w:val="auto"/>
                <w:sz w:val="21"/>
                <w:szCs w:val="21"/>
                <w:highlight w:val="none"/>
                <w:lang w:eastAsia="zh-CN"/>
              </w:rPr>
            </w:pPr>
            <w:r>
              <w:rPr>
                <w:rFonts w:hint="eastAsia"/>
                <w:bCs/>
                <w:color w:val="auto"/>
                <w:sz w:val="21"/>
                <w:szCs w:val="21"/>
                <w:highlight w:val="none"/>
                <w:lang w:val="en-US" w:eastAsia="zh-CN"/>
              </w:rPr>
              <w:t>3.26</w:t>
            </w:r>
            <w:r>
              <w:rPr>
                <w:rFonts w:hint="eastAsia"/>
                <w:bCs/>
                <w:color w:val="auto"/>
                <w:sz w:val="21"/>
                <w:szCs w:val="21"/>
                <w:highlight w:val="none"/>
                <w:lang w:eastAsia="zh-CN"/>
              </w:rPr>
              <w:t>软件具有结构有限元求解功能，能够进行线性静力分析、非线性静力分析、模态分析、频域振动响应分析、瞬态振动响应分析、子结构传函综合等功能，并且支持不限核心数的并行求解。</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rPr>
                <w:rFonts w:hint="eastAsia"/>
                <w:bCs/>
                <w:color w:val="auto"/>
                <w:sz w:val="21"/>
                <w:szCs w:val="21"/>
                <w:highlight w:val="none"/>
                <w:lang w:eastAsia="zh-CN"/>
              </w:rPr>
            </w:pPr>
            <w:r>
              <w:rPr>
                <w:rFonts w:hint="eastAsia"/>
                <w:bCs/>
                <w:color w:val="auto"/>
                <w:sz w:val="21"/>
                <w:szCs w:val="21"/>
                <w:highlight w:val="none"/>
                <w:lang w:eastAsia="zh-CN"/>
              </w:rPr>
              <w:t>▲</w:t>
            </w:r>
            <w:r>
              <w:rPr>
                <w:rFonts w:hint="eastAsia"/>
                <w:bCs/>
                <w:color w:val="auto"/>
                <w:sz w:val="21"/>
                <w:szCs w:val="21"/>
                <w:highlight w:val="none"/>
                <w:lang w:val="en-US" w:eastAsia="zh-CN"/>
              </w:rPr>
              <w:t>3.27</w:t>
            </w:r>
            <w:r>
              <w:rPr>
                <w:rFonts w:hint="eastAsia"/>
                <w:bCs/>
                <w:color w:val="auto"/>
                <w:sz w:val="21"/>
                <w:szCs w:val="21"/>
                <w:highlight w:val="none"/>
                <w:lang w:eastAsia="zh-CN"/>
              </w:rPr>
              <w:t>软件具有与试验相结合的功能。能够将试验结果与仿真结果进行相关性分析来标定仿真模型，并且具备预试验分析功能，能基于有限元模型和传感器数目自动布置试验测点。</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rPr>
                <w:rFonts w:hint="eastAsia"/>
                <w:bCs/>
                <w:color w:val="auto"/>
                <w:sz w:val="21"/>
                <w:szCs w:val="21"/>
                <w:highlight w:val="none"/>
                <w:lang w:eastAsia="zh-CN"/>
              </w:rPr>
            </w:pPr>
            <w:r>
              <w:rPr>
                <w:rFonts w:hint="eastAsia"/>
                <w:bCs/>
                <w:color w:val="auto"/>
                <w:sz w:val="21"/>
                <w:szCs w:val="21"/>
                <w:highlight w:val="none"/>
                <w:lang w:val="en-US" w:eastAsia="zh-CN"/>
              </w:rPr>
              <w:t>3.28</w:t>
            </w:r>
            <w:r>
              <w:rPr>
                <w:rFonts w:hint="eastAsia"/>
                <w:bCs/>
                <w:color w:val="auto"/>
                <w:sz w:val="21"/>
                <w:szCs w:val="21"/>
                <w:highlight w:val="none"/>
                <w:lang w:eastAsia="zh-CN"/>
              </w:rPr>
              <w:t>支持模型优化及实时仿真。具备显示构成代数环的相关部件，便于处理以降低系统求解所需CPU时间。具备模型简化功能，包括：基于能量统计法的活性指数分析功能；元件占用CPU资源统计功能；系统固有频率分析、高频变量排序、定位；欧拉定步长实时稳定区域可视化工具等。</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rPr>
                <w:rFonts w:hint="eastAsia"/>
                <w:bCs/>
                <w:color w:val="auto"/>
                <w:sz w:val="21"/>
                <w:szCs w:val="21"/>
                <w:highlight w:val="none"/>
                <w:lang w:eastAsia="zh-CN"/>
              </w:rPr>
            </w:pPr>
            <w:r>
              <w:rPr>
                <w:rFonts w:hint="eastAsia"/>
                <w:bCs/>
                <w:color w:val="auto"/>
                <w:sz w:val="21"/>
                <w:szCs w:val="21"/>
                <w:highlight w:val="none"/>
                <w:lang w:eastAsia="zh-CN"/>
              </w:rPr>
              <w:t>▲</w:t>
            </w:r>
            <w:r>
              <w:rPr>
                <w:rFonts w:hint="eastAsia"/>
                <w:bCs/>
                <w:color w:val="auto"/>
                <w:sz w:val="21"/>
                <w:szCs w:val="21"/>
                <w:highlight w:val="none"/>
                <w:lang w:val="en-US" w:eastAsia="zh-CN"/>
              </w:rPr>
              <w:t>3.29</w:t>
            </w:r>
            <w:r>
              <w:rPr>
                <w:rFonts w:hint="eastAsia"/>
                <w:bCs/>
                <w:color w:val="auto"/>
                <w:sz w:val="21"/>
                <w:szCs w:val="21"/>
                <w:highlight w:val="none"/>
                <w:lang w:eastAsia="zh-CN"/>
              </w:rPr>
              <w:t>NVH分析：通过仿真选配发动机扭振减振器、DMF、动力吸振器等：优化减振器的关键参数, 包括惯量、刚度和阻尼等。传动系扭转振动仿真匹配与优化平台，比如离合器judder、shuffle、clunk、rattle、booming、surge等。车辆起步tip in out时出现的shuffle的分析及优化。MT及DCT变速器gear rattle噪声分析及优化，考虑齿轮惯量、啮合刚度、侧隙、摩擦损失、搅油损失等关键因素的影响及耦合作用，同时还可考虑同步器中锁环与齿毂之间的rattle。悬置解耦匹配、基于TRA理论及解耦率自动优化悬置刚度、位置及角度、还可详细设计优化橡胶及液压悬置子系统关键参数对动刚度的影响，如隔膜厚度等。</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rPr>
                <w:rFonts w:hint="eastAsia" w:ascii="宋体" w:hAnsi="宋体" w:eastAsia="宋体" w:cs="宋体"/>
                <w:bCs/>
                <w:color w:val="auto"/>
                <w:kern w:val="2"/>
                <w:sz w:val="21"/>
                <w:szCs w:val="21"/>
                <w:highlight w:val="none"/>
                <w:lang w:val="en-US" w:eastAsia="en-US" w:bidi="ar-SA"/>
              </w:rPr>
            </w:pPr>
            <w:r>
              <w:rPr>
                <w:rFonts w:hint="eastAsia"/>
                <w:bCs/>
                <w:color w:val="auto"/>
                <w:sz w:val="21"/>
                <w:szCs w:val="21"/>
                <w:highlight w:val="none"/>
                <w:lang w:val="en-US" w:eastAsia="zh-CN"/>
              </w:rPr>
              <w:t>3.30</w:t>
            </w:r>
            <w:r>
              <w:rPr>
                <w:rFonts w:hint="eastAsia"/>
                <w:bCs/>
                <w:color w:val="auto"/>
                <w:sz w:val="21"/>
                <w:szCs w:val="21"/>
                <w:highlight w:val="none"/>
                <w:lang w:eastAsia="zh-CN"/>
              </w:rPr>
              <w:t>支持线性静力学、正常模态、屈曲、热、强迫响应动力学和非线性静力学分析，求解器环境支持导入MSC Nastran数据、Ansys数据、Abaqus数据。</w:t>
            </w:r>
          </w:p>
        </w:tc>
        <w:tc>
          <w:tcPr>
            <w:tcW w:w="81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1" w:type="dxa"/>
            <w:shd w:val="clear" w:color="auto" w:fill="auto"/>
            <w:vAlign w:val="top"/>
          </w:tcPr>
          <w:p>
            <w:pPr>
              <w:pStyle w:val="139"/>
              <w:keepNext w:val="0"/>
              <w:keepLines w:val="0"/>
              <w:pageBreakBefore w:val="0"/>
              <w:kinsoku/>
              <w:wordWrap/>
              <w:overflowPunct/>
              <w:topLinePunct w:val="0"/>
              <w:autoSpaceDE/>
              <w:autoSpaceDN/>
              <w:bidi w:val="0"/>
              <w:adjustRightInd/>
              <w:snapToGrid/>
              <w:spacing w:before="69" w:line="360" w:lineRule="exact"/>
              <w:ind w:left="305" w:leftChars="0"/>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c>
          <w:tcPr>
            <w:tcW w:w="1183" w:type="dxa"/>
            <w:shd w:val="clear" w:color="auto" w:fill="auto"/>
            <w:vAlign w:val="top"/>
          </w:tcPr>
          <w:p>
            <w:pPr>
              <w:pStyle w:val="139"/>
              <w:keepNext w:val="0"/>
              <w:keepLines w:val="0"/>
              <w:pageBreakBefore w:val="0"/>
              <w:kinsoku/>
              <w:wordWrap/>
              <w:overflowPunct/>
              <w:topLinePunct w:val="0"/>
              <w:autoSpaceDE/>
              <w:autoSpaceDN/>
              <w:bidi w:val="0"/>
              <w:adjustRightInd/>
              <w:snapToGrid/>
              <w:spacing w:before="68" w:line="360" w:lineRule="exact"/>
              <w:ind w:right="114" w:rightChars="0"/>
              <w:rPr>
                <w:color w:val="auto"/>
                <w:spacing w:val="-2"/>
                <w:sz w:val="21"/>
                <w:szCs w:val="21"/>
                <w:highlight w:val="none"/>
              </w:rPr>
            </w:pPr>
            <w:r>
              <w:rPr>
                <w:rFonts w:hint="eastAsia"/>
                <w:color w:val="auto"/>
                <w:spacing w:val="-2"/>
                <w:sz w:val="21"/>
                <w:szCs w:val="21"/>
                <w:highlight w:val="none"/>
                <w:lang w:val="en-US" w:eastAsia="zh-CN"/>
              </w:rPr>
              <w:t>配套附件</w:t>
            </w:r>
          </w:p>
        </w:tc>
        <w:tc>
          <w:tcPr>
            <w:tcW w:w="750" w:type="dxa"/>
            <w:shd w:val="clear" w:color="auto" w:fill="auto"/>
            <w:vAlign w:val="top"/>
          </w:tcPr>
          <w:p>
            <w:pPr>
              <w:pStyle w:val="139"/>
              <w:keepNext w:val="0"/>
              <w:keepLines w:val="0"/>
              <w:pageBreakBefore w:val="0"/>
              <w:kinsoku/>
              <w:wordWrap/>
              <w:overflowPunct/>
              <w:topLinePunct w:val="0"/>
              <w:autoSpaceDE/>
              <w:autoSpaceDN/>
              <w:bidi w:val="0"/>
              <w:adjustRightInd/>
              <w:snapToGrid/>
              <w:spacing w:before="68" w:line="360" w:lineRule="exact"/>
              <w:ind w:left="192" w:leftChars="0"/>
              <w:rPr>
                <w:rFonts w:hint="eastAsia" w:eastAsia="宋体"/>
                <w:color w:val="auto"/>
                <w:sz w:val="21"/>
                <w:szCs w:val="21"/>
                <w:highlight w:val="none"/>
                <w:lang w:val="en-US" w:eastAsia="zh-CN"/>
              </w:rPr>
            </w:pPr>
            <w:r>
              <w:rPr>
                <w:rFonts w:hint="eastAsia"/>
                <w:color w:val="auto"/>
                <w:sz w:val="21"/>
                <w:szCs w:val="21"/>
                <w:highlight w:val="none"/>
                <w:lang w:val="en-US" w:eastAsia="zh-CN"/>
              </w:rPr>
              <w:t>套</w:t>
            </w:r>
          </w:p>
        </w:tc>
        <w:tc>
          <w:tcPr>
            <w:tcW w:w="786" w:type="dxa"/>
            <w:shd w:val="clear" w:color="auto" w:fill="auto"/>
            <w:vAlign w:val="top"/>
          </w:tcPr>
          <w:p>
            <w:pPr>
              <w:pStyle w:val="139"/>
              <w:keepNext w:val="0"/>
              <w:keepLines w:val="0"/>
              <w:pageBreakBefore w:val="0"/>
              <w:kinsoku/>
              <w:wordWrap/>
              <w:overflowPunct/>
              <w:topLinePunct w:val="0"/>
              <w:autoSpaceDE/>
              <w:autoSpaceDN/>
              <w:bidi w:val="0"/>
              <w:adjustRightInd/>
              <w:snapToGrid/>
              <w:spacing w:before="68" w:line="360" w:lineRule="exact"/>
              <w:ind w:left="243" w:leftChars="0"/>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5564" w:type="dxa"/>
            <w:shd w:val="clear" w:color="auto" w:fill="auto"/>
            <w:vAlign w:val="top"/>
          </w:tcPr>
          <w:p>
            <w:pPr>
              <w:pStyle w:val="139"/>
              <w:keepNext w:val="0"/>
              <w:keepLines w:val="0"/>
              <w:pageBreakBefore w:val="0"/>
              <w:kinsoku/>
              <w:wordWrap/>
              <w:overflowPunct/>
              <w:topLinePunct w:val="0"/>
              <w:autoSpaceDE/>
              <w:autoSpaceDN/>
              <w:bidi w:val="0"/>
              <w:adjustRightInd/>
              <w:snapToGrid/>
              <w:spacing w:before="152" w:line="360" w:lineRule="exact"/>
              <w:ind w:right="133" w:rightChars="0" w:firstLine="0" w:firstLineChars="0"/>
              <w:rPr>
                <w:rFonts w:hint="eastAsia"/>
                <w:bCs/>
                <w:color w:val="auto"/>
                <w:sz w:val="21"/>
                <w:szCs w:val="21"/>
                <w:highlight w:val="none"/>
                <w:lang w:val="en-US" w:eastAsia="zh-CN"/>
              </w:rPr>
            </w:pPr>
            <w:r>
              <w:rPr>
                <w:rFonts w:hint="eastAsia"/>
                <w:bCs/>
                <w:color w:val="auto"/>
                <w:sz w:val="21"/>
                <w:szCs w:val="21"/>
                <w:highlight w:val="none"/>
                <w:lang w:eastAsia="zh-CN"/>
              </w:rPr>
              <w:t>▲</w:t>
            </w:r>
            <w:r>
              <w:rPr>
                <w:rFonts w:hint="eastAsia"/>
                <w:bCs/>
                <w:color w:val="auto"/>
                <w:sz w:val="21"/>
                <w:szCs w:val="21"/>
                <w:highlight w:val="none"/>
                <w:lang w:val="en-US" w:eastAsia="zh-CN"/>
              </w:rPr>
              <w:t>4.1三轴加速度传感器2个</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firstLine="210" w:firstLineChars="100"/>
              <w:rPr>
                <w:rFonts w:hint="eastAsia"/>
                <w:bCs/>
                <w:color w:val="auto"/>
                <w:sz w:val="21"/>
                <w:szCs w:val="21"/>
                <w:highlight w:val="none"/>
                <w:lang w:eastAsia="zh-CN"/>
              </w:rPr>
            </w:pPr>
            <w:r>
              <w:rPr>
                <w:rFonts w:hint="eastAsia"/>
                <w:bCs/>
                <w:color w:val="auto"/>
                <w:sz w:val="21"/>
                <w:szCs w:val="21"/>
                <w:highlight w:val="none"/>
                <w:lang w:val="en-US" w:eastAsia="zh-CN"/>
              </w:rPr>
              <w:t>4.1.1</w:t>
            </w:r>
            <w:r>
              <w:rPr>
                <w:rFonts w:hint="eastAsia"/>
                <w:bCs/>
                <w:color w:val="auto"/>
                <w:sz w:val="21"/>
                <w:szCs w:val="21"/>
                <w:highlight w:val="none"/>
                <w:lang w:eastAsia="zh-CN"/>
              </w:rPr>
              <w:t xml:space="preserve">量程：50g，灵敏度：100mV/g, </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firstLine="210" w:firstLineChars="100"/>
              <w:rPr>
                <w:rFonts w:hint="eastAsia"/>
                <w:bCs/>
                <w:color w:val="auto"/>
                <w:sz w:val="21"/>
                <w:szCs w:val="21"/>
                <w:highlight w:val="none"/>
                <w:lang w:eastAsia="zh-CN"/>
              </w:rPr>
            </w:pPr>
            <w:r>
              <w:rPr>
                <w:rFonts w:hint="eastAsia"/>
                <w:bCs/>
                <w:color w:val="auto"/>
                <w:sz w:val="21"/>
                <w:szCs w:val="21"/>
                <w:highlight w:val="none"/>
                <w:lang w:val="en-US" w:eastAsia="zh-CN"/>
              </w:rPr>
              <w:t>4.1.2</w:t>
            </w:r>
            <w:r>
              <w:rPr>
                <w:rFonts w:hint="eastAsia"/>
                <w:bCs/>
                <w:color w:val="auto"/>
                <w:sz w:val="21"/>
                <w:szCs w:val="21"/>
                <w:highlight w:val="none"/>
                <w:lang w:eastAsia="zh-CN"/>
              </w:rPr>
              <w:t>频率范围</w:t>
            </w:r>
            <w:r>
              <w:rPr>
                <w:rFonts w:hint="eastAsia"/>
                <w:bCs/>
                <w:color w:val="auto"/>
                <w:sz w:val="21"/>
                <w:szCs w:val="21"/>
                <w:highlight w:val="none"/>
                <w:lang w:val="en-US" w:eastAsia="zh-CN"/>
              </w:rPr>
              <w:t>至少</w:t>
            </w:r>
            <w:r>
              <w:rPr>
                <w:rFonts w:hint="eastAsia"/>
                <w:bCs/>
                <w:color w:val="auto"/>
                <w:sz w:val="21"/>
                <w:szCs w:val="21"/>
                <w:highlight w:val="none"/>
                <w:lang w:eastAsia="zh-CN"/>
              </w:rPr>
              <w:t>2 to 5k Hz，</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firstLine="210" w:firstLineChars="100"/>
              <w:rPr>
                <w:rFonts w:hint="eastAsia"/>
                <w:bCs/>
                <w:color w:val="auto"/>
                <w:sz w:val="21"/>
                <w:szCs w:val="21"/>
                <w:highlight w:val="none"/>
                <w:lang w:eastAsia="zh-CN"/>
              </w:rPr>
            </w:pPr>
            <w:r>
              <w:rPr>
                <w:rFonts w:hint="eastAsia"/>
                <w:bCs/>
                <w:color w:val="auto"/>
                <w:sz w:val="21"/>
                <w:szCs w:val="21"/>
                <w:highlight w:val="none"/>
                <w:lang w:val="en-US" w:eastAsia="zh-CN"/>
              </w:rPr>
              <w:t>4.1.3</w:t>
            </w:r>
            <w:r>
              <w:rPr>
                <w:rFonts w:hint="eastAsia"/>
                <w:bCs/>
                <w:color w:val="auto"/>
                <w:sz w:val="21"/>
                <w:szCs w:val="21"/>
                <w:highlight w:val="none"/>
                <w:lang w:eastAsia="zh-CN"/>
              </w:rPr>
              <w:t>重量≤10.5克，</w:t>
            </w:r>
            <w:r>
              <w:rPr>
                <w:rFonts w:hint="eastAsia"/>
                <w:bCs/>
                <w:color w:val="auto"/>
                <w:sz w:val="21"/>
                <w:szCs w:val="21"/>
                <w:highlight w:val="none"/>
                <w:lang w:val="en-US" w:eastAsia="zh-CN"/>
              </w:rPr>
              <w:t>含配套线缆</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firstLine="210" w:firstLineChars="100"/>
              <w:rPr>
                <w:rFonts w:hint="default"/>
                <w:bCs/>
                <w:color w:val="auto"/>
                <w:sz w:val="21"/>
                <w:szCs w:val="21"/>
                <w:highlight w:val="none"/>
                <w:lang w:val="en-US" w:eastAsia="zh-CN"/>
              </w:rPr>
            </w:pPr>
            <w:r>
              <w:rPr>
                <w:rFonts w:hint="eastAsia"/>
                <w:bCs/>
                <w:color w:val="auto"/>
                <w:sz w:val="21"/>
                <w:szCs w:val="21"/>
                <w:highlight w:val="none"/>
                <w:lang w:val="en-US" w:eastAsia="zh-CN"/>
              </w:rPr>
              <w:t>4.1.4</w:t>
            </w:r>
            <w:r>
              <w:rPr>
                <w:rFonts w:hint="eastAsia"/>
                <w:bCs/>
                <w:color w:val="auto"/>
                <w:sz w:val="21"/>
                <w:szCs w:val="21"/>
                <w:highlight w:val="none"/>
                <w:lang w:eastAsia="zh-CN"/>
              </w:rPr>
              <w:t>温度范围：-54 to +121°C</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firstLine="0" w:firstLineChars="0"/>
              <w:rPr>
                <w:rFonts w:hint="eastAsia"/>
                <w:bCs/>
                <w:color w:val="auto"/>
                <w:sz w:val="21"/>
                <w:szCs w:val="21"/>
                <w:highlight w:val="none"/>
                <w:lang w:val="en-US" w:eastAsia="zh-CN"/>
              </w:rPr>
            </w:pPr>
            <w:r>
              <w:rPr>
                <w:rFonts w:hint="eastAsia"/>
                <w:bCs/>
                <w:color w:val="auto"/>
                <w:sz w:val="21"/>
                <w:szCs w:val="21"/>
                <w:highlight w:val="none"/>
                <w:lang w:eastAsia="zh-CN"/>
              </w:rPr>
              <w:t>▲</w:t>
            </w:r>
            <w:r>
              <w:rPr>
                <w:rFonts w:hint="eastAsia"/>
                <w:bCs/>
                <w:color w:val="auto"/>
                <w:sz w:val="21"/>
                <w:szCs w:val="21"/>
                <w:highlight w:val="none"/>
                <w:lang w:val="en-US" w:eastAsia="zh-CN"/>
              </w:rPr>
              <w:t>4.2单轴加速度传感器2个</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firstLine="210" w:firstLineChars="100"/>
              <w:rPr>
                <w:rFonts w:hint="eastAsia"/>
                <w:bCs/>
                <w:color w:val="auto"/>
                <w:sz w:val="21"/>
                <w:szCs w:val="21"/>
                <w:highlight w:val="none"/>
                <w:lang w:eastAsia="zh-CN"/>
              </w:rPr>
            </w:pPr>
            <w:r>
              <w:rPr>
                <w:rFonts w:hint="eastAsia"/>
                <w:bCs/>
                <w:color w:val="auto"/>
                <w:sz w:val="21"/>
                <w:szCs w:val="21"/>
                <w:highlight w:val="none"/>
                <w:lang w:val="en-US" w:eastAsia="zh-CN"/>
              </w:rPr>
              <w:t xml:space="preserve">  4.2.1</w:t>
            </w:r>
            <w:r>
              <w:rPr>
                <w:rFonts w:hint="eastAsia"/>
                <w:bCs/>
                <w:color w:val="auto"/>
                <w:sz w:val="21"/>
                <w:szCs w:val="21"/>
                <w:highlight w:val="none"/>
                <w:lang w:eastAsia="zh-CN"/>
              </w:rPr>
              <w:t xml:space="preserve">量程50g，灵敏度100 mV/g, </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firstLine="210" w:firstLineChars="100"/>
              <w:rPr>
                <w:rFonts w:hint="eastAsia"/>
                <w:bCs/>
                <w:color w:val="auto"/>
                <w:sz w:val="21"/>
                <w:szCs w:val="21"/>
                <w:highlight w:val="none"/>
                <w:lang w:eastAsia="zh-CN"/>
              </w:rPr>
            </w:pPr>
            <w:r>
              <w:rPr>
                <w:rFonts w:hint="eastAsia"/>
                <w:bCs/>
                <w:color w:val="auto"/>
                <w:sz w:val="21"/>
                <w:szCs w:val="21"/>
                <w:highlight w:val="none"/>
                <w:lang w:val="en-US" w:eastAsia="zh-CN"/>
              </w:rPr>
              <w:t>4.2.2 频率范围至少</w:t>
            </w:r>
            <w:r>
              <w:rPr>
                <w:rFonts w:hint="eastAsia"/>
                <w:bCs/>
                <w:color w:val="auto"/>
                <w:sz w:val="21"/>
                <w:szCs w:val="21"/>
                <w:highlight w:val="none"/>
                <w:lang w:eastAsia="zh-CN"/>
              </w:rPr>
              <w:t>0.5 Hz to 10k Hz，</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firstLine="210" w:firstLineChars="100"/>
              <w:rPr>
                <w:rFonts w:hint="default"/>
                <w:bCs/>
                <w:color w:val="auto"/>
                <w:sz w:val="21"/>
                <w:szCs w:val="21"/>
                <w:highlight w:val="none"/>
                <w:lang w:val="en-US" w:eastAsia="zh-CN"/>
              </w:rPr>
            </w:pPr>
            <w:r>
              <w:rPr>
                <w:rFonts w:hint="eastAsia"/>
                <w:bCs/>
                <w:color w:val="auto"/>
                <w:sz w:val="21"/>
                <w:szCs w:val="21"/>
                <w:highlight w:val="none"/>
                <w:lang w:val="en-US" w:eastAsia="zh-CN"/>
              </w:rPr>
              <w:t>4.2.3</w:t>
            </w:r>
            <w:r>
              <w:rPr>
                <w:rFonts w:hint="eastAsia"/>
                <w:bCs/>
                <w:color w:val="auto"/>
                <w:sz w:val="21"/>
                <w:szCs w:val="21"/>
                <w:highlight w:val="none"/>
                <w:lang w:eastAsia="zh-CN"/>
              </w:rPr>
              <w:t>重</w:t>
            </w:r>
            <w:r>
              <w:rPr>
                <w:rFonts w:hint="eastAsia"/>
                <w:bCs/>
                <w:color w:val="auto"/>
                <w:sz w:val="21"/>
                <w:szCs w:val="21"/>
                <w:highlight w:val="none"/>
                <w:lang w:val="en-US" w:eastAsia="zh-CN"/>
              </w:rPr>
              <w:t>量</w:t>
            </w:r>
            <w:r>
              <w:rPr>
                <w:rFonts w:hint="eastAsia"/>
                <w:bCs/>
                <w:color w:val="auto"/>
                <w:sz w:val="21"/>
                <w:szCs w:val="21"/>
                <w:highlight w:val="none"/>
                <w:lang w:eastAsia="zh-CN"/>
              </w:rPr>
              <w:t>≤5.8克，</w:t>
            </w:r>
            <w:r>
              <w:rPr>
                <w:rFonts w:hint="eastAsia"/>
                <w:bCs/>
                <w:color w:val="auto"/>
                <w:sz w:val="21"/>
                <w:szCs w:val="21"/>
                <w:highlight w:val="none"/>
                <w:lang w:val="en-US" w:eastAsia="zh-CN"/>
              </w:rPr>
              <w:t>含配套</w:t>
            </w:r>
            <w:r>
              <w:rPr>
                <w:rFonts w:hint="eastAsia"/>
                <w:bCs/>
                <w:color w:val="auto"/>
                <w:sz w:val="21"/>
                <w:szCs w:val="21"/>
                <w:highlight w:val="none"/>
                <w:lang w:eastAsia="zh-CN"/>
              </w:rPr>
              <w:t>线缆</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firstLine="0" w:firstLineChars="0"/>
              <w:rPr>
                <w:rFonts w:hint="eastAsia"/>
                <w:bCs/>
                <w:color w:val="auto"/>
                <w:sz w:val="21"/>
                <w:szCs w:val="21"/>
                <w:highlight w:val="none"/>
                <w:lang w:val="en-US" w:eastAsia="zh-CN"/>
              </w:rPr>
            </w:pPr>
            <w:r>
              <w:rPr>
                <w:rFonts w:hint="eastAsia"/>
                <w:bCs/>
                <w:color w:val="auto"/>
                <w:sz w:val="21"/>
                <w:szCs w:val="21"/>
                <w:highlight w:val="none"/>
                <w:lang w:eastAsia="zh-CN"/>
              </w:rPr>
              <w:t>▲</w:t>
            </w:r>
            <w:r>
              <w:rPr>
                <w:rFonts w:hint="eastAsia"/>
                <w:bCs/>
                <w:color w:val="auto"/>
                <w:sz w:val="21"/>
                <w:szCs w:val="21"/>
                <w:highlight w:val="none"/>
                <w:lang w:val="en-US" w:eastAsia="zh-CN"/>
              </w:rPr>
              <w:t>4.3测试工作站1台</w:t>
            </w:r>
          </w:p>
          <w:p>
            <w:pPr>
              <w:pStyle w:val="139"/>
              <w:keepNext w:val="0"/>
              <w:keepLines w:val="0"/>
              <w:pageBreakBefore w:val="0"/>
              <w:kinsoku/>
              <w:wordWrap/>
              <w:overflowPunct/>
              <w:topLinePunct w:val="0"/>
              <w:autoSpaceDE/>
              <w:autoSpaceDN/>
              <w:bidi w:val="0"/>
              <w:adjustRightInd/>
              <w:snapToGrid/>
              <w:spacing w:before="152" w:line="360" w:lineRule="exact"/>
              <w:ind w:left="630" w:leftChars="100" w:right="133" w:rightChars="0" w:hanging="420" w:hangingChars="200"/>
              <w:rPr>
                <w:rFonts w:hint="eastAsia"/>
                <w:bCs/>
                <w:color w:val="auto"/>
                <w:sz w:val="21"/>
                <w:szCs w:val="21"/>
                <w:highlight w:val="none"/>
                <w:lang w:val="en-US" w:eastAsia="zh-CN"/>
              </w:rPr>
            </w:pPr>
            <w:r>
              <w:rPr>
                <w:rFonts w:hint="eastAsia"/>
                <w:bCs/>
                <w:color w:val="auto"/>
                <w:sz w:val="21"/>
                <w:szCs w:val="21"/>
                <w:highlight w:val="none"/>
                <w:lang w:val="en-US" w:eastAsia="zh-CN"/>
              </w:rPr>
              <w:t>4.3.1至少64 核心  ，128 线程，支持 CPU渲染、科学计算、编译、虚拟化。</w:t>
            </w:r>
          </w:p>
          <w:p>
            <w:pPr>
              <w:pStyle w:val="139"/>
              <w:keepNext w:val="0"/>
              <w:keepLines w:val="0"/>
              <w:pageBreakBefore w:val="0"/>
              <w:kinsoku/>
              <w:wordWrap/>
              <w:overflowPunct/>
              <w:topLinePunct w:val="0"/>
              <w:autoSpaceDE/>
              <w:autoSpaceDN/>
              <w:bidi w:val="0"/>
              <w:adjustRightInd/>
              <w:snapToGrid/>
              <w:spacing w:before="152" w:line="360" w:lineRule="exact"/>
              <w:ind w:left="630" w:leftChars="100" w:right="133" w:rightChars="0" w:hanging="420" w:hangingChars="200"/>
              <w:rPr>
                <w:rFonts w:hint="eastAsia"/>
                <w:bCs/>
                <w:color w:val="auto"/>
                <w:sz w:val="21"/>
                <w:szCs w:val="21"/>
                <w:highlight w:val="none"/>
                <w:lang w:val="en-US" w:eastAsia="zh-CN"/>
              </w:rPr>
            </w:pPr>
            <w:r>
              <w:rPr>
                <w:rFonts w:hint="eastAsia"/>
                <w:bCs/>
                <w:color w:val="auto"/>
                <w:sz w:val="21"/>
                <w:szCs w:val="21"/>
                <w:highlight w:val="none"/>
                <w:lang w:val="en-US" w:eastAsia="zh-CN"/>
              </w:rPr>
              <w:t xml:space="preserve">4.3.2基础时钟频率≥2.6 GHz，最大加速时钟频率3.3 GHz </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firstLine="210" w:firstLineChars="100"/>
              <w:rPr>
                <w:rFonts w:hint="eastAsia"/>
                <w:bCs/>
                <w:color w:val="auto"/>
                <w:sz w:val="21"/>
                <w:szCs w:val="21"/>
                <w:highlight w:val="none"/>
                <w:lang w:val="en-US" w:eastAsia="zh-CN"/>
              </w:rPr>
            </w:pPr>
            <w:r>
              <w:rPr>
                <w:rFonts w:hint="eastAsia"/>
                <w:bCs/>
                <w:color w:val="auto"/>
                <w:sz w:val="21"/>
                <w:szCs w:val="21"/>
                <w:highlight w:val="none"/>
                <w:lang w:val="en-US" w:eastAsia="zh-CN"/>
              </w:rPr>
              <w:t>4.3.3内存至少128G（后期可扩展）</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firstLine="210" w:firstLineChars="100"/>
              <w:rPr>
                <w:rFonts w:hint="eastAsia"/>
                <w:bCs/>
                <w:color w:val="auto"/>
                <w:sz w:val="21"/>
                <w:szCs w:val="21"/>
                <w:highlight w:val="none"/>
                <w:lang w:val="en-US" w:eastAsia="zh-CN"/>
              </w:rPr>
            </w:pPr>
            <w:r>
              <w:rPr>
                <w:rFonts w:hint="eastAsia"/>
                <w:bCs/>
                <w:color w:val="auto"/>
                <w:sz w:val="21"/>
                <w:szCs w:val="21"/>
                <w:highlight w:val="none"/>
                <w:lang w:val="en-US" w:eastAsia="zh-CN"/>
              </w:rPr>
              <w:t>4.3.4硬盘至少4T固态，至少4T机械（后期可扩展）</w:t>
            </w:r>
          </w:p>
          <w:p>
            <w:pPr>
              <w:pStyle w:val="139"/>
              <w:keepNext w:val="0"/>
              <w:keepLines w:val="0"/>
              <w:pageBreakBefore w:val="0"/>
              <w:kinsoku/>
              <w:wordWrap/>
              <w:overflowPunct/>
              <w:topLinePunct w:val="0"/>
              <w:autoSpaceDE/>
              <w:autoSpaceDN/>
              <w:bidi w:val="0"/>
              <w:adjustRightInd/>
              <w:snapToGrid/>
              <w:spacing w:before="152" w:line="360" w:lineRule="exact"/>
              <w:ind w:right="133" w:rightChars="0"/>
              <w:rPr>
                <w:rFonts w:hint="eastAsia" w:ascii="宋体" w:hAnsi="宋体" w:eastAsia="宋体" w:cs="宋体"/>
                <w:bCs/>
                <w:color w:val="auto"/>
                <w:kern w:val="2"/>
                <w:sz w:val="21"/>
                <w:szCs w:val="21"/>
                <w:highlight w:val="none"/>
                <w:lang w:val="en-US" w:eastAsia="zh-CN" w:bidi="ar-SA"/>
              </w:rPr>
            </w:pPr>
            <w:r>
              <w:rPr>
                <w:rFonts w:hint="eastAsia"/>
                <w:bCs/>
                <w:color w:val="auto"/>
                <w:sz w:val="21"/>
                <w:szCs w:val="21"/>
                <w:highlight w:val="none"/>
                <w:lang w:val="en-US" w:eastAsia="zh-CN"/>
              </w:rPr>
              <w:t>4.3.5显卡至少4090 24G以上。</w:t>
            </w:r>
          </w:p>
        </w:tc>
        <w:tc>
          <w:tcPr>
            <w:tcW w:w="817"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p>
        </w:tc>
      </w:tr>
    </w:tbl>
    <w:tbl>
      <w:tblPr>
        <w:tblStyle w:val="36"/>
        <w:tblpPr w:leftFromText="180" w:rightFromText="180" w:vertAnchor="text" w:horzAnchor="margin" w:tblpXSpec="center" w:tblpY="1"/>
        <w:tblW w:w="9739" w:type="dxa"/>
        <w:jc w:val="center"/>
        <w:tblLayout w:type="fixed"/>
        <w:tblCellMar>
          <w:top w:w="0" w:type="dxa"/>
          <w:left w:w="108" w:type="dxa"/>
          <w:bottom w:w="0" w:type="dxa"/>
          <w:right w:w="108" w:type="dxa"/>
        </w:tblCellMar>
      </w:tblPr>
      <w:tblGrid>
        <w:gridCol w:w="1622"/>
        <w:gridCol w:w="8117"/>
      </w:tblGrid>
      <w:tr>
        <w:tblPrEx>
          <w:tblCellMar>
            <w:top w:w="0" w:type="dxa"/>
            <w:left w:w="108" w:type="dxa"/>
            <w:bottom w:w="0" w:type="dxa"/>
            <w:right w:w="108" w:type="dxa"/>
          </w:tblCellMar>
        </w:tblPrEx>
        <w:trPr>
          <w:trHeight w:val="551" w:hRule="atLeast"/>
          <w:jc w:val="center"/>
        </w:trPr>
        <w:tc>
          <w:tcPr>
            <w:tcW w:w="973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b/>
                <w:bCs/>
                <w:color w:val="auto"/>
                <w:kern w:val="0"/>
                <w:sz w:val="21"/>
                <w:szCs w:val="21"/>
                <w:highlight w:val="none"/>
              </w:rPr>
            </w:pPr>
            <w:r>
              <w:rPr>
                <w:color w:val="auto"/>
                <w:sz w:val="20"/>
                <w:szCs w:val="20"/>
                <w:highlight w:val="none"/>
              </w:rPr>
              <w:t>▲</w:t>
            </w:r>
            <w:r>
              <w:rPr>
                <w:rFonts w:hint="eastAsia" w:ascii="宋体" w:hAnsi="宋体" w:eastAsia="宋体" w:cs="宋体"/>
                <w:color w:val="auto"/>
                <w:kern w:val="0"/>
                <w:sz w:val="21"/>
                <w:szCs w:val="21"/>
                <w:highlight w:val="none"/>
              </w:rPr>
              <w:t>二、商务要求表</w:t>
            </w:r>
          </w:p>
        </w:tc>
      </w:tr>
      <w:tr>
        <w:tblPrEx>
          <w:tblCellMar>
            <w:top w:w="0" w:type="dxa"/>
            <w:left w:w="108" w:type="dxa"/>
            <w:bottom w:w="0" w:type="dxa"/>
            <w:right w:w="108" w:type="dxa"/>
          </w:tblCellMar>
        </w:tblPrEx>
        <w:trPr>
          <w:trHeight w:val="1169" w:hRule="atLeast"/>
          <w:jc w:val="center"/>
        </w:trPr>
        <w:tc>
          <w:tcPr>
            <w:tcW w:w="1622"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要求</w:t>
            </w:r>
          </w:p>
        </w:tc>
        <w:tc>
          <w:tcPr>
            <w:tcW w:w="8117" w:type="dxa"/>
            <w:tcBorders>
              <w:top w:val="single" w:color="auto" w:sz="4" w:space="0"/>
              <w:left w:val="nil"/>
              <w:bottom w:val="single" w:color="auto" w:sz="4" w:space="0"/>
              <w:right w:val="single" w:color="000000" w:sz="4" w:space="0"/>
            </w:tcBorders>
            <w:vAlign w:val="center"/>
          </w:tcPr>
          <w:p>
            <w:pPr>
              <w:keepNext w:val="0"/>
              <w:keepLines w:val="0"/>
              <w:pageBreakBefore w:val="0"/>
              <w:numPr>
                <w:ilvl w:val="0"/>
                <w:numId w:val="2"/>
              </w:numPr>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合同签订期：自</w:t>
            </w:r>
            <w:r>
              <w:rPr>
                <w:rFonts w:hint="eastAsia" w:ascii="宋体" w:hAnsi="宋体" w:cs="宋体"/>
                <w:color w:val="auto"/>
                <w:sz w:val="21"/>
                <w:szCs w:val="21"/>
                <w:highlight w:val="none"/>
                <w:lang w:val="en-US" w:eastAsia="zh-CN"/>
              </w:rPr>
              <w:t>成交通知书发出</w:t>
            </w:r>
            <w:r>
              <w:rPr>
                <w:rFonts w:hint="eastAsia" w:ascii="宋体" w:hAnsi="宋体" w:eastAsia="宋体" w:cs="宋体"/>
                <w:color w:val="auto"/>
                <w:sz w:val="21"/>
                <w:szCs w:val="21"/>
                <w:highlight w:val="none"/>
              </w:rPr>
              <w:t>之日起</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日内签订合同。</w:t>
            </w:r>
          </w:p>
          <w:p>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2、交付期：自签订合同之日起</w:t>
            </w:r>
            <w:r>
              <w:rPr>
                <w:rFonts w:hint="eastAsia" w:ascii="宋体" w:hAnsi="宋体" w:cs="宋体"/>
                <w:color w:val="auto"/>
                <w:sz w:val="21"/>
                <w:szCs w:val="21"/>
                <w:highlight w:val="none"/>
                <w:lang w:val="en-US" w:eastAsia="zh-CN"/>
              </w:rPr>
              <w:t>120</w:t>
            </w:r>
            <w:r>
              <w:rPr>
                <w:rFonts w:hint="eastAsia" w:ascii="宋体" w:hAnsi="宋体" w:eastAsia="宋体" w:cs="宋体"/>
                <w:color w:val="auto"/>
                <w:sz w:val="21"/>
                <w:szCs w:val="21"/>
                <w:highlight w:val="none"/>
              </w:rPr>
              <w:t>日内安装调试完毕，验收合格并交付使用。具体交付时间以</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书面通知为准，</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应确保货物按时到达指定地 点。</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3、交货地点：</w:t>
            </w:r>
            <w:r>
              <w:rPr>
                <w:rFonts w:hint="eastAsia" w:ascii="宋体" w:hAnsi="宋体" w:cs="宋体"/>
                <w:color w:val="auto"/>
                <w:sz w:val="21"/>
                <w:szCs w:val="21"/>
                <w:highlight w:val="none"/>
                <w:lang w:eastAsia="zh-CN"/>
              </w:rPr>
              <w:t>柳州市</w:t>
            </w:r>
            <w:r>
              <w:rPr>
                <w:rFonts w:hint="eastAsia" w:ascii="宋体" w:hAnsi="宋体" w:eastAsia="宋体" w:cs="宋体"/>
                <w:color w:val="auto"/>
                <w:sz w:val="21"/>
                <w:szCs w:val="21"/>
                <w:highlight w:val="none"/>
              </w:rPr>
              <w:t>内</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人指定地点。</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负责卸货、安装调试至正常使用状态。运输、装卸、安装等费用由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承担。</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、维修响应：提供7×24小时热线电话和远程技术支持服务，对于远程无法解决的问题，需安排资深技术人员到现场解决。</w:t>
            </w:r>
          </w:p>
        </w:tc>
      </w:tr>
      <w:tr>
        <w:tblPrEx>
          <w:tblCellMar>
            <w:top w:w="0" w:type="dxa"/>
            <w:left w:w="108" w:type="dxa"/>
            <w:bottom w:w="0" w:type="dxa"/>
            <w:right w:w="108" w:type="dxa"/>
          </w:tblCellMar>
        </w:tblPrEx>
        <w:trPr>
          <w:trHeight w:val="1169" w:hRule="atLeast"/>
          <w:jc w:val="center"/>
        </w:trPr>
        <w:tc>
          <w:tcPr>
            <w:tcW w:w="1622"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质保要求</w:t>
            </w:r>
          </w:p>
        </w:tc>
        <w:tc>
          <w:tcPr>
            <w:tcW w:w="8117" w:type="dxa"/>
            <w:tcBorders>
              <w:top w:val="single" w:color="auto" w:sz="4" w:space="0"/>
              <w:left w:val="nil"/>
              <w:bottom w:val="single" w:color="auto" w:sz="4" w:space="0"/>
              <w:right w:val="single" w:color="000000" w:sz="4" w:space="0"/>
            </w:tcBorders>
            <w:vAlign w:val="center"/>
          </w:tcPr>
          <w:p>
            <w:pPr>
              <w:keepNext w:val="0"/>
              <w:keepLines w:val="0"/>
              <w:pageBreakBefore w:val="0"/>
              <w:numPr>
                <w:ilvl w:val="0"/>
                <w:numId w:val="3"/>
              </w:numPr>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r>
              <w:rPr>
                <w:rFonts w:hint="eastAsia" w:ascii="宋体" w:hAnsi="宋体" w:cs="宋体"/>
                <w:color w:val="auto"/>
                <w:sz w:val="21"/>
                <w:szCs w:val="21"/>
                <w:highlight w:val="none"/>
                <w:lang w:eastAsia="zh-CN"/>
              </w:rPr>
              <w:t>至少</w:t>
            </w:r>
            <w:r>
              <w:rPr>
                <w:rFonts w:hint="eastAsia" w:ascii="宋体" w:hAnsi="宋体" w:eastAsia="宋体" w:cs="宋体"/>
                <w:color w:val="auto"/>
                <w:sz w:val="21"/>
                <w:szCs w:val="21"/>
                <w:highlight w:val="none"/>
              </w:rPr>
              <w:t>1年，质保期自设备到货验收之日起计算，质保期内提供产品免费技术支持售后服务，软件产品包括免费升级。</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质量保证及售后服务</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(1)自项目验收通过之日起计算，所有产品均须由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提供1年保修期内的整机原厂保修服务，保修期自双方代表在产品验收单上签字之日起计算。保修期内，保修费用计入本合同总价。</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(2)保修期内，</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负责对其提供的产品整机进行维修，并且保证每年上门检修一次，不再向采购人收取费用。</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(3)产品故障报修的响应时间：每天8:30～18:00期间为4小时，其余期间为18小时。若电话中无法解决，24小时内到达现场进行维护。</w:t>
            </w:r>
          </w:p>
          <w:p>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(4)如果产品故障在检修4小时后仍无法排除，</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应在48小时内到现场维护。</w:t>
            </w:r>
          </w:p>
        </w:tc>
      </w:tr>
      <w:tr>
        <w:tblPrEx>
          <w:tblCellMar>
            <w:top w:w="0" w:type="dxa"/>
            <w:left w:w="108" w:type="dxa"/>
            <w:bottom w:w="0" w:type="dxa"/>
            <w:right w:w="108" w:type="dxa"/>
          </w:tblCellMar>
        </w:tblPrEx>
        <w:trPr>
          <w:trHeight w:val="1169" w:hRule="atLeast"/>
          <w:jc w:val="center"/>
        </w:trPr>
        <w:tc>
          <w:tcPr>
            <w:tcW w:w="1622"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eastAsia="宋体" w:cs="宋体"/>
                <w:color w:val="auto"/>
                <w:sz w:val="21"/>
                <w:szCs w:val="21"/>
                <w:highlight w:val="none"/>
              </w:rPr>
              <w:t>产品安装调试与验收</w:t>
            </w:r>
          </w:p>
        </w:tc>
        <w:tc>
          <w:tcPr>
            <w:tcW w:w="8117" w:type="dxa"/>
            <w:tcBorders>
              <w:top w:val="single" w:color="auto" w:sz="4" w:space="0"/>
              <w:left w:val="nil"/>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(1)安装调试在产品到货后3个工作日内开始进行。</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负责将采购设备运至采购人指定地点，并进行设备的安装与调试；</w:t>
            </w:r>
          </w:p>
          <w:p>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(2)所有产品均须由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送货上门并依照本项目采购文件的要求和本项目</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成交的报价文件的承诺，将设备、系统安装并调试至正常运行的最佳状态。采购人不再支付任何费用。</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须提供原制造商制造的全新产品，整机无污染，无侵权行为、表面无划损、无任何缺陷隐患，完全符合国家的有关质量标准，在中国境内可依常规安全合法使用。</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产品为原厂商未启封全新包装，具出厂合格证，序列号、包装箱号与出厂批号一致，并可追索查阅。每台设备上均应钉有铭牌标签(内容包括：制造商、产品名称、型号规格、出厂日期等)并附有产品质量检验合格标志。</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)产品的到货验收包括：数量、外观质量、随机备件备品、装箱单、随机资料(中文)及产品包装完整无破损。产品验收通过前，外包装数量、质量及外包装内产品数量、质量， 均由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负责。</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)产品验收通过前外包装数量、质量及外包装内产品数量、质量出现问题，</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应负责三包(包修、包换、包退), 费用均由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负责。</w:t>
            </w:r>
          </w:p>
          <w:p>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)设备安装过程中，实施安装的人员人身安全由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负责。</w:t>
            </w:r>
          </w:p>
        </w:tc>
      </w:tr>
      <w:tr>
        <w:tblPrEx>
          <w:tblCellMar>
            <w:top w:w="0" w:type="dxa"/>
            <w:left w:w="108" w:type="dxa"/>
            <w:bottom w:w="0" w:type="dxa"/>
            <w:right w:w="108" w:type="dxa"/>
          </w:tblCellMar>
        </w:tblPrEx>
        <w:trPr>
          <w:trHeight w:val="749" w:hRule="atLeast"/>
          <w:jc w:val="center"/>
        </w:trPr>
        <w:tc>
          <w:tcPr>
            <w:tcW w:w="1622"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培训要求</w:t>
            </w:r>
          </w:p>
        </w:tc>
        <w:tc>
          <w:tcPr>
            <w:tcW w:w="8117" w:type="dxa"/>
            <w:tcBorders>
              <w:top w:val="single" w:color="auto" w:sz="4" w:space="0"/>
              <w:left w:val="nil"/>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产品验收前要进行操作培训，</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派人员到</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现场对用户进行免费培训。</w:t>
            </w:r>
          </w:p>
        </w:tc>
      </w:tr>
      <w:tr>
        <w:tblPrEx>
          <w:tblCellMar>
            <w:top w:w="0" w:type="dxa"/>
            <w:left w:w="108" w:type="dxa"/>
            <w:bottom w:w="0" w:type="dxa"/>
            <w:right w:w="108" w:type="dxa"/>
          </w:tblCellMar>
        </w:tblPrEx>
        <w:trPr>
          <w:trHeight w:val="809" w:hRule="atLeast"/>
          <w:jc w:val="center"/>
        </w:trPr>
        <w:tc>
          <w:tcPr>
            <w:tcW w:w="1622"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验收要求</w:t>
            </w:r>
          </w:p>
        </w:tc>
        <w:tc>
          <w:tcPr>
            <w:tcW w:w="8117" w:type="dxa"/>
            <w:tcBorders>
              <w:top w:val="single" w:color="auto" w:sz="4" w:space="0"/>
              <w:left w:val="nil"/>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在完成本合同各阶段交付内容签收后3个工作日内向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提交验收申请，</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在收到验收申请后在3个工作日内完成验收并向</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出具验收报告。</w:t>
            </w:r>
          </w:p>
        </w:tc>
      </w:tr>
      <w:tr>
        <w:tblPrEx>
          <w:tblCellMar>
            <w:top w:w="0" w:type="dxa"/>
            <w:left w:w="108" w:type="dxa"/>
            <w:bottom w:w="0" w:type="dxa"/>
            <w:right w:w="108" w:type="dxa"/>
          </w:tblCellMar>
        </w:tblPrEx>
        <w:trPr>
          <w:trHeight w:val="856" w:hRule="atLeast"/>
          <w:jc w:val="center"/>
        </w:trPr>
        <w:tc>
          <w:tcPr>
            <w:tcW w:w="1622"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付款</w:t>
            </w:r>
            <w:r>
              <w:rPr>
                <w:rFonts w:hint="eastAsia" w:ascii="宋体" w:hAnsi="宋体" w:cs="宋体"/>
                <w:color w:val="auto"/>
                <w:kern w:val="0"/>
                <w:sz w:val="21"/>
                <w:szCs w:val="21"/>
                <w:highlight w:val="none"/>
                <w:lang w:val="en-US" w:eastAsia="zh-CN"/>
              </w:rPr>
              <w:t>方式</w:t>
            </w:r>
          </w:p>
        </w:tc>
        <w:tc>
          <w:tcPr>
            <w:tcW w:w="8117" w:type="dxa"/>
            <w:tcBorders>
              <w:top w:val="single" w:color="auto" w:sz="4" w:space="0"/>
              <w:left w:val="nil"/>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本项目无预付款，全部货物交货安装调试完毕，验收合格后采购人收到成交供应商有效货物发票后20 个工作日内一次性支付全部货款。</w:t>
            </w:r>
          </w:p>
        </w:tc>
      </w:tr>
      <w:tr>
        <w:tblPrEx>
          <w:tblCellMar>
            <w:top w:w="0" w:type="dxa"/>
            <w:left w:w="108" w:type="dxa"/>
            <w:bottom w:w="0" w:type="dxa"/>
            <w:right w:w="108" w:type="dxa"/>
          </w:tblCellMar>
        </w:tblPrEx>
        <w:trPr>
          <w:trHeight w:val="856" w:hRule="atLeast"/>
          <w:jc w:val="center"/>
        </w:trPr>
        <w:tc>
          <w:tcPr>
            <w:tcW w:w="1622"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进口产品说明</w:t>
            </w:r>
          </w:p>
        </w:tc>
        <w:tc>
          <w:tcPr>
            <w:tcW w:w="8117" w:type="dxa"/>
            <w:tcBorders>
              <w:top w:val="single" w:color="auto" w:sz="4" w:space="0"/>
              <w:left w:val="nil"/>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1.本项目中序号1</w:t>
            </w:r>
            <w:r>
              <w:rPr>
                <w:color w:val="auto"/>
                <w:spacing w:val="-2"/>
                <w:sz w:val="21"/>
                <w:szCs w:val="21"/>
                <w:highlight w:val="none"/>
              </w:rPr>
              <w:t>激光测振仪</w:t>
            </w:r>
            <w:r>
              <w:rPr>
                <w:rFonts w:hint="eastAsia"/>
                <w:color w:val="auto"/>
                <w:spacing w:val="-2"/>
                <w:sz w:val="21"/>
                <w:szCs w:val="21"/>
                <w:highlight w:val="none"/>
                <w:lang w:eastAsia="zh-CN"/>
              </w:rPr>
              <w:t>、</w:t>
            </w:r>
            <w:r>
              <w:rPr>
                <w:rFonts w:hint="eastAsia"/>
                <w:color w:val="auto"/>
                <w:spacing w:val="-2"/>
                <w:sz w:val="21"/>
                <w:szCs w:val="21"/>
                <w:highlight w:val="none"/>
                <w:lang w:val="en-US" w:eastAsia="zh-CN"/>
              </w:rPr>
              <w:t>序号</w:t>
            </w:r>
            <w:r>
              <w:rPr>
                <w:rFonts w:hint="eastAsia" w:ascii="宋体" w:hAnsi="宋体" w:cs="宋体"/>
                <w:b w:val="0"/>
                <w:bCs w:val="0"/>
                <w:color w:val="auto"/>
                <w:kern w:val="0"/>
                <w:sz w:val="21"/>
                <w:szCs w:val="21"/>
                <w:highlight w:val="none"/>
                <w:lang w:val="en-US" w:eastAsia="zh-CN"/>
              </w:rPr>
              <w:t>2</w:t>
            </w:r>
            <w:r>
              <w:rPr>
                <w:rFonts w:hint="eastAsia"/>
                <w:color w:val="auto"/>
                <w:spacing w:val="-2"/>
                <w:sz w:val="21"/>
                <w:szCs w:val="21"/>
                <w:highlight w:val="none"/>
                <w:lang w:val="en-US" w:eastAsia="zh-CN"/>
              </w:rPr>
              <w:t>多</w:t>
            </w:r>
            <w:r>
              <w:rPr>
                <w:color w:val="auto"/>
                <w:spacing w:val="-2"/>
                <w:sz w:val="21"/>
                <w:szCs w:val="21"/>
                <w:highlight w:val="none"/>
              </w:rPr>
              <w:t>通道</w:t>
            </w:r>
            <w:r>
              <w:rPr>
                <w:rFonts w:hint="eastAsia"/>
                <w:color w:val="auto"/>
                <w:spacing w:val="-2"/>
                <w:sz w:val="21"/>
                <w:szCs w:val="21"/>
                <w:highlight w:val="none"/>
                <w:lang w:val="en-US" w:eastAsia="zh-CN"/>
              </w:rPr>
              <w:t>采集器、序号</w:t>
            </w:r>
            <w:r>
              <w:rPr>
                <w:rFonts w:hint="eastAsia" w:ascii="宋体" w:hAnsi="宋体" w:cs="宋体"/>
                <w:b w:val="0"/>
                <w:bCs w:val="0"/>
                <w:color w:val="auto"/>
                <w:kern w:val="0"/>
                <w:sz w:val="21"/>
                <w:szCs w:val="21"/>
                <w:highlight w:val="none"/>
                <w:lang w:val="en-US" w:eastAsia="zh-CN"/>
              </w:rPr>
              <w:t>3</w:t>
            </w:r>
            <w:r>
              <w:rPr>
                <w:color w:val="auto"/>
                <w:spacing w:val="-2"/>
                <w:sz w:val="21"/>
                <w:szCs w:val="21"/>
                <w:highlight w:val="none"/>
              </w:rPr>
              <w:t>激光测振仪分</w:t>
            </w:r>
            <w:r>
              <w:rPr>
                <w:color w:val="auto"/>
                <w:spacing w:val="-3"/>
                <w:sz w:val="21"/>
                <w:szCs w:val="21"/>
                <w:highlight w:val="none"/>
              </w:rPr>
              <w:t>析</w:t>
            </w:r>
            <w:r>
              <w:rPr>
                <w:rFonts w:hint="eastAsia"/>
                <w:color w:val="auto"/>
                <w:spacing w:val="-3"/>
                <w:sz w:val="21"/>
                <w:szCs w:val="21"/>
                <w:highlight w:val="none"/>
                <w:lang w:val="en-US" w:eastAsia="zh-CN"/>
              </w:rPr>
              <w:t>及仿真</w:t>
            </w:r>
            <w:r>
              <w:rPr>
                <w:color w:val="auto"/>
                <w:spacing w:val="-3"/>
                <w:sz w:val="21"/>
                <w:szCs w:val="21"/>
                <w:highlight w:val="none"/>
              </w:rPr>
              <w:t>软件</w:t>
            </w:r>
            <w:r>
              <w:rPr>
                <w:rFonts w:hint="eastAsia" w:ascii="宋体" w:hAnsi="宋体" w:cs="宋体"/>
                <w:b w:val="0"/>
                <w:bCs w:val="0"/>
                <w:color w:val="auto"/>
                <w:kern w:val="0"/>
                <w:sz w:val="21"/>
                <w:szCs w:val="21"/>
                <w:highlight w:val="none"/>
                <w:lang w:val="en-US" w:eastAsia="zh-CN"/>
              </w:rPr>
              <w:t>、序号4</w:t>
            </w:r>
            <w:r>
              <w:rPr>
                <w:rFonts w:hint="eastAsia"/>
                <w:color w:val="auto"/>
                <w:spacing w:val="-2"/>
                <w:sz w:val="21"/>
                <w:szCs w:val="21"/>
                <w:highlight w:val="none"/>
                <w:lang w:val="en-US" w:eastAsia="zh-CN"/>
              </w:rPr>
              <w:t>配套附件</w:t>
            </w:r>
            <w:r>
              <w:rPr>
                <w:rFonts w:hint="eastAsia" w:ascii="宋体" w:hAnsi="宋体" w:eastAsia="宋体" w:cs="宋体"/>
                <w:b w:val="0"/>
                <w:bCs w:val="0"/>
                <w:color w:val="auto"/>
                <w:kern w:val="0"/>
                <w:sz w:val="21"/>
                <w:szCs w:val="21"/>
                <w:highlight w:val="none"/>
              </w:rPr>
              <w:t>已按规定办妥进口产品采购审核手续，</w:t>
            </w:r>
            <w:r>
              <w:rPr>
                <w:rFonts w:hint="eastAsia" w:ascii="宋体" w:hAnsi="宋体" w:cs="宋体"/>
                <w:b w:val="0"/>
                <w:bCs w:val="0"/>
                <w:color w:val="auto"/>
                <w:kern w:val="0"/>
                <w:sz w:val="21"/>
                <w:szCs w:val="21"/>
                <w:highlight w:val="none"/>
                <w:lang w:eastAsia="zh-CN"/>
              </w:rPr>
              <w:t>竞标产品</w:t>
            </w:r>
            <w:r>
              <w:rPr>
                <w:rFonts w:hint="eastAsia" w:ascii="宋体" w:hAnsi="宋体" w:eastAsia="宋体" w:cs="宋体"/>
                <w:b w:val="0"/>
                <w:bCs w:val="0"/>
                <w:color w:val="auto"/>
                <w:kern w:val="0"/>
                <w:sz w:val="21"/>
                <w:szCs w:val="21"/>
                <w:highlight w:val="none"/>
              </w:rPr>
              <w:t>可选用进口产品；如选用进口产品时必须为全套原装进口产品（即通过中国海关报关验放进入中国境内且产自关境外的产品），同时</w:t>
            </w:r>
            <w:r>
              <w:rPr>
                <w:rFonts w:hint="eastAsia" w:ascii="宋体" w:hAnsi="宋体" w:cs="宋体"/>
                <w:b w:val="0"/>
                <w:bCs w:val="0"/>
                <w:color w:val="auto"/>
                <w:kern w:val="0"/>
                <w:sz w:val="21"/>
                <w:szCs w:val="21"/>
                <w:highlight w:val="none"/>
                <w:lang w:eastAsia="zh-CN"/>
              </w:rPr>
              <w:t>供应商</w:t>
            </w:r>
            <w:r>
              <w:rPr>
                <w:rFonts w:hint="eastAsia" w:ascii="宋体" w:hAnsi="宋体" w:eastAsia="宋体" w:cs="宋体"/>
                <w:b w:val="0"/>
                <w:bCs w:val="0"/>
                <w:color w:val="auto"/>
                <w:kern w:val="0"/>
                <w:sz w:val="21"/>
                <w:szCs w:val="21"/>
                <w:highlight w:val="none"/>
              </w:rPr>
              <w:t>必须负责办理进口产品所有相关手续并承担所有费用。优先采购向我国企业转让技术、与我国企业签订消化吸收再创新方案的供应商的进口产品。</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2.本项目除上述允许进口产品参与</w:t>
            </w:r>
            <w:r>
              <w:rPr>
                <w:rFonts w:hint="eastAsia" w:ascii="宋体" w:hAnsi="宋体" w:cs="宋体"/>
                <w:b w:val="0"/>
                <w:bCs w:val="0"/>
                <w:color w:val="auto"/>
                <w:kern w:val="0"/>
                <w:sz w:val="21"/>
                <w:szCs w:val="21"/>
                <w:highlight w:val="none"/>
                <w:lang w:val="en-US" w:eastAsia="zh-CN"/>
              </w:rPr>
              <w:t>竞标</w:t>
            </w:r>
            <w:r>
              <w:rPr>
                <w:rFonts w:hint="eastAsia" w:ascii="宋体" w:hAnsi="宋体" w:eastAsia="宋体" w:cs="宋体"/>
                <w:b w:val="0"/>
                <w:bCs w:val="0"/>
                <w:color w:val="auto"/>
                <w:kern w:val="0"/>
                <w:sz w:val="21"/>
                <w:szCs w:val="21"/>
                <w:highlight w:val="none"/>
              </w:rPr>
              <w:t>外，其余产品不接受进口产品（即通过中国海关报关验放进入中国境内且产自关境外的产品）参与</w:t>
            </w:r>
            <w:r>
              <w:rPr>
                <w:rFonts w:hint="eastAsia" w:ascii="宋体" w:hAnsi="宋体" w:cs="宋体"/>
                <w:b w:val="0"/>
                <w:bCs w:val="0"/>
                <w:color w:val="auto"/>
                <w:kern w:val="0"/>
                <w:sz w:val="21"/>
                <w:szCs w:val="21"/>
                <w:highlight w:val="none"/>
                <w:lang w:val="en-US" w:eastAsia="zh-CN"/>
              </w:rPr>
              <w:t>竞标</w:t>
            </w:r>
            <w:r>
              <w:rPr>
                <w:rFonts w:hint="eastAsia" w:ascii="宋体" w:hAnsi="宋体" w:eastAsia="宋体" w:cs="宋体"/>
                <w:b w:val="0"/>
                <w:bCs w:val="0"/>
                <w:color w:val="auto"/>
                <w:kern w:val="0"/>
                <w:sz w:val="21"/>
                <w:szCs w:val="21"/>
                <w:highlight w:val="none"/>
              </w:rPr>
              <w:t>，如有进口产品参与</w:t>
            </w:r>
            <w:r>
              <w:rPr>
                <w:rFonts w:hint="eastAsia" w:ascii="宋体" w:hAnsi="宋体" w:cs="宋体"/>
                <w:b w:val="0"/>
                <w:bCs w:val="0"/>
                <w:color w:val="auto"/>
                <w:kern w:val="0"/>
                <w:sz w:val="21"/>
                <w:szCs w:val="21"/>
                <w:highlight w:val="none"/>
                <w:lang w:val="en-US" w:eastAsia="zh-CN"/>
              </w:rPr>
              <w:t>竞标</w:t>
            </w:r>
            <w:r>
              <w:rPr>
                <w:rFonts w:hint="eastAsia" w:ascii="宋体" w:hAnsi="宋体" w:eastAsia="宋体" w:cs="宋体"/>
                <w:b w:val="0"/>
                <w:bCs w:val="0"/>
                <w:color w:val="auto"/>
                <w:kern w:val="0"/>
                <w:sz w:val="21"/>
                <w:szCs w:val="21"/>
                <w:highlight w:val="none"/>
              </w:rPr>
              <w:t>的作</w:t>
            </w:r>
            <w:r>
              <w:rPr>
                <w:rFonts w:hint="eastAsia" w:ascii="宋体" w:hAnsi="宋体" w:cs="宋体"/>
                <w:b w:val="0"/>
                <w:bCs w:val="0"/>
                <w:color w:val="auto"/>
                <w:kern w:val="0"/>
                <w:sz w:val="21"/>
                <w:szCs w:val="21"/>
                <w:highlight w:val="none"/>
                <w:lang w:val="en-US" w:eastAsia="zh-CN"/>
              </w:rPr>
              <w:t>竞标</w:t>
            </w:r>
            <w:r>
              <w:rPr>
                <w:rFonts w:hint="eastAsia" w:ascii="宋体" w:hAnsi="宋体" w:eastAsia="宋体" w:cs="宋体"/>
                <w:b w:val="0"/>
                <w:bCs w:val="0"/>
                <w:color w:val="auto"/>
                <w:kern w:val="0"/>
                <w:sz w:val="21"/>
                <w:szCs w:val="21"/>
                <w:highlight w:val="none"/>
              </w:rPr>
              <w:t>无效处理。</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3.本项目</w:t>
            </w:r>
            <w:r>
              <w:rPr>
                <w:rFonts w:hint="eastAsia" w:ascii="宋体" w:hAnsi="宋体" w:cs="宋体"/>
                <w:b w:val="0"/>
                <w:bCs w:val="0"/>
                <w:color w:val="auto"/>
                <w:kern w:val="0"/>
                <w:sz w:val="21"/>
                <w:szCs w:val="21"/>
                <w:highlight w:val="none"/>
                <w:lang w:eastAsia="zh-CN"/>
              </w:rPr>
              <w:t>竞标产品</w:t>
            </w:r>
            <w:r>
              <w:rPr>
                <w:rFonts w:hint="eastAsia" w:ascii="宋体" w:hAnsi="宋体" w:eastAsia="宋体" w:cs="宋体"/>
                <w:b w:val="0"/>
                <w:bCs w:val="0"/>
                <w:color w:val="auto"/>
                <w:kern w:val="0"/>
                <w:sz w:val="21"/>
                <w:szCs w:val="21"/>
                <w:highlight w:val="none"/>
              </w:rPr>
              <w:t>如为进口产品的须在</w:t>
            </w:r>
            <w:r>
              <w:rPr>
                <w:rFonts w:hint="eastAsia" w:ascii="宋体" w:hAnsi="宋体" w:cs="宋体"/>
                <w:b w:val="0"/>
                <w:bCs w:val="0"/>
                <w:color w:val="auto"/>
                <w:kern w:val="0"/>
                <w:sz w:val="21"/>
                <w:szCs w:val="21"/>
                <w:highlight w:val="none"/>
                <w:lang w:val="en-US" w:eastAsia="zh-CN"/>
              </w:rPr>
              <w:t>竞标</w:t>
            </w:r>
            <w:r>
              <w:rPr>
                <w:rFonts w:hint="eastAsia" w:ascii="宋体" w:hAnsi="宋体" w:eastAsia="宋体" w:cs="宋体"/>
                <w:b w:val="0"/>
                <w:bCs w:val="0"/>
                <w:color w:val="auto"/>
                <w:kern w:val="0"/>
                <w:sz w:val="21"/>
                <w:szCs w:val="21"/>
                <w:highlight w:val="none"/>
              </w:rPr>
              <w:t>文件中提供</w:t>
            </w:r>
            <w:r>
              <w:rPr>
                <w:rFonts w:hint="eastAsia" w:ascii="宋体" w:hAnsi="宋体" w:cs="宋体"/>
                <w:b w:val="0"/>
                <w:bCs w:val="0"/>
                <w:color w:val="auto"/>
                <w:kern w:val="0"/>
                <w:sz w:val="21"/>
                <w:szCs w:val="21"/>
                <w:highlight w:val="none"/>
                <w:lang w:eastAsia="zh-CN"/>
              </w:rPr>
              <w:t>竞标产品</w:t>
            </w:r>
            <w:r>
              <w:rPr>
                <w:rFonts w:hint="eastAsia" w:ascii="宋体" w:hAnsi="宋体" w:eastAsia="宋体" w:cs="宋体"/>
                <w:b w:val="0"/>
                <w:bCs w:val="0"/>
                <w:color w:val="auto"/>
                <w:kern w:val="0"/>
                <w:sz w:val="21"/>
                <w:szCs w:val="21"/>
                <w:highlight w:val="none"/>
              </w:rPr>
              <w:t>生产企业或中国总经销或区域总代理对本次</w:t>
            </w:r>
            <w:r>
              <w:rPr>
                <w:rFonts w:hint="eastAsia" w:ascii="宋体" w:hAnsi="宋体" w:cs="宋体"/>
                <w:b w:val="0"/>
                <w:bCs w:val="0"/>
                <w:color w:val="auto"/>
                <w:kern w:val="0"/>
                <w:sz w:val="21"/>
                <w:szCs w:val="21"/>
                <w:highlight w:val="none"/>
                <w:lang w:val="en-US" w:eastAsia="zh-CN"/>
              </w:rPr>
              <w:t>竞标</w:t>
            </w:r>
            <w:r>
              <w:rPr>
                <w:rFonts w:hint="eastAsia" w:ascii="宋体" w:hAnsi="宋体" w:eastAsia="宋体" w:cs="宋体"/>
                <w:b w:val="0"/>
                <w:bCs w:val="0"/>
                <w:color w:val="auto"/>
                <w:kern w:val="0"/>
                <w:sz w:val="21"/>
                <w:szCs w:val="21"/>
                <w:highlight w:val="none"/>
              </w:rPr>
              <w:t>项目产品的</w:t>
            </w:r>
            <w:r>
              <w:rPr>
                <w:rFonts w:hint="eastAsia" w:ascii="宋体" w:hAnsi="宋体" w:cs="宋体"/>
                <w:b w:val="0"/>
                <w:bCs w:val="0"/>
                <w:color w:val="auto"/>
                <w:kern w:val="0"/>
                <w:sz w:val="21"/>
                <w:szCs w:val="21"/>
                <w:highlight w:val="none"/>
                <w:lang w:eastAsia="zh-CN"/>
              </w:rPr>
              <w:t>供应商</w:t>
            </w:r>
            <w:r>
              <w:rPr>
                <w:rFonts w:hint="eastAsia" w:ascii="宋体" w:hAnsi="宋体" w:eastAsia="宋体" w:cs="宋体"/>
                <w:b w:val="0"/>
                <w:bCs w:val="0"/>
                <w:color w:val="auto"/>
                <w:kern w:val="0"/>
                <w:sz w:val="21"/>
                <w:szCs w:val="21"/>
                <w:highlight w:val="none"/>
              </w:rPr>
              <w:t>有效的销售授权证书和售后承诺书扫描件；否则</w:t>
            </w:r>
            <w:r>
              <w:rPr>
                <w:rFonts w:hint="eastAsia" w:ascii="宋体" w:hAnsi="宋体" w:cs="宋体"/>
                <w:b w:val="0"/>
                <w:bCs w:val="0"/>
                <w:color w:val="auto"/>
                <w:kern w:val="0"/>
                <w:sz w:val="21"/>
                <w:szCs w:val="21"/>
                <w:highlight w:val="none"/>
                <w:lang w:val="en-US" w:eastAsia="zh-CN"/>
              </w:rPr>
              <w:t>竞标</w:t>
            </w:r>
            <w:r>
              <w:rPr>
                <w:rFonts w:hint="eastAsia" w:ascii="宋体" w:hAnsi="宋体" w:eastAsia="宋体" w:cs="宋体"/>
                <w:b w:val="0"/>
                <w:bCs w:val="0"/>
                <w:color w:val="auto"/>
                <w:kern w:val="0"/>
                <w:sz w:val="21"/>
                <w:szCs w:val="21"/>
                <w:highlight w:val="none"/>
              </w:rPr>
              <w:t>无效。</w:t>
            </w:r>
          </w:p>
        </w:tc>
      </w:tr>
      <w:tr>
        <w:tblPrEx>
          <w:tblCellMar>
            <w:top w:w="0" w:type="dxa"/>
            <w:left w:w="108" w:type="dxa"/>
            <w:bottom w:w="0" w:type="dxa"/>
            <w:right w:w="108" w:type="dxa"/>
          </w:tblCellMar>
        </w:tblPrEx>
        <w:trPr>
          <w:trHeight w:val="856" w:hRule="atLeast"/>
          <w:jc w:val="center"/>
        </w:trPr>
        <w:tc>
          <w:tcPr>
            <w:tcW w:w="1622"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履约保证金</w:t>
            </w:r>
          </w:p>
        </w:tc>
        <w:tc>
          <w:tcPr>
            <w:tcW w:w="8117" w:type="dxa"/>
            <w:tcBorders>
              <w:top w:val="single" w:color="auto" w:sz="4" w:space="0"/>
              <w:left w:val="nil"/>
              <w:bottom w:val="single" w:color="auto" w:sz="4" w:space="0"/>
              <w:right w:val="single" w:color="000000" w:sz="4" w:space="0"/>
            </w:tcBorders>
            <w:vAlign w:val="center"/>
          </w:tcPr>
          <w:p>
            <w:pPr>
              <w:spacing w:line="276" w:lineRule="auto"/>
              <w:rPr>
                <w:rFonts w:hint="eastAsia" w:hAnsi="宋体"/>
                <w:color w:val="auto"/>
                <w:highlight w:val="none"/>
                <w:lang w:eastAsia="zh-CN"/>
              </w:rPr>
            </w:pPr>
            <w:r>
              <w:rPr>
                <w:rFonts w:hint="eastAsia" w:hAnsi="宋体"/>
                <w:color w:val="auto"/>
                <w:highlight w:val="none"/>
                <w:lang w:val="en-US" w:eastAsia="zh-CN"/>
              </w:rPr>
              <w:t>1</w:t>
            </w:r>
            <w:r>
              <w:rPr>
                <w:rFonts w:hint="eastAsia" w:hAnsi="宋体"/>
                <w:color w:val="auto"/>
                <w:highlight w:val="none"/>
                <w:lang w:eastAsia="zh-CN"/>
              </w:rPr>
              <w:t>．履约保证金金额：合同价款的5%，若成交人是中小企业，则履约保证金按合同价款的2%收取。</w:t>
            </w:r>
          </w:p>
          <w:p>
            <w:pPr>
              <w:spacing w:line="276" w:lineRule="auto"/>
              <w:rPr>
                <w:rFonts w:hint="eastAsia" w:hAnsi="宋体"/>
                <w:color w:val="auto"/>
                <w:highlight w:val="none"/>
                <w:lang w:eastAsia="zh-CN"/>
              </w:rPr>
            </w:pPr>
            <w:r>
              <w:rPr>
                <w:rFonts w:hint="eastAsia" w:hAnsi="宋体"/>
                <w:color w:val="auto"/>
                <w:highlight w:val="none"/>
                <w:lang w:eastAsia="zh-CN"/>
              </w:rPr>
              <w:t>2．履约保证金提交时间及方式：合同签订前 5日内，成交人必须以银行转账、支票、汇票、本票或者金融机构、担保机构出具的保险、保函（含电子保函）等非现金方式向采购人提交履约保证金。</w:t>
            </w:r>
          </w:p>
          <w:p>
            <w:pPr>
              <w:spacing w:line="276" w:lineRule="auto"/>
              <w:rPr>
                <w:rFonts w:hint="eastAsia" w:hAnsi="宋体"/>
                <w:color w:val="auto"/>
                <w:highlight w:val="none"/>
                <w:lang w:eastAsia="zh-CN"/>
              </w:rPr>
            </w:pPr>
            <w:r>
              <w:rPr>
                <w:rFonts w:hint="eastAsia" w:hAnsi="宋体"/>
                <w:color w:val="auto"/>
                <w:highlight w:val="none"/>
                <w:lang w:eastAsia="zh-CN"/>
              </w:rPr>
              <w:t>3．履约保证金退付条件及时间:自项目验收合格之日起至质保期满无质量问题，采购人收到退付履约保证金申请后15个工作日内退还(无息)。</w:t>
            </w:r>
          </w:p>
          <w:p>
            <w:pPr>
              <w:spacing w:line="276" w:lineRule="auto"/>
              <w:rPr>
                <w:rFonts w:hint="eastAsia" w:hAnsi="宋体"/>
                <w:color w:val="auto"/>
                <w:highlight w:val="none"/>
                <w:lang w:eastAsia="zh-CN"/>
              </w:rPr>
            </w:pPr>
            <w:r>
              <w:rPr>
                <w:rFonts w:hint="eastAsia" w:hAnsi="宋体"/>
                <w:color w:val="auto"/>
                <w:highlight w:val="none"/>
                <w:lang w:eastAsia="zh-CN"/>
              </w:rPr>
              <w:t>4．下列情况因履约保证金不能退还或另行处理，所产生的后果由成交人负责：</w:t>
            </w:r>
          </w:p>
          <w:p>
            <w:pPr>
              <w:spacing w:line="276" w:lineRule="auto"/>
              <w:rPr>
                <w:rFonts w:hint="eastAsia" w:hAnsi="宋体"/>
                <w:color w:val="auto"/>
                <w:highlight w:val="none"/>
                <w:lang w:eastAsia="zh-CN"/>
              </w:rPr>
            </w:pPr>
            <w:r>
              <w:rPr>
                <w:rFonts w:hint="eastAsia" w:hAnsi="宋体"/>
                <w:color w:val="auto"/>
                <w:highlight w:val="none"/>
                <w:lang w:eastAsia="zh-CN"/>
              </w:rPr>
              <w:t>（1）履行合同约定权利义务期间，成交人不按合同履行质量保证义务的，采购人有权对采购标的进行更换、维修维保，所需费用从成交人提交的履约保证金中扣除，履约保证金不足以抵扣更换、维修维保费用的，不足部分由成交人承担。同时，采购人保留起诉成交人的权利。</w:t>
            </w:r>
          </w:p>
          <w:p>
            <w:pPr>
              <w:spacing w:line="276" w:lineRule="auto"/>
              <w:rPr>
                <w:rFonts w:hint="eastAsia" w:hAnsi="宋体"/>
                <w:color w:val="auto"/>
                <w:highlight w:val="none"/>
                <w:lang w:eastAsia="zh-CN"/>
              </w:rPr>
            </w:pPr>
            <w:r>
              <w:rPr>
                <w:rFonts w:hint="eastAsia" w:hAnsi="宋体"/>
                <w:color w:val="auto"/>
                <w:highlight w:val="none"/>
                <w:lang w:eastAsia="zh-CN"/>
              </w:rPr>
              <w:t>（2）成交人未履行完合同约定权利义务事项前，成交人变更单位名称、联系方式等不及时告知采购人并提供相关变更材料，造成采购人无法通知成交人的，视成交人自动放弃领回履约保证金权利，采购人有权对履约保证金进行另外处置。</w:t>
            </w:r>
          </w:p>
          <w:p>
            <w:pPr>
              <w:spacing w:line="276" w:lineRule="auto"/>
              <w:rPr>
                <w:rFonts w:hint="eastAsia" w:hAnsi="宋体"/>
                <w:color w:val="auto"/>
                <w:highlight w:val="none"/>
                <w:lang w:eastAsia="zh-CN"/>
              </w:rPr>
            </w:pPr>
            <w:r>
              <w:rPr>
                <w:rFonts w:hint="eastAsia" w:hAnsi="宋体"/>
                <w:color w:val="auto"/>
                <w:highlight w:val="none"/>
                <w:lang w:eastAsia="zh-CN"/>
              </w:rPr>
              <w:t>（3）其他因成交人原因导致履约保证金无法按时退回的情形。</w:t>
            </w:r>
          </w:p>
          <w:p>
            <w:pPr>
              <w:spacing w:line="276" w:lineRule="auto"/>
              <w:rPr>
                <w:rFonts w:hint="eastAsia" w:hAnsi="宋体"/>
                <w:color w:val="auto"/>
                <w:highlight w:val="none"/>
                <w:lang w:eastAsia="zh-CN"/>
              </w:rPr>
            </w:pPr>
            <w:r>
              <w:rPr>
                <w:rFonts w:hint="eastAsia" w:hAnsi="宋体"/>
                <w:color w:val="auto"/>
                <w:highlight w:val="none"/>
                <w:lang w:eastAsia="zh-CN"/>
              </w:rPr>
              <w:t>履约保证金账户:</w:t>
            </w:r>
          </w:p>
          <w:p>
            <w:pPr>
              <w:spacing w:line="276" w:lineRule="auto"/>
              <w:rPr>
                <w:rFonts w:hint="eastAsia" w:hAnsi="宋体"/>
                <w:color w:val="auto"/>
                <w:highlight w:val="none"/>
                <w:lang w:eastAsia="zh-CN"/>
              </w:rPr>
            </w:pPr>
            <w:r>
              <w:rPr>
                <w:rFonts w:hint="eastAsia" w:hAnsi="宋体"/>
                <w:color w:val="auto"/>
                <w:highlight w:val="none"/>
                <w:lang w:eastAsia="zh-CN"/>
              </w:rPr>
              <w:t>全称:广西科技大学</w:t>
            </w:r>
          </w:p>
          <w:p>
            <w:pPr>
              <w:spacing w:line="276" w:lineRule="auto"/>
              <w:rPr>
                <w:rFonts w:hint="eastAsia" w:hAnsi="宋体"/>
                <w:color w:val="auto"/>
                <w:highlight w:val="none"/>
                <w:lang w:eastAsia="zh-CN"/>
              </w:rPr>
            </w:pPr>
            <w:r>
              <w:rPr>
                <w:rFonts w:hint="eastAsia" w:hAnsi="宋体"/>
                <w:color w:val="auto"/>
                <w:highlight w:val="none"/>
                <w:lang w:eastAsia="zh-CN"/>
              </w:rPr>
              <w:t>账号:20-112801040000305</w:t>
            </w:r>
          </w:p>
          <w:p>
            <w:pPr>
              <w:spacing w:line="276" w:lineRule="auto"/>
              <w:rPr>
                <w:rFonts w:hint="eastAsia" w:hAnsi="宋体"/>
                <w:color w:val="auto"/>
                <w:highlight w:val="none"/>
                <w:lang w:eastAsia="zh-CN"/>
              </w:rPr>
            </w:pPr>
            <w:r>
              <w:rPr>
                <w:rFonts w:hint="eastAsia" w:hAnsi="宋体"/>
                <w:color w:val="auto"/>
                <w:highlight w:val="none"/>
                <w:lang w:eastAsia="zh-CN"/>
              </w:rPr>
              <w:t>开户银行:中国农业银行柳州市祥兴支行</w:t>
            </w:r>
          </w:p>
          <w:p>
            <w:pPr>
              <w:spacing w:line="276" w:lineRule="auto"/>
              <w:rPr>
                <w:rFonts w:hint="eastAsia" w:hAnsi="宋体"/>
                <w:color w:val="auto"/>
                <w:highlight w:val="none"/>
                <w:lang w:eastAsia="zh-CN"/>
              </w:rPr>
            </w:pPr>
            <w:r>
              <w:rPr>
                <w:rFonts w:hint="eastAsia" w:hAnsi="宋体"/>
                <w:color w:val="auto"/>
                <w:highlight w:val="none"/>
                <w:lang w:eastAsia="zh-CN"/>
              </w:rPr>
              <w:t>转帐时注明:项目名称+项目编号</w:t>
            </w:r>
          </w:p>
          <w:p>
            <w:pPr>
              <w:spacing w:line="276" w:lineRule="auto"/>
              <w:rPr>
                <w:rFonts w:hint="eastAsia" w:hAnsi="宋体"/>
                <w:color w:val="auto"/>
                <w:highlight w:val="none"/>
                <w:lang w:eastAsia="zh-CN"/>
              </w:rPr>
            </w:pPr>
            <w:r>
              <w:rPr>
                <w:rFonts w:hint="eastAsia" w:hAnsi="宋体"/>
                <w:color w:val="auto"/>
                <w:highlight w:val="none"/>
                <w:lang w:eastAsia="zh-CN"/>
              </w:rPr>
              <w:t>备注：</w:t>
            </w:r>
          </w:p>
          <w:p>
            <w:pPr>
              <w:spacing w:line="276" w:lineRule="auto"/>
              <w:rPr>
                <w:rFonts w:hint="eastAsia" w:hAnsi="宋体"/>
                <w:color w:val="auto"/>
                <w:highlight w:val="none"/>
                <w:lang w:eastAsia="zh-CN"/>
              </w:rPr>
            </w:pPr>
            <w:r>
              <w:rPr>
                <w:rFonts w:hint="eastAsia" w:hAnsi="宋体"/>
                <w:color w:val="auto"/>
                <w:highlight w:val="none"/>
                <w:lang w:eastAsia="zh-CN"/>
              </w:rPr>
              <w:t>1、成交人必须在签订合同前，按照规定提交方式，足额缴纳履约保证金。</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color w:val="auto"/>
                <w:kern w:val="0"/>
                <w:sz w:val="21"/>
                <w:szCs w:val="21"/>
                <w:highlight w:val="none"/>
              </w:rPr>
            </w:pPr>
            <w:r>
              <w:rPr>
                <w:rFonts w:hint="eastAsia" w:hAnsi="宋体"/>
                <w:color w:val="auto"/>
                <w:highlight w:val="none"/>
                <w:lang w:eastAsia="zh-CN"/>
              </w:rPr>
              <w:t>2、成交人未按规定缴纳履约保证金的，暂缓签订合同，责任由成交人承担。</w:t>
            </w:r>
          </w:p>
        </w:tc>
      </w:tr>
    </w:tbl>
    <w:p>
      <w:pPr>
        <w:spacing w:line="360" w:lineRule="exact"/>
        <w:ind w:firstLine="420" w:firstLineChars="200"/>
        <w:rPr>
          <w:rFonts w:ascii="宋体" w:hAnsi="宋体" w:cs="宋体"/>
          <w:color w:val="auto"/>
          <w:szCs w:val="21"/>
          <w:highlight w:val="none"/>
        </w:rPr>
      </w:pPr>
    </w:p>
    <w:p>
      <w:pPr>
        <w:pStyle w:val="2"/>
        <w:rPr>
          <w:rFonts w:hint="eastAsia" w:ascii="微软雅黑" w:hAnsi="微软雅黑" w:eastAsia="微软雅黑" w:cs="微软雅黑"/>
          <w:color w:val="auto"/>
          <w:sz w:val="28"/>
          <w:szCs w:val="28"/>
          <w:highlight w:val="none"/>
        </w:rPr>
      </w:pPr>
    </w:p>
    <w:p>
      <w:pPr>
        <w:pStyle w:val="2"/>
        <w:rPr>
          <w:rFonts w:hint="eastAsia" w:ascii="微软雅黑" w:hAnsi="微软雅黑" w:eastAsia="微软雅黑" w:cs="微软雅黑"/>
          <w:color w:val="auto"/>
          <w:sz w:val="28"/>
          <w:szCs w:val="28"/>
          <w:highlight w:val="none"/>
        </w:rPr>
        <w:sectPr>
          <w:pgSz w:w="11906" w:h="16838"/>
          <w:pgMar w:top="1134" w:right="1134" w:bottom="1134" w:left="1134" w:header="720" w:footer="720" w:gutter="0"/>
          <w:pgNumType w:fmt="decimal"/>
          <w:cols w:space="0" w:num="1"/>
          <w:docGrid w:type="lines" w:linePitch="312" w:charSpace="0"/>
        </w:sectPr>
      </w:pPr>
    </w:p>
    <w:p>
      <w:pPr>
        <w:pStyle w:val="2"/>
        <w:rPr>
          <w:rFonts w:ascii="Arial Unicode MS" w:hAnsi="Arial Unicode MS" w:eastAsia="Arial Unicode MS" w:cs="Arial Unicode MS"/>
          <w:color w:val="auto"/>
          <w:sz w:val="28"/>
          <w:szCs w:val="28"/>
          <w:highlight w:val="none"/>
        </w:rPr>
      </w:pPr>
      <w:r>
        <w:rPr>
          <w:rFonts w:hint="eastAsia" w:ascii="微软雅黑" w:hAnsi="微软雅黑" w:eastAsia="微软雅黑" w:cs="微软雅黑"/>
          <w:color w:val="auto"/>
          <w:sz w:val="28"/>
          <w:szCs w:val="28"/>
          <w:highlight w:val="none"/>
        </w:rPr>
        <w:t>附件</w:t>
      </w:r>
      <w:r>
        <w:rPr>
          <w:rFonts w:hint="eastAsia" w:ascii="Arial Unicode MS" w:hAnsi="Arial Unicode MS" w:eastAsia="Arial Unicode MS" w:cs="Arial Unicode MS"/>
          <w:color w:val="auto"/>
          <w:sz w:val="28"/>
          <w:szCs w:val="28"/>
          <w:highlight w:val="none"/>
        </w:rPr>
        <w:t>1</w:t>
      </w:r>
      <w:r>
        <w:rPr>
          <w:rFonts w:hint="eastAsia" w:ascii="微软雅黑" w:hAnsi="微软雅黑" w:eastAsia="微软雅黑" w:cs="微软雅黑"/>
          <w:color w:val="auto"/>
          <w:sz w:val="28"/>
          <w:szCs w:val="28"/>
          <w:highlight w:val="none"/>
        </w:rPr>
        <w:t>：</w:t>
      </w:r>
    </w:p>
    <w:p>
      <w:pPr>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36"/>
        <w:tblW w:w="9220" w:type="dxa"/>
        <w:jc w:val="center"/>
        <w:tblLayout w:type="autofit"/>
        <w:tblCellMar>
          <w:top w:w="0" w:type="dxa"/>
          <w:left w:w="108" w:type="dxa"/>
          <w:bottom w:w="0" w:type="dxa"/>
          <w:right w:w="108" w:type="dxa"/>
        </w:tblCellMar>
      </w:tblPr>
      <w:tblGrid>
        <w:gridCol w:w="660"/>
        <w:gridCol w:w="1116"/>
        <w:gridCol w:w="1516"/>
        <w:gridCol w:w="1620"/>
        <w:gridCol w:w="4540"/>
      </w:tblGrid>
      <w:tr>
        <w:tblPrEx>
          <w:tblCellMar>
            <w:top w:w="0" w:type="dxa"/>
            <w:left w:w="108" w:type="dxa"/>
            <w:bottom w:w="0" w:type="dxa"/>
            <w:right w:w="108" w:type="dxa"/>
          </w:tblCellMar>
        </w:tblPrEx>
        <w:trPr>
          <w:trHeight w:val="555" w:hRule="atLeast"/>
          <w:jc w:val="center"/>
        </w:trPr>
        <w:tc>
          <w:tcPr>
            <w:tcW w:w="660" w:type="dxa"/>
            <w:tcBorders>
              <w:top w:val="single" w:color="000000" w:sz="8" w:space="0"/>
              <w:left w:val="single" w:color="000000" w:sz="8" w:space="0"/>
              <w:bottom w:val="nil"/>
              <w:right w:val="single" w:color="000000" w:sz="8" w:space="0"/>
            </w:tcBorders>
            <w:noWrap/>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ign w:val="center"/>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ign w:val="center"/>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tblPrEx>
          <w:tblCellMar>
            <w:top w:w="0" w:type="dxa"/>
            <w:left w:w="108" w:type="dxa"/>
            <w:bottom w:w="0" w:type="dxa"/>
            <w:right w:w="108" w:type="dxa"/>
          </w:tblCellMar>
        </w:tblPrEx>
        <w:trPr>
          <w:trHeight w:val="495" w:hRule="atLeast"/>
          <w:jc w:val="center"/>
        </w:trPr>
        <w:tc>
          <w:tcPr>
            <w:tcW w:w="660" w:type="dxa"/>
            <w:vMerge w:val="restart"/>
            <w:tcBorders>
              <w:top w:val="single" w:color="000000" w:sz="8" w:space="0"/>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73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tblPrEx>
          <w:tblCellMar>
            <w:top w:w="0" w:type="dxa"/>
            <w:left w:w="108" w:type="dxa"/>
            <w:bottom w:w="0" w:type="dxa"/>
            <w:right w:w="108" w:type="dxa"/>
          </w:tblCellMar>
        </w:tblPrEx>
        <w:trPr>
          <w:trHeight w:val="73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auto" w:sz="8" w:space="0"/>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auto" w:sz="8" w:space="0"/>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jc w:val="center"/>
        </w:trPr>
        <w:tc>
          <w:tcPr>
            <w:tcW w:w="660" w:type="dxa"/>
            <w:tcBorders>
              <w:top w:val="nil"/>
              <w:left w:val="single" w:color="auto" w:sz="8" w:space="0"/>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tblPrEx>
          <w:tblCellMar>
            <w:top w:w="0" w:type="dxa"/>
            <w:left w:w="108" w:type="dxa"/>
            <w:bottom w:w="0" w:type="dxa"/>
            <w:right w:w="108" w:type="dxa"/>
          </w:tblCellMar>
        </w:tblPrEx>
        <w:trPr>
          <w:trHeight w:val="975" w:hRule="atLeast"/>
          <w:jc w:val="center"/>
        </w:trPr>
        <w:tc>
          <w:tcPr>
            <w:tcW w:w="660" w:type="dxa"/>
            <w:tcBorders>
              <w:top w:val="nil"/>
              <w:left w:val="single" w:color="auto" w:sz="8" w:space="0"/>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auto" w:sz="8" w:space="0"/>
              <w:right w:val="single" w:color="auto"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jc w:val="center"/>
        </w:trPr>
        <w:tc>
          <w:tcPr>
            <w:tcW w:w="660" w:type="dxa"/>
            <w:tcBorders>
              <w:top w:val="nil"/>
              <w:left w:val="single" w:color="auto" w:sz="8" w:space="0"/>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tblPrEx>
          <w:tblCellMar>
            <w:top w:w="0" w:type="dxa"/>
            <w:left w:w="108" w:type="dxa"/>
            <w:bottom w:w="0" w:type="dxa"/>
            <w:right w:w="108" w:type="dxa"/>
          </w:tblCellMar>
        </w:tblPrEx>
        <w:trPr>
          <w:trHeight w:val="285" w:hRule="atLeast"/>
          <w:jc w:val="center"/>
        </w:trPr>
        <w:tc>
          <w:tcPr>
            <w:tcW w:w="660" w:type="dxa"/>
            <w:vMerge w:val="restart"/>
            <w:tcBorders>
              <w:top w:val="nil"/>
              <w:left w:val="single" w:color="auto" w:sz="8" w:space="0"/>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auto" w:sz="8" w:space="0"/>
              <w:bottom w:val="single" w:color="000000"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auto" w:sz="8" w:space="0"/>
              <w:right w:val="single" w:color="auto"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pPr>
        <w:widowControl/>
        <w:rPr>
          <w:rFonts w:ascii="宋体" w:hAnsi="宋体" w:cs="宋体"/>
          <w:color w:val="auto"/>
          <w:sz w:val="20"/>
          <w:szCs w:val="20"/>
          <w:highlight w:val="none"/>
        </w:rPr>
      </w:pPr>
    </w:p>
    <w:p>
      <w:pPr>
        <w:pStyle w:val="2"/>
        <w:spacing w:after="0" w:line="360" w:lineRule="exact"/>
        <w:rPr>
          <w:rFonts w:hAnsi="宋体"/>
          <w:color w:val="auto"/>
          <w:sz w:val="21"/>
          <w:szCs w:val="21"/>
          <w:highlight w:val="none"/>
        </w:rPr>
      </w:pPr>
      <w:r>
        <w:rPr>
          <w:rFonts w:hint="eastAsia"/>
          <w:color w:val="auto"/>
          <w:spacing w:val="-3"/>
          <w:sz w:val="21"/>
          <w:szCs w:val="21"/>
          <w:highlight w:val="none"/>
        </w:rPr>
        <w:t>注：</w:t>
      </w:r>
      <w:r>
        <w:rPr>
          <w:color w:val="auto"/>
          <w:spacing w:val="-3"/>
          <w:sz w:val="21"/>
          <w:szCs w:val="21"/>
          <w:highlight w:val="none"/>
        </w:rPr>
        <w:t>1.</w:t>
      </w:r>
      <w:r>
        <w:rPr>
          <w:rFonts w:hint="eastAsia"/>
          <w:color w:val="auto"/>
          <w:spacing w:val="-3"/>
          <w:sz w:val="21"/>
          <w:szCs w:val="21"/>
          <w:highlight w:val="none"/>
        </w:rPr>
        <w:t>节能产品认证应依据相关国家标准的最新版本，依据国家标准中二级能效（水效）</w:t>
      </w:r>
      <w:r>
        <w:rPr>
          <w:rFonts w:hint="eastAsia"/>
          <w:color w:val="auto"/>
          <w:sz w:val="21"/>
          <w:szCs w:val="21"/>
          <w:highlight w:val="none"/>
        </w:rPr>
        <w:t>指标。</w:t>
      </w:r>
    </w:p>
    <w:p>
      <w:pPr>
        <w:spacing w:line="360" w:lineRule="exact"/>
        <w:ind w:firstLine="420" w:firstLineChars="200"/>
        <w:rPr>
          <w:rFonts w:ascii="宋体" w:hAnsi="宋体" w:cs="宋体"/>
          <w:color w:val="auto"/>
          <w:szCs w:val="21"/>
          <w:highlight w:val="none"/>
        </w:rPr>
      </w:pP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r>
        <w:rPr>
          <w:rFonts w:hAnsi="宋体"/>
          <w:color w:val="auto"/>
          <w:highlight w:val="none"/>
        </w:rPr>
        <w:br w:type="page"/>
      </w:r>
    </w:p>
    <w:p>
      <w:pPr>
        <w:pStyle w:val="2"/>
        <w:spacing w:line="360" w:lineRule="auto"/>
        <w:rPr>
          <w:rFonts w:ascii="Arial Unicode MS" w:hAnsi="Arial Unicode MS" w:eastAsia="Arial Unicode MS" w:cs="Arial Unicode MS"/>
          <w:color w:val="auto"/>
          <w:sz w:val="28"/>
          <w:szCs w:val="28"/>
          <w:highlight w:val="none"/>
        </w:rPr>
      </w:pPr>
      <w:r>
        <w:rPr>
          <w:rFonts w:hint="eastAsia" w:ascii="微软雅黑" w:hAnsi="微软雅黑" w:eastAsia="微软雅黑" w:cs="微软雅黑"/>
          <w:color w:val="auto"/>
          <w:sz w:val="28"/>
          <w:szCs w:val="28"/>
          <w:highlight w:val="none"/>
        </w:rPr>
        <w:t>附件</w:t>
      </w:r>
      <w:r>
        <w:rPr>
          <w:rFonts w:hint="eastAsia" w:ascii="Arial Unicode MS" w:hAnsi="Arial Unicode MS" w:eastAsia="Arial Unicode MS" w:cs="Arial Unicode MS"/>
          <w:color w:val="auto"/>
          <w:sz w:val="28"/>
          <w:szCs w:val="28"/>
          <w:highlight w:val="none"/>
        </w:rPr>
        <w:t>2</w:t>
      </w:r>
      <w:r>
        <w:rPr>
          <w:rFonts w:hint="eastAsia" w:ascii="微软雅黑" w:hAnsi="微软雅黑" w:eastAsia="微软雅黑" w:cs="微软雅黑"/>
          <w:color w:val="auto"/>
          <w:sz w:val="28"/>
          <w:szCs w:val="28"/>
          <w:highlight w:val="none"/>
        </w:rPr>
        <w:t>：</w:t>
      </w:r>
    </w:p>
    <w:p>
      <w:pPr>
        <w:spacing w:line="528" w:lineRule="exact"/>
        <w:jc w:val="center"/>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36"/>
        <w:tblW w:w="9511" w:type="dxa"/>
        <w:jc w:val="center"/>
        <w:tblLayout w:type="fixed"/>
        <w:tblCellMar>
          <w:top w:w="0" w:type="dxa"/>
          <w:left w:w="108" w:type="dxa"/>
          <w:bottom w:w="0" w:type="dxa"/>
          <w:right w:w="108" w:type="dxa"/>
        </w:tblCellMar>
      </w:tblPr>
      <w:tblGrid>
        <w:gridCol w:w="1700"/>
        <w:gridCol w:w="1383"/>
        <w:gridCol w:w="865"/>
        <w:gridCol w:w="2097"/>
        <w:gridCol w:w="2105"/>
        <w:gridCol w:w="1361"/>
      </w:tblGrid>
      <w:tr>
        <w:tblPrEx>
          <w:tblCellMar>
            <w:top w:w="0" w:type="dxa"/>
            <w:left w:w="108" w:type="dxa"/>
            <w:bottom w:w="0" w:type="dxa"/>
            <w:right w:w="108" w:type="dxa"/>
          </w:tblCellMar>
        </w:tblPrEx>
        <w:trPr>
          <w:trHeight w:val="285" w:hRule="atLeast"/>
          <w:jc w:val="center"/>
        </w:trPr>
        <w:tc>
          <w:tcPr>
            <w:tcW w:w="1700" w:type="dxa"/>
            <w:tcBorders>
              <w:top w:val="single" w:color="auto" w:sz="4" w:space="0"/>
              <w:left w:val="single" w:color="auto" w:sz="4" w:space="0"/>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指标名称</w:t>
            </w:r>
          </w:p>
        </w:tc>
        <w:tc>
          <w:tcPr>
            <w:tcW w:w="865" w:type="dxa"/>
            <w:tcBorders>
              <w:top w:val="single" w:color="auto" w:sz="4" w:space="0"/>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计量单位</w:t>
            </w:r>
          </w:p>
        </w:tc>
        <w:tc>
          <w:tcPr>
            <w:tcW w:w="2097" w:type="dxa"/>
            <w:tcBorders>
              <w:top w:val="single" w:color="auto" w:sz="4" w:space="0"/>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中型</w:t>
            </w:r>
          </w:p>
        </w:tc>
        <w:tc>
          <w:tcPr>
            <w:tcW w:w="2105" w:type="dxa"/>
            <w:tcBorders>
              <w:top w:val="single" w:color="auto" w:sz="4" w:space="0"/>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小型</w:t>
            </w:r>
          </w:p>
        </w:tc>
        <w:tc>
          <w:tcPr>
            <w:tcW w:w="1361" w:type="dxa"/>
            <w:tcBorders>
              <w:top w:val="single" w:color="auto" w:sz="4" w:space="0"/>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微型</w:t>
            </w:r>
          </w:p>
        </w:tc>
      </w:tr>
      <w:tr>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农、林、牧、渔</w:t>
            </w: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500≤Y＜20000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50≤Y＜500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Y＜50</w:t>
            </w:r>
          </w:p>
        </w:tc>
      </w:tr>
      <w:tr>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工业</w:t>
            </w: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X＜20</w:t>
            </w:r>
          </w:p>
        </w:tc>
      </w:tr>
      <w:tr>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pPr>
              <w:pStyle w:val="32"/>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2000≤Y＜40000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300≤Y＜2000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Y＜300</w:t>
            </w:r>
          </w:p>
        </w:tc>
      </w:tr>
      <w:tr>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建筑业</w:t>
            </w: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6000≤Y＜80000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300≤Y＜6000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Y＜300</w:t>
            </w:r>
          </w:p>
        </w:tc>
      </w:tr>
      <w:tr>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pPr>
              <w:pStyle w:val="32"/>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5000≤Z＜80000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300≤Z＜5000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Z＜300</w:t>
            </w:r>
          </w:p>
        </w:tc>
      </w:tr>
      <w:tr>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批发业</w:t>
            </w: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20≤X＜200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5≤X＜20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X＜5</w:t>
            </w:r>
          </w:p>
        </w:tc>
      </w:tr>
      <w:tr>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pPr>
              <w:pStyle w:val="32"/>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5000≤Y＜40000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1000≤Y＜5000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Y＜1000</w:t>
            </w:r>
          </w:p>
        </w:tc>
      </w:tr>
      <w:tr>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零售业</w:t>
            </w: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50≤X＜300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10≤X＜50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X＜10</w:t>
            </w:r>
          </w:p>
        </w:tc>
      </w:tr>
      <w:tr>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pPr>
              <w:pStyle w:val="32"/>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500≤Y＜20000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100≤Y＜500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Y＜100</w:t>
            </w:r>
          </w:p>
        </w:tc>
      </w:tr>
      <w:tr>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交通运输业</w:t>
            </w: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X＜20</w:t>
            </w:r>
          </w:p>
        </w:tc>
      </w:tr>
      <w:tr>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pPr>
              <w:pStyle w:val="32"/>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3000≤Y＜30000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200≤Y＜3000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Y＜200</w:t>
            </w:r>
          </w:p>
        </w:tc>
      </w:tr>
      <w:tr>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仓储业</w:t>
            </w: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100≤X＜200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20≤X＜100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X＜20</w:t>
            </w:r>
          </w:p>
        </w:tc>
      </w:tr>
      <w:tr>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pPr>
              <w:pStyle w:val="32"/>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1000≤Y＜30000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100≤Y＜1000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Y＜100</w:t>
            </w:r>
          </w:p>
        </w:tc>
      </w:tr>
      <w:tr>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邮政业</w:t>
            </w: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X＜20</w:t>
            </w:r>
          </w:p>
        </w:tc>
      </w:tr>
      <w:tr>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pPr>
              <w:pStyle w:val="32"/>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2000≤Y＜30000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Y＜100</w:t>
            </w:r>
          </w:p>
        </w:tc>
      </w:tr>
      <w:tr>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住宿业</w:t>
            </w: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X＜10</w:t>
            </w:r>
          </w:p>
        </w:tc>
      </w:tr>
      <w:tr>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pPr>
              <w:pStyle w:val="32"/>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2000≤Y＜10000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Y＜100</w:t>
            </w:r>
          </w:p>
        </w:tc>
      </w:tr>
      <w:tr>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餐饮业</w:t>
            </w: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X＜10</w:t>
            </w:r>
          </w:p>
        </w:tc>
      </w:tr>
      <w:tr>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pPr>
              <w:pStyle w:val="32"/>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2000≤Y＜10000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Y＜100</w:t>
            </w:r>
          </w:p>
        </w:tc>
      </w:tr>
      <w:tr>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信息传输业</w:t>
            </w: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100≤X＜2000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X＜10</w:t>
            </w:r>
          </w:p>
        </w:tc>
      </w:tr>
      <w:tr>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pPr>
              <w:pStyle w:val="32"/>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1000≤Y＜100000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100≤Y＜1000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Y＜100</w:t>
            </w:r>
          </w:p>
        </w:tc>
      </w:tr>
      <w:tr>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软件和信息技术服务业</w:t>
            </w: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X＜10</w:t>
            </w:r>
          </w:p>
        </w:tc>
      </w:tr>
      <w:tr>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pPr>
              <w:pStyle w:val="32"/>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1000≤Y＜10000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50≤Y＜1000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Y＜50</w:t>
            </w:r>
          </w:p>
        </w:tc>
      </w:tr>
      <w:tr>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房地产开发经营</w:t>
            </w: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1000≤Y＜200000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100≤X＜1000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X＜100</w:t>
            </w:r>
          </w:p>
        </w:tc>
      </w:tr>
      <w:tr>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pPr>
              <w:pStyle w:val="32"/>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5000≤Z＜10000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2000≤Y＜5000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Y＜2000</w:t>
            </w:r>
          </w:p>
        </w:tc>
      </w:tr>
      <w:tr>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物业管理</w:t>
            </w: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100≤X＜300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X＜100</w:t>
            </w:r>
          </w:p>
        </w:tc>
      </w:tr>
      <w:tr>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pPr>
              <w:pStyle w:val="32"/>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1000≤Y＜5000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500≤Y＜1000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Y＜500</w:t>
            </w:r>
          </w:p>
        </w:tc>
      </w:tr>
      <w:tr>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租赁和商务服务业</w:t>
            </w: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X＜10</w:t>
            </w:r>
          </w:p>
        </w:tc>
      </w:tr>
      <w:tr>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pPr>
              <w:pStyle w:val="32"/>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8000≤Z＜120000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100≤Z＜8000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Y＜100</w:t>
            </w:r>
          </w:p>
        </w:tc>
      </w:tr>
      <w:tr>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其他未列明行业</w:t>
            </w:r>
          </w:p>
        </w:tc>
        <w:tc>
          <w:tcPr>
            <w:tcW w:w="1383"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pPr>
              <w:pStyle w:val="32"/>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X＜10</w:t>
            </w:r>
          </w:p>
        </w:tc>
      </w:tr>
    </w:tbl>
    <w:p>
      <w:pPr>
        <w:spacing w:line="360" w:lineRule="auto"/>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3"/>
        <w:rPr>
          <w:rFonts w:ascii="宋体" w:hAnsi="宋体"/>
          <w:color w:val="auto"/>
          <w:highlight w:val="none"/>
        </w:rPr>
      </w:pPr>
      <w:bookmarkStart w:id="12" w:name="_Toc17576"/>
      <w:r>
        <w:rPr>
          <w:rFonts w:hint="eastAsia" w:ascii="宋体" w:hAnsi="宋体"/>
          <w:color w:val="auto"/>
          <w:highlight w:val="none"/>
        </w:rPr>
        <w:t>第四章 响应文件格式</w:t>
      </w:r>
      <w:bookmarkEnd w:id="12"/>
    </w:p>
    <w:p>
      <w:pPr>
        <w:snapToGrid w:val="0"/>
        <w:spacing w:before="156" w:beforeLines="50" w:after="50"/>
        <w:rPr>
          <w:rFonts w:ascii="宋体" w:hAnsi="宋体" w:cs="宋体"/>
          <w:b/>
          <w:bCs/>
          <w:color w:val="auto"/>
          <w:szCs w:val="21"/>
          <w:highlight w:val="none"/>
        </w:rPr>
      </w:pPr>
      <w:bookmarkStart w:id="13" w:name="_Toc455646389"/>
      <w:r>
        <w:rPr>
          <w:rFonts w:hint="eastAsia" w:ascii="宋体" w:hAnsi="宋体" w:cs="宋体"/>
          <w:b/>
          <w:bCs/>
          <w:color w:val="auto"/>
          <w:szCs w:val="21"/>
          <w:highlight w:val="none"/>
        </w:rPr>
        <w:t>一、响应文件袋外层包装封面格式</w:t>
      </w:r>
    </w:p>
    <w:p>
      <w:pPr>
        <w:snapToGrid w:val="0"/>
        <w:spacing w:before="156" w:beforeLines="50" w:after="50"/>
        <w:rPr>
          <w:rFonts w:ascii="宋体" w:hAnsi="宋体" w:cs="宋体"/>
          <w:b/>
          <w:bCs/>
          <w:color w:val="auto"/>
          <w:szCs w:val="21"/>
          <w:highlight w:val="none"/>
        </w:rPr>
      </w:pPr>
      <w:r>
        <w:rPr>
          <w:rFonts w:hint="eastAsia" w:ascii="宋体" w:hAnsi="宋体" w:cs="宋体"/>
          <w:b/>
          <w:bCs/>
          <w:color w:val="auto"/>
          <w:szCs w:val="21"/>
          <w:highlight w:val="none"/>
        </w:rPr>
        <w:t>1.所有文件（资格证明文件、商务和技术文件、报价文件）的外装封面格式：</w:t>
      </w:r>
    </w:p>
    <w:p>
      <w:pPr>
        <w:snapToGrid w:val="0"/>
        <w:spacing w:before="156" w:beforeLines="50" w:after="50"/>
        <w:jc w:val="center"/>
        <w:rPr>
          <w:rFonts w:ascii="宋体" w:hAnsi="宋体" w:cs="宋体"/>
          <w:bCs/>
          <w:color w:val="auto"/>
          <w:szCs w:val="21"/>
          <w:highlight w:val="none"/>
        </w:rPr>
      </w:pPr>
    </w:p>
    <w:p>
      <w:pPr>
        <w:snapToGrid w:val="0"/>
        <w:spacing w:before="156" w:beforeLines="50" w:after="50"/>
        <w:jc w:val="center"/>
        <w:rPr>
          <w:rFonts w:ascii="宋体" w:hAnsi="宋体" w:cs="宋体"/>
          <w:bCs/>
          <w:color w:val="auto"/>
          <w:szCs w:val="21"/>
          <w:highlight w:val="none"/>
        </w:rPr>
      </w:pPr>
    </w:p>
    <w:p>
      <w:pPr>
        <w:snapToGrid w:val="0"/>
        <w:spacing w:before="156" w:beforeLines="50" w:after="50"/>
        <w:jc w:val="center"/>
        <w:rPr>
          <w:rFonts w:ascii="宋体" w:hAnsi="宋体" w:cs="宋体"/>
          <w:bCs/>
          <w:color w:val="auto"/>
          <w:szCs w:val="21"/>
          <w:highlight w:val="none"/>
        </w:rPr>
      </w:pPr>
    </w:p>
    <w:p>
      <w:pPr>
        <w:snapToGrid w:val="0"/>
        <w:spacing w:before="156" w:beforeLines="50" w:after="50"/>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响  应 文 件 袋</w:t>
      </w:r>
    </w:p>
    <w:p>
      <w:pPr>
        <w:snapToGrid w:val="0"/>
        <w:spacing w:before="156" w:beforeLines="50" w:after="50"/>
        <w:jc w:val="center"/>
        <w:rPr>
          <w:rFonts w:ascii="宋体" w:hAnsi="宋体" w:cs="宋体"/>
          <w:bCs/>
          <w:color w:val="auto"/>
          <w:sz w:val="52"/>
          <w:szCs w:val="52"/>
          <w:highlight w:val="none"/>
        </w:rPr>
      </w:pPr>
    </w:p>
    <w:p>
      <w:pPr>
        <w:snapToGrid w:val="0"/>
        <w:spacing w:before="156" w:beforeLines="50" w:after="50"/>
        <w:jc w:val="center"/>
        <w:rPr>
          <w:rFonts w:ascii="宋体" w:hAnsi="宋体" w:cs="宋体"/>
          <w:bCs/>
          <w:color w:val="auto"/>
          <w:sz w:val="52"/>
          <w:szCs w:val="52"/>
          <w:highlight w:val="none"/>
        </w:rPr>
      </w:pPr>
    </w:p>
    <w:p>
      <w:pPr>
        <w:snapToGrid w:val="0"/>
        <w:spacing w:before="156" w:beforeLines="50" w:after="50"/>
        <w:rPr>
          <w:rFonts w:ascii="宋体" w:hAnsi="宋体" w:cs="宋体"/>
          <w:bCs/>
          <w:color w:val="auto"/>
          <w:szCs w:val="21"/>
          <w:highlight w:val="none"/>
        </w:rPr>
      </w:pPr>
    </w:p>
    <w:p>
      <w:pPr>
        <w:tabs>
          <w:tab w:val="left" w:pos="3240"/>
        </w:tabs>
        <w:spacing w:before="156" w:beforeLines="50" w:after="156" w:afterLines="50" w:line="480" w:lineRule="auto"/>
        <w:ind w:firstLine="848" w:firstLineChars="303"/>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采购项目名称：</w:t>
      </w:r>
      <w:r>
        <w:rPr>
          <w:rFonts w:hint="eastAsia" w:ascii="宋体" w:hAnsi="宋体" w:cs="宋体"/>
          <w:color w:val="auto"/>
          <w:sz w:val="28"/>
          <w:szCs w:val="28"/>
          <w:highlight w:val="none"/>
          <w:u w:val="single"/>
        </w:rPr>
        <w:t xml:space="preserve">                                </w:t>
      </w:r>
    </w:p>
    <w:p>
      <w:pPr>
        <w:spacing w:before="156" w:beforeLines="50" w:after="156" w:afterLines="50" w:line="480" w:lineRule="auto"/>
        <w:ind w:firstLine="848" w:firstLineChars="303"/>
        <w:jc w:val="lef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采购项目编号：</w:t>
      </w:r>
      <w:r>
        <w:rPr>
          <w:rFonts w:hint="eastAsia" w:ascii="宋体" w:hAnsi="宋体" w:cs="宋体"/>
          <w:color w:val="auto"/>
          <w:sz w:val="28"/>
          <w:szCs w:val="28"/>
          <w:highlight w:val="none"/>
          <w:u w:val="single"/>
        </w:rPr>
        <w:t xml:space="preserve">                                </w:t>
      </w:r>
    </w:p>
    <w:p>
      <w:pPr>
        <w:tabs>
          <w:tab w:val="left" w:pos="3240"/>
        </w:tabs>
        <w:spacing w:before="156" w:beforeLines="50" w:after="156" w:afterLines="50" w:line="480" w:lineRule="auto"/>
        <w:ind w:firstLine="848" w:firstLineChars="303"/>
        <w:jc w:val="left"/>
        <w:rPr>
          <w:rFonts w:ascii="宋体" w:hAnsi="宋体" w:cs="宋体"/>
          <w:color w:val="auto"/>
          <w:sz w:val="28"/>
          <w:szCs w:val="28"/>
          <w:highlight w:val="none"/>
        </w:rPr>
      </w:pPr>
      <w:r>
        <w:rPr>
          <w:rFonts w:hint="eastAsia" w:ascii="宋体" w:hAnsi="宋体" w:cs="宋体"/>
          <w:color w:val="auto"/>
          <w:sz w:val="28"/>
          <w:szCs w:val="28"/>
          <w:highlight w:val="none"/>
        </w:rPr>
        <w:t>分标号（如有）：</w:t>
      </w:r>
      <w:r>
        <w:rPr>
          <w:rFonts w:hint="eastAsia" w:ascii="宋体" w:hAnsi="宋体" w:cs="宋体"/>
          <w:color w:val="auto"/>
          <w:sz w:val="28"/>
          <w:szCs w:val="28"/>
          <w:highlight w:val="none"/>
          <w:u w:val="single"/>
        </w:rPr>
        <w:t xml:space="preserve">  （如有则填写，无分标时填写“无”或者留空） </w:t>
      </w:r>
      <w:r>
        <w:rPr>
          <w:rFonts w:ascii="宋体" w:hAnsi="宋体" w:cs="宋体"/>
          <w:color w:val="auto"/>
          <w:sz w:val="28"/>
          <w:szCs w:val="28"/>
          <w:highlight w:val="none"/>
          <w:u w:val="single"/>
        </w:rPr>
        <w:t xml:space="preserve"> </w:t>
      </w:r>
    </w:p>
    <w:p>
      <w:pPr>
        <w:tabs>
          <w:tab w:val="left" w:pos="3240"/>
        </w:tabs>
        <w:spacing w:before="156" w:beforeLines="50" w:after="156" w:afterLines="50" w:line="480" w:lineRule="auto"/>
        <w:ind w:firstLine="848" w:firstLineChars="303"/>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供应商名称：</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p>
    <w:p>
      <w:pPr>
        <w:tabs>
          <w:tab w:val="left" w:pos="3240"/>
        </w:tabs>
        <w:spacing w:before="156" w:beforeLines="50" w:after="156" w:afterLines="50" w:line="480" w:lineRule="auto"/>
        <w:ind w:firstLine="848" w:firstLineChars="303"/>
        <w:jc w:val="lef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供应商地址：</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p>
    <w:p>
      <w:pPr>
        <w:tabs>
          <w:tab w:val="left" w:pos="3240"/>
        </w:tabs>
        <w:spacing w:before="156" w:beforeLines="50" w:after="156" w:afterLines="50" w:line="480" w:lineRule="auto"/>
        <w:ind w:firstLine="848" w:firstLineChars="303"/>
        <w:jc w:val="left"/>
        <w:rPr>
          <w:rFonts w:hint="eastAsia" w:ascii="宋体" w:hAnsi="宋体" w:cs="宋体"/>
          <w:color w:val="auto"/>
          <w:sz w:val="28"/>
          <w:szCs w:val="28"/>
          <w:highlight w:val="none"/>
        </w:rPr>
      </w:pPr>
    </w:p>
    <w:p>
      <w:pPr>
        <w:tabs>
          <w:tab w:val="left" w:pos="2625"/>
        </w:tabs>
        <w:spacing w:line="360" w:lineRule="auto"/>
        <w:ind w:firstLine="560"/>
        <w:jc w:val="center"/>
        <w:rPr>
          <w:rFonts w:hint="eastAsia" w:ascii="宋体" w:hAnsi="宋体" w:cs="宋体"/>
          <w:color w:val="auto"/>
          <w:sz w:val="28"/>
          <w:szCs w:val="28"/>
          <w:highlight w:val="none"/>
        </w:rPr>
      </w:pPr>
    </w:p>
    <w:p>
      <w:pPr>
        <w:spacing w:line="360" w:lineRule="auto"/>
        <w:ind w:firstLine="56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（供应商名称）</w:t>
      </w:r>
    </w:p>
    <w:p>
      <w:pPr>
        <w:wordWrap w:val="0"/>
        <w:spacing w:line="360" w:lineRule="auto"/>
        <w:ind w:right="420" w:firstLine="0" w:firstLineChars="0"/>
        <w:jc w:val="right"/>
        <w:rPr>
          <w:rFonts w:hint="eastAsia" w:ascii="宋体" w:hAnsi="宋体" w:cs="宋体"/>
          <w:color w:val="auto"/>
          <w:szCs w:val="21"/>
          <w:highlight w:val="none"/>
        </w:rPr>
      </w:pPr>
      <w:r>
        <w:rPr>
          <w:rFonts w:hint="eastAsia" w:ascii="宋体" w:hAnsi="宋体" w:cs="宋体"/>
          <w:color w:val="auto"/>
          <w:sz w:val="28"/>
          <w:szCs w:val="28"/>
          <w:highlight w:val="none"/>
        </w:rPr>
        <w:t>年     月    日</w:t>
      </w:r>
    </w:p>
    <w:p>
      <w:pPr>
        <w:snapToGrid w:val="0"/>
        <w:spacing w:before="156" w:beforeLines="50" w:after="50"/>
        <w:outlineLvl w:val="1"/>
        <w:rPr>
          <w:rFonts w:ascii="宋体" w:hAnsi="宋体" w:cs="宋体"/>
          <w:b/>
          <w:bCs/>
          <w:color w:val="auto"/>
          <w:szCs w:val="21"/>
          <w:highlight w:val="none"/>
        </w:rPr>
      </w:pPr>
      <w:r>
        <w:rPr>
          <w:rFonts w:hint="eastAsia" w:ascii="宋体" w:hAnsi="宋体" w:cs="宋体"/>
          <w:b/>
          <w:bCs/>
          <w:color w:val="auto"/>
          <w:szCs w:val="21"/>
          <w:highlight w:val="none"/>
        </w:rPr>
        <w:br w:type="page"/>
      </w:r>
      <w:bookmarkEnd w:id="13"/>
      <w:bookmarkStart w:id="14" w:name="_Toc1763"/>
      <w:bookmarkStart w:id="15" w:name="_Toc16140"/>
      <w:bookmarkStart w:id="16" w:name="_Toc7387"/>
      <w:bookmarkStart w:id="17" w:name="_Toc20994"/>
      <w:r>
        <w:rPr>
          <w:rFonts w:hint="eastAsia" w:ascii="宋体" w:hAnsi="宋体" w:cs="宋体"/>
          <w:b/>
          <w:bCs/>
          <w:color w:val="auto"/>
          <w:szCs w:val="21"/>
          <w:highlight w:val="none"/>
        </w:rPr>
        <w:t>二、响应文件格式</w:t>
      </w:r>
      <w:bookmarkEnd w:id="14"/>
      <w:bookmarkEnd w:id="15"/>
      <w:bookmarkEnd w:id="16"/>
      <w:bookmarkEnd w:id="17"/>
    </w:p>
    <w:p>
      <w:pPr>
        <w:snapToGrid w:val="0"/>
        <w:spacing w:before="156" w:beforeLines="50" w:after="50"/>
        <w:rPr>
          <w:rFonts w:ascii="宋体" w:hAnsi="宋体" w:cs="宋体"/>
          <w:b/>
          <w:bCs/>
          <w:color w:val="auto"/>
          <w:szCs w:val="21"/>
          <w:highlight w:val="none"/>
        </w:rPr>
      </w:pPr>
    </w:p>
    <w:p>
      <w:pPr>
        <w:snapToGrid w:val="0"/>
        <w:spacing w:before="156" w:beforeLines="50" w:after="50"/>
        <w:rPr>
          <w:rFonts w:ascii="宋体" w:hAnsi="宋体" w:cs="宋体"/>
          <w:b/>
          <w:bCs/>
          <w:color w:val="auto"/>
          <w:szCs w:val="21"/>
          <w:highlight w:val="none"/>
        </w:rPr>
      </w:pPr>
      <w:r>
        <w:rPr>
          <w:rFonts w:hint="eastAsia" w:ascii="宋体" w:hAnsi="宋体" w:cs="宋体"/>
          <w:b/>
          <w:bCs/>
          <w:color w:val="auto"/>
          <w:szCs w:val="21"/>
          <w:highlight w:val="none"/>
        </w:rPr>
        <w:t>1、资格证明文件格式：</w:t>
      </w:r>
    </w:p>
    <w:p>
      <w:pPr>
        <w:snapToGrid w:val="0"/>
        <w:spacing w:before="156" w:beforeLines="50" w:after="50" w:line="330" w:lineRule="exact"/>
        <w:jc w:val="center"/>
        <w:rPr>
          <w:rFonts w:ascii="宋体" w:hAnsi="宋体" w:cs="宋体"/>
          <w:b/>
          <w:color w:val="auto"/>
          <w:szCs w:val="21"/>
          <w:highlight w:val="none"/>
        </w:rPr>
      </w:pPr>
    </w:p>
    <w:p>
      <w:pPr>
        <w:snapToGrid w:val="0"/>
        <w:spacing w:before="156" w:beforeLines="50" w:after="50" w:line="330" w:lineRule="exact"/>
        <w:jc w:val="center"/>
        <w:rPr>
          <w:rFonts w:ascii="宋体" w:hAnsi="宋体" w:cs="宋体"/>
          <w:b/>
          <w:color w:val="auto"/>
          <w:szCs w:val="21"/>
          <w:highlight w:val="none"/>
        </w:rPr>
      </w:pPr>
    </w:p>
    <w:p>
      <w:pPr>
        <w:snapToGrid w:val="0"/>
        <w:spacing w:before="156" w:beforeLines="50" w:after="50" w:line="33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目录</w:t>
      </w:r>
    </w:p>
    <w:p>
      <w:pPr>
        <w:tabs>
          <w:tab w:val="left" w:pos="2625"/>
        </w:tabs>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(供应商需根据响应文件自行编制目录及页码)</w:t>
      </w:r>
    </w:p>
    <w:p>
      <w:pPr>
        <w:widowControl/>
        <w:spacing w:line="360" w:lineRule="exact"/>
        <w:rPr>
          <w:rFonts w:ascii="宋体" w:hAnsi="宋体"/>
          <w:b/>
          <w:bCs/>
          <w:color w:val="auto"/>
          <w:sz w:val="24"/>
          <w:highlight w:val="none"/>
        </w:rPr>
      </w:pPr>
    </w:p>
    <w:p>
      <w:pPr>
        <w:tabs>
          <w:tab w:val="left" w:pos="2625"/>
        </w:tabs>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一、谈判声明书格式</w:t>
      </w:r>
    </w:p>
    <w:p>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谈判声明书</w:t>
      </w:r>
    </w:p>
    <w:p>
      <w:pPr>
        <w:pStyle w:val="19"/>
        <w:spacing w:line="360" w:lineRule="exact"/>
        <w:rPr>
          <w:rFonts w:hAnsi="宋体" w:cs="宋体"/>
          <w:color w:val="auto"/>
          <w:sz w:val="21"/>
          <w:szCs w:val="21"/>
          <w:highlight w:val="none"/>
        </w:rPr>
      </w:pPr>
      <w:r>
        <w:rPr>
          <w:rFonts w:hint="eastAsia" w:hAnsi="宋体"/>
          <w:color w:val="auto"/>
          <w:sz w:val="21"/>
          <w:highlight w:val="none"/>
        </w:rPr>
        <w:t>致：</w:t>
      </w:r>
      <w:r>
        <w:rPr>
          <w:rFonts w:hint="eastAsia" w:hAnsi="宋体"/>
          <w:color w:val="auto"/>
          <w:sz w:val="21"/>
          <w:highlight w:val="none"/>
          <w:u w:val="single"/>
        </w:rPr>
        <w:t xml:space="preserve">              </w:t>
      </w:r>
      <w:r>
        <w:rPr>
          <w:rFonts w:hint="eastAsia" w:hAnsi="宋体"/>
          <w:color w:val="auto"/>
          <w:sz w:val="21"/>
          <w:highlight w:val="none"/>
        </w:rPr>
        <w:t>（采购人单位名称）：</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3.在此，我方宣布同意如下：</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（1）将按谈判文件的约定履行合同责任和义务；</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（2）已详细审查全部谈判文件，包括澄清或者更正公告（如有）；</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（4）响应谈判文件规定的响应文件有效期。</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□我方本次响应文件内容中未涉及商业秘密；</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□我方本次响应文件涉及商业秘密的内容有： </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pPr>
        <w:pStyle w:val="19"/>
        <w:spacing w:line="480" w:lineRule="auto"/>
        <w:ind w:right="200" w:firstLine="480"/>
        <w:jc w:val="right"/>
        <w:rPr>
          <w:rFonts w:hAnsi="宋体"/>
          <w:b/>
          <w:color w:val="auto"/>
          <w:sz w:val="24"/>
          <w:szCs w:val="24"/>
          <w:highlight w:val="none"/>
        </w:rPr>
      </w:pPr>
      <w:r>
        <w:rPr>
          <w:color w:val="auto"/>
          <w:sz w:val="24"/>
          <w:szCs w:val="24"/>
          <w:highlight w:val="none"/>
          <w:lang w:val="en-US"/>
        </w:rPr>
        <w:t xml:space="preserve">         </w:t>
      </w:r>
      <w:r>
        <w:rPr>
          <w:color w:val="auto"/>
          <w:sz w:val="24"/>
          <w:szCs w:val="24"/>
          <w:highlight w:val="none"/>
        </w:rPr>
        <w:t>年</w:t>
      </w:r>
      <w:r>
        <w:rPr>
          <w:rFonts w:hint="eastAsia"/>
          <w:color w:val="auto"/>
          <w:sz w:val="24"/>
          <w:szCs w:val="24"/>
          <w:highlight w:val="none"/>
          <w:lang w:eastAsia="zh-CN"/>
        </w:rPr>
        <w:t xml:space="preserve"> </w:t>
      </w:r>
      <w:r>
        <w:rPr>
          <w:color w:val="auto"/>
          <w:sz w:val="24"/>
          <w:szCs w:val="24"/>
          <w:highlight w:val="none"/>
          <w:lang w:eastAsia="zh-CN"/>
        </w:rPr>
        <w:t xml:space="preserve">  </w:t>
      </w:r>
      <w:r>
        <w:rPr>
          <w:color w:val="auto"/>
          <w:sz w:val="24"/>
          <w:szCs w:val="24"/>
          <w:highlight w:val="none"/>
        </w:rPr>
        <w:t xml:space="preserve"> 月    日</w:t>
      </w:r>
    </w:p>
    <w:p>
      <w:pPr>
        <w:ind w:firstLine="363" w:firstLineChars="202"/>
        <w:rPr>
          <w:color w:val="auto"/>
          <w:sz w:val="18"/>
          <w:szCs w:val="18"/>
          <w:highlight w:val="none"/>
        </w:rPr>
      </w:pPr>
      <w:r>
        <w:rPr>
          <w:rFonts w:hint="eastAsia"/>
          <w:color w:val="auto"/>
          <w:sz w:val="18"/>
          <w:szCs w:val="18"/>
          <w:highlight w:val="none"/>
        </w:rPr>
        <w:t>说明：</w:t>
      </w:r>
    </w:p>
    <w:p>
      <w:pPr>
        <w:ind w:firstLine="363" w:firstLineChars="202"/>
        <w:rPr>
          <w:color w:val="auto"/>
          <w:sz w:val="18"/>
          <w:szCs w:val="18"/>
          <w:highlight w:val="none"/>
        </w:rPr>
      </w:pPr>
      <w:r>
        <w:rPr>
          <w:color w:val="auto"/>
          <w:sz w:val="18"/>
          <w:szCs w:val="18"/>
          <w:highlight w:val="none"/>
        </w:rPr>
        <w:t>1.</w:t>
      </w:r>
      <w:r>
        <w:rPr>
          <w:rFonts w:hint="eastAsia"/>
          <w:color w:val="auto"/>
          <w:sz w:val="18"/>
          <w:szCs w:val="18"/>
          <w:highlight w:val="none"/>
        </w:rPr>
        <w:t>供应商可以自行通过</w:t>
      </w:r>
      <w:r>
        <w:rPr>
          <w:color w:val="auto"/>
          <w:sz w:val="18"/>
          <w:szCs w:val="18"/>
          <w:highlight w:val="none"/>
        </w:rPr>
        <w:t xml:space="preserve"> </w:t>
      </w:r>
      <w:r>
        <w:rPr>
          <w:rFonts w:hint="eastAsia"/>
          <w:color w:val="auto"/>
          <w:sz w:val="18"/>
          <w:szCs w:val="18"/>
          <w:highlight w:val="none"/>
        </w:rPr>
        <w:t>“信用中国”（</w:t>
      </w:r>
      <w:r>
        <w:rPr>
          <w:color w:val="auto"/>
          <w:sz w:val="18"/>
          <w:szCs w:val="18"/>
          <w:highlight w:val="none"/>
        </w:rPr>
        <w:t>www.creditchina.gov.cn</w:t>
      </w:r>
      <w:r>
        <w:rPr>
          <w:rFonts w:hint="eastAsia"/>
          <w:color w:val="auto"/>
          <w:sz w:val="18"/>
          <w:szCs w:val="18"/>
          <w:highlight w:val="none"/>
        </w:rPr>
        <w:t>）和“中国政府采购网”网站（</w:t>
      </w:r>
      <w:r>
        <w:rPr>
          <w:color w:val="auto"/>
          <w:sz w:val="18"/>
          <w:szCs w:val="18"/>
          <w:highlight w:val="none"/>
        </w:rPr>
        <w:t>www.ccgp.gov.cn</w:t>
      </w:r>
      <w:r>
        <w:rPr>
          <w:rFonts w:hint="eastAsia"/>
          <w:color w:val="auto"/>
          <w:sz w:val="18"/>
          <w:szCs w:val="18"/>
          <w:highlight w:val="none"/>
        </w:rPr>
        <w:t>）查询供应商相关主体的信用记录。查询时间为本项目投标截止时间前</w:t>
      </w:r>
      <w:r>
        <w:rPr>
          <w:color w:val="auto"/>
          <w:sz w:val="18"/>
          <w:szCs w:val="18"/>
          <w:highlight w:val="none"/>
        </w:rPr>
        <w:t>10</w:t>
      </w:r>
      <w:r>
        <w:rPr>
          <w:rFonts w:hint="eastAsia"/>
          <w:color w:val="auto"/>
          <w:sz w:val="18"/>
          <w:szCs w:val="18"/>
          <w:highlight w:val="none"/>
        </w:rPr>
        <w:t>日至投标截止时间中任意一天。在资格审查阶段经谈判小组查询，对列入失信被执行人、重大税收违法案件当事人名单、政府采购严重违法失信行为记录名单的供应商，将被拒绝参与本项目政府采购活动。</w:t>
      </w:r>
    </w:p>
    <w:p>
      <w:pPr>
        <w:ind w:firstLine="363" w:firstLineChars="202"/>
        <w:rPr>
          <w:color w:val="auto"/>
          <w:sz w:val="18"/>
          <w:szCs w:val="18"/>
          <w:highlight w:val="none"/>
        </w:rPr>
      </w:pPr>
      <w:r>
        <w:rPr>
          <w:color w:val="auto"/>
          <w:sz w:val="18"/>
          <w:szCs w:val="18"/>
          <w:highlight w:val="none"/>
        </w:rPr>
        <w:t>2.</w:t>
      </w:r>
      <w:r>
        <w:rPr>
          <w:rFonts w:hint="eastAsia"/>
          <w:color w:val="auto"/>
          <w:sz w:val="18"/>
          <w:szCs w:val="18"/>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ind w:firstLine="363" w:firstLineChars="202"/>
        <w:rPr>
          <w:color w:val="auto"/>
          <w:sz w:val="18"/>
          <w:szCs w:val="18"/>
          <w:highlight w:val="none"/>
        </w:rPr>
      </w:pPr>
      <w:r>
        <w:rPr>
          <w:color w:val="auto"/>
          <w:sz w:val="18"/>
          <w:szCs w:val="18"/>
          <w:highlight w:val="none"/>
        </w:rPr>
        <w:t>3.</w:t>
      </w:r>
      <w:r>
        <w:rPr>
          <w:rFonts w:hint="eastAsia"/>
          <w:color w:val="auto"/>
          <w:sz w:val="18"/>
          <w:szCs w:val="18"/>
          <w:highlight w:val="none"/>
        </w:rPr>
        <w:t>如为联合体投标，盖章处须加盖联合体各方公章，否则投标无效。</w:t>
      </w:r>
    </w:p>
    <w:p>
      <w:pPr>
        <w:ind w:firstLine="363" w:firstLineChars="202"/>
        <w:rPr>
          <w:color w:val="auto"/>
          <w:sz w:val="18"/>
          <w:szCs w:val="18"/>
          <w:highlight w:val="none"/>
        </w:rPr>
      </w:pPr>
    </w:p>
    <w:p>
      <w:pPr>
        <w:spacing w:line="360" w:lineRule="auto"/>
        <w:rPr>
          <w:rFonts w:ascii="宋体" w:hAnsi="宋体"/>
          <w:b/>
          <w:bCs/>
          <w:color w:val="auto"/>
          <w:sz w:val="24"/>
          <w:highlight w:val="none"/>
        </w:rPr>
      </w:pPr>
      <w:r>
        <w:rPr>
          <w:rFonts w:hint="eastAsia" w:ascii="宋体" w:hAnsi="宋体"/>
          <w:b/>
          <w:bCs/>
          <w:color w:val="auto"/>
          <w:sz w:val="24"/>
          <w:highlight w:val="none"/>
        </w:rPr>
        <w:t>二、政府采购供应商资格信用承诺函格式</w:t>
      </w:r>
    </w:p>
    <w:p>
      <w:pPr>
        <w:autoSpaceDE w:val="0"/>
        <w:autoSpaceDN w:val="0"/>
        <w:adjustRightInd w:val="0"/>
        <w:spacing w:line="400" w:lineRule="exact"/>
        <w:jc w:val="left"/>
        <w:rPr>
          <w:rFonts w:ascii="宋体" w:hAnsi="宋体" w:cs="宋体"/>
          <w:b/>
          <w:bCs/>
          <w:color w:val="auto"/>
          <w:szCs w:val="21"/>
          <w:highlight w:val="none"/>
        </w:rPr>
      </w:pPr>
    </w:p>
    <w:p>
      <w:pPr>
        <w:autoSpaceDE w:val="0"/>
        <w:autoSpaceDN w:val="0"/>
        <w:adjustRightInd w:val="0"/>
        <w:jc w:val="center"/>
        <w:rPr>
          <w:rFonts w:ascii="宋体" w:hAnsi="宋体" w:cs="宋体"/>
          <w:b/>
          <w:bCs/>
          <w:color w:val="auto"/>
          <w:szCs w:val="21"/>
          <w:highlight w:val="none"/>
        </w:rPr>
      </w:pPr>
      <w:r>
        <w:rPr>
          <w:rFonts w:hint="eastAsia" w:ascii="宋体" w:hAnsi="宋体" w:cs="宋体"/>
          <w:b/>
          <w:bCs/>
          <w:color w:val="auto"/>
          <w:szCs w:val="21"/>
          <w:highlight w:val="none"/>
        </w:rPr>
        <w:t>政府采购供应商资格信用承诺函</w:t>
      </w:r>
    </w:p>
    <w:p>
      <w:pPr>
        <w:pStyle w:val="29"/>
        <w:rPr>
          <w:rFonts w:ascii="宋体" w:hAnsi="宋体" w:cs="宋体"/>
          <w:color w:val="auto"/>
          <w:sz w:val="21"/>
          <w:szCs w:val="21"/>
          <w:highlight w:val="none"/>
        </w:rPr>
      </w:pPr>
    </w:p>
    <w:p>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致：</w:t>
      </w:r>
      <w:r>
        <w:rPr>
          <w:rFonts w:hint="eastAsia" w:ascii="宋体" w:hAnsi="宋体"/>
          <w:color w:val="auto"/>
          <w:spacing w:val="6"/>
          <w:szCs w:val="21"/>
          <w:highlight w:val="none"/>
          <w:u w:val="single"/>
        </w:rPr>
        <w:t>（采购人名称）、（代理机构名称）</w:t>
      </w:r>
      <w:r>
        <w:rPr>
          <w:rFonts w:hint="eastAsia" w:ascii="宋体" w:hAnsi="宋体"/>
          <w:color w:val="auto"/>
          <w:spacing w:val="6"/>
          <w:szCs w:val="21"/>
          <w:highlight w:val="none"/>
        </w:rPr>
        <w:t>：</w:t>
      </w:r>
    </w:p>
    <w:p>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我方自愿参加</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项目（项目编号：</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）的政府采购活动，并郑重承诺我方符合《中华人民共和国政府采购法》第二十二条规定的条件：</w:t>
      </w:r>
    </w:p>
    <w:p>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（一）具有独立承担民事责任的能力； </w:t>
      </w:r>
    </w:p>
    <w:p>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（二）具有良好的商业信誉和健全的财务会计制度； </w:t>
      </w:r>
    </w:p>
    <w:p>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（三）具有履行合同所必需的设备和专业技术能力； </w:t>
      </w:r>
    </w:p>
    <w:p>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（四）有依法缴纳税收和社会保障资金的良好记录； </w:t>
      </w:r>
    </w:p>
    <w:p>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（五）参加政府采购活动前三年内，在经营活动中没有重大违法记录； </w:t>
      </w:r>
    </w:p>
    <w:p>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（六）法律、行政法规规定的其他条件。 </w:t>
      </w:r>
    </w:p>
    <w:p>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我方保证上述承诺事项的真实性，如有弄虚作假或其他违法违规行为，愿意承担一切法律责任，并承担因此所造成的一切损失。 </w:t>
      </w:r>
    </w:p>
    <w:p>
      <w:pPr>
        <w:autoSpaceDE w:val="0"/>
        <w:autoSpaceDN w:val="0"/>
        <w:adjustRightInd w:val="0"/>
        <w:spacing w:line="360" w:lineRule="auto"/>
        <w:ind w:firstLine="446"/>
        <w:rPr>
          <w:rFonts w:ascii="宋体" w:hAnsi="宋体"/>
          <w:color w:val="auto"/>
          <w:spacing w:val="6"/>
          <w:szCs w:val="21"/>
          <w:highlight w:val="none"/>
        </w:rPr>
      </w:pPr>
      <w:r>
        <w:rPr>
          <w:rFonts w:hint="eastAsia" w:ascii="宋体" w:hAnsi="宋体"/>
          <w:b/>
          <w:bCs/>
          <w:color w:val="auto"/>
          <w:spacing w:val="6"/>
          <w:szCs w:val="21"/>
          <w:highlight w:val="none"/>
        </w:rPr>
        <w:t>特此声明！</w:t>
      </w:r>
      <w:r>
        <w:rPr>
          <w:rFonts w:hint="eastAsia" w:ascii="宋体" w:hAnsi="宋体"/>
          <w:color w:val="auto"/>
          <w:spacing w:val="6"/>
          <w:szCs w:val="21"/>
          <w:highlight w:val="none"/>
        </w:rPr>
        <w:t xml:space="preserve"> </w:t>
      </w:r>
    </w:p>
    <w:p>
      <w:pPr>
        <w:pStyle w:val="35"/>
        <w:spacing w:line="360" w:lineRule="auto"/>
        <w:ind w:firstLine="444"/>
        <w:rPr>
          <w:rFonts w:ascii="宋体" w:hAnsi="宋体"/>
          <w:color w:val="auto"/>
          <w:spacing w:val="6"/>
          <w:szCs w:val="21"/>
          <w:highlight w:val="none"/>
        </w:rPr>
      </w:pPr>
    </w:p>
    <w:p>
      <w:pPr>
        <w:spacing w:line="360" w:lineRule="auto"/>
        <w:ind w:firstLine="420"/>
        <w:rPr>
          <w:rFonts w:ascii="宋体" w:hAnsi="宋体"/>
          <w:color w:val="auto"/>
          <w:szCs w:val="21"/>
          <w:highlight w:val="none"/>
        </w:rPr>
      </w:pPr>
    </w:p>
    <w:p>
      <w:pPr>
        <w:pStyle w:val="19"/>
        <w:tabs>
          <w:tab w:val="left" w:pos="5529"/>
        </w:tabs>
        <w:wordWrap w:val="0"/>
        <w:ind w:firstLine="2509" w:firstLineChars="1195"/>
        <w:rPr>
          <w:rFonts w:hAnsi="宋体"/>
          <w:color w:val="auto"/>
          <w:kern w:val="2"/>
          <w:sz w:val="21"/>
          <w:highlight w:val="none"/>
          <w:u w:val="single"/>
        </w:rPr>
      </w:pPr>
      <w:r>
        <w:rPr>
          <w:rFonts w:hint="eastAsia" w:hAnsi="宋体"/>
          <w:color w:val="auto"/>
          <w:kern w:val="2"/>
          <w:sz w:val="21"/>
          <w:highlight w:val="none"/>
        </w:rPr>
        <w:t>供应商名称（</w:t>
      </w:r>
      <w:r>
        <w:rPr>
          <w:rFonts w:hint="eastAsia" w:hAnsi="宋体"/>
          <w:color w:val="auto"/>
          <w:sz w:val="21"/>
          <w:highlight w:val="none"/>
        </w:rPr>
        <w:t>电子公章</w:t>
      </w:r>
      <w:r>
        <w:rPr>
          <w:rFonts w:hint="eastAsia" w:hAnsi="宋体"/>
          <w:color w:val="auto"/>
          <w:kern w:val="2"/>
          <w:sz w:val="21"/>
          <w:highlight w:val="none"/>
        </w:rPr>
        <w:t xml:space="preserve">）：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pPr>
        <w:pStyle w:val="19"/>
        <w:tabs>
          <w:tab w:val="left" w:pos="5529"/>
        </w:tabs>
        <w:wordWrap w:val="0"/>
        <w:ind w:firstLine="3968" w:firstLineChars="1890"/>
        <w:rPr>
          <w:rFonts w:hint="eastAsia" w:hAnsi="宋体"/>
          <w:color w:val="auto"/>
          <w:kern w:val="2"/>
          <w:sz w:val="21"/>
          <w:highlight w:val="none"/>
        </w:rPr>
      </w:pPr>
      <w:r>
        <w:rPr>
          <w:rFonts w:hint="eastAsia" w:hAnsi="宋体"/>
          <w:color w:val="auto"/>
          <w:kern w:val="2"/>
          <w:sz w:val="21"/>
          <w:highlight w:val="none"/>
        </w:rPr>
        <w:t xml:space="preserve">                                 </w:t>
      </w:r>
    </w:p>
    <w:p>
      <w:pPr>
        <w:tabs>
          <w:tab w:val="left" w:pos="4111"/>
        </w:tabs>
        <w:wordWrap w:val="0"/>
        <w:snapToGrid w:val="0"/>
        <w:spacing w:before="50"/>
        <w:ind w:firstLine="2520" w:firstLineChars="1200"/>
        <w:rPr>
          <w:rFonts w:hint="eastAsia" w:hAnsi="宋体"/>
          <w:color w:val="auto"/>
          <w:highlight w:val="none"/>
        </w:rPr>
      </w:pPr>
      <w:r>
        <w:rPr>
          <w:rFonts w:hint="eastAsia" w:hAnsi="宋体"/>
          <w:color w:val="auto"/>
          <w:highlight w:val="none"/>
        </w:rPr>
        <w:t>法定代表人或委托代理人(签字或者电子签名或者加盖电子印章)：</w:t>
      </w:r>
      <w:r>
        <w:rPr>
          <w:rFonts w:hint="eastAsia" w:hAnsi="宋体"/>
          <w:color w:val="auto"/>
          <w:highlight w:val="none"/>
          <w:u w:val="single"/>
        </w:rPr>
        <w:t xml:space="preserve">         </w:t>
      </w:r>
    </w:p>
    <w:p>
      <w:pPr>
        <w:tabs>
          <w:tab w:val="left" w:pos="4111"/>
        </w:tabs>
        <w:wordWrap w:val="0"/>
        <w:snapToGrid w:val="0"/>
        <w:spacing w:before="50"/>
        <w:ind w:firstLine="3968" w:firstLineChars="1890"/>
        <w:rPr>
          <w:rFonts w:hint="eastAsia" w:hAnsi="宋体"/>
          <w:color w:val="auto"/>
          <w:highlight w:val="none"/>
        </w:rPr>
      </w:pPr>
    </w:p>
    <w:p>
      <w:pPr>
        <w:pStyle w:val="19"/>
        <w:wordWrap w:val="0"/>
        <w:ind w:firstLine="420"/>
        <w:jc w:val="right"/>
        <w:rPr>
          <w:rFonts w:hint="eastAsia" w:hAnsi="宋体"/>
          <w:color w:val="auto"/>
          <w:kern w:val="2"/>
          <w:sz w:val="21"/>
          <w:highlight w:val="none"/>
        </w:rPr>
      </w:pPr>
      <w:r>
        <w:rPr>
          <w:rFonts w:hint="eastAsia" w:hAnsi="宋体"/>
          <w:color w:val="auto"/>
          <w:kern w:val="2"/>
          <w:sz w:val="21"/>
          <w:highlight w:val="none"/>
          <w:u w:val="single"/>
        </w:rPr>
        <w:t xml:space="preserve">       </w:t>
      </w:r>
      <w:r>
        <w:rPr>
          <w:rFonts w:hint="eastAsia" w:hAnsi="宋体"/>
          <w:color w:val="auto"/>
          <w:kern w:val="2"/>
          <w:sz w:val="21"/>
          <w:highlight w:val="none"/>
        </w:rPr>
        <w:t>年</w:t>
      </w:r>
      <w:r>
        <w:rPr>
          <w:rFonts w:hint="eastAsia" w:hAnsi="宋体"/>
          <w:color w:val="auto"/>
          <w:kern w:val="2"/>
          <w:sz w:val="21"/>
          <w:highlight w:val="none"/>
          <w:u w:val="single"/>
        </w:rPr>
        <w:t xml:space="preserve">     </w:t>
      </w:r>
      <w:r>
        <w:rPr>
          <w:rFonts w:hint="eastAsia" w:hAnsi="宋体"/>
          <w:color w:val="auto"/>
          <w:kern w:val="2"/>
          <w:sz w:val="21"/>
          <w:highlight w:val="none"/>
        </w:rPr>
        <w:t>月</w:t>
      </w:r>
      <w:r>
        <w:rPr>
          <w:rFonts w:hint="eastAsia" w:hAnsi="宋体"/>
          <w:color w:val="auto"/>
          <w:kern w:val="2"/>
          <w:sz w:val="21"/>
          <w:highlight w:val="none"/>
          <w:u w:val="single"/>
        </w:rPr>
        <w:t xml:space="preserve">     </w:t>
      </w:r>
      <w:r>
        <w:rPr>
          <w:rFonts w:hint="eastAsia" w:hAnsi="宋体"/>
          <w:color w:val="auto"/>
          <w:kern w:val="2"/>
          <w:sz w:val="21"/>
          <w:highlight w:val="none"/>
        </w:rPr>
        <w:t>日</w:t>
      </w:r>
    </w:p>
    <w:p>
      <w:pPr>
        <w:snapToGrid w:val="0"/>
        <w:spacing w:before="156" w:beforeLines="50" w:after="50" w:line="400" w:lineRule="exact"/>
        <w:rPr>
          <w:rFonts w:ascii="宋体" w:hAnsi="宋体" w:cs="宋体"/>
          <w:b/>
          <w:color w:val="auto"/>
          <w:highlight w:val="none"/>
        </w:rPr>
      </w:pPr>
    </w:p>
    <w:p>
      <w:pPr>
        <w:snapToGrid w:val="0"/>
        <w:spacing w:before="156" w:beforeLines="50" w:after="50" w:line="400" w:lineRule="exact"/>
        <w:rPr>
          <w:rFonts w:ascii="宋体" w:hAnsi="宋体" w:cs="宋体"/>
          <w:b/>
          <w:color w:val="auto"/>
          <w:highlight w:val="none"/>
        </w:rPr>
      </w:pPr>
    </w:p>
    <w:p>
      <w:pPr>
        <w:snapToGrid w:val="0"/>
        <w:spacing w:before="156" w:beforeLines="50" w:after="50" w:line="400" w:lineRule="exact"/>
        <w:rPr>
          <w:rFonts w:ascii="宋体" w:hAnsi="宋体" w:cs="宋体"/>
          <w:b/>
          <w:color w:val="auto"/>
          <w:highlight w:val="none"/>
        </w:rPr>
      </w:pPr>
    </w:p>
    <w:p>
      <w:pPr>
        <w:snapToGrid w:val="0"/>
        <w:spacing w:before="156" w:beforeLines="50" w:after="50" w:line="400" w:lineRule="exact"/>
        <w:rPr>
          <w:rFonts w:ascii="宋体" w:hAnsi="宋体" w:cs="宋体"/>
          <w:b/>
          <w:color w:val="auto"/>
          <w:highlight w:val="none"/>
        </w:rPr>
      </w:pPr>
    </w:p>
    <w:p>
      <w:pPr>
        <w:snapToGrid w:val="0"/>
        <w:spacing w:before="156" w:beforeLines="50" w:after="50" w:line="400" w:lineRule="exact"/>
        <w:rPr>
          <w:rFonts w:ascii="宋体" w:hAnsi="宋体" w:cs="宋体"/>
          <w:b/>
          <w:color w:val="auto"/>
          <w:highlight w:val="none"/>
        </w:rPr>
      </w:pPr>
    </w:p>
    <w:p>
      <w:pPr>
        <w:snapToGrid w:val="0"/>
        <w:spacing w:before="156" w:beforeLines="50" w:after="50" w:line="400" w:lineRule="exact"/>
        <w:rPr>
          <w:rFonts w:ascii="宋体" w:hAnsi="宋体" w:cs="宋体"/>
          <w:b/>
          <w:color w:val="auto"/>
          <w:highlight w:val="none"/>
        </w:rPr>
      </w:pPr>
    </w:p>
    <w:p>
      <w:pPr>
        <w:snapToGrid w:val="0"/>
        <w:spacing w:before="156" w:beforeLines="50" w:after="50" w:line="400" w:lineRule="exact"/>
        <w:rPr>
          <w:rFonts w:ascii="宋体" w:hAnsi="宋体" w:cs="宋体"/>
          <w:b/>
          <w:color w:val="auto"/>
          <w:highlight w:val="none"/>
        </w:rPr>
      </w:pPr>
    </w:p>
    <w:p>
      <w:pPr>
        <w:snapToGrid w:val="0"/>
        <w:spacing w:before="156" w:beforeLines="50" w:after="50" w:line="400" w:lineRule="exact"/>
        <w:rPr>
          <w:rFonts w:ascii="宋体" w:hAnsi="宋体" w:cs="宋体"/>
          <w:b/>
          <w:color w:val="auto"/>
          <w:highlight w:val="none"/>
        </w:rPr>
      </w:pP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三、供应商直接控股、管理关系信息表格式</w:t>
      </w:r>
    </w:p>
    <w:p>
      <w:pPr>
        <w:snapToGrid w:val="0"/>
        <w:spacing w:before="156" w:beforeLines="50" w:after="50" w:line="360" w:lineRule="auto"/>
        <w:ind w:firstLine="643"/>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r>
        <w:rPr>
          <w:rFonts w:hint="eastAsia" w:hAnsi="宋体" w:cs="宋体"/>
          <w:b/>
          <w:color w:val="auto"/>
          <w:sz w:val="32"/>
          <w:highlight w:val="none"/>
        </w:rPr>
        <w:t>（格式）</w:t>
      </w:r>
    </w:p>
    <w:tbl>
      <w:tblPr>
        <w:tblStyle w:val="36"/>
        <w:tblW w:w="9840" w:type="dxa"/>
        <w:jc w:val="center"/>
        <w:shd w:val="clear" w:color="auto" w:fill="FBFBFB"/>
        <w:tblLayout w:type="fixed"/>
        <w:tblCellMar>
          <w:top w:w="0" w:type="dxa"/>
          <w:left w:w="0" w:type="dxa"/>
          <w:bottom w:w="0" w:type="dxa"/>
          <w:right w:w="0" w:type="dxa"/>
        </w:tblCellMar>
      </w:tblPr>
      <w:tblGrid>
        <w:gridCol w:w="880"/>
        <w:gridCol w:w="2656"/>
        <w:gridCol w:w="1455"/>
        <w:gridCol w:w="3857"/>
        <w:gridCol w:w="992"/>
      </w:tblGrid>
      <w:tr>
        <w:tblPrEx>
          <w:shd w:val="clear" w:color="auto" w:fill="FBFBFB"/>
          <w:tblCellMar>
            <w:top w:w="0" w:type="dxa"/>
            <w:left w:w="0" w:type="dxa"/>
            <w:bottom w:w="0" w:type="dxa"/>
            <w:right w:w="0" w:type="dxa"/>
          </w:tblCellMar>
        </w:tblPrEx>
        <w:trPr>
          <w:trHeight w:val="431" w:hRule="atLeast"/>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85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身份证号码或统一社会信用代码</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199" w:firstLineChars="95"/>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385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199" w:firstLineChars="95"/>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385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199" w:firstLineChars="95"/>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385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385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r>
    </w:tbl>
    <w:p>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注：</w:t>
      </w:r>
    </w:p>
    <w:p>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pPr>
        <w:snapToGrid w:val="0"/>
        <w:spacing w:line="360" w:lineRule="auto"/>
        <w:ind w:firstLine="420"/>
        <w:jc w:val="left"/>
        <w:rPr>
          <w:rFonts w:ascii="宋体" w:hAnsi="宋体" w:cs="宋体"/>
          <w:color w:val="auto"/>
          <w:szCs w:val="21"/>
          <w:highlight w:val="none"/>
        </w:rPr>
      </w:pPr>
    </w:p>
    <w:p>
      <w:pPr>
        <w:snapToGrid w:val="0"/>
        <w:spacing w:line="360" w:lineRule="auto"/>
        <w:ind w:firstLine="420"/>
        <w:jc w:val="left"/>
        <w:rPr>
          <w:rFonts w:ascii="宋体" w:hAnsi="宋体" w:cs="宋体"/>
          <w:color w:val="auto"/>
          <w:szCs w:val="21"/>
          <w:highlight w:val="none"/>
        </w:rPr>
      </w:pPr>
    </w:p>
    <w:p>
      <w:pPr>
        <w:snapToGrid w:val="0"/>
        <w:spacing w:line="360" w:lineRule="auto"/>
        <w:ind w:firstLine="420"/>
        <w:jc w:val="left"/>
        <w:rPr>
          <w:rFonts w:ascii="宋体" w:hAnsi="宋体" w:cs="宋体"/>
          <w:color w:val="auto"/>
          <w:szCs w:val="21"/>
          <w:highlight w:val="none"/>
        </w:rPr>
      </w:pPr>
    </w:p>
    <w:p>
      <w:pPr>
        <w:pStyle w:val="19"/>
        <w:tabs>
          <w:tab w:val="left" w:pos="5529"/>
        </w:tabs>
        <w:wordWrap w:val="0"/>
        <w:ind w:firstLine="2299" w:firstLineChars="1095"/>
        <w:rPr>
          <w:rFonts w:hAnsi="宋体"/>
          <w:color w:val="auto"/>
          <w:kern w:val="2"/>
          <w:sz w:val="21"/>
          <w:highlight w:val="none"/>
          <w:u w:val="single"/>
        </w:rPr>
      </w:pPr>
      <w:r>
        <w:rPr>
          <w:rFonts w:hint="eastAsia" w:hAnsi="宋体"/>
          <w:color w:val="auto"/>
          <w:kern w:val="2"/>
          <w:sz w:val="21"/>
          <w:highlight w:val="none"/>
        </w:rPr>
        <w:t>供应商名称（</w:t>
      </w:r>
      <w:r>
        <w:rPr>
          <w:rFonts w:hint="eastAsia" w:hAnsi="宋体"/>
          <w:color w:val="auto"/>
          <w:sz w:val="21"/>
          <w:highlight w:val="none"/>
        </w:rPr>
        <w:t>电子公章</w:t>
      </w:r>
      <w:r>
        <w:rPr>
          <w:rFonts w:hint="eastAsia" w:hAnsi="宋体"/>
          <w:color w:val="auto"/>
          <w:kern w:val="2"/>
          <w:sz w:val="21"/>
          <w:highlight w:val="none"/>
        </w:rPr>
        <w:t xml:space="preserve">）：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pPr>
        <w:pStyle w:val="19"/>
        <w:tabs>
          <w:tab w:val="left" w:pos="5529"/>
        </w:tabs>
        <w:wordWrap w:val="0"/>
        <w:ind w:firstLine="3968" w:firstLineChars="1890"/>
        <w:rPr>
          <w:rFonts w:hint="eastAsia" w:hAnsi="宋体"/>
          <w:color w:val="auto"/>
          <w:kern w:val="2"/>
          <w:sz w:val="21"/>
          <w:highlight w:val="none"/>
        </w:rPr>
      </w:pPr>
      <w:r>
        <w:rPr>
          <w:rFonts w:hint="eastAsia" w:hAnsi="宋体"/>
          <w:color w:val="auto"/>
          <w:kern w:val="2"/>
          <w:sz w:val="21"/>
          <w:highlight w:val="none"/>
        </w:rPr>
        <w:t xml:space="preserve">                                 </w:t>
      </w:r>
    </w:p>
    <w:p>
      <w:pPr>
        <w:tabs>
          <w:tab w:val="left" w:pos="4111"/>
        </w:tabs>
        <w:wordWrap w:val="0"/>
        <w:snapToGrid w:val="0"/>
        <w:spacing w:before="50"/>
        <w:ind w:firstLine="2310" w:firstLineChars="1100"/>
        <w:rPr>
          <w:rFonts w:hint="eastAsia" w:hAnsi="宋体"/>
          <w:color w:val="auto"/>
          <w:highlight w:val="none"/>
        </w:rPr>
      </w:pPr>
      <w:r>
        <w:rPr>
          <w:rFonts w:hint="eastAsia" w:hAnsi="宋体"/>
          <w:color w:val="auto"/>
          <w:highlight w:val="none"/>
        </w:rPr>
        <w:t>法定代表人或委托代理人(签字或者电子签名或者加盖电子印章)：</w:t>
      </w:r>
      <w:r>
        <w:rPr>
          <w:rFonts w:hint="eastAsia" w:hAnsi="宋体"/>
          <w:color w:val="auto"/>
          <w:highlight w:val="none"/>
          <w:u w:val="single"/>
        </w:rPr>
        <w:t xml:space="preserve">           </w:t>
      </w:r>
    </w:p>
    <w:p>
      <w:pPr>
        <w:tabs>
          <w:tab w:val="left" w:pos="4111"/>
        </w:tabs>
        <w:wordWrap w:val="0"/>
        <w:snapToGrid w:val="0"/>
        <w:spacing w:before="50"/>
        <w:ind w:firstLine="3968" w:firstLineChars="1890"/>
        <w:rPr>
          <w:rFonts w:hint="eastAsia" w:hAnsi="宋体"/>
          <w:color w:val="auto"/>
          <w:highlight w:val="none"/>
        </w:rPr>
      </w:pPr>
    </w:p>
    <w:p>
      <w:pPr>
        <w:snapToGrid w:val="0"/>
        <w:ind w:firstLine="0" w:firstLineChars="0"/>
        <w:jc w:val="right"/>
        <w:rPr>
          <w:rFonts w:hAnsi="宋体"/>
          <w:color w:val="auto"/>
          <w:highlight w:val="none"/>
        </w:rPr>
      </w:pP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pPr>
        <w:snapToGrid w:val="0"/>
        <w:ind w:firstLine="0" w:firstLineChars="0"/>
        <w:jc w:val="right"/>
        <w:rPr>
          <w:rFonts w:hint="eastAsia" w:hAnsi="宋体"/>
          <w:color w:val="auto"/>
          <w:highlight w:val="none"/>
        </w:rPr>
      </w:pPr>
    </w:p>
    <w:p>
      <w:pPr>
        <w:snapToGrid w:val="0"/>
        <w:ind w:firstLine="0" w:firstLineChars="0"/>
        <w:jc w:val="left"/>
        <w:rPr>
          <w:rFonts w:hint="eastAsia" w:ascii="宋体" w:hAnsi="宋体" w:cs="宋体"/>
          <w:b/>
          <w:color w:val="auto"/>
          <w:szCs w:val="21"/>
          <w:highlight w:val="none"/>
        </w:rPr>
      </w:pPr>
      <w:r>
        <w:rPr>
          <w:rFonts w:hAnsi="宋体"/>
          <w:color w:val="auto"/>
          <w:highlight w:val="none"/>
        </w:rPr>
        <w:br w:type="page"/>
      </w:r>
      <w:r>
        <w:rPr>
          <w:rFonts w:hint="eastAsia" w:ascii="宋体" w:hAnsi="宋体" w:cs="宋体"/>
          <w:b/>
          <w:color w:val="auto"/>
          <w:szCs w:val="21"/>
          <w:highlight w:val="none"/>
        </w:rPr>
        <w:t>附件</w:t>
      </w:r>
    </w:p>
    <w:p>
      <w:pPr>
        <w:pStyle w:val="19"/>
        <w:ind w:firstLine="400"/>
        <w:jc w:val="right"/>
        <w:rPr>
          <w:rFonts w:hint="eastAsia" w:hAnsi="宋体" w:cs="宋体"/>
          <w:color w:val="auto"/>
          <w:highlight w:val="none"/>
        </w:rPr>
      </w:pPr>
    </w:p>
    <w:p>
      <w:pPr>
        <w:spacing w:before="100" w:beforeAutospacing="1" w:after="156" w:afterLines="50"/>
        <w:ind w:firstLine="0" w:firstLineChars="0"/>
        <w:jc w:val="center"/>
        <w:rPr>
          <w:rFonts w:hint="eastAsia"/>
          <w:b/>
          <w:color w:val="auto"/>
          <w:sz w:val="32"/>
          <w:szCs w:val="32"/>
          <w:highlight w:val="none"/>
        </w:rPr>
      </w:pPr>
      <w:r>
        <w:rPr>
          <w:rFonts w:hint="eastAsia"/>
          <w:b/>
          <w:color w:val="auto"/>
          <w:sz w:val="32"/>
          <w:szCs w:val="32"/>
          <w:highlight w:val="none"/>
        </w:rPr>
        <w:t>供应商直接管理关系信息表</w:t>
      </w:r>
      <w:r>
        <w:rPr>
          <w:rFonts w:hint="eastAsia" w:hAnsi="宋体" w:cs="宋体"/>
          <w:b/>
          <w:color w:val="auto"/>
          <w:sz w:val="32"/>
          <w:highlight w:val="none"/>
        </w:rPr>
        <w:t>（格式）</w:t>
      </w:r>
    </w:p>
    <w:tbl>
      <w:tblPr>
        <w:tblStyle w:val="36"/>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0" w:firstLineChars="0"/>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149" w:firstLineChars="71"/>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149" w:firstLineChars="71"/>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149" w:firstLineChars="71"/>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ind w:firstLine="420"/>
              <w:jc w:val="center"/>
              <w:rPr>
                <w:rFonts w:ascii="宋体" w:hAnsi="宋体" w:cs="宋体"/>
                <w:color w:val="auto"/>
                <w:kern w:val="0"/>
                <w:szCs w:val="21"/>
                <w:highlight w:val="none"/>
              </w:rPr>
            </w:pPr>
          </w:p>
        </w:tc>
      </w:tr>
    </w:tbl>
    <w:p>
      <w:pPr>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注：</w:t>
      </w:r>
    </w:p>
    <w:p>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pacing w:val="-6"/>
          <w:szCs w:val="21"/>
          <w:highlight w:val="none"/>
        </w:rPr>
        <w:t>本表所指的管理关系仅限于直接管理关系，不包括间接的管理关系。</w:t>
      </w:r>
    </w:p>
    <w:p>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3.供应商不存在直接管理关系的，则填“无”。</w:t>
      </w:r>
    </w:p>
    <w:p>
      <w:pPr>
        <w:snapToGrid w:val="0"/>
        <w:spacing w:line="360" w:lineRule="auto"/>
        <w:ind w:firstLine="420"/>
        <w:jc w:val="left"/>
        <w:rPr>
          <w:rFonts w:hint="eastAsia" w:ascii="宋体" w:hAnsi="宋体"/>
          <w:color w:val="auto"/>
          <w:szCs w:val="21"/>
          <w:highlight w:val="none"/>
        </w:rPr>
      </w:pPr>
    </w:p>
    <w:p>
      <w:pPr>
        <w:snapToGrid w:val="0"/>
        <w:spacing w:line="360" w:lineRule="auto"/>
        <w:ind w:firstLine="420"/>
        <w:jc w:val="left"/>
        <w:rPr>
          <w:rFonts w:hint="eastAsia" w:ascii="宋体" w:hAnsi="宋体"/>
          <w:color w:val="auto"/>
          <w:szCs w:val="21"/>
          <w:highlight w:val="none"/>
        </w:rPr>
      </w:pPr>
    </w:p>
    <w:p>
      <w:pPr>
        <w:snapToGrid w:val="0"/>
        <w:ind w:firstLine="560"/>
        <w:jc w:val="left"/>
        <w:rPr>
          <w:rFonts w:hint="eastAsia"/>
          <w:color w:val="auto"/>
          <w:sz w:val="28"/>
          <w:szCs w:val="28"/>
          <w:highlight w:val="none"/>
        </w:rPr>
      </w:pPr>
    </w:p>
    <w:p>
      <w:pPr>
        <w:snapToGrid w:val="0"/>
        <w:ind w:firstLine="560"/>
        <w:jc w:val="left"/>
        <w:rPr>
          <w:rFonts w:hint="eastAsia"/>
          <w:color w:val="auto"/>
          <w:sz w:val="28"/>
          <w:szCs w:val="28"/>
          <w:highlight w:val="none"/>
        </w:rPr>
      </w:pPr>
    </w:p>
    <w:p>
      <w:pPr>
        <w:pStyle w:val="19"/>
        <w:tabs>
          <w:tab w:val="left" w:pos="5529"/>
        </w:tabs>
        <w:wordWrap w:val="0"/>
        <w:ind w:firstLine="2299" w:firstLineChars="1095"/>
        <w:rPr>
          <w:rFonts w:hAnsi="宋体"/>
          <w:color w:val="auto"/>
          <w:kern w:val="2"/>
          <w:sz w:val="21"/>
          <w:highlight w:val="none"/>
          <w:u w:val="single"/>
        </w:rPr>
      </w:pPr>
      <w:r>
        <w:rPr>
          <w:rFonts w:hint="eastAsia" w:hAnsi="宋体"/>
          <w:color w:val="auto"/>
          <w:kern w:val="2"/>
          <w:sz w:val="21"/>
          <w:highlight w:val="none"/>
        </w:rPr>
        <w:t>供应商名称（</w:t>
      </w:r>
      <w:r>
        <w:rPr>
          <w:rFonts w:hint="eastAsia" w:hAnsi="宋体"/>
          <w:color w:val="auto"/>
          <w:sz w:val="21"/>
          <w:highlight w:val="none"/>
        </w:rPr>
        <w:t>电子公章</w:t>
      </w:r>
      <w:r>
        <w:rPr>
          <w:rFonts w:hint="eastAsia" w:hAnsi="宋体"/>
          <w:color w:val="auto"/>
          <w:kern w:val="2"/>
          <w:sz w:val="21"/>
          <w:highlight w:val="none"/>
        </w:rPr>
        <w:t xml:space="preserve">）：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pPr>
        <w:pStyle w:val="19"/>
        <w:tabs>
          <w:tab w:val="left" w:pos="5529"/>
        </w:tabs>
        <w:wordWrap w:val="0"/>
        <w:ind w:firstLine="3968" w:firstLineChars="1890"/>
        <w:rPr>
          <w:rFonts w:hint="eastAsia" w:hAnsi="宋体"/>
          <w:color w:val="auto"/>
          <w:kern w:val="2"/>
          <w:sz w:val="21"/>
          <w:highlight w:val="none"/>
        </w:rPr>
      </w:pPr>
      <w:r>
        <w:rPr>
          <w:rFonts w:hint="eastAsia" w:hAnsi="宋体"/>
          <w:color w:val="auto"/>
          <w:kern w:val="2"/>
          <w:sz w:val="21"/>
          <w:highlight w:val="none"/>
        </w:rPr>
        <w:t xml:space="preserve">                                 </w:t>
      </w:r>
    </w:p>
    <w:p>
      <w:pPr>
        <w:tabs>
          <w:tab w:val="left" w:pos="4111"/>
        </w:tabs>
        <w:wordWrap w:val="0"/>
        <w:snapToGrid w:val="0"/>
        <w:spacing w:before="50"/>
        <w:ind w:firstLine="2310" w:firstLineChars="1100"/>
        <w:rPr>
          <w:rFonts w:hint="eastAsia" w:hAnsi="宋体"/>
          <w:color w:val="auto"/>
          <w:highlight w:val="none"/>
        </w:rPr>
      </w:pPr>
      <w:r>
        <w:rPr>
          <w:rFonts w:hint="eastAsia" w:hAnsi="宋体"/>
          <w:color w:val="auto"/>
          <w:highlight w:val="none"/>
        </w:rPr>
        <w:t>法定代表人或委托代理人(签字或者电子签名或者加盖电子印章)：</w:t>
      </w:r>
      <w:r>
        <w:rPr>
          <w:rFonts w:hint="eastAsia" w:hAnsi="宋体"/>
          <w:color w:val="auto"/>
          <w:highlight w:val="none"/>
          <w:u w:val="single"/>
        </w:rPr>
        <w:t xml:space="preserve">           </w:t>
      </w:r>
    </w:p>
    <w:p>
      <w:pPr>
        <w:tabs>
          <w:tab w:val="left" w:pos="4111"/>
        </w:tabs>
        <w:wordWrap w:val="0"/>
        <w:snapToGrid w:val="0"/>
        <w:spacing w:before="50"/>
        <w:ind w:firstLine="3968" w:firstLineChars="1890"/>
        <w:rPr>
          <w:rFonts w:hint="eastAsia" w:hAnsi="宋体"/>
          <w:color w:val="auto"/>
          <w:highlight w:val="none"/>
        </w:rPr>
      </w:pPr>
    </w:p>
    <w:p>
      <w:pPr>
        <w:pStyle w:val="19"/>
        <w:wordWrap w:val="0"/>
        <w:ind w:firstLine="420"/>
        <w:jc w:val="right"/>
        <w:rPr>
          <w:rFonts w:hint="eastAsia" w:hAnsi="宋体"/>
          <w:color w:val="auto"/>
          <w:kern w:val="2"/>
          <w:sz w:val="21"/>
          <w:highlight w:val="none"/>
        </w:rPr>
      </w:pPr>
      <w:r>
        <w:rPr>
          <w:rFonts w:hint="eastAsia" w:hAnsi="宋体"/>
          <w:color w:val="auto"/>
          <w:kern w:val="2"/>
          <w:sz w:val="21"/>
          <w:highlight w:val="none"/>
          <w:u w:val="single"/>
        </w:rPr>
        <w:t xml:space="preserve">       </w:t>
      </w:r>
      <w:r>
        <w:rPr>
          <w:rFonts w:hint="eastAsia" w:hAnsi="宋体"/>
          <w:color w:val="auto"/>
          <w:kern w:val="2"/>
          <w:sz w:val="21"/>
          <w:highlight w:val="none"/>
        </w:rPr>
        <w:t>年</w:t>
      </w:r>
      <w:r>
        <w:rPr>
          <w:rFonts w:hint="eastAsia" w:hAnsi="宋体"/>
          <w:color w:val="auto"/>
          <w:kern w:val="2"/>
          <w:sz w:val="21"/>
          <w:highlight w:val="none"/>
          <w:u w:val="single"/>
        </w:rPr>
        <w:t xml:space="preserve">     </w:t>
      </w:r>
      <w:r>
        <w:rPr>
          <w:rFonts w:hint="eastAsia" w:hAnsi="宋体"/>
          <w:color w:val="auto"/>
          <w:kern w:val="2"/>
          <w:sz w:val="21"/>
          <w:highlight w:val="none"/>
        </w:rPr>
        <w:t>月</w:t>
      </w:r>
      <w:r>
        <w:rPr>
          <w:rFonts w:hint="eastAsia" w:hAnsi="宋体"/>
          <w:color w:val="auto"/>
          <w:kern w:val="2"/>
          <w:sz w:val="21"/>
          <w:highlight w:val="none"/>
          <w:u w:val="single"/>
        </w:rPr>
        <w:t xml:space="preserve">     </w:t>
      </w:r>
      <w:r>
        <w:rPr>
          <w:rFonts w:hint="eastAsia" w:hAnsi="宋体"/>
          <w:color w:val="auto"/>
          <w:kern w:val="2"/>
          <w:sz w:val="21"/>
          <w:highlight w:val="none"/>
        </w:rPr>
        <w:t>日</w:t>
      </w:r>
    </w:p>
    <w:p>
      <w:pPr>
        <w:snapToGrid w:val="0"/>
        <w:spacing w:before="50" w:after="50"/>
        <w:ind w:left="-6" w:leftChars="-3" w:right="-817" w:rightChars="-389" w:firstLine="6720" w:firstLineChars="3200"/>
        <w:rPr>
          <w:rFonts w:ascii="宋体" w:hAnsi="宋体" w:cs="宋体"/>
          <w:color w:val="auto"/>
          <w:szCs w:val="21"/>
          <w:highlight w:val="none"/>
        </w:rPr>
      </w:pPr>
    </w:p>
    <w:p>
      <w:pPr>
        <w:snapToGrid w:val="0"/>
        <w:spacing w:before="156" w:beforeLines="50" w:after="50"/>
        <w:rPr>
          <w:rFonts w:ascii="宋体" w:hAnsi="宋体" w:cs="宋体"/>
          <w:b/>
          <w:bCs/>
          <w:color w:val="auto"/>
          <w:szCs w:val="21"/>
          <w:highlight w:val="none"/>
        </w:rPr>
      </w:pPr>
    </w:p>
    <w:p>
      <w:pPr>
        <w:snapToGrid w:val="0"/>
        <w:spacing w:before="156" w:beforeLines="50" w:after="50"/>
        <w:rPr>
          <w:rFonts w:ascii="宋体" w:hAnsi="宋体" w:cs="宋体"/>
          <w:b/>
          <w:bCs/>
          <w:color w:val="auto"/>
          <w:szCs w:val="21"/>
          <w:highlight w:val="none"/>
        </w:rPr>
      </w:pPr>
    </w:p>
    <w:p>
      <w:pPr>
        <w:snapToGrid w:val="0"/>
        <w:spacing w:before="156" w:beforeLines="50" w:after="50"/>
        <w:rPr>
          <w:rFonts w:hint="eastAsia" w:ascii="宋体" w:hAnsi="宋体" w:cs="宋体"/>
          <w:b/>
          <w:bCs/>
          <w:color w:val="auto"/>
          <w:szCs w:val="21"/>
          <w:highlight w:val="none"/>
        </w:rPr>
        <w:sectPr>
          <w:pgSz w:w="11906" w:h="16838"/>
          <w:pgMar w:top="1134" w:right="1134" w:bottom="1134" w:left="1134" w:header="720" w:footer="720" w:gutter="0"/>
          <w:pgNumType w:fmt="decimal"/>
          <w:cols w:space="0" w:num="1"/>
          <w:docGrid w:type="lines" w:linePitch="312" w:charSpace="0"/>
        </w:sectPr>
      </w:pPr>
    </w:p>
    <w:p>
      <w:pPr>
        <w:snapToGrid w:val="0"/>
        <w:spacing w:before="156" w:beforeLines="50" w:after="50"/>
        <w:rPr>
          <w:rFonts w:ascii="宋体" w:hAnsi="宋体" w:cs="宋体"/>
          <w:b/>
          <w:bCs/>
          <w:color w:val="auto"/>
          <w:szCs w:val="21"/>
          <w:highlight w:val="none"/>
        </w:rPr>
      </w:pPr>
      <w:r>
        <w:rPr>
          <w:rFonts w:hint="eastAsia" w:ascii="宋体" w:hAnsi="宋体" w:cs="宋体"/>
          <w:b/>
          <w:bCs/>
          <w:color w:val="auto"/>
          <w:szCs w:val="21"/>
          <w:highlight w:val="none"/>
        </w:rPr>
        <w:t>2、商务和技术文件格式：</w:t>
      </w:r>
    </w:p>
    <w:p>
      <w:pPr>
        <w:snapToGrid w:val="0"/>
        <w:spacing w:before="156" w:beforeLines="50" w:after="50" w:line="330" w:lineRule="exact"/>
        <w:jc w:val="center"/>
        <w:rPr>
          <w:rFonts w:ascii="宋体" w:hAnsi="宋体" w:cs="宋体"/>
          <w:b/>
          <w:color w:val="auto"/>
          <w:szCs w:val="21"/>
          <w:highlight w:val="none"/>
        </w:rPr>
      </w:pPr>
    </w:p>
    <w:p>
      <w:pPr>
        <w:snapToGrid w:val="0"/>
        <w:spacing w:before="156" w:beforeLines="50" w:after="50" w:line="330" w:lineRule="exact"/>
        <w:jc w:val="center"/>
        <w:rPr>
          <w:rFonts w:ascii="宋体" w:hAnsi="宋体" w:cs="宋体"/>
          <w:b/>
          <w:color w:val="auto"/>
          <w:szCs w:val="21"/>
          <w:highlight w:val="none"/>
        </w:rPr>
      </w:pPr>
    </w:p>
    <w:p>
      <w:pPr>
        <w:snapToGrid w:val="0"/>
        <w:spacing w:before="156" w:beforeLines="50" w:after="50" w:line="33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目录</w:t>
      </w:r>
    </w:p>
    <w:p>
      <w:pPr>
        <w:snapToGrid w:val="0"/>
        <w:spacing w:before="156" w:beforeLines="50" w:after="50" w:line="330" w:lineRule="exact"/>
        <w:jc w:val="center"/>
        <w:rPr>
          <w:rFonts w:ascii="宋体" w:hAnsi="宋体" w:cs="宋体"/>
          <w:color w:val="auto"/>
          <w:sz w:val="28"/>
          <w:szCs w:val="28"/>
          <w:highlight w:val="none"/>
        </w:rPr>
      </w:pPr>
    </w:p>
    <w:p>
      <w:pPr>
        <w:tabs>
          <w:tab w:val="left" w:pos="2625"/>
        </w:tabs>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(供应商需根据响应文件自行编制目录及页码)</w:t>
      </w: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pStyle w:val="35"/>
        <w:rPr>
          <w:rFonts w:ascii="宋体" w:hAnsi="宋体"/>
          <w:color w:val="auto"/>
          <w:szCs w:val="21"/>
          <w:highlight w:val="none"/>
        </w:rPr>
      </w:pPr>
    </w:p>
    <w:p>
      <w:pPr>
        <w:pStyle w:val="35"/>
        <w:rPr>
          <w:rFonts w:ascii="宋体" w:hAnsi="宋体"/>
          <w:color w:val="auto"/>
          <w:szCs w:val="21"/>
          <w:highlight w:val="none"/>
        </w:rPr>
      </w:pPr>
    </w:p>
    <w:p>
      <w:pPr>
        <w:pStyle w:val="35"/>
        <w:rPr>
          <w:rFonts w:ascii="宋体" w:hAnsi="宋体"/>
          <w:color w:val="auto"/>
          <w:szCs w:val="21"/>
          <w:highlight w:val="none"/>
        </w:rPr>
      </w:pPr>
    </w:p>
    <w:p>
      <w:pPr>
        <w:pStyle w:val="35"/>
        <w:rPr>
          <w:rFonts w:ascii="宋体" w:hAnsi="宋体"/>
          <w:color w:val="auto"/>
          <w:szCs w:val="21"/>
          <w:highlight w:val="none"/>
        </w:rPr>
      </w:pPr>
    </w:p>
    <w:p>
      <w:pPr>
        <w:pStyle w:val="35"/>
        <w:rPr>
          <w:rFonts w:ascii="宋体" w:hAnsi="宋体"/>
          <w:color w:val="auto"/>
          <w:szCs w:val="21"/>
          <w:highlight w:val="none"/>
        </w:rPr>
      </w:pPr>
    </w:p>
    <w:p>
      <w:pPr>
        <w:pStyle w:val="35"/>
        <w:rPr>
          <w:rFonts w:ascii="宋体" w:hAnsi="宋体"/>
          <w:color w:val="auto"/>
          <w:szCs w:val="21"/>
          <w:highlight w:val="none"/>
        </w:rPr>
      </w:pPr>
    </w:p>
    <w:p>
      <w:pPr>
        <w:pStyle w:val="35"/>
        <w:rPr>
          <w:rFonts w:ascii="宋体" w:hAnsi="宋体"/>
          <w:color w:val="auto"/>
          <w:szCs w:val="21"/>
          <w:highlight w:val="none"/>
        </w:rPr>
      </w:pPr>
    </w:p>
    <w:p>
      <w:pPr>
        <w:pStyle w:val="35"/>
        <w:rPr>
          <w:rFonts w:ascii="宋体" w:hAnsi="宋体"/>
          <w:color w:val="auto"/>
          <w:szCs w:val="21"/>
          <w:highlight w:val="none"/>
        </w:rPr>
      </w:pPr>
    </w:p>
    <w:p>
      <w:pPr>
        <w:pStyle w:val="35"/>
        <w:rPr>
          <w:rFonts w:ascii="宋体" w:hAnsi="宋体"/>
          <w:color w:val="auto"/>
          <w:szCs w:val="21"/>
          <w:highlight w:val="none"/>
        </w:rPr>
      </w:pPr>
    </w:p>
    <w:p>
      <w:pPr>
        <w:pStyle w:val="35"/>
        <w:rPr>
          <w:rFonts w:ascii="宋体" w:hAnsi="宋体"/>
          <w:color w:val="auto"/>
          <w:szCs w:val="21"/>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t>一、法定代表人身份证明书格式</w:t>
      </w:r>
    </w:p>
    <w:p>
      <w:pPr>
        <w:pStyle w:val="19"/>
        <w:ind w:left="-10" w:firstLine="10" w:firstLineChars="3"/>
        <w:jc w:val="center"/>
        <w:rPr>
          <w:rFonts w:hint="eastAsia" w:hAnsi="宋体" w:cs="宋体"/>
          <w:b/>
          <w:color w:val="auto"/>
          <w:sz w:val="32"/>
          <w:highlight w:val="none"/>
        </w:rPr>
      </w:pPr>
      <w:r>
        <w:rPr>
          <w:rFonts w:hint="eastAsia" w:hAnsi="宋体" w:cs="宋体"/>
          <w:b/>
          <w:color w:val="auto"/>
          <w:sz w:val="32"/>
          <w:highlight w:val="none"/>
        </w:rPr>
        <w:t>法定代表人身份证明书（格式）</w:t>
      </w:r>
    </w:p>
    <w:p>
      <w:pPr>
        <w:pStyle w:val="19"/>
        <w:spacing w:line="480" w:lineRule="auto"/>
        <w:ind w:firstLine="698" w:firstLineChars="349"/>
        <w:rPr>
          <w:rFonts w:hAnsi="宋体" w:cs="宋体"/>
          <w:color w:val="auto"/>
          <w:highlight w:val="none"/>
        </w:rPr>
      </w:pPr>
    </w:p>
    <w:p>
      <w:pPr>
        <w:pStyle w:val="19"/>
        <w:spacing w:line="480" w:lineRule="auto"/>
        <w:ind w:firstLine="720" w:firstLineChars="300"/>
        <w:rPr>
          <w:rFonts w:hAnsi="宋体"/>
          <w:color w:val="auto"/>
          <w:sz w:val="24"/>
          <w:szCs w:val="24"/>
          <w:highlight w:val="none"/>
          <w:u w:val="single"/>
        </w:rPr>
      </w:pPr>
      <w:r>
        <w:rPr>
          <w:rFonts w:hint="eastAsia" w:hAnsi="宋体"/>
          <w:color w:val="auto"/>
          <w:sz w:val="24"/>
          <w:szCs w:val="24"/>
          <w:highlight w:val="none"/>
          <w:lang w:eastAsia="zh-CN"/>
        </w:rPr>
        <w:t>供 应 商</w:t>
      </w:r>
      <w:r>
        <w:rPr>
          <w:rFonts w:hint="eastAsia" w:hAnsi="宋体"/>
          <w:color w:val="auto"/>
          <w:sz w:val="24"/>
          <w:szCs w:val="24"/>
          <w:highlight w:val="none"/>
        </w:rPr>
        <w:t>：</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p>
    <w:p>
      <w:pPr>
        <w:pStyle w:val="19"/>
        <w:spacing w:line="480" w:lineRule="auto"/>
        <w:ind w:firstLine="720" w:firstLineChars="300"/>
        <w:rPr>
          <w:rFonts w:hint="eastAsia" w:hAnsi="宋体"/>
          <w:color w:val="auto"/>
          <w:sz w:val="24"/>
          <w:szCs w:val="24"/>
          <w:highlight w:val="none"/>
          <w:u w:val="single"/>
        </w:rPr>
      </w:pPr>
      <w:r>
        <w:rPr>
          <w:rFonts w:hint="eastAsia" w:hAnsi="宋体"/>
          <w:color w:val="auto"/>
          <w:sz w:val="24"/>
          <w:szCs w:val="24"/>
          <w:highlight w:val="none"/>
          <w:lang w:eastAsia="zh-CN"/>
        </w:rPr>
        <w:t xml:space="preserve">地 </w:t>
      </w:r>
      <w:r>
        <w:rPr>
          <w:rFonts w:hAnsi="宋体"/>
          <w:color w:val="auto"/>
          <w:sz w:val="24"/>
          <w:szCs w:val="24"/>
          <w:highlight w:val="none"/>
          <w:lang w:eastAsia="zh-CN"/>
        </w:rPr>
        <w:t xml:space="preserve">   </w:t>
      </w:r>
      <w:r>
        <w:rPr>
          <w:rFonts w:hint="eastAsia" w:hAnsi="宋体"/>
          <w:color w:val="auto"/>
          <w:sz w:val="24"/>
          <w:szCs w:val="24"/>
          <w:highlight w:val="none"/>
          <w:lang w:eastAsia="zh-CN"/>
        </w:rPr>
        <w:t>址</w:t>
      </w:r>
      <w:r>
        <w:rPr>
          <w:rFonts w:hint="eastAsia" w:hAnsi="宋体"/>
          <w:color w:val="auto"/>
          <w:sz w:val="24"/>
          <w:szCs w:val="24"/>
          <w:highlight w:val="none"/>
        </w:rPr>
        <w:t>：</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u w:val="single"/>
          <w:lang w:eastAsia="zh-CN"/>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p>
    <w:p>
      <w:pPr>
        <w:pStyle w:val="19"/>
        <w:spacing w:line="480" w:lineRule="auto"/>
        <w:ind w:firstLine="720" w:firstLineChars="300"/>
        <w:rPr>
          <w:rFonts w:hAnsi="宋体"/>
          <w:color w:val="auto"/>
          <w:sz w:val="24"/>
          <w:szCs w:val="24"/>
          <w:highlight w:val="none"/>
        </w:rPr>
      </w:pPr>
      <w:r>
        <w:rPr>
          <w:rFonts w:hint="eastAsia" w:hAnsi="宋体"/>
          <w:color w:val="auto"/>
          <w:sz w:val="24"/>
          <w:szCs w:val="24"/>
          <w:highlight w:val="none"/>
          <w:lang w:eastAsia="zh-CN"/>
        </w:rPr>
        <w:t xml:space="preserve">姓 </w:t>
      </w:r>
      <w:r>
        <w:rPr>
          <w:rFonts w:hAnsi="宋体"/>
          <w:color w:val="auto"/>
          <w:sz w:val="24"/>
          <w:szCs w:val="24"/>
          <w:highlight w:val="none"/>
          <w:lang w:eastAsia="zh-CN"/>
        </w:rPr>
        <w:t xml:space="preserve">   </w:t>
      </w:r>
      <w:r>
        <w:rPr>
          <w:rFonts w:hint="eastAsia" w:hAnsi="宋体"/>
          <w:color w:val="auto"/>
          <w:sz w:val="24"/>
          <w:szCs w:val="24"/>
          <w:highlight w:val="none"/>
          <w:lang w:eastAsia="zh-CN"/>
        </w:rPr>
        <w:t>名</w:t>
      </w:r>
      <w:r>
        <w:rPr>
          <w:rFonts w:hint="eastAsia" w:hAnsi="宋体"/>
          <w:color w:val="auto"/>
          <w:sz w:val="24"/>
          <w:szCs w:val="24"/>
          <w:highlight w:val="none"/>
        </w:rPr>
        <w:t>：</w:t>
      </w:r>
      <w:r>
        <w:rPr>
          <w:rFonts w:hint="eastAsia" w:hAnsi="宋体"/>
          <w:color w:val="auto"/>
          <w:sz w:val="24"/>
          <w:szCs w:val="24"/>
          <w:highlight w:val="none"/>
          <w:u w:val="single"/>
        </w:rPr>
        <w:t xml:space="preserve">                  </w:t>
      </w:r>
      <w:r>
        <w:rPr>
          <w:rFonts w:hAnsi="宋体"/>
          <w:color w:val="auto"/>
          <w:sz w:val="24"/>
          <w:szCs w:val="24"/>
          <w:highlight w:val="none"/>
        </w:rPr>
        <w:t xml:space="preserve">     </w:t>
      </w:r>
      <w:r>
        <w:rPr>
          <w:rFonts w:hint="eastAsia" w:hAnsi="宋体"/>
          <w:color w:val="auto"/>
          <w:sz w:val="24"/>
          <w:szCs w:val="24"/>
          <w:highlight w:val="none"/>
          <w:lang w:eastAsia="zh-CN"/>
        </w:rPr>
        <w:t xml:space="preserve">性 </w:t>
      </w:r>
      <w:r>
        <w:rPr>
          <w:rFonts w:hAnsi="宋体"/>
          <w:color w:val="auto"/>
          <w:sz w:val="24"/>
          <w:szCs w:val="24"/>
          <w:highlight w:val="none"/>
          <w:lang w:eastAsia="zh-CN"/>
        </w:rPr>
        <w:t xml:space="preserve">    </w:t>
      </w:r>
      <w:r>
        <w:rPr>
          <w:rFonts w:hint="eastAsia" w:hAnsi="宋体"/>
          <w:color w:val="auto"/>
          <w:sz w:val="24"/>
          <w:szCs w:val="24"/>
          <w:highlight w:val="none"/>
          <w:lang w:eastAsia="zh-CN"/>
        </w:rPr>
        <w:t>别：</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p>
    <w:p>
      <w:pPr>
        <w:pStyle w:val="19"/>
        <w:spacing w:line="480" w:lineRule="auto"/>
        <w:ind w:firstLine="720" w:firstLineChars="300"/>
        <w:rPr>
          <w:rFonts w:hint="eastAsia" w:hAnsi="宋体"/>
          <w:color w:val="auto"/>
          <w:sz w:val="24"/>
          <w:szCs w:val="24"/>
          <w:highlight w:val="none"/>
        </w:rPr>
      </w:pPr>
      <w:r>
        <w:rPr>
          <w:rFonts w:hint="eastAsia" w:hAnsi="宋体"/>
          <w:color w:val="auto"/>
          <w:sz w:val="24"/>
          <w:szCs w:val="24"/>
          <w:highlight w:val="none"/>
          <w:lang w:eastAsia="zh-CN"/>
        </w:rPr>
        <w:t xml:space="preserve">年 </w:t>
      </w:r>
      <w:r>
        <w:rPr>
          <w:rFonts w:hAnsi="宋体"/>
          <w:color w:val="auto"/>
          <w:sz w:val="24"/>
          <w:szCs w:val="24"/>
          <w:highlight w:val="none"/>
          <w:lang w:eastAsia="zh-CN"/>
        </w:rPr>
        <w:t xml:space="preserve">   </w:t>
      </w:r>
      <w:r>
        <w:rPr>
          <w:rFonts w:hint="eastAsia" w:hAnsi="宋体"/>
          <w:color w:val="auto"/>
          <w:sz w:val="24"/>
          <w:szCs w:val="24"/>
          <w:highlight w:val="none"/>
          <w:lang w:eastAsia="zh-CN"/>
        </w:rPr>
        <w:t>龄</w:t>
      </w:r>
      <w:r>
        <w:rPr>
          <w:rFonts w:hint="eastAsia" w:hAnsi="宋体"/>
          <w:color w:val="auto"/>
          <w:sz w:val="24"/>
          <w:szCs w:val="24"/>
          <w:highlight w:val="none"/>
        </w:rPr>
        <w:t>：</w:t>
      </w:r>
      <w:r>
        <w:rPr>
          <w:rFonts w:hint="eastAsia" w:hAnsi="宋体"/>
          <w:color w:val="auto"/>
          <w:sz w:val="24"/>
          <w:szCs w:val="24"/>
          <w:highlight w:val="none"/>
          <w:u w:val="single"/>
        </w:rPr>
        <w:t xml:space="preserve">                  </w:t>
      </w:r>
      <w:r>
        <w:rPr>
          <w:rFonts w:hAnsi="宋体"/>
          <w:color w:val="auto"/>
          <w:sz w:val="24"/>
          <w:szCs w:val="24"/>
          <w:highlight w:val="none"/>
        </w:rPr>
        <w:t xml:space="preserve">     </w:t>
      </w:r>
      <w:r>
        <w:rPr>
          <w:rFonts w:hint="eastAsia" w:hAnsi="宋体"/>
          <w:color w:val="auto"/>
          <w:sz w:val="24"/>
          <w:szCs w:val="24"/>
          <w:highlight w:val="none"/>
          <w:lang w:eastAsia="zh-CN"/>
        </w:rPr>
        <w:t xml:space="preserve">职 </w:t>
      </w:r>
      <w:r>
        <w:rPr>
          <w:rFonts w:hAnsi="宋体"/>
          <w:color w:val="auto"/>
          <w:sz w:val="24"/>
          <w:szCs w:val="24"/>
          <w:highlight w:val="none"/>
          <w:lang w:eastAsia="zh-CN"/>
        </w:rPr>
        <w:t xml:space="preserve">    </w:t>
      </w:r>
      <w:r>
        <w:rPr>
          <w:rFonts w:hint="eastAsia" w:hAnsi="宋体"/>
          <w:color w:val="auto"/>
          <w:sz w:val="24"/>
          <w:szCs w:val="24"/>
          <w:highlight w:val="none"/>
          <w:lang w:eastAsia="zh-CN"/>
        </w:rPr>
        <w:t>务：</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p>
    <w:p>
      <w:pPr>
        <w:pStyle w:val="19"/>
        <w:spacing w:line="480" w:lineRule="auto"/>
        <w:ind w:firstLine="720" w:firstLineChars="300"/>
        <w:rPr>
          <w:rFonts w:hint="eastAsia" w:hAnsi="宋体"/>
          <w:color w:val="auto"/>
          <w:sz w:val="24"/>
          <w:szCs w:val="24"/>
          <w:highlight w:val="none"/>
        </w:rPr>
      </w:pPr>
      <w:r>
        <w:rPr>
          <w:rFonts w:hint="eastAsia" w:hAnsi="宋体"/>
          <w:color w:val="auto"/>
          <w:sz w:val="24"/>
          <w:szCs w:val="24"/>
          <w:highlight w:val="none"/>
        </w:rPr>
        <w:t>系</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u w:val="single"/>
          <w:lang w:eastAsia="zh-CN"/>
        </w:rPr>
        <w:t>供应商</w:t>
      </w:r>
      <w:r>
        <w:rPr>
          <w:rFonts w:hint="eastAsia" w:hAnsi="宋体"/>
          <w:color w:val="auto"/>
          <w:sz w:val="24"/>
          <w:szCs w:val="24"/>
          <w:highlight w:val="none"/>
          <w:u w:val="single"/>
        </w:rPr>
        <w:t xml:space="preserve">单位名称）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的法定代表人。</w:t>
      </w:r>
    </w:p>
    <w:p>
      <w:pPr>
        <w:pStyle w:val="19"/>
        <w:spacing w:line="480" w:lineRule="auto"/>
        <w:ind w:firstLine="720" w:firstLineChars="300"/>
        <w:rPr>
          <w:rFonts w:hAnsi="宋体"/>
          <w:color w:val="auto"/>
          <w:sz w:val="24"/>
          <w:szCs w:val="24"/>
          <w:highlight w:val="none"/>
        </w:rPr>
      </w:pPr>
      <w:r>
        <w:rPr>
          <w:rFonts w:hint="eastAsia" w:hAnsi="宋体"/>
          <w:color w:val="auto"/>
          <w:sz w:val="24"/>
          <w:szCs w:val="24"/>
          <w:highlight w:val="none"/>
        </w:rPr>
        <w:t>特此证明。</w:t>
      </w:r>
    </w:p>
    <w:p>
      <w:pPr>
        <w:pStyle w:val="19"/>
        <w:spacing w:line="480" w:lineRule="auto"/>
        <w:ind w:firstLine="720" w:firstLineChars="300"/>
        <w:rPr>
          <w:rFonts w:hAnsi="宋体"/>
          <w:color w:val="auto"/>
          <w:sz w:val="24"/>
          <w:szCs w:val="24"/>
          <w:highlight w:val="none"/>
        </w:rPr>
      </w:pPr>
    </w:p>
    <w:p>
      <w:pPr>
        <w:pStyle w:val="19"/>
        <w:spacing w:line="480" w:lineRule="auto"/>
        <w:ind w:firstLine="843" w:firstLineChars="300"/>
        <w:rPr>
          <w:rFonts w:hAnsi="宋体"/>
          <w:color w:val="auto"/>
          <w:sz w:val="24"/>
          <w:szCs w:val="24"/>
          <w:highlight w:val="none"/>
        </w:rPr>
      </w:pPr>
      <w:r>
        <w:rPr>
          <w:b/>
          <w:color w:val="auto"/>
          <w:sz w:val="28"/>
          <w:szCs w:val="28"/>
          <w:highlight w:val="none"/>
        </w:rPr>
        <w:t>附件：法定代表人有效身份证正反面复印件</w:t>
      </w:r>
    </w:p>
    <w:p>
      <w:pPr>
        <w:pStyle w:val="19"/>
        <w:tabs>
          <w:tab w:val="left" w:pos="5529"/>
        </w:tabs>
        <w:wordWrap w:val="0"/>
        <w:ind w:firstLine="3968" w:firstLineChars="1890"/>
        <w:rPr>
          <w:rFonts w:hAnsi="宋体"/>
          <w:color w:val="auto"/>
          <w:kern w:val="2"/>
          <w:sz w:val="21"/>
          <w:highlight w:val="none"/>
          <w:lang w:val="en-US" w:eastAsia="zh-CN"/>
        </w:rPr>
      </w:pPr>
    </w:p>
    <w:p>
      <w:pPr>
        <w:pStyle w:val="19"/>
        <w:tabs>
          <w:tab w:val="left" w:pos="5529"/>
        </w:tabs>
        <w:wordWrap w:val="0"/>
        <w:ind w:firstLine="4389" w:firstLineChars="2090"/>
        <w:rPr>
          <w:rFonts w:hAnsi="宋体"/>
          <w:color w:val="auto"/>
          <w:kern w:val="2"/>
          <w:sz w:val="21"/>
          <w:highlight w:val="none"/>
          <w:lang w:val="en-US" w:eastAsia="zh-CN"/>
        </w:rPr>
      </w:pPr>
    </w:p>
    <w:p>
      <w:pPr>
        <w:pStyle w:val="19"/>
        <w:tabs>
          <w:tab w:val="left" w:pos="5529"/>
        </w:tabs>
        <w:wordWrap w:val="0"/>
        <w:ind w:firstLine="4389" w:firstLineChars="2090"/>
        <w:rPr>
          <w:rFonts w:hint="eastAsia" w:hAnsi="宋体"/>
          <w:color w:val="auto"/>
          <w:kern w:val="2"/>
          <w:sz w:val="21"/>
          <w:highlight w:val="none"/>
          <w:lang w:val="en-US" w:eastAsia="zh-CN"/>
        </w:rPr>
      </w:pPr>
    </w:p>
    <w:p>
      <w:pPr>
        <w:pStyle w:val="19"/>
        <w:tabs>
          <w:tab w:val="left" w:pos="5529"/>
        </w:tabs>
        <w:wordWrap w:val="0"/>
        <w:ind w:firstLine="4389" w:firstLineChars="2090"/>
        <w:rPr>
          <w:rFonts w:hAnsi="宋体"/>
          <w:color w:val="auto"/>
          <w:kern w:val="2"/>
          <w:sz w:val="21"/>
          <w:highlight w:val="none"/>
          <w:lang w:val="en-US" w:eastAsia="zh-CN"/>
        </w:rPr>
      </w:pPr>
    </w:p>
    <w:p>
      <w:pPr>
        <w:pStyle w:val="19"/>
        <w:tabs>
          <w:tab w:val="left" w:pos="5529"/>
        </w:tabs>
        <w:wordWrap w:val="0"/>
        <w:ind w:firstLine="4560" w:firstLineChars="1900"/>
        <w:rPr>
          <w:rFonts w:hint="eastAsia" w:hAnsi="宋体"/>
          <w:color w:val="auto"/>
          <w:kern w:val="2"/>
          <w:sz w:val="24"/>
          <w:szCs w:val="24"/>
          <w:highlight w:val="none"/>
          <w:u w:val="single"/>
          <w:lang w:val="en-US" w:eastAsia="zh-CN"/>
        </w:rPr>
      </w:pPr>
      <w:r>
        <w:rPr>
          <w:rFonts w:hint="eastAsia" w:hAnsi="宋体"/>
          <w:color w:val="auto"/>
          <w:kern w:val="2"/>
          <w:sz w:val="24"/>
          <w:szCs w:val="24"/>
          <w:highlight w:val="none"/>
          <w:lang w:val="en-US" w:eastAsia="zh-CN"/>
        </w:rPr>
        <w:t xml:space="preserve">供应商名称（电子公章）： </w:t>
      </w:r>
      <w:r>
        <w:rPr>
          <w:rFonts w:hint="eastAsia" w:hAnsi="宋体"/>
          <w:color w:val="auto"/>
          <w:sz w:val="24"/>
          <w:szCs w:val="24"/>
          <w:highlight w:val="none"/>
          <w:u w:val="single"/>
        </w:rPr>
        <w:t xml:space="preserve">                </w:t>
      </w:r>
    </w:p>
    <w:p>
      <w:pPr>
        <w:pStyle w:val="19"/>
        <w:tabs>
          <w:tab w:val="left" w:pos="5529"/>
        </w:tabs>
        <w:wordWrap w:val="0"/>
        <w:ind w:firstLine="4536" w:firstLineChars="1890"/>
        <w:rPr>
          <w:rFonts w:hAnsi="宋体"/>
          <w:color w:val="auto"/>
          <w:kern w:val="2"/>
          <w:sz w:val="24"/>
          <w:szCs w:val="24"/>
          <w:highlight w:val="none"/>
          <w:lang w:val="en-US" w:eastAsia="zh-CN"/>
        </w:rPr>
      </w:pPr>
      <w:r>
        <w:rPr>
          <w:rFonts w:hint="eastAsia" w:hAnsi="宋体"/>
          <w:color w:val="auto"/>
          <w:kern w:val="2"/>
          <w:sz w:val="24"/>
          <w:szCs w:val="24"/>
          <w:highlight w:val="none"/>
          <w:lang w:val="en-US" w:eastAsia="zh-CN"/>
        </w:rPr>
        <w:t xml:space="preserve">                                 </w:t>
      </w:r>
    </w:p>
    <w:p>
      <w:pPr>
        <w:pStyle w:val="19"/>
        <w:tabs>
          <w:tab w:val="left" w:pos="5529"/>
        </w:tabs>
        <w:ind w:right="120" w:firstLine="4536" w:firstLineChars="1890"/>
        <w:jc w:val="right"/>
        <w:rPr>
          <w:color w:val="auto"/>
          <w:sz w:val="24"/>
          <w:szCs w:val="24"/>
          <w:highlight w:val="none"/>
        </w:rPr>
      </w:pPr>
      <w:r>
        <w:rPr>
          <w:color w:val="auto"/>
          <w:sz w:val="24"/>
          <w:szCs w:val="24"/>
          <w:highlight w:val="none"/>
        </w:rPr>
        <w:t>年    月    日</w:t>
      </w:r>
    </w:p>
    <w:p>
      <w:pPr>
        <w:pStyle w:val="19"/>
        <w:tabs>
          <w:tab w:val="left" w:pos="5529"/>
        </w:tabs>
        <w:ind w:right="120" w:firstLine="4536" w:firstLineChars="1890"/>
        <w:jc w:val="right"/>
        <w:rPr>
          <w:color w:val="auto"/>
          <w:sz w:val="24"/>
          <w:szCs w:val="24"/>
          <w:highlight w:val="none"/>
        </w:rPr>
      </w:pPr>
    </w:p>
    <w:p>
      <w:pPr>
        <w:pStyle w:val="19"/>
        <w:tabs>
          <w:tab w:val="left" w:pos="5529"/>
        </w:tabs>
        <w:ind w:right="120" w:firstLine="4536" w:firstLineChars="1890"/>
        <w:jc w:val="right"/>
        <w:rPr>
          <w:color w:val="auto"/>
          <w:sz w:val="24"/>
          <w:szCs w:val="24"/>
          <w:highlight w:val="none"/>
        </w:rPr>
      </w:pPr>
    </w:p>
    <w:p>
      <w:pPr>
        <w:pStyle w:val="19"/>
        <w:tabs>
          <w:tab w:val="left" w:pos="5529"/>
        </w:tabs>
        <w:ind w:right="120" w:firstLine="480"/>
        <w:rPr>
          <w:color w:val="auto"/>
          <w:sz w:val="24"/>
          <w:szCs w:val="24"/>
          <w:highlight w:val="none"/>
        </w:rPr>
      </w:pPr>
    </w:p>
    <w:p>
      <w:pPr>
        <w:pStyle w:val="19"/>
        <w:tabs>
          <w:tab w:val="left" w:pos="5529"/>
        </w:tabs>
        <w:ind w:right="120" w:firstLine="482"/>
        <w:rPr>
          <w:b/>
          <w:color w:val="auto"/>
          <w:sz w:val="24"/>
          <w:szCs w:val="24"/>
          <w:highlight w:val="none"/>
        </w:rPr>
      </w:pPr>
      <w:r>
        <w:rPr>
          <w:rFonts w:hint="eastAsia"/>
          <w:b/>
          <w:color w:val="auto"/>
          <w:sz w:val="24"/>
          <w:szCs w:val="24"/>
          <w:highlight w:val="none"/>
        </w:rPr>
        <w:t>注：自然人</w:t>
      </w:r>
      <w:r>
        <w:rPr>
          <w:rFonts w:hint="eastAsia"/>
          <w:b/>
          <w:color w:val="auto"/>
          <w:sz w:val="24"/>
          <w:szCs w:val="24"/>
          <w:highlight w:val="none"/>
          <w:lang w:eastAsia="zh-CN"/>
        </w:rPr>
        <w:t>竞</w:t>
      </w:r>
      <w:r>
        <w:rPr>
          <w:rFonts w:hint="eastAsia"/>
          <w:b/>
          <w:color w:val="auto"/>
          <w:sz w:val="24"/>
          <w:szCs w:val="24"/>
          <w:highlight w:val="none"/>
        </w:rPr>
        <w:t>标的无需提供</w:t>
      </w:r>
    </w:p>
    <w:p>
      <w:pPr>
        <w:jc w:val="center"/>
        <w:rPr>
          <w:rFonts w:ascii="宋体" w:hAnsi="宋体" w:cs="宋体"/>
          <w:color w:val="auto"/>
          <w:highlight w:val="none"/>
          <w:u w:val="single"/>
        </w:rPr>
      </w:pPr>
      <w:r>
        <w:rPr>
          <w:rFonts w:hint="eastAsia" w:ascii="宋体" w:hAnsi="宋体" w:cs="宋体"/>
          <w:color w:val="auto"/>
          <w:highlight w:val="none"/>
        </w:rPr>
        <w:t xml:space="preserve">        </w:t>
      </w:r>
    </w:p>
    <w:p>
      <w:pPr>
        <w:pStyle w:val="19"/>
        <w:spacing w:line="240" w:lineRule="exact"/>
        <w:rPr>
          <w:rFonts w:hAnsi="宋体" w:cs="宋体"/>
          <w:color w:val="auto"/>
          <w:sz w:val="44"/>
          <w:highlight w:val="none"/>
        </w:rPr>
      </w:pPr>
    </w:p>
    <w:p>
      <w:pPr>
        <w:pStyle w:val="19"/>
        <w:spacing w:line="240" w:lineRule="atLeast"/>
        <w:ind w:firstLine="5500" w:firstLineChars="2750"/>
        <w:rPr>
          <w:rFonts w:hAnsi="宋体" w:cs="宋体"/>
          <w:color w:val="auto"/>
          <w:highlight w:val="none"/>
        </w:rPr>
      </w:pPr>
    </w:p>
    <w:p>
      <w:pPr>
        <w:pStyle w:val="19"/>
        <w:spacing w:line="240" w:lineRule="atLeast"/>
        <w:ind w:firstLine="5500" w:firstLineChars="2750"/>
        <w:rPr>
          <w:rFonts w:hAnsi="宋体" w:cs="宋体"/>
          <w:color w:val="auto"/>
          <w:highlight w:val="none"/>
        </w:rPr>
      </w:pPr>
    </w:p>
    <w:p>
      <w:pPr>
        <w:pStyle w:val="19"/>
        <w:spacing w:line="240" w:lineRule="atLeast"/>
        <w:ind w:firstLine="5500" w:firstLineChars="2750"/>
        <w:rPr>
          <w:rFonts w:hAnsi="宋体" w:cs="宋体"/>
          <w:color w:val="auto"/>
          <w:highlight w:val="none"/>
        </w:rPr>
      </w:pPr>
    </w:p>
    <w:p>
      <w:pPr>
        <w:pStyle w:val="19"/>
        <w:spacing w:line="240" w:lineRule="atLeast"/>
        <w:ind w:firstLine="5500" w:firstLineChars="2750"/>
        <w:rPr>
          <w:rFonts w:hAnsi="宋体" w:cs="宋体"/>
          <w:color w:val="auto"/>
          <w:highlight w:val="none"/>
        </w:rPr>
      </w:pPr>
    </w:p>
    <w:p>
      <w:pPr>
        <w:pStyle w:val="19"/>
        <w:spacing w:line="240" w:lineRule="atLeast"/>
        <w:ind w:firstLine="5500" w:firstLineChars="2750"/>
        <w:rPr>
          <w:rFonts w:hAnsi="宋体" w:cs="宋体"/>
          <w:color w:val="auto"/>
          <w:highlight w:val="none"/>
        </w:rPr>
      </w:pPr>
    </w:p>
    <w:p>
      <w:pPr>
        <w:spacing w:line="300" w:lineRule="auto"/>
        <w:rPr>
          <w:rFonts w:hint="eastAsia" w:ascii="宋体" w:hAnsi="宋体" w:cs="宋体"/>
          <w:b/>
          <w:color w:val="auto"/>
          <w:highlight w:val="none"/>
        </w:rPr>
        <w:sectPr>
          <w:pgSz w:w="11906" w:h="16838"/>
          <w:pgMar w:top="1134" w:right="1134" w:bottom="1134" w:left="1134" w:header="720" w:footer="720" w:gutter="0"/>
          <w:pgNumType w:fmt="decimal"/>
          <w:cols w:space="0" w:num="1"/>
          <w:docGrid w:type="lines" w:linePitch="312" w:charSpace="0"/>
        </w:sectPr>
      </w:pPr>
    </w:p>
    <w:p>
      <w:pPr>
        <w:spacing w:line="300" w:lineRule="auto"/>
        <w:rPr>
          <w:rFonts w:ascii="宋体" w:hAnsi="宋体" w:cs="宋体"/>
          <w:b/>
          <w:color w:val="auto"/>
          <w:sz w:val="24"/>
          <w:szCs w:val="24"/>
          <w:highlight w:val="none"/>
        </w:rPr>
      </w:pPr>
      <w:r>
        <w:rPr>
          <w:rFonts w:hint="eastAsia" w:ascii="宋体" w:hAnsi="宋体" w:cs="宋体"/>
          <w:b/>
          <w:color w:val="auto"/>
          <w:sz w:val="24"/>
          <w:szCs w:val="24"/>
          <w:highlight w:val="none"/>
        </w:rPr>
        <w:t>二、法定代表人授权委托书格式</w:t>
      </w:r>
    </w:p>
    <w:p>
      <w:pPr>
        <w:pStyle w:val="19"/>
        <w:jc w:val="center"/>
        <w:rPr>
          <w:rFonts w:hAnsi="宋体" w:cs="宋体"/>
          <w:b/>
          <w:color w:val="auto"/>
          <w:sz w:val="32"/>
          <w:highlight w:val="none"/>
        </w:rPr>
      </w:pPr>
      <w:r>
        <w:rPr>
          <w:rFonts w:hint="eastAsia" w:hAnsi="宋体" w:cs="宋体"/>
          <w:b/>
          <w:color w:val="auto"/>
          <w:sz w:val="32"/>
          <w:highlight w:val="none"/>
        </w:rPr>
        <w:t>法定代表人授权委托书</w:t>
      </w:r>
    </w:p>
    <w:p>
      <w:pPr>
        <w:snapToGrid w:val="0"/>
        <w:spacing w:line="480" w:lineRule="auto"/>
        <w:ind w:firstLine="0" w:firstLineChars="0"/>
        <w:rPr>
          <w:rFonts w:hint="eastAsia"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（采购人、代理机构名称）：</w:t>
      </w:r>
    </w:p>
    <w:p>
      <w:pPr>
        <w:snapToGrid w:val="0"/>
        <w:spacing w:line="48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rPr>
        <w:t xml:space="preserve">我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（供应商名称）的法定代表人，现授权委托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项目的磋商活动，并代表我方全权办理针对上述项目的递交文件、磋商、澄清、签约等具体事务和签署相关文件。</w:t>
      </w:r>
    </w:p>
    <w:p>
      <w:pPr>
        <w:snapToGrid w:val="0"/>
        <w:spacing w:line="480" w:lineRule="auto"/>
        <w:ind w:firstLine="480"/>
        <w:rPr>
          <w:rFonts w:ascii="宋体" w:hAnsi="宋体" w:cs="宋体"/>
          <w:color w:val="auto"/>
          <w:sz w:val="24"/>
          <w:highlight w:val="none"/>
        </w:rPr>
      </w:pPr>
      <w:r>
        <w:rPr>
          <w:rFonts w:hint="eastAsia" w:ascii="宋体" w:hAnsi="宋体" w:cs="宋体"/>
          <w:color w:val="auto"/>
          <w:sz w:val="24"/>
          <w:highlight w:val="none"/>
        </w:rPr>
        <w:t>我方对被授权人的签字或者电子签名或者加盖电子印章事项负全部责任。</w:t>
      </w:r>
    </w:p>
    <w:p>
      <w:pPr>
        <w:snapToGrid w:val="0"/>
        <w:spacing w:line="480" w:lineRule="auto"/>
        <w:ind w:firstLine="480"/>
        <w:rPr>
          <w:rFonts w:hint="eastAsia" w:ascii="宋体" w:hAnsi="宋体" w:cs="宋体"/>
          <w:color w:val="auto"/>
          <w:sz w:val="24"/>
          <w:highlight w:val="none"/>
        </w:rPr>
      </w:pPr>
      <w:r>
        <w:rPr>
          <w:rFonts w:hint="eastAsia" w:ascii="宋体" w:hAnsi="宋体" w:cs="宋体"/>
          <w:color w:val="auto"/>
          <w:sz w:val="24"/>
          <w:highlight w:val="none"/>
          <w:u w:val="single"/>
        </w:rPr>
        <w:t>在撤销授权的书面通知以前，本授权书一直有效。</w:t>
      </w:r>
      <w:r>
        <w:rPr>
          <w:rFonts w:hint="eastAsia" w:ascii="宋体" w:hAnsi="宋体" w:cs="宋体"/>
          <w:color w:val="auto"/>
          <w:sz w:val="24"/>
          <w:highlight w:val="none"/>
        </w:rPr>
        <w:t>被授权人在授权书有效期内签署的所有文件不因授权的撤销而失效。</w:t>
      </w:r>
    </w:p>
    <w:p>
      <w:pPr>
        <w:snapToGrid w:val="0"/>
        <w:spacing w:line="480" w:lineRule="auto"/>
        <w:ind w:firstLine="480"/>
        <w:rPr>
          <w:rFonts w:hint="eastAsia" w:ascii="宋体" w:hAnsi="宋体" w:cs="宋体"/>
          <w:color w:val="auto"/>
          <w:sz w:val="24"/>
          <w:highlight w:val="none"/>
        </w:rPr>
      </w:pPr>
      <w:r>
        <w:rPr>
          <w:rFonts w:hint="eastAsia" w:ascii="宋体" w:hAnsi="宋体" w:cs="宋体"/>
          <w:color w:val="auto"/>
          <w:sz w:val="24"/>
          <w:highlight w:val="none"/>
        </w:rPr>
        <w:t>被授权人无转委托权，特此委托。</w:t>
      </w:r>
    </w:p>
    <w:p>
      <w:pPr>
        <w:snapToGrid w:val="0"/>
        <w:spacing w:line="360" w:lineRule="auto"/>
        <w:ind w:firstLine="480"/>
        <w:rPr>
          <w:rFonts w:hint="eastAsia" w:ascii="宋体" w:hAnsi="宋体" w:cs="宋体"/>
          <w:color w:val="auto"/>
          <w:sz w:val="24"/>
          <w:highlight w:val="none"/>
        </w:rPr>
      </w:pPr>
    </w:p>
    <w:p>
      <w:pPr>
        <w:pStyle w:val="46"/>
        <w:spacing w:line="480" w:lineRule="auto"/>
        <w:ind w:firstLine="562"/>
        <w:rPr>
          <w:rFonts w:hint="eastAsia"/>
          <w:b/>
          <w:color w:val="auto"/>
          <w:sz w:val="28"/>
          <w:szCs w:val="28"/>
          <w:highlight w:val="none"/>
        </w:rPr>
      </w:pPr>
      <w:r>
        <w:rPr>
          <w:b/>
          <w:color w:val="auto"/>
          <w:sz w:val="28"/>
          <w:szCs w:val="28"/>
          <w:highlight w:val="none"/>
        </w:rPr>
        <w:t>附件：委托代理人有效身份证正反面复印件</w:t>
      </w:r>
    </w:p>
    <w:p>
      <w:pPr>
        <w:pStyle w:val="19"/>
        <w:spacing w:line="480" w:lineRule="auto"/>
        <w:ind w:firstLine="482"/>
        <w:rPr>
          <w:rFonts w:hAnsi="宋体"/>
          <w:b/>
          <w:color w:val="auto"/>
          <w:sz w:val="24"/>
          <w:szCs w:val="24"/>
          <w:highlight w:val="none"/>
        </w:rPr>
      </w:pPr>
    </w:p>
    <w:p>
      <w:pPr>
        <w:pStyle w:val="19"/>
        <w:spacing w:line="480" w:lineRule="auto"/>
        <w:ind w:firstLine="480"/>
        <w:rPr>
          <w:color w:val="auto"/>
          <w:sz w:val="24"/>
          <w:szCs w:val="24"/>
          <w:highlight w:val="none"/>
        </w:rPr>
      </w:pPr>
      <w:r>
        <w:rPr>
          <w:color w:val="auto"/>
          <w:sz w:val="24"/>
          <w:szCs w:val="24"/>
          <w:highlight w:val="none"/>
        </w:rPr>
        <w:t>法定代表人（</w:t>
      </w:r>
      <w:r>
        <w:rPr>
          <w:rFonts w:hint="eastAsia"/>
          <w:color w:val="auto"/>
          <w:sz w:val="24"/>
          <w:szCs w:val="24"/>
          <w:highlight w:val="none"/>
        </w:rPr>
        <w:t>签字或者电子签名或者加盖电子印章</w:t>
      </w:r>
      <w:r>
        <w:rPr>
          <w:color w:val="auto"/>
          <w:sz w:val="24"/>
          <w:szCs w:val="24"/>
          <w:highlight w:val="none"/>
        </w:rPr>
        <w:t>）：</w:t>
      </w:r>
      <w:r>
        <w:rPr>
          <w:color w:val="auto"/>
          <w:sz w:val="24"/>
          <w:szCs w:val="24"/>
          <w:highlight w:val="none"/>
          <w:u w:val="single"/>
          <w:lang w:eastAsia="zh-CN"/>
        </w:rPr>
        <w:t xml:space="preserve">                      </w:t>
      </w:r>
    </w:p>
    <w:p>
      <w:pPr>
        <w:pStyle w:val="19"/>
        <w:spacing w:line="480" w:lineRule="auto"/>
        <w:ind w:firstLine="480"/>
        <w:rPr>
          <w:color w:val="auto"/>
          <w:sz w:val="24"/>
          <w:szCs w:val="24"/>
          <w:highlight w:val="none"/>
        </w:rPr>
      </w:pPr>
      <w:r>
        <w:rPr>
          <w:color w:val="auto"/>
          <w:sz w:val="24"/>
          <w:szCs w:val="24"/>
          <w:highlight w:val="none"/>
        </w:rPr>
        <w:t>委托代理人（</w:t>
      </w:r>
      <w:r>
        <w:rPr>
          <w:rFonts w:hint="eastAsia"/>
          <w:color w:val="auto"/>
          <w:sz w:val="24"/>
          <w:szCs w:val="24"/>
          <w:highlight w:val="none"/>
        </w:rPr>
        <w:t>签字或者电子签名或者加盖电子印章</w:t>
      </w:r>
      <w:r>
        <w:rPr>
          <w:color w:val="auto"/>
          <w:sz w:val="24"/>
          <w:szCs w:val="24"/>
          <w:highlight w:val="none"/>
        </w:rPr>
        <w:t>）：</w:t>
      </w:r>
      <w:r>
        <w:rPr>
          <w:color w:val="auto"/>
          <w:sz w:val="24"/>
          <w:szCs w:val="24"/>
          <w:highlight w:val="none"/>
          <w:u w:val="single"/>
          <w:lang w:eastAsia="zh-CN"/>
        </w:rPr>
        <w:t xml:space="preserve">                              </w:t>
      </w:r>
    </w:p>
    <w:p>
      <w:pPr>
        <w:pStyle w:val="19"/>
        <w:spacing w:line="480" w:lineRule="auto"/>
        <w:ind w:firstLine="480"/>
        <w:rPr>
          <w:color w:val="auto"/>
          <w:sz w:val="24"/>
          <w:szCs w:val="24"/>
          <w:highlight w:val="none"/>
        </w:rPr>
      </w:pPr>
      <w:r>
        <w:rPr>
          <w:color w:val="auto"/>
          <w:sz w:val="24"/>
          <w:szCs w:val="24"/>
          <w:highlight w:val="none"/>
        </w:rPr>
        <w:t>委托代理人身份证号码：</w:t>
      </w:r>
      <w:r>
        <w:rPr>
          <w:rFonts w:hint="eastAsia"/>
          <w:color w:val="auto"/>
          <w:sz w:val="24"/>
          <w:szCs w:val="24"/>
          <w:highlight w:val="none"/>
          <w:u w:val="single"/>
          <w:lang w:eastAsia="zh-CN"/>
        </w:rPr>
        <w:t xml:space="preserve"> </w:t>
      </w:r>
      <w:r>
        <w:rPr>
          <w:color w:val="auto"/>
          <w:sz w:val="24"/>
          <w:szCs w:val="24"/>
          <w:highlight w:val="none"/>
          <w:u w:val="single"/>
          <w:lang w:eastAsia="zh-CN"/>
        </w:rPr>
        <w:t xml:space="preserve">                                       </w:t>
      </w:r>
    </w:p>
    <w:p>
      <w:pPr>
        <w:pStyle w:val="19"/>
        <w:spacing w:line="480" w:lineRule="auto"/>
        <w:ind w:firstLine="480"/>
        <w:rPr>
          <w:color w:val="auto"/>
          <w:sz w:val="24"/>
          <w:szCs w:val="24"/>
          <w:highlight w:val="none"/>
        </w:rPr>
      </w:pPr>
    </w:p>
    <w:p>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pPr>
        <w:pStyle w:val="19"/>
        <w:spacing w:line="480" w:lineRule="auto"/>
        <w:ind w:right="200" w:firstLine="480"/>
        <w:jc w:val="right"/>
        <w:rPr>
          <w:rFonts w:hAnsi="宋体"/>
          <w:b/>
          <w:color w:val="auto"/>
          <w:sz w:val="24"/>
          <w:szCs w:val="24"/>
          <w:highlight w:val="none"/>
        </w:rPr>
      </w:pPr>
      <w:r>
        <w:rPr>
          <w:color w:val="auto"/>
          <w:sz w:val="24"/>
          <w:szCs w:val="24"/>
          <w:highlight w:val="none"/>
          <w:lang w:val="en-US"/>
        </w:rPr>
        <w:t xml:space="preserve">         </w:t>
      </w:r>
      <w:r>
        <w:rPr>
          <w:color w:val="auto"/>
          <w:sz w:val="24"/>
          <w:szCs w:val="24"/>
          <w:highlight w:val="none"/>
        </w:rPr>
        <w:t>年</w:t>
      </w:r>
      <w:r>
        <w:rPr>
          <w:rFonts w:hint="eastAsia"/>
          <w:color w:val="auto"/>
          <w:sz w:val="24"/>
          <w:szCs w:val="24"/>
          <w:highlight w:val="none"/>
          <w:lang w:eastAsia="zh-CN"/>
        </w:rPr>
        <w:t xml:space="preserve"> </w:t>
      </w:r>
      <w:r>
        <w:rPr>
          <w:color w:val="auto"/>
          <w:sz w:val="24"/>
          <w:szCs w:val="24"/>
          <w:highlight w:val="none"/>
          <w:lang w:eastAsia="zh-CN"/>
        </w:rPr>
        <w:t xml:space="preserve">  </w:t>
      </w:r>
      <w:r>
        <w:rPr>
          <w:color w:val="auto"/>
          <w:sz w:val="24"/>
          <w:szCs w:val="24"/>
          <w:highlight w:val="none"/>
        </w:rPr>
        <w:t xml:space="preserve"> 月    日</w:t>
      </w:r>
    </w:p>
    <w:p>
      <w:pPr>
        <w:pStyle w:val="19"/>
        <w:spacing w:line="240" w:lineRule="exact"/>
        <w:rPr>
          <w:rFonts w:hAnsi="宋体" w:cs="宋体"/>
          <w:color w:val="auto"/>
          <w:sz w:val="44"/>
          <w:highlight w:val="none"/>
        </w:rPr>
      </w:pPr>
    </w:p>
    <w:p>
      <w:pPr>
        <w:pStyle w:val="19"/>
        <w:spacing w:line="240" w:lineRule="exact"/>
        <w:rPr>
          <w:rFonts w:hAnsi="宋体" w:cs="宋体"/>
          <w:color w:val="auto"/>
          <w:sz w:val="44"/>
          <w:highlight w:val="none"/>
        </w:rPr>
      </w:pPr>
    </w:p>
    <w:p>
      <w:pPr>
        <w:pStyle w:val="19"/>
        <w:spacing w:line="240" w:lineRule="exact"/>
        <w:rPr>
          <w:rFonts w:hAnsi="宋体" w:cs="宋体"/>
          <w:color w:val="auto"/>
          <w:sz w:val="44"/>
          <w:highlight w:val="none"/>
        </w:rPr>
      </w:pPr>
    </w:p>
    <w:p>
      <w:pPr>
        <w:pStyle w:val="19"/>
        <w:spacing w:line="240" w:lineRule="exact"/>
        <w:rPr>
          <w:rFonts w:hAnsi="宋体" w:cs="宋体"/>
          <w:color w:val="auto"/>
          <w:sz w:val="44"/>
          <w:highlight w:val="none"/>
        </w:rPr>
      </w:pPr>
    </w:p>
    <w:p>
      <w:pPr>
        <w:jc w:val="center"/>
        <w:rPr>
          <w:rFonts w:ascii="宋体" w:hAnsi="宋体" w:cs="宋体"/>
          <w:color w:val="auto"/>
          <w:highlight w:val="none"/>
        </w:rPr>
      </w:pPr>
    </w:p>
    <w:p>
      <w:pPr>
        <w:spacing w:line="320" w:lineRule="exact"/>
        <w:rPr>
          <w:rFonts w:hint="eastAsia" w:ascii="宋体" w:hAnsi="宋体" w:eastAsia="宋体" w:cs="宋体"/>
          <w:b/>
          <w:color w:val="auto"/>
          <w:szCs w:val="21"/>
          <w:highlight w:val="none"/>
          <w:lang w:eastAsia="zh-CN"/>
        </w:rPr>
      </w:pPr>
      <w:r>
        <w:rPr>
          <w:rFonts w:hAnsi="宋体" w:cs="宋体"/>
          <w:color w:val="auto"/>
          <w:highlight w:val="none"/>
        </w:rPr>
        <w:br w:type="page"/>
      </w:r>
      <w:r>
        <w:rPr>
          <w:rFonts w:hint="eastAsia" w:ascii="宋体" w:hAnsi="宋体" w:cs="宋体"/>
          <w:b/>
          <w:color w:val="auto"/>
          <w:sz w:val="24"/>
          <w:szCs w:val="24"/>
          <w:highlight w:val="none"/>
        </w:rPr>
        <w:t>三、保证金证明格式</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如有</w:t>
      </w:r>
      <w:r>
        <w:rPr>
          <w:rFonts w:hint="eastAsia" w:ascii="宋体" w:hAnsi="宋体" w:cs="宋体"/>
          <w:b/>
          <w:color w:val="auto"/>
          <w:sz w:val="24"/>
          <w:szCs w:val="24"/>
          <w:highlight w:val="none"/>
          <w:lang w:eastAsia="zh-CN"/>
        </w:rPr>
        <w:t>）</w:t>
      </w:r>
    </w:p>
    <w:p>
      <w:pPr>
        <w:spacing w:line="360" w:lineRule="exact"/>
        <w:rPr>
          <w:rFonts w:ascii="宋体" w:hAnsi="宋体" w:cs="宋体"/>
          <w:color w:val="auto"/>
          <w:szCs w:val="21"/>
          <w:highlight w:val="none"/>
        </w:rPr>
      </w:pPr>
    </w:p>
    <w:p>
      <w:pPr>
        <w:pStyle w:val="19"/>
        <w:spacing w:line="440" w:lineRule="exact"/>
        <w:ind w:firstLine="420"/>
        <w:jc w:val="center"/>
        <w:rPr>
          <w:rFonts w:hAnsi="宋体" w:cs="宋体"/>
          <w:b/>
          <w:color w:val="auto"/>
          <w:kern w:val="2"/>
          <w:sz w:val="21"/>
          <w:szCs w:val="21"/>
          <w:highlight w:val="none"/>
        </w:rPr>
      </w:pPr>
      <w:r>
        <w:rPr>
          <w:rFonts w:hint="eastAsia" w:hAnsi="宋体" w:cs="宋体"/>
          <w:b/>
          <w:color w:val="auto"/>
          <w:kern w:val="2"/>
          <w:sz w:val="21"/>
          <w:highlight w:val="none"/>
        </w:rPr>
        <w:t>竞标保证金缴纳证明材料复印件</w:t>
      </w:r>
    </w:p>
    <w:p>
      <w:pPr>
        <w:pStyle w:val="19"/>
        <w:spacing w:line="360" w:lineRule="exact"/>
        <w:rPr>
          <w:rFonts w:hAnsi="宋体"/>
          <w:color w:val="auto"/>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10"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pPr>
                          </w:p>
                          <w:p>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3360;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wEnZ3WAAAABwEAAA8AAAAAAAAAAQAgAAAAIgAAAGRycy9kb3ducmV2Lnht&#10;bFBLAQIUABQAAAAIAIdO4kBTUWI6+wEAAD0EAAAOAAAAAAAAAAEAIAAAACUBAABkcnMvZTJvRG9j&#10;LnhtbFBLBQYAAAAABgAGAFkBAACSBQAAAAA=&#10;">
                <v:fill on="t" focussize="0,0"/>
                <v:stroke color="#000000" joinstyle="miter"/>
                <v:imagedata o:title=""/>
                <o:lock v:ext="edit" aspectratio="f"/>
                <v:textbox>
                  <w:txbxContent>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pPr>
                    </w:p>
                    <w:p>
                      <w:pPr>
                        <w:jc w:val="center"/>
                        <w:rPr>
                          <w:szCs w:val="21"/>
                        </w:rPr>
                      </w:pPr>
                      <w:r>
                        <w:rPr>
                          <w:rFonts w:hint="eastAsia" w:hAnsi="宋体"/>
                        </w:rPr>
                        <w:t>转账底单、电汇单、支票、汇票、本票或银行、保险机构出具的保函复印件</w:t>
                      </w:r>
                    </w:p>
                  </w:txbxContent>
                </v:textbox>
              </v:rect>
            </w:pict>
          </mc:Fallback>
        </mc:AlternateContent>
      </w:r>
    </w:p>
    <w:p>
      <w:pPr>
        <w:pStyle w:val="19"/>
        <w:spacing w:line="360" w:lineRule="exact"/>
        <w:rPr>
          <w:rFonts w:hAnsi="宋体"/>
          <w:color w:val="auto"/>
          <w:highlight w:val="none"/>
        </w:rPr>
      </w:pPr>
    </w:p>
    <w:p>
      <w:pPr>
        <w:pStyle w:val="19"/>
        <w:spacing w:line="360" w:lineRule="exact"/>
        <w:rPr>
          <w:rFonts w:hAnsi="宋体"/>
          <w:color w:val="auto"/>
          <w:highlight w:val="none"/>
        </w:rPr>
      </w:pPr>
    </w:p>
    <w:p>
      <w:pPr>
        <w:pStyle w:val="19"/>
        <w:spacing w:line="360" w:lineRule="exact"/>
        <w:rPr>
          <w:rFonts w:hAnsi="宋体"/>
          <w:color w:val="auto"/>
          <w:sz w:val="44"/>
          <w:highlight w:val="none"/>
        </w:rPr>
      </w:pPr>
    </w:p>
    <w:p>
      <w:pPr>
        <w:pStyle w:val="19"/>
        <w:spacing w:line="360" w:lineRule="exact"/>
        <w:rPr>
          <w:rFonts w:hAnsi="宋体"/>
          <w:color w:val="auto"/>
          <w:sz w:val="44"/>
          <w:highlight w:val="none"/>
        </w:rPr>
      </w:pPr>
    </w:p>
    <w:p>
      <w:pPr>
        <w:pStyle w:val="19"/>
        <w:spacing w:line="360" w:lineRule="exact"/>
        <w:rPr>
          <w:rFonts w:hAnsi="宋体"/>
          <w:color w:val="auto"/>
          <w:sz w:val="44"/>
          <w:highlight w:val="none"/>
        </w:rPr>
      </w:pPr>
    </w:p>
    <w:p>
      <w:pPr>
        <w:pStyle w:val="19"/>
        <w:spacing w:line="360" w:lineRule="exact"/>
        <w:rPr>
          <w:rFonts w:hAnsi="宋体"/>
          <w:color w:val="auto"/>
          <w:sz w:val="44"/>
          <w:highlight w:val="none"/>
        </w:rPr>
      </w:pPr>
    </w:p>
    <w:p>
      <w:pPr>
        <w:pStyle w:val="19"/>
        <w:spacing w:line="360" w:lineRule="exact"/>
        <w:rPr>
          <w:rFonts w:hAnsi="宋体"/>
          <w:color w:val="auto"/>
          <w:sz w:val="44"/>
          <w:highlight w:val="none"/>
        </w:rPr>
      </w:pPr>
    </w:p>
    <w:p>
      <w:pPr>
        <w:pStyle w:val="19"/>
        <w:spacing w:line="360" w:lineRule="exact"/>
        <w:ind w:firstLine="4600" w:firstLineChars="2300"/>
        <w:rPr>
          <w:rFonts w:hAnsi="宋体"/>
          <w:color w:val="auto"/>
          <w:highlight w:val="none"/>
        </w:rPr>
      </w:pPr>
    </w:p>
    <w:p>
      <w:pPr>
        <w:pStyle w:val="19"/>
        <w:spacing w:line="360" w:lineRule="exact"/>
        <w:ind w:firstLine="4600" w:firstLineChars="2300"/>
        <w:rPr>
          <w:rFonts w:hAnsi="宋体"/>
          <w:color w:val="auto"/>
          <w:highlight w:val="none"/>
        </w:rPr>
      </w:pPr>
    </w:p>
    <w:p>
      <w:pPr>
        <w:pStyle w:val="19"/>
        <w:spacing w:line="360" w:lineRule="exact"/>
        <w:ind w:firstLine="4600" w:firstLineChars="2300"/>
        <w:rPr>
          <w:rFonts w:hAnsi="宋体"/>
          <w:color w:val="auto"/>
          <w:highlight w:val="none"/>
        </w:rPr>
      </w:pPr>
    </w:p>
    <w:p>
      <w:pPr>
        <w:pStyle w:val="19"/>
        <w:spacing w:line="360" w:lineRule="exact"/>
        <w:ind w:firstLine="4600" w:firstLineChars="2300"/>
        <w:rPr>
          <w:rFonts w:hAnsi="宋体"/>
          <w:color w:val="auto"/>
          <w:highlight w:val="none"/>
        </w:rPr>
      </w:pPr>
    </w:p>
    <w:p>
      <w:pPr>
        <w:pStyle w:val="19"/>
        <w:spacing w:line="360" w:lineRule="exact"/>
        <w:ind w:firstLine="4600" w:firstLineChars="2300"/>
        <w:rPr>
          <w:rFonts w:hAnsi="宋体"/>
          <w:color w:val="auto"/>
          <w:highlight w:val="none"/>
        </w:rPr>
      </w:pPr>
    </w:p>
    <w:p>
      <w:pPr>
        <w:pStyle w:val="19"/>
        <w:spacing w:line="360" w:lineRule="exact"/>
        <w:ind w:firstLine="4600" w:firstLineChars="2300"/>
        <w:rPr>
          <w:rFonts w:hAnsi="宋体"/>
          <w:color w:val="auto"/>
          <w:highlight w:val="none"/>
        </w:rPr>
      </w:pPr>
    </w:p>
    <w:p>
      <w:pPr>
        <w:pStyle w:val="19"/>
        <w:spacing w:line="360" w:lineRule="exact"/>
        <w:ind w:firstLine="4600" w:firstLineChars="2300"/>
        <w:rPr>
          <w:rFonts w:hAnsi="宋体"/>
          <w:color w:val="auto"/>
          <w:highlight w:val="none"/>
        </w:rPr>
      </w:pPr>
    </w:p>
    <w:p>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pPr>
        <w:pStyle w:val="19"/>
        <w:spacing w:line="480" w:lineRule="auto"/>
        <w:ind w:right="200" w:firstLine="480"/>
        <w:jc w:val="right"/>
        <w:rPr>
          <w:rFonts w:hAnsi="宋体"/>
          <w:b/>
          <w:color w:val="auto"/>
          <w:sz w:val="24"/>
          <w:szCs w:val="24"/>
          <w:highlight w:val="none"/>
        </w:rPr>
      </w:pPr>
      <w:r>
        <w:rPr>
          <w:color w:val="auto"/>
          <w:sz w:val="24"/>
          <w:szCs w:val="24"/>
          <w:highlight w:val="none"/>
          <w:lang w:val="en-US"/>
        </w:rPr>
        <w:t xml:space="preserve">         </w:t>
      </w:r>
      <w:r>
        <w:rPr>
          <w:color w:val="auto"/>
          <w:sz w:val="24"/>
          <w:szCs w:val="24"/>
          <w:highlight w:val="none"/>
        </w:rPr>
        <w:t>年</w:t>
      </w:r>
      <w:r>
        <w:rPr>
          <w:rFonts w:hint="eastAsia"/>
          <w:color w:val="auto"/>
          <w:sz w:val="24"/>
          <w:szCs w:val="24"/>
          <w:highlight w:val="none"/>
          <w:lang w:eastAsia="zh-CN"/>
        </w:rPr>
        <w:t xml:space="preserve"> </w:t>
      </w:r>
      <w:r>
        <w:rPr>
          <w:color w:val="auto"/>
          <w:sz w:val="24"/>
          <w:szCs w:val="24"/>
          <w:highlight w:val="none"/>
          <w:lang w:eastAsia="zh-CN"/>
        </w:rPr>
        <w:t xml:space="preserve">  </w:t>
      </w:r>
      <w:r>
        <w:rPr>
          <w:color w:val="auto"/>
          <w:sz w:val="24"/>
          <w:szCs w:val="24"/>
          <w:highlight w:val="none"/>
        </w:rPr>
        <w:t xml:space="preserve"> 月    日</w:t>
      </w:r>
    </w:p>
    <w:p>
      <w:pPr>
        <w:pStyle w:val="19"/>
        <w:spacing w:line="240" w:lineRule="exact"/>
        <w:rPr>
          <w:rFonts w:hAnsi="宋体" w:cs="宋体"/>
          <w:color w:val="auto"/>
          <w:szCs w:val="21"/>
          <w:highlight w:val="none"/>
          <w:u w:val="single"/>
        </w:rPr>
      </w:pPr>
    </w:p>
    <w:p>
      <w:pPr>
        <w:pStyle w:val="19"/>
        <w:spacing w:line="240" w:lineRule="exact"/>
        <w:rPr>
          <w:rFonts w:hAnsi="宋体" w:cs="宋体"/>
          <w:color w:val="auto"/>
          <w:highlight w:val="none"/>
          <w:u w:val="single"/>
        </w:rPr>
      </w:pPr>
    </w:p>
    <w:p>
      <w:pPr>
        <w:pStyle w:val="19"/>
        <w:spacing w:line="240" w:lineRule="exact"/>
        <w:rPr>
          <w:rFonts w:hAnsi="宋体" w:cs="宋体"/>
          <w:color w:val="auto"/>
          <w:highlight w:val="none"/>
          <w:u w:val="single"/>
        </w:rPr>
      </w:pPr>
    </w:p>
    <w:p>
      <w:pPr>
        <w:pStyle w:val="19"/>
        <w:spacing w:line="240" w:lineRule="exact"/>
        <w:rPr>
          <w:rFonts w:hAnsi="宋体" w:cs="宋体"/>
          <w:color w:val="auto"/>
          <w:highlight w:val="none"/>
          <w:u w:val="single"/>
        </w:rPr>
      </w:pPr>
    </w:p>
    <w:p>
      <w:pPr>
        <w:pStyle w:val="19"/>
        <w:spacing w:line="240" w:lineRule="exact"/>
        <w:rPr>
          <w:rFonts w:hAnsi="宋体" w:cs="宋体"/>
          <w:color w:val="auto"/>
          <w:highlight w:val="none"/>
          <w:u w:val="single"/>
        </w:rPr>
      </w:pPr>
    </w:p>
    <w:p>
      <w:pPr>
        <w:pStyle w:val="19"/>
        <w:spacing w:line="240" w:lineRule="exact"/>
        <w:rPr>
          <w:rFonts w:hAnsi="宋体" w:cs="宋体"/>
          <w:color w:val="auto"/>
          <w:highlight w:val="none"/>
          <w:u w:val="single"/>
        </w:rPr>
      </w:pPr>
    </w:p>
    <w:p>
      <w:pPr>
        <w:pStyle w:val="19"/>
        <w:spacing w:line="240" w:lineRule="exact"/>
        <w:rPr>
          <w:rFonts w:hAnsi="宋体" w:cs="宋体"/>
          <w:color w:val="auto"/>
          <w:sz w:val="44"/>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spacing w:line="320" w:lineRule="exact"/>
        <w:rPr>
          <w:rFonts w:ascii="宋体" w:hAnsi="宋体"/>
          <w:color w:val="auto"/>
          <w:szCs w:val="21"/>
          <w:highlight w:val="none"/>
        </w:rPr>
      </w:pPr>
    </w:p>
    <w:p>
      <w:pPr>
        <w:pStyle w:val="48"/>
        <w:rPr>
          <w:rFonts w:ascii="宋体" w:hAnsi="宋体"/>
          <w:color w:val="auto"/>
          <w:highlight w:val="none"/>
        </w:rPr>
      </w:pPr>
    </w:p>
    <w:p>
      <w:pPr>
        <w:pStyle w:val="48"/>
        <w:rPr>
          <w:rFonts w:ascii="宋体" w:hAnsi="宋体"/>
          <w:color w:val="auto"/>
          <w:highlight w:val="none"/>
        </w:rPr>
      </w:pPr>
    </w:p>
    <w:p>
      <w:pPr>
        <w:pStyle w:val="48"/>
        <w:rPr>
          <w:rFonts w:ascii="宋体" w:hAnsi="宋体"/>
          <w:color w:val="auto"/>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t>四、商务响应表格式</w:t>
      </w:r>
    </w:p>
    <w:p>
      <w:pPr>
        <w:spacing w:line="360" w:lineRule="exact"/>
        <w:jc w:val="center"/>
        <w:rPr>
          <w:rFonts w:hint="eastAsia" w:ascii="宋体" w:hAnsi="宋体" w:cs="宋体"/>
          <w:b/>
          <w:bCs/>
          <w:color w:val="auto"/>
          <w:kern w:val="0"/>
          <w:sz w:val="30"/>
          <w:highlight w:val="none"/>
        </w:rPr>
      </w:pPr>
    </w:p>
    <w:p>
      <w:pPr>
        <w:spacing w:line="360" w:lineRule="exact"/>
        <w:jc w:val="center"/>
        <w:rPr>
          <w:rFonts w:hint="eastAsia" w:ascii="宋体" w:hAnsi="宋体" w:cs="宋体"/>
          <w:b/>
          <w:bCs/>
          <w:color w:val="auto"/>
          <w:kern w:val="0"/>
          <w:sz w:val="30"/>
          <w:highlight w:val="none"/>
        </w:rPr>
      </w:pPr>
      <w:r>
        <w:rPr>
          <w:rFonts w:hint="eastAsia" w:ascii="宋体" w:hAnsi="宋体" w:cs="宋体"/>
          <w:b/>
          <w:bCs/>
          <w:color w:val="auto"/>
          <w:kern w:val="0"/>
          <w:sz w:val="30"/>
          <w:highlight w:val="none"/>
        </w:rPr>
        <w:t>商务响应表</w:t>
      </w:r>
    </w:p>
    <w:p>
      <w:pPr>
        <w:pStyle w:val="46"/>
        <w:rPr>
          <w:color w:val="auto"/>
          <w:highlight w:val="none"/>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977"/>
        <w:gridCol w:w="1275"/>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cs="宋体"/>
                <w:color w:val="auto"/>
                <w:kern w:val="2"/>
                <w:sz w:val="21"/>
                <w:szCs w:val="21"/>
                <w:highlight w:val="none"/>
              </w:rPr>
            </w:pPr>
            <w:r>
              <w:rPr>
                <w:rFonts w:hint="eastAsia" w:hAnsi="宋体" w:cs="宋体"/>
                <w:color w:val="auto"/>
                <w:kern w:val="2"/>
                <w:sz w:val="21"/>
                <w:szCs w:val="21"/>
                <w:highlight w:val="none"/>
              </w:rPr>
              <w:t>项目</w:t>
            </w:r>
          </w:p>
        </w:tc>
        <w:tc>
          <w:tcPr>
            <w:tcW w:w="2977"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cs="宋体"/>
                <w:color w:val="auto"/>
                <w:kern w:val="2"/>
                <w:sz w:val="21"/>
                <w:szCs w:val="21"/>
                <w:highlight w:val="none"/>
              </w:rPr>
            </w:pPr>
            <w:r>
              <w:rPr>
                <w:rFonts w:hint="eastAsia" w:hAnsi="宋体" w:cs="宋体"/>
                <w:color w:val="auto"/>
                <w:kern w:val="2"/>
                <w:sz w:val="21"/>
                <w:szCs w:val="21"/>
                <w:highlight w:val="none"/>
              </w:rPr>
              <w:t>谈判文件的商务条款</w:t>
            </w:r>
          </w:p>
        </w:tc>
        <w:tc>
          <w:tcPr>
            <w:tcW w:w="1275"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cs="宋体"/>
                <w:color w:val="auto"/>
                <w:kern w:val="2"/>
                <w:sz w:val="21"/>
                <w:szCs w:val="21"/>
                <w:highlight w:val="none"/>
              </w:rPr>
            </w:pPr>
            <w:r>
              <w:rPr>
                <w:rFonts w:hint="eastAsia" w:hAnsi="宋体" w:cs="宋体"/>
                <w:color w:val="auto"/>
                <w:kern w:val="2"/>
                <w:sz w:val="21"/>
                <w:szCs w:val="21"/>
                <w:highlight w:val="none"/>
              </w:rPr>
              <w:t>是否响应</w:t>
            </w:r>
          </w:p>
        </w:tc>
        <w:tc>
          <w:tcPr>
            <w:tcW w:w="3119"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cs="宋体"/>
                <w:color w:val="auto"/>
                <w:kern w:val="2"/>
                <w:sz w:val="21"/>
                <w:szCs w:val="21"/>
                <w:highlight w:val="none"/>
              </w:rPr>
            </w:pPr>
            <w:r>
              <w:rPr>
                <w:rFonts w:hint="eastAsia" w:hAnsi="宋体" w:cs="宋体"/>
                <w:color w:val="auto"/>
                <w:kern w:val="2"/>
                <w:sz w:val="21"/>
                <w:szCs w:val="21"/>
                <w:highlight w:val="none"/>
              </w:rPr>
              <w:t>响应文件的承诺或说明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要求</w:t>
            </w:r>
          </w:p>
        </w:tc>
        <w:tc>
          <w:tcPr>
            <w:tcW w:w="2977"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质保要求</w:t>
            </w:r>
          </w:p>
        </w:tc>
        <w:tc>
          <w:tcPr>
            <w:tcW w:w="2977"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产品安装调试与验收</w:t>
            </w:r>
          </w:p>
        </w:tc>
        <w:tc>
          <w:tcPr>
            <w:tcW w:w="2977"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培训要求</w:t>
            </w:r>
          </w:p>
        </w:tc>
        <w:tc>
          <w:tcPr>
            <w:tcW w:w="2977"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验收要求</w:t>
            </w:r>
          </w:p>
        </w:tc>
        <w:tc>
          <w:tcPr>
            <w:tcW w:w="2977"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付款</w:t>
            </w:r>
            <w:r>
              <w:rPr>
                <w:rFonts w:hint="eastAsia" w:ascii="宋体" w:hAnsi="宋体" w:cs="宋体"/>
                <w:color w:val="auto"/>
                <w:kern w:val="0"/>
                <w:sz w:val="21"/>
                <w:szCs w:val="21"/>
                <w:highlight w:val="none"/>
                <w:lang w:val="en-US" w:eastAsia="zh-CN"/>
              </w:rPr>
              <w:t>方式</w:t>
            </w:r>
          </w:p>
        </w:tc>
        <w:tc>
          <w:tcPr>
            <w:tcW w:w="2977"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进口产品说明</w:t>
            </w:r>
          </w:p>
        </w:tc>
        <w:tc>
          <w:tcPr>
            <w:tcW w:w="2977"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19"/>
              <w:jc w:val="left"/>
              <w:rPr>
                <w:rFonts w:hAnsi="宋体" w:cs="宋体"/>
                <w:color w:val="auto"/>
                <w:kern w:val="2"/>
                <w:sz w:val="21"/>
                <w:szCs w:val="21"/>
                <w:highlight w:val="none"/>
              </w:rPr>
            </w:pPr>
          </w:p>
        </w:tc>
      </w:tr>
    </w:tbl>
    <w:p>
      <w:pPr>
        <w:spacing w:line="360" w:lineRule="exact"/>
        <w:ind w:firstLine="6090" w:firstLineChars="2900"/>
        <w:rPr>
          <w:rFonts w:ascii="宋体" w:hAnsi="宋体"/>
          <w:color w:val="auto"/>
          <w:szCs w:val="21"/>
          <w:highlight w:val="none"/>
        </w:rPr>
      </w:pPr>
    </w:p>
    <w:p>
      <w:pPr>
        <w:spacing w:line="360" w:lineRule="exact"/>
        <w:ind w:firstLine="6090" w:firstLineChars="2900"/>
        <w:rPr>
          <w:rFonts w:ascii="宋体" w:hAnsi="宋体"/>
          <w:color w:val="auto"/>
          <w:szCs w:val="21"/>
          <w:highlight w:val="none"/>
        </w:rPr>
      </w:pPr>
    </w:p>
    <w:p>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pPr>
        <w:pStyle w:val="19"/>
        <w:spacing w:line="480" w:lineRule="auto"/>
        <w:ind w:right="200" w:firstLine="480"/>
        <w:jc w:val="right"/>
        <w:rPr>
          <w:rFonts w:hAnsi="宋体"/>
          <w:b/>
          <w:color w:val="auto"/>
          <w:sz w:val="24"/>
          <w:szCs w:val="24"/>
          <w:highlight w:val="none"/>
        </w:rPr>
      </w:pPr>
      <w:r>
        <w:rPr>
          <w:color w:val="auto"/>
          <w:sz w:val="24"/>
          <w:szCs w:val="24"/>
          <w:highlight w:val="none"/>
          <w:lang w:val="en-US"/>
        </w:rPr>
        <w:t xml:space="preserve">         </w:t>
      </w:r>
      <w:r>
        <w:rPr>
          <w:color w:val="auto"/>
          <w:sz w:val="24"/>
          <w:szCs w:val="24"/>
          <w:highlight w:val="none"/>
        </w:rPr>
        <w:t>年</w:t>
      </w:r>
      <w:r>
        <w:rPr>
          <w:rFonts w:hint="eastAsia"/>
          <w:color w:val="auto"/>
          <w:sz w:val="24"/>
          <w:szCs w:val="24"/>
          <w:highlight w:val="none"/>
          <w:lang w:eastAsia="zh-CN"/>
        </w:rPr>
        <w:t xml:space="preserve"> </w:t>
      </w:r>
      <w:r>
        <w:rPr>
          <w:color w:val="auto"/>
          <w:sz w:val="24"/>
          <w:szCs w:val="24"/>
          <w:highlight w:val="none"/>
          <w:lang w:eastAsia="zh-CN"/>
        </w:rPr>
        <w:t xml:space="preserve">  </w:t>
      </w:r>
      <w:r>
        <w:rPr>
          <w:color w:val="auto"/>
          <w:sz w:val="24"/>
          <w:szCs w:val="24"/>
          <w:highlight w:val="none"/>
        </w:rPr>
        <w:t xml:space="preserve"> 月    日</w:t>
      </w: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rPr>
          <w:rFonts w:ascii="宋体" w:hAnsi="宋体" w:cs="宋体"/>
          <w:b/>
          <w:color w:val="auto"/>
          <w:szCs w:val="21"/>
          <w:highlight w:val="none"/>
        </w:rPr>
      </w:pPr>
    </w:p>
    <w:p>
      <w:pPr>
        <w:pStyle w:val="48"/>
        <w:rPr>
          <w:rFonts w:ascii="宋体" w:hAnsi="宋体" w:cs="宋体"/>
          <w:b/>
          <w:color w:val="auto"/>
          <w:highlight w:val="none"/>
        </w:rPr>
      </w:pPr>
    </w:p>
    <w:p>
      <w:pPr>
        <w:pStyle w:val="48"/>
        <w:rPr>
          <w:rFonts w:ascii="宋体" w:hAnsi="宋体" w:cs="宋体"/>
          <w:b/>
          <w:color w:val="auto"/>
          <w:highlight w:val="none"/>
        </w:rPr>
      </w:pPr>
    </w:p>
    <w:p>
      <w:pPr>
        <w:spacing w:line="320" w:lineRule="exact"/>
        <w:rPr>
          <w:rFonts w:hint="eastAsia" w:ascii="宋体" w:hAnsi="宋体" w:cs="宋体"/>
          <w:b/>
          <w:color w:val="auto"/>
          <w:sz w:val="24"/>
          <w:highlight w:val="none"/>
        </w:rPr>
        <w:sectPr>
          <w:pgSz w:w="11906" w:h="16838"/>
          <w:pgMar w:top="1134" w:right="1134" w:bottom="1134" w:left="1134" w:header="720" w:footer="720" w:gutter="0"/>
          <w:pgNumType w:fmt="decimal"/>
          <w:cols w:space="0" w:num="1"/>
          <w:docGrid w:type="lines" w:linePitch="312" w:charSpace="0"/>
        </w:sectPr>
      </w:pPr>
    </w:p>
    <w:p>
      <w:pPr>
        <w:spacing w:line="320" w:lineRule="exact"/>
        <w:rPr>
          <w:rFonts w:ascii="宋体" w:hAnsi="宋体" w:cs="宋体"/>
          <w:b/>
          <w:color w:val="auto"/>
          <w:sz w:val="24"/>
          <w:highlight w:val="none"/>
        </w:rPr>
      </w:pPr>
      <w:r>
        <w:rPr>
          <w:rFonts w:hint="eastAsia" w:ascii="宋体" w:hAnsi="宋体" w:cs="宋体"/>
          <w:b/>
          <w:color w:val="auto"/>
          <w:sz w:val="24"/>
          <w:highlight w:val="none"/>
        </w:rPr>
        <w:t>五、技术响应表格式</w:t>
      </w:r>
    </w:p>
    <w:p>
      <w:pPr>
        <w:jc w:val="center"/>
        <w:rPr>
          <w:rFonts w:ascii="宋体" w:hAnsi="宋体" w:cs="宋体"/>
          <w:b/>
          <w:bCs/>
          <w:color w:val="auto"/>
          <w:kern w:val="0"/>
          <w:sz w:val="30"/>
          <w:highlight w:val="none"/>
        </w:rPr>
      </w:pPr>
      <w:r>
        <w:rPr>
          <w:rFonts w:hint="eastAsia" w:ascii="宋体" w:hAnsi="宋体" w:cs="宋体"/>
          <w:b/>
          <w:bCs/>
          <w:color w:val="auto"/>
          <w:kern w:val="0"/>
          <w:sz w:val="30"/>
          <w:highlight w:val="none"/>
        </w:rPr>
        <w:t>技术响应表</w:t>
      </w:r>
    </w:p>
    <w:tbl>
      <w:tblPr>
        <w:tblStyle w:val="36"/>
        <w:tblW w:w="8963"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exact"/>
        </w:trPr>
        <w:tc>
          <w:tcPr>
            <w:tcW w:w="826" w:type="dxa"/>
            <w:vAlign w:val="center"/>
          </w:tcPr>
          <w:p>
            <w:pPr>
              <w:pStyle w:val="87"/>
              <w:ind w:left="174" w:right="181"/>
              <w:jc w:val="center"/>
              <w:rPr>
                <w:color w:val="auto"/>
                <w:sz w:val="21"/>
                <w:highlight w:val="none"/>
              </w:rPr>
            </w:pPr>
            <w:r>
              <w:rPr>
                <w:color w:val="auto"/>
                <w:sz w:val="21"/>
                <w:highlight w:val="none"/>
              </w:rPr>
              <w:t>项号</w:t>
            </w:r>
          </w:p>
        </w:tc>
        <w:tc>
          <w:tcPr>
            <w:tcW w:w="1363" w:type="dxa"/>
            <w:vAlign w:val="center"/>
          </w:tcPr>
          <w:p>
            <w:pPr>
              <w:pStyle w:val="87"/>
              <w:ind w:left="174" w:right="181"/>
              <w:jc w:val="center"/>
              <w:rPr>
                <w:color w:val="auto"/>
                <w:sz w:val="21"/>
                <w:highlight w:val="none"/>
              </w:rPr>
            </w:pPr>
            <w:r>
              <w:rPr>
                <w:color w:val="auto"/>
                <w:sz w:val="21"/>
                <w:highlight w:val="none"/>
              </w:rPr>
              <w:t>货物名称</w:t>
            </w:r>
          </w:p>
        </w:tc>
        <w:tc>
          <w:tcPr>
            <w:tcW w:w="1680" w:type="dxa"/>
            <w:tcBorders>
              <w:right w:val="single" w:color="auto" w:sz="4" w:space="0"/>
            </w:tcBorders>
            <w:vAlign w:val="center"/>
          </w:tcPr>
          <w:p>
            <w:pPr>
              <w:pStyle w:val="87"/>
              <w:ind w:left="174" w:right="181"/>
              <w:jc w:val="center"/>
              <w:rPr>
                <w:color w:val="auto"/>
                <w:sz w:val="21"/>
                <w:highlight w:val="none"/>
                <w:lang w:eastAsia="zh-CN"/>
              </w:rPr>
            </w:pPr>
            <w:r>
              <w:rPr>
                <w:rFonts w:hint="eastAsia"/>
                <w:color w:val="auto"/>
                <w:sz w:val="21"/>
                <w:highlight w:val="none"/>
                <w:lang w:eastAsia="zh-CN"/>
              </w:rPr>
              <w:t>竞争性谈判文件的要求</w:t>
            </w:r>
          </w:p>
        </w:tc>
        <w:tc>
          <w:tcPr>
            <w:tcW w:w="2118" w:type="dxa"/>
            <w:tcBorders>
              <w:left w:val="single" w:color="auto" w:sz="4" w:space="0"/>
            </w:tcBorders>
            <w:vAlign w:val="center"/>
          </w:tcPr>
          <w:p>
            <w:pPr>
              <w:pStyle w:val="87"/>
              <w:ind w:left="174" w:right="181"/>
              <w:jc w:val="center"/>
              <w:rPr>
                <w:color w:val="auto"/>
                <w:sz w:val="21"/>
                <w:highlight w:val="none"/>
              </w:rPr>
            </w:pPr>
            <w:r>
              <w:rPr>
                <w:rFonts w:hint="eastAsia"/>
                <w:color w:val="auto"/>
                <w:sz w:val="21"/>
                <w:highlight w:val="none"/>
                <w:lang w:eastAsia="zh-CN"/>
              </w:rPr>
              <w:t>响应</w:t>
            </w:r>
            <w:r>
              <w:rPr>
                <w:rFonts w:hint="eastAsia"/>
                <w:color w:val="auto"/>
                <w:sz w:val="21"/>
                <w:highlight w:val="none"/>
              </w:rPr>
              <w:t>文件响应</w:t>
            </w:r>
          </w:p>
        </w:tc>
        <w:tc>
          <w:tcPr>
            <w:tcW w:w="2976" w:type="dxa"/>
            <w:vAlign w:val="center"/>
          </w:tcPr>
          <w:p>
            <w:pPr>
              <w:pStyle w:val="87"/>
              <w:ind w:left="174" w:right="181"/>
              <w:jc w:val="center"/>
              <w:rPr>
                <w:color w:val="auto"/>
                <w:sz w:val="21"/>
                <w:highlight w:val="none"/>
              </w:rPr>
            </w:pPr>
            <w:r>
              <w:rPr>
                <w:color w:val="auto"/>
                <w:sz w:val="21"/>
                <w:highlight w:val="none"/>
              </w:rPr>
              <w:t>偏离情况说明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6" w:type="dxa"/>
          </w:tcPr>
          <w:p>
            <w:pPr>
              <w:pStyle w:val="87"/>
              <w:spacing w:before="167"/>
              <w:ind w:left="0" w:right="7"/>
              <w:jc w:val="center"/>
              <w:rPr>
                <w:color w:val="auto"/>
                <w:sz w:val="21"/>
                <w:highlight w:val="none"/>
              </w:rPr>
            </w:pPr>
            <w:r>
              <w:rPr>
                <w:color w:val="auto"/>
                <w:sz w:val="21"/>
                <w:highlight w:val="none"/>
              </w:rPr>
              <w:t>1</w:t>
            </w:r>
          </w:p>
        </w:tc>
        <w:tc>
          <w:tcPr>
            <w:tcW w:w="1363" w:type="dxa"/>
          </w:tcPr>
          <w:p>
            <w:pPr>
              <w:rPr>
                <w:color w:val="auto"/>
                <w:highlight w:val="none"/>
              </w:rPr>
            </w:pPr>
          </w:p>
        </w:tc>
        <w:tc>
          <w:tcPr>
            <w:tcW w:w="1680" w:type="dxa"/>
            <w:tcBorders>
              <w:right w:val="single" w:color="auto" w:sz="4" w:space="0"/>
            </w:tcBorders>
          </w:tcPr>
          <w:p>
            <w:pPr>
              <w:rPr>
                <w:color w:val="auto"/>
                <w:highlight w:val="none"/>
              </w:rPr>
            </w:pPr>
          </w:p>
        </w:tc>
        <w:tc>
          <w:tcPr>
            <w:tcW w:w="2118" w:type="dxa"/>
            <w:tcBorders>
              <w:left w:val="single" w:color="auto" w:sz="4" w:space="0"/>
            </w:tcBorders>
          </w:tcPr>
          <w:p>
            <w:pPr>
              <w:rPr>
                <w:color w:val="auto"/>
                <w:highlight w:val="none"/>
              </w:rPr>
            </w:pPr>
          </w:p>
        </w:tc>
        <w:tc>
          <w:tcPr>
            <w:tcW w:w="2976" w:type="dxa"/>
          </w:tcPr>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826" w:type="dxa"/>
          </w:tcPr>
          <w:p>
            <w:pPr>
              <w:pStyle w:val="87"/>
              <w:spacing w:before="167"/>
              <w:ind w:left="0" w:right="7"/>
              <w:jc w:val="center"/>
              <w:rPr>
                <w:color w:val="auto"/>
                <w:sz w:val="21"/>
                <w:highlight w:val="none"/>
              </w:rPr>
            </w:pPr>
            <w:r>
              <w:rPr>
                <w:color w:val="auto"/>
                <w:sz w:val="21"/>
                <w:highlight w:val="none"/>
              </w:rPr>
              <w:t>2</w:t>
            </w:r>
          </w:p>
        </w:tc>
        <w:tc>
          <w:tcPr>
            <w:tcW w:w="1363" w:type="dxa"/>
          </w:tcPr>
          <w:p>
            <w:pPr>
              <w:rPr>
                <w:color w:val="auto"/>
                <w:highlight w:val="none"/>
              </w:rPr>
            </w:pPr>
          </w:p>
        </w:tc>
        <w:tc>
          <w:tcPr>
            <w:tcW w:w="1680" w:type="dxa"/>
            <w:tcBorders>
              <w:right w:val="single" w:color="auto" w:sz="4" w:space="0"/>
            </w:tcBorders>
          </w:tcPr>
          <w:p>
            <w:pPr>
              <w:rPr>
                <w:color w:val="auto"/>
                <w:highlight w:val="none"/>
              </w:rPr>
            </w:pPr>
          </w:p>
        </w:tc>
        <w:tc>
          <w:tcPr>
            <w:tcW w:w="2118" w:type="dxa"/>
            <w:tcBorders>
              <w:left w:val="single" w:color="auto" w:sz="4" w:space="0"/>
            </w:tcBorders>
          </w:tcPr>
          <w:p>
            <w:pPr>
              <w:rPr>
                <w:color w:val="auto"/>
                <w:highlight w:val="none"/>
              </w:rPr>
            </w:pPr>
          </w:p>
        </w:tc>
        <w:tc>
          <w:tcPr>
            <w:tcW w:w="2976" w:type="dxa"/>
          </w:tcPr>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trPr>
        <w:tc>
          <w:tcPr>
            <w:tcW w:w="826" w:type="dxa"/>
          </w:tcPr>
          <w:p>
            <w:pPr>
              <w:pStyle w:val="87"/>
              <w:spacing w:before="177"/>
              <w:ind w:left="0" w:right="7"/>
              <w:jc w:val="center"/>
              <w:rPr>
                <w:color w:val="auto"/>
                <w:sz w:val="21"/>
                <w:highlight w:val="none"/>
              </w:rPr>
            </w:pPr>
            <w:r>
              <w:rPr>
                <w:color w:val="auto"/>
                <w:sz w:val="21"/>
                <w:highlight w:val="none"/>
              </w:rPr>
              <w:t>…</w:t>
            </w:r>
          </w:p>
        </w:tc>
        <w:tc>
          <w:tcPr>
            <w:tcW w:w="1363" w:type="dxa"/>
          </w:tcPr>
          <w:p>
            <w:pPr>
              <w:rPr>
                <w:color w:val="auto"/>
                <w:highlight w:val="none"/>
              </w:rPr>
            </w:pPr>
          </w:p>
        </w:tc>
        <w:tc>
          <w:tcPr>
            <w:tcW w:w="1680" w:type="dxa"/>
            <w:tcBorders>
              <w:right w:val="single" w:color="auto" w:sz="4" w:space="0"/>
            </w:tcBorders>
          </w:tcPr>
          <w:p>
            <w:pPr>
              <w:rPr>
                <w:color w:val="auto"/>
                <w:highlight w:val="none"/>
              </w:rPr>
            </w:pPr>
          </w:p>
        </w:tc>
        <w:tc>
          <w:tcPr>
            <w:tcW w:w="2118" w:type="dxa"/>
            <w:tcBorders>
              <w:left w:val="single" w:color="auto" w:sz="4" w:space="0"/>
            </w:tcBorders>
          </w:tcPr>
          <w:p>
            <w:pPr>
              <w:rPr>
                <w:color w:val="auto"/>
                <w:highlight w:val="none"/>
              </w:rPr>
            </w:pPr>
          </w:p>
        </w:tc>
        <w:tc>
          <w:tcPr>
            <w:tcW w:w="2976" w:type="dxa"/>
          </w:tcPr>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6" w:type="dxa"/>
          </w:tcPr>
          <w:p>
            <w:pPr>
              <w:pStyle w:val="87"/>
              <w:spacing w:before="167"/>
              <w:ind w:left="0" w:right="7"/>
              <w:jc w:val="center"/>
              <w:rPr>
                <w:color w:val="auto"/>
                <w:sz w:val="21"/>
                <w:highlight w:val="none"/>
              </w:rPr>
            </w:pPr>
            <w:r>
              <w:rPr>
                <w:color w:val="auto"/>
                <w:sz w:val="21"/>
                <w:highlight w:val="none"/>
              </w:rPr>
              <w:t>N</w:t>
            </w:r>
          </w:p>
        </w:tc>
        <w:tc>
          <w:tcPr>
            <w:tcW w:w="1363" w:type="dxa"/>
          </w:tcPr>
          <w:p>
            <w:pPr>
              <w:rPr>
                <w:color w:val="auto"/>
                <w:highlight w:val="none"/>
              </w:rPr>
            </w:pPr>
          </w:p>
        </w:tc>
        <w:tc>
          <w:tcPr>
            <w:tcW w:w="1680" w:type="dxa"/>
            <w:tcBorders>
              <w:right w:val="single" w:color="auto" w:sz="4" w:space="0"/>
            </w:tcBorders>
          </w:tcPr>
          <w:p>
            <w:pPr>
              <w:rPr>
                <w:color w:val="auto"/>
                <w:highlight w:val="none"/>
              </w:rPr>
            </w:pPr>
          </w:p>
        </w:tc>
        <w:tc>
          <w:tcPr>
            <w:tcW w:w="2118" w:type="dxa"/>
            <w:tcBorders>
              <w:left w:val="single" w:color="auto" w:sz="4" w:space="0"/>
            </w:tcBorders>
          </w:tcPr>
          <w:p>
            <w:pPr>
              <w:rPr>
                <w:color w:val="auto"/>
                <w:highlight w:val="none"/>
              </w:rPr>
            </w:pPr>
          </w:p>
        </w:tc>
        <w:tc>
          <w:tcPr>
            <w:tcW w:w="2976" w:type="dxa"/>
          </w:tcPr>
          <w:p>
            <w:pPr>
              <w:rPr>
                <w:color w:val="auto"/>
                <w:highlight w:val="none"/>
              </w:rPr>
            </w:pPr>
          </w:p>
        </w:tc>
      </w:tr>
    </w:tbl>
    <w:p>
      <w:pPr>
        <w:pStyle w:val="16"/>
        <w:spacing w:line="360" w:lineRule="exact"/>
        <w:rPr>
          <w:rFonts w:ascii="宋体" w:hAnsi="宋体"/>
          <w:color w:val="auto"/>
          <w:sz w:val="21"/>
          <w:szCs w:val="21"/>
          <w:highlight w:val="none"/>
        </w:rPr>
      </w:pPr>
      <w:r>
        <w:rPr>
          <w:rFonts w:hint="eastAsia" w:ascii="宋体" w:hAnsi="宋体"/>
          <w:color w:val="auto"/>
          <w:sz w:val="21"/>
          <w:szCs w:val="21"/>
          <w:highlight w:val="none"/>
        </w:rPr>
        <w:t>注：1、供应商应根据投标设备的性能指标、对照</w:t>
      </w:r>
      <w:r>
        <w:rPr>
          <w:rFonts w:hint="eastAsia" w:ascii="宋体" w:hAnsi="宋体"/>
          <w:color w:val="auto"/>
          <w:sz w:val="21"/>
          <w:szCs w:val="21"/>
          <w:highlight w:val="none"/>
          <w:lang w:eastAsia="zh-CN"/>
        </w:rPr>
        <w:t>采购文件</w:t>
      </w:r>
      <w:r>
        <w:rPr>
          <w:rFonts w:hint="eastAsia" w:ascii="宋体" w:hAnsi="宋体"/>
          <w:color w:val="auto"/>
          <w:sz w:val="21"/>
          <w:szCs w:val="21"/>
          <w:highlight w:val="none"/>
        </w:rPr>
        <w:t>要求在“偏离情况”栏注明“正偏离”、“负偏离”或“无偏离”。</w:t>
      </w:r>
    </w:p>
    <w:p>
      <w:pPr>
        <w:pStyle w:val="16"/>
        <w:spacing w:line="360" w:lineRule="exact"/>
        <w:rPr>
          <w:rFonts w:ascii="宋体" w:hAnsi="宋体"/>
          <w:color w:val="auto"/>
          <w:sz w:val="21"/>
          <w:szCs w:val="21"/>
          <w:highlight w:val="none"/>
        </w:rPr>
      </w:pPr>
      <w:r>
        <w:rPr>
          <w:rFonts w:hint="eastAsia" w:ascii="宋体" w:hAnsi="宋体"/>
          <w:color w:val="auto"/>
          <w:sz w:val="21"/>
          <w:szCs w:val="21"/>
          <w:highlight w:val="none"/>
        </w:rPr>
        <w:t xml:space="preserve">   2、供应商</w:t>
      </w:r>
      <w:r>
        <w:rPr>
          <w:rFonts w:ascii="宋体" w:hAnsi="宋体"/>
          <w:color w:val="auto"/>
          <w:sz w:val="21"/>
          <w:szCs w:val="21"/>
          <w:highlight w:val="none"/>
        </w:rPr>
        <w:t>应将投标货物的性能指标中与</w:t>
      </w:r>
      <w:r>
        <w:rPr>
          <w:rFonts w:hint="eastAsia" w:ascii="宋体" w:hAnsi="宋体" w:cs="宋体"/>
          <w:color w:val="auto"/>
          <w:sz w:val="21"/>
          <w:highlight w:val="none"/>
        </w:rPr>
        <w:t>竞争性谈判文件</w:t>
      </w:r>
      <w:r>
        <w:rPr>
          <w:rFonts w:ascii="宋体" w:hAnsi="宋体"/>
          <w:color w:val="auto"/>
          <w:sz w:val="21"/>
          <w:szCs w:val="21"/>
          <w:highlight w:val="none"/>
        </w:rPr>
        <w:t>要求的性能指标有偏离的地方用明显标识，以便于评委评审，否则如给评审造成困难，其可能导致评委作出不利于</w:t>
      </w:r>
      <w:r>
        <w:rPr>
          <w:rFonts w:hint="eastAsia" w:ascii="宋体" w:hAnsi="宋体"/>
          <w:color w:val="auto"/>
          <w:sz w:val="21"/>
          <w:szCs w:val="21"/>
          <w:highlight w:val="none"/>
        </w:rPr>
        <w:t>供应商</w:t>
      </w:r>
      <w:r>
        <w:rPr>
          <w:rFonts w:ascii="宋体" w:hAnsi="宋体"/>
          <w:color w:val="auto"/>
          <w:sz w:val="21"/>
          <w:szCs w:val="21"/>
          <w:highlight w:val="none"/>
        </w:rPr>
        <w:t>的评价，是</w:t>
      </w:r>
      <w:r>
        <w:rPr>
          <w:rFonts w:hint="eastAsia" w:ascii="宋体" w:hAnsi="宋体"/>
          <w:color w:val="auto"/>
          <w:sz w:val="21"/>
          <w:szCs w:val="21"/>
          <w:highlight w:val="none"/>
        </w:rPr>
        <w:t>供应商</w:t>
      </w:r>
      <w:r>
        <w:rPr>
          <w:rFonts w:ascii="宋体" w:hAnsi="宋体"/>
          <w:color w:val="auto"/>
          <w:sz w:val="21"/>
          <w:szCs w:val="21"/>
          <w:highlight w:val="none"/>
        </w:rPr>
        <w:t>的责任。</w:t>
      </w:r>
    </w:p>
    <w:p>
      <w:pPr>
        <w:spacing w:line="480" w:lineRule="auto"/>
        <w:ind w:firstLine="3990" w:firstLineChars="1900"/>
        <w:rPr>
          <w:color w:val="auto"/>
          <w:highlight w:val="none"/>
        </w:rPr>
      </w:pPr>
    </w:p>
    <w:p>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pPr>
        <w:pStyle w:val="19"/>
        <w:spacing w:line="480" w:lineRule="auto"/>
        <w:ind w:right="200" w:firstLine="480"/>
        <w:jc w:val="right"/>
        <w:rPr>
          <w:rFonts w:hAnsi="宋体"/>
          <w:b/>
          <w:color w:val="auto"/>
          <w:sz w:val="24"/>
          <w:szCs w:val="24"/>
          <w:highlight w:val="none"/>
        </w:rPr>
      </w:pPr>
      <w:r>
        <w:rPr>
          <w:color w:val="auto"/>
          <w:sz w:val="24"/>
          <w:szCs w:val="24"/>
          <w:highlight w:val="none"/>
          <w:lang w:val="en-US"/>
        </w:rPr>
        <w:t xml:space="preserve">         </w:t>
      </w:r>
      <w:r>
        <w:rPr>
          <w:color w:val="auto"/>
          <w:sz w:val="24"/>
          <w:szCs w:val="24"/>
          <w:highlight w:val="none"/>
        </w:rPr>
        <w:t>年</w:t>
      </w:r>
      <w:r>
        <w:rPr>
          <w:rFonts w:hint="eastAsia"/>
          <w:color w:val="auto"/>
          <w:sz w:val="24"/>
          <w:szCs w:val="24"/>
          <w:highlight w:val="none"/>
          <w:lang w:eastAsia="zh-CN"/>
        </w:rPr>
        <w:t xml:space="preserve"> </w:t>
      </w:r>
      <w:r>
        <w:rPr>
          <w:color w:val="auto"/>
          <w:sz w:val="24"/>
          <w:szCs w:val="24"/>
          <w:highlight w:val="none"/>
          <w:lang w:eastAsia="zh-CN"/>
        </w:rPr>
        <w:t xml:space="preserve">  </w:t>
      </w:r>
      <w:r>
        <w:rPr>
          <w:color w:val="auto"/>
          <w:sz w:val="24"/>
          <w:szCs w:val="24"/>
          <w:highlight w:val="none"/>
        </w:rPr>
        <w:t xml:space="preserve"> 月    日</w:t>
      </w:r>
    </w:p>
    <w:p>
      <w:pPr>
        <w:spacing w:line="500" w:lineRule="exact"/>
        <w:jc w:val="center"/>
        <w:rPr>
          <w:rFonts w:ascii="宋体" w:hAnsi="宋体" w:cs="仿宋_GB2312"/>
          <w:b/>
          <w:color w:val="auto"/>
          <w:sz w:val="32"/>
          <w:szCs w:val="32"/>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pStyle w:val="24"/>
        <w:rPr>
          <w:color w:val="auto"/>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rPr>
          <w:rFonts w:hint="eastAsia" w:ascii="宋体" w:hAnsi="宋体" w:cs="宋体"/>
          <w:b/>
          <w:color w:val="auto"/>
          <w:szCs w:val="21"/>
          <w:highlight w:val="none"/>
        </w:rPr>
        <w:sectPr>
          <w:pgSz w:w="11906" w:h="16838"/>
          <w:pgMar w:top="1134" w:right="1134" w:bottom="1134" w:left="1134" w:header="720" w:footer="720" w:gutter="0"/>
          <w:pgNumType w:fmt="decimal"/>
          <w:cols w:space="0" w:num="1"/>
          <w:docGrid w:type="lines" w:linePitch="312" w:charSpace="0"/>
        </w:sectPr>
      </w:pPr>
    </w:p>
    <w:p>
      <w:pPr>
        <w:rPr>
          <w:rFonts w:ascii="宋体" w:hAnsi="宋体" w:cs="宋体"/>
          <w:b/>
          <w:color w:val="auto"/>
          <w:sz w:val="24"/>
          <w:szCs w:val="24"/>
          <w:highlight w:val="none"/>
        </w:rPr>
      </w:pPr>
      <w:r>
        <w:rPr>
          <w:rFonts w:hint="eastAsia" w:ascii="宋体" w:hAnsi="宋体" w:cs="宋体"/>
          <w:b/>
          <w:color w:val="auto"/>
          <w:sz w:val="24"/>
          <w:szCs w:val="24"/>
          <w:highlight w:val="none"/>
        </w:rPr>
        <w:t>六、设备配置清单格式</w:t>
      </w:r>
    </w:p>
    <w:p>
      <w:pPr>
        <w:spacing w:line="36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设备配置清单</w:t>
      </w:r>
    </w:p>
    <w:p>
      <w:pPr>
        <w:pStyle w:val="46"/>
        <w:rPr>
          <w:color w:val="auto"/>
          <w:highlight w:val="none"/>
        </w:rPr>
      </w:pPr>
    </w:p>
    <w:tbl>
      <w:tblPr>
        <w:tblStyle w:val="36"/>
        <w:tblW w:w="99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681"/>
        <w:gridCol w:w="839"/>
        <w:gridCol w:w="1281"/>
        <w:gridCol w:w="1419"/>
        <w:gridCol w:w="2004"/>
        <w:gridCol w:w="1080"/>
        <w:gridCol w:w="7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品牌</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单位及数量</w:t>
            </w:r>
          </w:p>
        </w:tc>
        <w:tc>
          <w:tcPr>
            <w:tcW w:w="20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r>
              <w:rPr>
                <w:rFonts w:hint="eastAsia" w:hAnsi="宋体"/>
                <w:color w:val="auto"/>
                <w:szCs w:val="21"/>
                <w:highlight w:val="none"/>
              </w:rPr>
              <w:t>生产厂家</w:t>
            </w:r>
          </w:p>
        </w:tc>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r>
    </w:tbl>
    <w:p>
      <w:pPr>
        <w:spacing w:line="360" w:lineRule="exact"/>
        <w:ind w:firstLine="6090" w:firstLineChars="2900"/>
        <w:rPr>
          <w:rFonts w:ascii="宋体" w:hAnsi="宋体"/>
          <w:color w:val="auto"/>
          <w:szCs w:val="21"/>
          <w:highlight w:val="none"/>
        </w:rPr>
      </w:pPr>
    </w:p>
    <w:p>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pPr>
        <w:pStyle w:val="19"/>
        <w:spacing w:line="480" w:lineRule="auto"/>
        <w:ind w:right="200" w:firstLine="480"/>
        <w:jc w:val="right"/>
        <w:rPr>
          <w:rFonts w:hAnsi="宋体"/>
          <w:b/>
          <w:color w:val="auto"/>
          <w:sz w:val="24"/>
          <w:szCs w:val="24"/>
          <w:highlight w:val="none"/>
        </w:rPr>
      </w:pPr>
      <w:r>
        <w:rPr>
          <w:color w:val="auto"/>
          <w:sz w:val="24"/>
          <w:szCs w:val="24"/>
          <w:highlight w:val="none"/>
          <w:lang w:val="en-US"/>
        </w:rPr>
        <w:t xml:space="preserve">         </w:t>
      </w:r>
      <w:r>
        <w:rPr>
          <w:color w:val="auto"/>
          <w:sz w:val="24"/>
          <w:szCs w:val="24"/>
          <w:highlight w:val="none"/>
        </w:rPr>
        <w:t>年</w:t>
      </w:r>
      <w:r>
        <w:rPr>
          <w:rFonts w:hint="eastAsia"/>
          <w:color w:val="auto"/>
          <w:sz w:val="24"/>
          <w:szCs w:val="24"/>
          <w:highlight w:val="none"/>
          <w:lang w:eastAsia="zh-CN"/>
        </w:rPr>
        <w:t xml:space="preserve"> </w:t>
      </w:r>
      <w:r>
        <w:rPr>
          <w:color w:val="auto"/>
          <w:sz w:val="24"/>
          <w:szCs w:val="24"/>
          <w:highlight w:val="none"/>
          <w:lang w:eastAsia="zh-CN"/>
        </w:rPr>
        <w:t xml:space="preserve">  </w:t>
      </w:r>
      <w:r>
        <w:rPr>
          <w:color w:val="auto"/>
          <w:sz w:val="24"/>
          <w:szCs w:val="24"/>
          <w:highlight w:val="none"/>
        </w:rPr>
        <w:t xml:space="preserve"> 月    日</w:t>
      </w:r>
    </w:p>
    <w:p>
      <w:pPr>
        <w:snapToGrid w:val="0"/>
        <w:spacing w:before="50" w:line="340" w:lineRule="exact"/>
        <w:jc w:val="left"/>
        <w:rPr>
          <w:rFonts w:hint="eastAsia" w:ascii="宋体" w:hAnsi="宋体" w:cs="宋体"/>
          <w:b/>
          <w:color w:val="auto"/>
          <w:szCs w:val="21"/>
          <w:highlight w:val="none"/>
        </w:rPr>
        <w:sectPr>
          <w:pgSz w:w="11906" w:h="16838"/>
          <w:pgMar w:top="1134" w:right="1134" w:bottom="1134" w:left="1134" w:header="720" w:footer="720" w:gutter="0"/>
          <w:pgNumType w:fmt="decimal"/>
          <w:cols w:space="0" w:num="1"/>
          <w:docGrid w:type="lines" w:linePitch="312" w:charSpace="0"/>
        </w:sectPr>
      </w:pPr>
    </w:p>
    <w:p>
      <w:pPr>
        <w:snapToGrid w:val="0"/>
        <w:spacing w:before="50" w:line="34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t>七、项目实施方案格式：</w:t>
      </w:r>
    </w:p>
    <w:p>
      <w:pPr>
        <w:pStyle w:val="19"/>
        <w:spacing w:line="400" w:lineRule="exact"/>
        <w:jc w:val="center"/>
        <w:rPr>
          <w:rFonts w:hint="eastAsia" w:ascii="宋体" w:hAnsi="宋体" w:eastAsia="宋体" w:cs="Times New Roman"/>
          <w:b/>
          <w:bCs/>
          <w:color w:val="auto"/>
          <w:kern w:val="2"/>
          <w:sz w:val="30"/>
          <w:szCs w:val="30"/>
          <w:highlight w:val="none"/>
          <w:lang w:val="en-US" w:eastAsia="zh-CN" w:bidi="ar-SA"/>
        </w:rPr>
      </w:pPr>
    </w:p>
    <w:p>
      <w:pPr>
        <w:pStyle w:val="19"/>
        <w:spacing w:line="400" w:lineRule="exact"/>
        <w:jc w:val="center"/>
        <w:rPr>
          <w:rFonts w:hint="eastAsia" w:ascii="宋体" w:hAnsi="宋体" w:eastAsia="宋体" w:cs="Times New Roman"/>
          <w:b/>
          <w:bCs/>
          <w:color w:val="auto"/>
          <w:kern w:val="2"/>
          <w:sz w:val="30"/>
          <w:szCs w:val="30"/>
          <w:highlight w:val="none"/>
          <w:lang w:val="en-US" w:eastAsia="zh-CN" w:bidi="ar-SA"/>
        </w:rPr>
      </w:pPr>
    </w:p>
    <w:p>
      <w:pPr>
        <w:pStyle w:val="19"/>
        <w:spacing w:line="400" w:lineRule="exact"/>
        <w:jc w:val="center"/>
        <w:rPr>
          <w:rFonts w:hint="eastAsia" w:ascii="宋体" w:hAnsi="宋体" w:eastAsia="宋体" w:cs="Times New Roman"/>
          <w:b/>
          <w:bCs/>
          <w:color w:val="auto"/>
          <w:kern w:val="2"/>
          <w:sz w:val="30"/>
          <w:szCs w:val="30"/>
          <w:highlight w:val="none"/>
          <w:lang w:val="en-US" w:eastAsia="zh-CN" w:bidi="ar-SA"/>
        </w:rPr>
      </w:pPr>
    </w:p>
    <w:p>
      <w:pPr>
        <w:pStyle w:val="19"/>
        <w:spacing w:line="400" w:lineRule="exact"/>
        <w:jc w:val="center"/>
        <w:rPr>
          <w:rFonts w:hint="eastAsia" w:ascii="宋体" w:hAnsi="宋体" w:eastAsia="宋体" w:cs="Times New Roman"/>
          <w:b/>
          <w:bCs/>
          <w:color w:val="auto"/>
          <w:kern w:val="2"/>
          <w:sz w:val="30"/>
          <w:szCs w:val="30"/>
          <w:highlight w:val="none"/>
          <w:lang w:val="en-US" w:eastAsia="zh-CN" w:bidi="ar-SA"/>
        </w:rPr>
      </w:pPr>
      <w:r>
        <w:rPr>
          <w:rFonts w:hint="eastAsia" w:ascii="宋体" w:hAnsi="宋体" w:eastAsia="宋体" w:cs="Times New Roman"/>
          <w:b/>
          <w:bCs/>
          <w:color w:val="auto"/>
          <w:kern w:val="2"/>
          <w:sz w:val="30"/>
          <w:szCs w:val="30"/>
          <w:highlight w:val="none"/>
          <w:lang w:val="en-US" w:eastAsia="zh-CN" w:bidi="ar-SA"/>
        </w:rPr>
        <w:t>项目实施方案</w:t>
      </w:r>
    </w:p>
    <w:p>
      <w:pPr>
        <w:pStyle w:val="19"/>
        <w:ind w:firstLine="480" w:firstLineChars="200"/>
        <w:rPr>
          <w:rFonts w:hint="eastAsia" w:hAnsi="宋体" w:cs="仿宋_GB2312"/>
          <w:color w:val="auto"/>
          <w:sz w:val="24"/>
          <w:szCs w:val="24"/>
          <w:highlight w:val="none"/>
        </w:rPr>
      </w:pPr>
    </w:p>
    <w:p>
      <w:pPr>
        <w:pStyle w:val="19"/>
        <w:ind w:firstLine="420" w:firstLineChars="200"/>
        <w:rPr>
          <w:rFonts w:hAnsi="宋体" w:cs="宋体"/>
          <w:color w:val="auto"/>
          <w:sz w:val="21"/>
          <w:szCs w:val="21"/>
          <w:highlight w:val="none"/>
        </w:rPr>
      </w:pPr>
      <w:r>
        <w:rPr>
          <w:rFonts w:hint="eastAsia" w:hAnsi="宋体" w:cs="仿宋_GB2312"/>
          <w:color w:val="auto"/>
          <w:sz w:val="21"/>
          <w:szCs w:val="21"/>
          <w:highlight w:val="none"/>
        </w:rPr>
        <w:t>由供应商按第三章《采购需求》所投采购需求自行填写，所作的项目实施方案作为构成合同不可分割的部分，必须真实、诚信。</w:t>
      </w:r>
    </w:p>
    <w:p>
      <w:pPr>
        <w:pStyle w:val="19"/>
        <w:rPr>
          <w:rFonts w:hAnsi="宋体" w:cs="宋体"/>
          <w:color w:val="auto"/>
          <w:sz w:val="24"/>
          <w:szCs w:val="24"/>
          <w:highlight w:val="none"/>
        </w:rPr>
      </w:pPr>
    </w:p>
    <w:p>
      <w:pPr>
        <w:pStyle w:val="19"/>
        <w:rPr>
          <w:rFonts w:hAnsi="宋体" w:cs="宋体"/>
          <w:color w:val="auto"/>
          <w:sz w:val="24"/>
          <w:szCs w:val="24"/>
          <w:highlight w:val="none"/>
        </w:rPr>
      </w:pPr>
    </w:p>
    <w:p>
      <w:pPr>
        <w:pStyle w:val="19"/>
        <w:rPr>
          <w:rFonts w:hAnsi="宋体" w:cs="宋体"/>
          <w:color w:val="auto"/>
          <w:sz w:val="24"/>
          <w:szCs w:val="24"/>
          <w:highlight w:val="none"/>
        </w:rPr>
      </w:pPr>
    </w:p>
    <w:p>
      <w:pPr>
        <w:pStyle w:val="19"/>
        <w:rPr>
          <w:rFonts w:hAnsi="宋体" w:cs="宋体"/>
          <w:color w:val="auto"/>
          <w:sz w:val="24"/>
          <w:szCs w:val="24"/>
          <w:highlight w:val="none"/>
        </w:rPr>
      </w:pPr>
    </w:p>
    <w:p>
      <w:pPr>
        <w:pStyle w:val="19"/>
        <w:rPr>
          <w:rFonts w:hAnsi="宋体" w:cs="宋体"/>
          <w:color w:val="auto"/>
          <w:sz w:val="24"/>
          <w:szCs w:val="24"/>
          <w:highlight w:val="none"/>
        </w:rPr>
      </w:pPr>
    </w:p>
    <w:p>
      <w:pPr>
        <w:pStyle w:val="19"/>
        <w:rPr>
          <w:rFonts w:hAnsi="宋体" w:cs="宋体"/>
          <w:color w:val="auto"/>
          <w:sz w:val="24"/>
          <w:szCs w:val="24"/>
          <w:highlight w:val="none"/>
        </w:rPr>
      </w:pPr>
    </w:p>
    <w:p>
      <w:pPr>
        <w:pStyle w:val="19"/>
        <w:rPr>
          <w:rFonts w:hAnsi="宋体" w:cs="宋体"/>
          <w:color w:val="auto"/>
          <w:sz w:val="24"/>
          <w:szCs w:val="24"/>
          <w:highlight w:val="none"/>
        </w:rPr>
      </w:pPr>
    </w:p>
    <w:p>
      <w:pPr>
        <w:pStyle w:val="19"/>
        <w:rPr>
          <w:rFonts w:hAnsi="宋体" w:cs="宋体"/>
          <w:color w:val="auto"/>
          <w:sz w:val="24"/>
          <w:szCs w:val="24"/>
          <w:highlight w:val="none"/>
        </w:rPr>
      </w:pPr>
    </w:p>
    <w:p>
      <w:pPr>
        <w:pStyle w:val="19"/>
        <w:rPr>
          <w:rFonts w:hAnsi="宋体" w:cs="宋体"/>
          <w:color w:val="auto"/>
          <w:sz w:val="24"/>
          <w:szCs w:val="24"/>
          <w:highlight w:val="none"/>
        </w:rPr>
      </w:pPr>
    </w:p>
    <w:p>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pPr>
        <w:pStyle w:val="19"/>
        <w:spacing w:line="480" w:lineRule="auto"/>
        <w:ind w:right="200" w:firstLine="480"/>
        <w:jc w:val="right"/>
        <w:rPr>
          <w:rFonts w:hAnsi="宋体"/>
          <w:b/>
          <w:color w:val="auto"/>
          <w:sz w:val="24"/>
          <w:szCs w:val="24"/>
          <w:highlight w:val="none"/>
        </w:rPr>
      </w:pPr>
      <w:r>
        <w:rPr>
          <w:color w:val="auto"/>
          <w:sz w:val="24"/>
          <w:szCs w:val="24"/>
          <w:highlight w:val="none"/>
          <w:lang w:val="en-US"/>
        </w:rPr>
        <w:t xml:space="preserve">         </w:t>
      </w:r>
      <w:r>
        <w:rPr>
          <w:color w:val="auto"/>
          <w:sz w:val="24"/>
          <w:szCs w:val="24"/>
          <w:highlight w:val="none"/>
        </w:rPr>
        <w:t>年</w:t>
      </w:r>
      <w:r>
        <w:rPr>
          <w:rFonts w:hint="eastAsia"/>
          <w:color w:val="auto"/>
          <w:sz w:val="24"/>
          <w:szCs w:val="24"/>
          <w:highlight w:val="none"/>
          <w:lang w:eastAsia="zh-CN"/>
        </w:rPr>
        <w:t xml:space="preserve"> </w:t>
      </w:r>
      <w:r>
        <w:rPr>
          <w:color w:val="auto"/>
          <w:sz w:val="24"/>
          <w:szCs w:val="24"/>
          <w:highlight w:val="none"/>
          <w:lang w:eastAsia="zh-CN"/>
        </w:rPr>
        <w:t xml:space="preserve">  </w:t>
      </w:r>
      <w:r>
        <w:rPr>
          <w:color w:val="auto"/>
          <w:sz w:val="24"/>
          <w:szCs w:val="24"/>
          <w:highlight w:val="none"/>
        </w:rPr>
        <w:t xml:space="preserve"> 月    日</w:t>
      </w:r>
    </w:p>
    <w:p>
      <w:pPr>
        <w:pStyle w:val="19"/>
        <w:jc w:val="left"/>
        <w:rPr>
          <w:rFonts w:hAnsi="宋体" w:cs="宋体"/>
          <w:b/>
          <w:color w:val="auto"/>
          <w:sz w:val="24"/>
          <w:szCs w:val="24"/>
          <w:highlight w:val="none"/>
        </w:rPr>
      </w:pPr>
    </w:p>
    <w:p>
      <w:pPr>
        <w:pStyle w:val="19"/>
        <w:jc w:val="left"/>
        <w:rPr>
          <w:rFonts w:hAnsi="宋体" w:cs="宋体"/>
          <w:b/>
          <w:color w:val="auto"/>
          <w:highlight w:val="none"/>
        </w:rPr>
      </w:pPr>
    </w:p>
    <w:p>
      <w:pPr>
        <w:spacing w:line="320" w:lineRule="exact"/>
        <w:rPr>
          <w:rFonts w:ascii="宋体" w:hAnsi="宋体" w:cs="宋体"/>
          <w:b/>
          <w:color w:val="auto"/>
          <w:szCs w:val="21"/>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pacing w:line="320" w:lineRule="exact"/>
        <w:rPr>
          <w:rFonts w:ascii="宋体" w:hAnsi="宋体" w:cs="宋体"/>
          <w:b/>
          <w:color w:val="auto"/>
          <w:sz w:val="24"/>
          <w:highlight w:val="none"/>
        </w:rPr>
      </w:pPr>
    </w:p>
    <w:p>
      <w:pPr>
        <w:snapToGrid w:val="0"/>
        <w:spacing w:before="50" w:after="50" w:line="360" w:lineRule="exact"/>
        <w:rPr>
          <w:rFonts w:hint="eastAsia" w:hAnsi="宋体" w:cs="宋体"/>
          <w:b/>
          <w:color w:val="auto"/>
          <w:highlight w:val="none"/>
        </w:rPr>
        <w:sectPr>
          <w:pgSz w:w="11906" w:h="16838"/>
          <w:pgMar w:top="1134" w:right="1134" w:bottom="1134" w:left="1134" w:header="720" w:footer="720" w:gutter="0"/>
          <w:pgNumType w:fmt="decimal"/>
          <w:cols w:space="0" w:num="1"/>
          <w:docGrid w:type="lines" w:linePitch="312" w:charSpace="0"/>
        </w:sectPr>
      </w:pPr>
    </w:p>
    <w:p>
      <w:pPr>
        <w:snapToGrid w:val="0"/>
        <w:spacing w:before="50" w:after="50" w:line="360" w:lineRule="exact"/>
        <w:rPr>
          <w:rFonts w:hAnsi="宋体" w:cs="宋体"/>
          <w:b/>
          <w:color w:val="auto"/>
          <w:sz w:val="24"/>
          <w:szCs w:val="32"/>
          <w:highlight w:val="none"/>
        </w:rPr>
      </w:pPr>
      <w:r>
        <w:rPr>
          <w:rFonts w:hint="eastAsia" w:hAnsi="宋体" w:cs="宋体"/>
          <w:b/>
          <w:color w:val="auto"/>
          <w:sz w:val="24"/>
          <w:szCs w:val="32"/>
          <w:highlight w:val="none"/>
        </w:rPr>
        <w:t>八、售后服务方案及承诺书格式：</w:t>
      </w:r>
    </w:p>
    <w:p>
      <w:pPr>
        <w:snapToGrid w:val="0"/>
        <w:spacing w:before="50" w:after="50" w:line="360" w:lineRule="exact"/>
        <w:jc w:val="center"/>
        <w:rPr>
          <w:rFonts w:hint="eastAsia" w:ascii="宋体" w:hAnsi="宋体"/>
          <w:color w:val="auto"/>
          <w:sz w:val="30"/>
          <w:szCs w:val="30"/>
          <w:highlight w:val="none"/>
        </w:rPr>
      </w:pPr>
    </w:p>
    <w:p>
      <w:pPr>
        <w:snapToGrid w:val="0"/>
        <w:spacing w:before="50" w:after="50" w:line="360" w:lineRule="exact"/>
        <w:jc w:val="center"/>
        <w:rPr>
          <w:rFonts w:hint="eastAsia" w:ascii="宋体" w:hAnsi="宋体"/>
          <w:b/>
          <w:bCs/>
          <w:color w:val="auto"/>
          <w:sz w:val="30"/>
          <w:szCs w:val="30"/>
          <w:highlight w:val="none"/>
        </w:rPr>
      </w:pPr>
    </w:p>
    <w:p>
      <w:pPr>
        <w:snapToGrid w:val="0"/>
        <w:spacing w:before="50" w:after="50" w:line="360" w:lineRule="exact"/>
        <w:jc w:val="center"/>
        <w:rPr>
          <w:rFonts w:ascii="宋体" w:hAnsi="宋体"/>
          <w:b/>
          <w:bCs/>
          <w:color w:val="auto"/>
          <w:sz w:val="30"/>
          <w:szCs w:val="30"/>
          <w:highlight w:val="none"/>
        </w:rPr>
      </w:pPr>
      <w:r>
        <w:rPr>
          <w:rFonts w:hint="eastAsia" w:ascii="宋体" w:hAnsi="宋体"/>
          <w:b/>
          <w:bCs/>
          <w:color w:val="auto"/>
          <w:sz w:val="30"/>
          <w:szCs w:val="30"/>
          <w:highlight w:val="none"/>
        </w:rPr>
        <w:t>售后服务方案及承诺书</w:t>
      </w:r>
    </w:p>
    <w:p>
      <w:pPr>
        <w:pStyle w:val="19"/>
        <w:spacing w:line="440" w:lineRule="exact"/>
        <w:rPr>
          <w:rFonts w:hint="eastAsia" w:hAnsi="宋体" w:cs="宋体"/>
          <w:color w:val="auto"/>
          <w:sz w:val="21"/>
          <w:highlight w:val="none"/>
        </w:rPr>
      </w:pPr>
    </w:p>
    <w:p>
      <w:pPr>
        <w:pStyle w:val="19"/>
        <w:spacing w:line="440" w:lineRule="exact"/>
        <w:rPr>
          <w:rFonts w:hAnsi="宋体" w:cs="宋体"/>
          <w:color w:val="auto"/>
          <w:sz w:val="21"/>
          <w:highlight w:val="none"/>
        </w:rPr>
      </w:pPr>
      <w:r>
        <w:rPr>
          <w:rFonts w:hint="eastAsia" w:hAnsi="宋体" w:cs="宋体"/>
          <w:color w:val="auto"/>
          <w:sz w:val="21"/>
          <w:highlight w:val="none"/>
        </w:rPr>
        <w:t xml:space="preserve">第1条 </w:t>
      </w:r>
      <w:r>
        <w:rPr>
          <w:rFonts w:hint="eastAsia" w:hAnsi="宋体" w:cs="宋体"/>
          <w:b/>
          <w:color w:val="auto"/>
          <w:sz w:val="21"/>
          <w:highlight w:val="none"/>
        </w:rPr>
        <w:t>对合同条款、付款方式全部予以响应。</w:t>
      </w:r>
    </w:p>
    <w:p>
      <w:pPr>
        <w:pStyle w:val="19"/>
        <w:jc w:val="left"/>
        <w:rPr>
          <w:rFonts w:hAnsi="宋体" w:cs="宋体"/>
          <w:color w:val="auto"/>
          <w:sz w:val="21"/>
          <w:highlight w:val="none"/>
        </w:rPr>
      </w:pPr>
      <w:r>
        <w:rPr>
          <w:rFonts w:hint="eastAsia" w:hAnsi="宋体"/>
          <w:color w:val="auto"/>
          <w:szCs w:val="21"/>
          <w:highlight w:val="none"/>
        </w:rPr>
        <w:t>第2条</w:t>
      </w:r>
      <w:r>
        <w:rPr>
          <w:rFonts w:hint="eastAsia" w:hAnsi="宋体"/>
          <w:b/>
          <w:color w:val="auto"/>
          <w:szCs w:val="21"/>
          <w:highlight w:val="none"/>
        </w:rPr>
        <w:t xml:space="preserve"> </w:t>
      </w:r>
      <w:r>
        <w:rPr>
          <w:rFonts w:hint="eastAsia" w:hAnsi="宋体"/>
          <w:color w:val="auto"/>
          <w:szCs w:val="21"/>
          <w:highlight w:val="none"/>
        </w:rPr>
        <w:t>（由供应商按第三章《采购需求》要求自行填写，所作的承诺作为构成合同不可分割的部分，必须真实、诚信，如提供虚假承诺或在中标、成交后不按其承诺履行的，将依法追究违约责任，并按《中华人民共和国政府采购法》规定予以处罚。）</w:t>
      </w:r>
    </w:p>
    <w:p>
      <w:pPr>
        <w:pStyle w:val="19"/>
        <w:rPr>
          <w:rFonts w:hAnsi="宋体"/>
          <w:color w:val="auto"/>
          <w:szCs w:val="21"/>
          <w:highlight w:val="none"/>
        </w:rPr>
      </w:pPr>
      <w:r>
        <w:rPr>
          <w:rFonts w:hint="eastAsia" w:hAnsi="宋体"/>
          <w:color w:val="auto"/>
          <w:szCs w:val="21"/>
          <w:highlight w:val="none"/>
        </w:rPr>
        <w:t xml:space="preserve">第3条  </w:t>
      </w:r>
    </w:p>
    <w:p>
      <w:pPr>
        <w:pStyle w:val="19"/>
        <w:ind w:firstLine="480" w:firstLineChars="200"/>
        <w:jc w:val="left"/>
        <w:rPr>
          <w:rFonts w:hAnsi="宋体"/>
          <w:color w:val="auto"/>
          <w:sz w:val="24"/>
          <w:szCs w:val="24"/>
          <w:highlight w:val="none"/>
        </w:rPr>
      </w:pPr>
    </w:p>
    <w:p>
      <w:pPr>
        <w:pStyle w:val="19"/>
        <w:ind w:firstLine="480" w:firstLineChars="200"/>
        <w:rPr>
          <w:rFonts w:hAnsi="宋体" w:cs="宋体"/>
          <w:color w:val="auto"/>
          <w:sz w:val="24"/>
          <w:szCs w:val="24"/>
          <w:highlight w:val="none"/>
        </w:rPr>
      </w:pPr>
    </w:p>
    <w:p>
      <w:pPr>
        <w:pStyle w:val="19"/>
        <w:ind w:firstLine="480" w:firstLineChars="200"/>
        <w:rPr>
          <w:rFonts w:hAnsi="宋体" w:cs="宋体"/>
          <w:color w:val="auto"/>
          <w:sz w:val="24"/>
          <w:szCs w:val="24"/>
          <w:highlight w:val="none"/>
        </w:rPr>
      </w:pPr>
    </w:p>
    <w:p>
      <w:pPr>
        <w:pStyle w:val="19"/>
        <w:ind w:firstLine="480" w:firstLineChars="200"/>
        <w:rPr>
          <w:rFonts w:hAnsi="宋体" w:cs="宋体"/>
          <w:color w:val="auto"/>
          <w:sz w:val="24"/>
          <w:szCs w:val="24"/>
          <w:highlight w:val="none"/>
        </w:rPr>
      </w:pPr>
    </w:p>
    <w:p>
      <w:pPr>
        <w:pStyle w:val="19"/>
        <w:ind w:firstLine="480" w:firstLineChars="200"/>
        <w:rPr>
          <w:rFonts w:hAnsi="宋体" w:cs="宋体"/>
          <w:color w:val="auto"/>
          <w:sz w:val="24"/>
          <w:szCs w:val="24"/>
          <w:highlight w:val="none"/>
        </w:rPr>
      </w:pPr>
    </w:p>
    <w:p>
      <w:pPr>
        <w:pStyle w:val="19"/>
        <w:ind w:firstLine="480" w:firstLineChars="200"/>
        <w:rPr>
          <w:rFonts w:hAnsi="宋体" w:cs="宋体"/>
          <w:color w:val="auto"/>
          <w:sz w:val="24"/>
          <w:szCs w:val="24"/>
          <w:highlight w:val="none"/>
        </w:rPr>
      </w:pPr>
    </w:p>
    <w:p>
      <w:pPr>
        <w:pStyle w:val="19"/>
        <w:ind w:firstLine="480" w:firstLineChars="200"/>
        <w:rPr>
          <w:rFonts w:hAnsi="宋体" w:cs="宋体"/>
          <w:color w:val="auto"/>
          <w:sz w:val="24"/>
          <w:szCs w:val="24"/>
          <w:highlight w:val="none"/>
        </w:rPr>
      </w:pPr>
    </w:p>
    <w:p>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pPr>
        <w:pStyle w:val="19"/>
        <w:spacing w:line="480" w:lineRule="auto"/>
        <w:ind w:right="200" w:firstLine="480"/>
        <w:jc w:val="right"/>
        <w:rPr>
          <w:rFonts w:hAnsi="宋体"/>
          <w:b/>
          <w:color w:val="auto"/>
          <w:sz w:val="24"/>
          <w:szCs w:val="24"/>
          <w:highlight w:val="none"/>
        </w:rPr>
      </w:pPr>
      <w:r>
        <w:rPr>
          <w:color w:val="auto"/>
          <w:sz w:val="24"/>
          <w:szCs w:val="24"/>
          <w:highlight w:val="none"/>
          <w:lang w:val="en-US"/>
        </w:rPr>
        <w:t xml:space="preserve">         </w:t>
      </w:r>
      <w:r>
        <w:rPr>
          <w:color w:val="auto"/>
          <w:sz w:val="24"/>
          <w:szCs w:val="24"/>
          <w:highlight w:val="none"/>
        </w:rPr>
        <w:t>年</w:t>
      </w:r>
      <w:r>
        <w:rPr>
          <w:rFonts w:hint="eastAsia"/>
          <w:color w:val="auto"/>
          <w:sz w:val="24"/>
          <w:szCs w:val="24"/>
          <w:highlight w:val="none"/>
          <w:lang w:eastAsia="zh-CN"/>
        </w:rPr>
        <w:t xml:space="preserve"> </w:t>
      </w:r>
      <w:r>
        <w:rPr>
          <w:color w:val="auto"/>
          <w:sz w:val="24"/>
          <w:szCs w:val="24"/>
          <w:highlight w:val="none"/>
          <w:lang w:eastAsia="zh-CN"/>
        </w:rPr>
        <w:t xml:space="preserve">  </w:t>
      </w:r>
      <w:r>
        <w:rPr>
          <w:color w:val="auto"/>
          <w:sz w:val="24"/>
          <w:szCs w:val="24"/>
          <w:highlight w:val="none"/>
        </w:rPr>
        <w:t xml:space="preserve"> 月    日</w:t>
      </w:r>
    </w:p>
    <w:p>
      <w:pPr>
        <w:snapToGrid w:val="0"/>
        <w:spacing w:before="50"/>
        <w:jc w:val="right"/>
        <w:rPr>
          <w:rFonts w:ascii="宋体" w:hAnsi="宋体" w:cs="宋体"/>
          <w:color w:val="auto"/>
          <w:szCs w:val="21"/>
          <w:highlight w:val="none"/>
          <w:u w:val="singl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pStyle w:val="27"/>
        <w:rPr>
          <w:rFonts w:ascii="宋体" w:hAnsi="宋体"/>
          <w:color w:val="auto"/>
          <w:szCs w:val="21"/>
          <w:highlight w:val="none"/>
        </w:rPr>
      </w:pPr>
    </w:p>
    <w:p>
      <w:pPr>
        <w:rPr>
          <w:rFonts w:ascii="宋体" w:hAnsi="宋体"/>
          <w:color w:val="auto"/>
          <w:szCs w:val="21"/>
          <w:highlight w:val="none"/>
        </w:rPr>
      </w:pPr>
    </w:p>
    <w:p>
      <w:pPr>
        <w:pStyle w:val="27"/>
        <w:rPr>
          <w:rFonts w:ascii="宋体" w:hAnsi="宋体"/>
          <w:color w:val="auto"/>
          <w:szCs w:val="21"/>
          <w:highlight w:val="none"/>
        </w:rPr>
      </w:pPr>
    </w:p>
    <w:p>
      <w:pPr>
        <w:rPr>
          <w:rFonts w:ascii="宋体" w:hAnsi="宋体"/>
          <w:color w:val="auto"/>
          <w:szCs w:val="21"/>
          <w:highlight w:val="none"/>
        </w:rPr>
      </w:pPr>
    </w:p>
    <w:p>
      <w:pPr>
        <w:pStyle w:val="27"/>
        <w:rPr>
          <w:rFonts w:ascii="宋体" w:hAnsi="宋体"/>
          <w:color w:val="auto"/>
          <w:szCs w:val="21"/>
          <w:highlight w:val="none"/>
        </w:rPr>
      </w:pPr>
    </w:p>
    <w:p>
      <w:pPr>
        <w:snapToGrid w:val="0"/>
        <w:spacing w:before="50" w:after="50" w:line="360" w:lineRule="exact"/>
        <w:rPr>
          <w:rFonts w:hint="eastAsia" w:hAnsi="宋体" w:cs="宋体"/>
          <w:b/>
          <w:color w:val="auto"/>
          <w:sz w:val="24"/>
          <w:szCs w:val="32"/>
          <w:highlight w:val="none"/>
        </w:rPr>
      </w:pPr>
      <w:r>
        <w:rPr>
          <w:rFonts w:hint="eastAsia" w:hAnsi="宋体" w:cs="宋体"/>
          <w:b/>
          <w:color w:val="auto"/>
          <w:sz w:val="24"/>
          <w:szCs w:val="32"/>
          <w:highlight w:val="none"/>
        </w:rPr>
        <w:t>九、选配件、专用耗材、售后服务优惠表格式：</w:t>
      </w:r>
    </w:p>
    <w:p>
      <w:pPr>
        <w:tabs>
          <w:tab w:val="left" w:pos="315"/>
        </w:tabs>
        <w:snapToGrid w:val="0"/>
        <w:spacing w:before="50" w:after="50" w:line="360" w:lineRule="exact"/>
        <w:rPr>
          <w:rFonts w:ascii="宋体" w:hAnsi="宋体"/>
          <w:color w:val="auto"/>
          <w:sz w:val="24"/>
          <w:highlight w:val="none"/>
        </w:rPr>
      </w:pPr>
    </w:p>
    <w:p>
      <w:pPr>
        <w:tabs>
          <w:tab w:val="left" w:pos="315"/>
        </w:tabs>
        <w:snapToGrid w:val="0"/>
        <w:spacing w:before="50" w:after="50" w:line="360" w:lineRule="exact"/>
        <w:jc w:val="center"/>
        <w:rPr>
          <w:rFonts w:ascii="宋体" w:hAnsi="宋体"/>
          <w:b/>
          <w:bCs/>
          <w:color w:val="auto"/>
          <w:sz w:val="30"/>
          <w:szCs w:val="30"/>
          <w:highlight w:val="none"/>
        </w:rPr>
      </w:pPr>
      <w:r>
        <w:rPr>
          <w:rFonts w:hint="eastAsia" w:ascii="宋体" w:hAnsi="宋体"/>
          <w:b/>
          <w:bCs/>
          <w:color w:val="auto"/>
          <w:sz w:val="30"/>
          <w:szCs w:val="30"/>
          <w:highlight w:val="none"/>
        </w:rPr>
        <w:t>选配件、专用耗材、售后服务优惠表</w:t>
      </w:r>
    </w:p>
    <w:tbl>
      <w:tblPr>
        <w:tblStyle w:val="3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71" w:hRule="exact"/>
          <w:jc w:val="center"/>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pStyle w:val="19"/>
              <w:snapToGrid w:val="0"/>
              <w:spacing w:before="295" w:after="295" w:line="360" w:lineRule="exact"/>
              <w:jc w:val="center"/>
              <w:rPr>
                <w:rFonts w:hAnsi="宋体"/>
                <w:color w:val="auto"/>
                <w:highlight w:val="none"/>
              </w:rPr>
            </w:pPr>
            <w:r>
              <w:rPr>
                <w:rFonts w:hint="eastAsia" w:hAnsi="宋体"/>
                <w:color w:val="auto"/>
                <w:highlight w:val="none"/>
              </w:rPr>
              <w:t>序号</w:t>
            </w:r>
          </w:p>
        </w:tc>
        <w:tc>
          <w:tcPr>
            <w:tcW w:w="2700" w:type="dxa"/>
            <w:tcBorders>
              <w:top w:val="single" w:color="auto" w:sz="4" w:space="0"/>
              <w:left w:val="single" w:color="auto" w:sz="4" w:space="0"/>
              <w:bottom w:val="single" w:color="auto" w:sz="2" w:space="0"/>
              <w:right w:val="single" w:color="auto" w:sz="4" w:space="0"/>
            </w:tcBorders>
          </w:tcPr>
          <w:p>
            <w:pPr>
              <w:pStyle w:val="19"/>
              <w:snapToGrid w:val="0"/>
              <w:spacing w:before="295" w:after="295" w:line="360" w:lineRule="exact"/>
              <w:jc w:val="center"/>
              <w:rPr>
                <w:rFonts w:hAnsi="宋体"/>
                <w:color w:val="auto"/>
                <w:highlight w:val="none"/>
              </w:rPr>
            </w:pPr>
            <w:r>
              <w:rPr>
                <w:rFonts w:hint="eastAsia" w:hAnsi="宋体"/>
                <w:color w:val="auto"/>
                <w:highlight w:val="none"/>
              </w:rPr>
              <w:t>优惠内容</w:t>
            </w:r>
          </w:p>
        </w:tc>
        <w:tc>
          <w:tcPr>
            <w:tcW w:w="1440" w:type="dxa"/>
            <w:tcBorders>
              <w:top w:val="single" w:color="auto" w:sz="4" w:space="0"/>
              <w:left w:val="single" w:color="auto" w:sz="4" w:space="0"/>
              <w:bottom w:val="single" w:color="auto" w:sz="2" w:space="0"/>
              <w:right w:val="single" w:color="auto" w:sz="4" w:space="0"/>
            </w:tcBorders>
          </w:tcPr>
          <w:p>
            <w:pPr>
              <w:pStyle w:val="19"/>
              <w:snapToGrid w:val="0"/>
              <w:spacing w:before="295" w:after="295" w:line="360" w:lineRule="exact"/>
              <w:jc w:val="center"/>
              <w:rPr>
                <w:rFonts w:hAnsi="宋体"/>
                <w:color w:val="auto"/>
                <w:highlight w:val="none"/>
              </w:rPr>
            </w:pPr>
            <w:r>
              <w:rPr>
                <w:rFonts w:hint="eastAsia" w:hAnsi="宋体"/>
                <w:color w:val="auto"/>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tcPr>
          <w:p>
            <w:pPr>
              <w:pStyle w:val="19"/>
              <w:snapToGrid w:val="0"/>
              <w:spacing w:before="295" w:after="295" w:line="360" w:lineRule="exact"/>
              <w:jc w:val="center"/>
              <w:rPr>
                <w:rFonts w:hAnsi="宋体"/>
                <w:color w:val="auto"/>
                <w:highlight w:val="none"/>
              </w:rPr>
            </w:pPr>
            <w:r>
              <w:rPr>
                <w:rFonts w:hint="eastAsia" w:hAnsi="宋体"/>
                <w:color w:val="auto"/>
                <w:highlight w:val="none"/>
              </w:rPr>
              <w:t>单价</w:t>
            </w:r>
          </w:p>
        </w:tc>
        <w:tc>
          <w:tcPr>
            <w:tcW w:w="2340" w:type="dxa"/>
            <w:tcBorders>
              <w:top w:val="single" w:color="auto" w:sz="4" w:space="0"/>
              <w:left w:val="single" w:color="auto" w:sz="4" w:space="0"/>
              <w:bottom w:val="single" w:color="auto" w:sz="2" w:space="0"/>
              <w:right w:val="single" w:color="auto" w:sz="4" w:space="0"/>
            </w:tcBorders>
          </w:tcPr>
          <w:p>
            <w:pPr>
              <w:pStyle w:val="19"/>
              <w:snapToGrid w:val="0"/>
              <w:spacing w:before="295" w:after="295" w:line="360" w:lineRule="exact"/>
              <w:jc w:val="center"/>
              <w:rPr>
                <w:rFonts w:hAnsi="宋体"/>
                <w:color w:val="auto"/>
                <w:highlight w:val="none"/>
              </w:rPr>
            </w:pPr>
            <w:r>
              <w:rPr>
                <w:rFonts w:hint="eastAsia" w:hAnsi="宋体"/>
                <w:color w:val="auto"/>
                <w:highlight w:val="none"/>
              </w:rPr>
              <w:t>比投标报价优惠率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4"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pPr>
              <w:pStyle w:val="19"/>
              <w:snapToGrid w:val="0"/>
              <w:spacing w:before="295" w:after="295" w:line="360" w:lineRule="exact"/>
              <w:ind w:firstLine="200" w:firstLineChars="100"/>
              <w:rPr>
                <w:rFonts w:hAnsi="宋体"/>
                <w:color w:val="auto"/>
                <w:highlight w:val="none"/>
              </w:rPr>
            </w:pPr>
            <w:r>
              <w:rPr>
                <w:rFonts w:hint="eastAsia" w:hAnsi="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tcPr>
          <w:p>
            <w:pPr>
              <w:pStyle w:val="19"/>
              <w:snapToGrid w:val="0"/>
              <w:spacing w:before="295" w:after="295" w:line="360" w:lineRule="exact"/>
              <w:jc w:val="center"/>
              <w:rPr>
                <w:rFonts w:hAnsi="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tcPr>
          <w:p>
            <w:pPr>
              <w:pStyle w:val="19"/>
              <w:snapToGrid w:val="0"/>
              <w:spacing w:before="295" w:after="295" w:line="360" w:lineRule="exact"/>
              <w:jc w:val="center"/>
              <w:rPr>
                <w:rFonts w:hAnsi="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tcPr>
          <w:p>
            <w:pPr>
              <w:pStyle w:val="19"/>
              <w:snapToGrid w:val="0"/>
              <w:spacing w:before="295" w:after="295" w:line="360" w:lineRule="exact"/>
              <w:jc w:val="center"/>
              <w:rPr>
                <w:rFonts w:hAnsi="宋体"/>
                <w:color w:val="auto"/>
                <w:highlight w:val="none"/>
              </w:rPr>
            </w:pPr>
          </w:p>
        </w:tc>
        <w:tc>
          <w:tcPr>
            <w:tcW w:w="2340" w:type="dxa"/>
            <w:tcBorders>
              <w:top w:val="single" w:color="auto" w:sz="2" w:space="0"/>
              <w:left w:val="single" w:color="auto" w:sz="6" w:space="0"/>
              <w:bottom w:val="single" w:color="auto" w:sz="6" w:space="0"/>
              <w:right w:val="single" w:color="auto" w:sz="2" w:space="0"/>
            </w:tcBorders>
          </w:tcPr>
          <w:p>
            <w:pPr>
              <w:pStyle w:val="19"/>
              <w:snapToGrid w:val="0"/>
              <w:spacing w:before="295" w:after="295" w:line="360" w:lineRule="exact"/>
              <w:jc w:val="center"/>
              <w:rPr>
                <w:rFonts w:hAnsi="宋体"/>
                <w:color w:val="auto"/>
                <w:highlight w:val="none"/>
              </w:rPr>
            </w:pPr>
            <w:r>
              <w:rPr>
                <w:rFonts w:hint="eastAsia" w:hAnsi="宋体"/>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26"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pPr>
              <w:pStyle w:val="19"/>
              <w:snapToGrid w:val="0"/>
              <w:spacing w:before="295" w:after="295" w:line="360" w:lineRule="exact"/>
              <w:jc w:val="center"/>
              <w:rPr>
                <w:rFonts w:hAnsi="宋体"/>
                <w:color w:val="auto"/>
                <w:highlight w:val="none"/>
              </w:rPr>
            </w:pPr>
            <w:r>
              <w:rPr>
                <w:rFonts w:hint="eastAsia" w:hAnsi="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tcPr>
          <w:p>
            <w:pPr>
              <w:pStyle w:val="19"/>
              <w:snapToGrid w:val="0"/>
              <w:spacing w:before="295" w:after="295" w:line="360" w:lineRule="exact"/>
              <w:jc w:val="center"/>
              <w:rPr>
                <w:rFonts w:hAnsi="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pPr>
              <w:pStyle w:val="19"/>
              <w:snapToGrid w:val="0"/>
              <w:spacing w:before="295" w:after="295" w:line="360" w:lineRule="exact"/>
              <w:jc w:val="center"/>
              <w:rPr>
                <w:rFonts w:hAnsi="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pPr>
              <w:pStyle w:val="19"/>
              <w:snapToGrid w:val="0"/>
              <w:spacing w:before="295" w:after="295" w:line="360" w:lineRule="exact"/>
              <w:jc w:val="center"/>
              <w:rPr>
                <w:rFonts w:hAnsi="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pPr>
              <w:pStyle w:val="19"/>
              <w:snapToGrid w:val="0"/>
              <w:spacing w:before="295" w:after="295" w:line="360" w:lineRule="exact"/>
              <w:jc w:val="center"/>
              <w:rPr>
                <w:rFonts w:hAnsi="宋体"/>
                <w:color w:val="auto"/>
                <w:highlight w:val="none"/>
              </w:rPr>
            </w:pPr>
            <w:r>
              <w:rPr>
                <w:rFonts w:hint="eastAsia" w:hAnsi="宋体"/>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9"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pPr>
              <w:pStyle w:val="19"/>
              <w:snapToGrid w:val="0"/>
              <w:spacing w:before="295" w:after="295" w:line="360" w:lineRule="exact"/>
              <w:jc w:val="center"/>
              <w:rPr>
                <w:rFonts w:hAnsi="宋体"/>
                <w:color w:val="auto"/>
                <w:highlight w:val="none"/>
              </w:rPr>
            </w:pPr>
            <w:r>
              <w:rPr>
                <w:rFonts w:hint="eastAsia" w:hAnsi="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tcPr>
          <w:p>
            <w:pPr>
              <w:pStyle w:val="19"/>
              <w:snapToGrid w:val="0"/>
              <w:spacing w:before="295" w:after="295" w:line="360" w:lineRule="exact"/>
              <w:jc w:val="center"/>
              <w:rPr>
                <w:rFonts w:hAnsi="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pPr>
              <w:pStyle w:val="19"/>
              <w:snapToGrid w:val="0"/>
              <w:spacing w:before="295" w:after="295" w:line="360" w:lineRule="exact"/>
              <w:jc w:val="center"/>
              <w:rPr>
                <w:rFonts w:hAnsi="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pPr>
              <w:pStyle w:val="19"/>
              <w:snapToGrid w:val="0"/>
              <w:spacing w:before="295" w:after="295" w:line="360" w:lineRule="exact"/>
              <w:jc w:val="center"/>
              <w:rPr>
                <w:rFonts w:hAnsi="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pPr>
              <w:pStyle w:val="19"/>
              <w:snapToGrid w:val="0"/>
              <w:spacing w:before="295" w:after="295" w:line="360" w:lineRule="exact"/>
              <w:jc w:val="center"/>
              <w:rPr>
                <w:rFonts w:hAnsi="宋体"/>
                <w:color w:val="auto"/>
                <w:highlight w:val="none"/>
              </w:rPr>
            </w:pPr>
            <w:r>
              <w:rPr>
                <w:rFonts w:hint="eastAsia" w:hAnsi="宋体"/>
                <w:color w:val="auto"/>
                <w:highlight w:val="none"/>
              </w:rPr>
              <w:t>%</w:t>
            </w:r>
          </w:p>
        </w:tc>
      </w:tr>
    </w:tbl>
    <w:p>
      <w:pPr>
        <w:snapToGrid w:val="0"/>
        <w:spacing w:before="50" w:after="50" w:line="360" w:lineRule="exact"/>
        <w:ind w:firstLine="210" w:firstLineChars="100"/>
        <w:rPr>
          <w:rFonts w:ascii="宋体" w:hAnsi="宋体"/>
          <w:color w:val="auto"/>
          <w:szCs w:val="21"/>
          <w:highlight w:val="none"/>
        </w:rPr>
      </w:pPr>
    </w:p>
    <w:p>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pPr>
        <w:pStyle w:val="19"/>
        <w:spacing w:line="480" w:lineRule="auto"/>
        <w:ind w:right="200" w:firstLine="480"/>
        <w:jc w:val="right"/>
        <w:rPr>
          <w:rFonts w:hAnsi="宋体"/>
          <w:b/>
          <w:color w:val="auto"/>
          <w:sz w:val="24"/>
          <w:szCs w:val="24"/>
          <w:highlight w:val="none"/>
        </w:rPr>
      </w:pPr>
      <w:r>
        <w:rPr>
          <w:color w:val="auto"/>
          <w:sz w:val="24"/>
          <w:szCs w:val="24"/>
          <w:highlight w:val="none"/>
          <w:lang w:val="en-US"/>
        </w:rPr>
        <w:t xml:space="preserve">         </w:t>
      </w:r>
      <w:r>
        <w:rPr>
          <w:color w:val="auto"/>
          <w:sz w:val="24"/>
          <w:szCs w:val="24"/>
          <w:highlight w:val="none"/>
        </w:rPr>
        <w:t>年</w:t>
      </w:r>
      <w:r>
        <w:rPr>
          <w:rFonts w:hint="eastAsia"/>
          <w:color w:val="auto"/>
          <w:sz w:val="24"/>
          <w:szCs w:val="24"/>
          <w:highlight w:val="none"/>
          <w:lang w:eastAsia="zh-CN"/>
        </w:rPr>
        <w:t xml:space="preserve"> </w:t>
      </w:r>
      <w:r>
        <w:rPr>
          <w:color w:val="auto"/>
          <w:sz w:val="24"/>
          <w:szCs w:val="24"/>
          <w:highlight w:val="none"/>
          <w:lang w:eastAsia="zh-CN"/>
        </w:rPr>
        <w:t xml:space="preserve">  </w:t>
      </w:r>
      <w:r>
        <w:rPr>
          <w:color w:val="auto"/>
          <w:sz w:val="24"/>
          <w:szCs w:val="24"/>
          <w:highlight w:val="none"/>
        </w:rPr>
        <w:t xml:space="preserve"> 月    日</w:t>
      </w:r>
    </w:p>
    <w:p>
      <w:pPr>
        <w:snapToGrid w:val="0"/>
        <w:spacing w:before="50" w:line="340" w:lineRule="exact"/>
        <w:jc w:val="left"/>
        <w:rPr>
          <w:rFonts w:ascii="宋体" w:hAnsi="宋体" w:cs="宋体"/>
          <w:b/>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pStyle w:val="27"/>
        <w:rPr>
          <w:rFonts w:ascii="宋体" w:hAnsi="宋体"/>
          <w:color w:val="auto"/>
          <w:szCs w:val="21"/>
          <w:highlight w:val="none"/>
        </w:rPr>
      </w:pPr>
    </w:p>
    <w:p>
      <w:pPr>
        <w:rPr>
          <w:rFonts w:ascii="宋体" w:hAnsi="宋体"/>
          <w:color w:val="auto"/>
          <w:szCs w:val="21"/>
          <w:highlight w:val="none"/>
        </w:rPr>
      </w:pPr>
    </w:p>
    <w:p>
      <w:pPr>
        <w:pStyle w:val="27"/>
        <w:rPr>
          <w:rFonts w:ascii="宋体" w:hAnsi="宋体"/>
          <w:color w:val="auto"/>
          <w:szCs w:val="21"/>
          <w:highlight w:val="none"/>
        </w:rPr>
      </w:pPr>
    </w:p>
    <w:p>
      <w:pPr>
        <w:rPr>
          <w:rFonts w:ascii="宋体" w:hAnsi="宋体"/>
          <w:color w:val="auto"/>
          <w:szCs w:val="21"/>
          <w:highlight w:val="none"/>
        </w:rPr>
      </w:pPr>
    </w:p>
    <w:p>
      <w:pPr>
        <w:pStyle w:val="27"/>
        <w:rPr>
          <w:rFonts w:ascii="宋体" w:hAnsi="宋体"/>
          <w:color w:val="auto"/>
          <w:szCs w:val="21"/>
          <w:highlight w:val="none"/>
        </w:rPr>
      </w:pPr>
    </w:p>
    <w:p>
      <w:pPr>
        <w:rPr>
          <w:rFonts w:ascii="宋体" w:hAnsi="宋体"/>
          <w:color w:val="auto"/>
          <w:szCs w:val="21"/>
          <w:highlight w:val="none"/>
        </w:rPr>
      </w:pPr>
    </w:p>
    <w:p>
      <w:pPr>
        <w:pStyle w:val="27"/>
        <w:rPr>
          <w:rFonts w:ascii="宋体" w:hAnsi="宋体"/>
          <w:color w:val="auto"/>
          <w:szCs w:val="21"/>
          <w:highlight w:val="none"/>
        </w:rPr>
      </w:pPr>
    </w:p>
    <w:p>
      <w:pPr>
        <w:rPr>
          <w:rFonts w:ascii="宋体" w:hAnsi="宋体"/>
          <w:color w:val="auto"/>
          <w:szCs w:val="21"/>
          <w:highlight w:val="none"/>
        </w:rPr>
      </w:pPr>
    </w:p>
    <w:p>
      <w:pPr>
        <w:pStyle w:val="27"/>
        <w:rPr>
          <w:rFonts w:ascii="宋体" w:hAnsi="宋体"/>
          <w:color w:val="auto"/>
          <w:szCs w:val="21"/>
          <w:highlight w:val="none"/>
        </w:rPr>
      </w:pPr>
    </w:p>
    <w:p>
      <w:pPr>
        <w:rPr>
          <w:rFonts w:ascii="宋体" w:hAnsi="宋体"/>
          <w:color w:val="auto"/>
          <w:szCs w:val="21"/>
          <w:highlight w:val="none"/>
        </w:rPr>
      </w:pPr>
    </w:p>
    <w:p>
      <w:pPr>
        <w:pStyle w:val="27"/>
        <w:rPr>
          <w:rFonts w:ascii="宋体" w:hAnsi="宋体"/>
          <w:color w:val="auto"/>
          <w:szCs w:val="21"/>
          <w:highlight w:val="none"/>
        </w:rPr>
      </w:pPr>
    </w:p>
    <w:p>
      <w:pPr>
        <w:snapToGrid w:val="0"/>
        <w:spacing w:before="50" w:line="360" w:lineRule="exact"/>
        <w:jc w:val="left"/>
        <w:rPr>
          <w:rFonts w:hint="eastAsia" w:ascii="宋体" w:hAnsi="宋体"/>
          <w:b/>
          <w:color w:val="auto"/>
          <w:sz w:val="24"/>
          <w:highlight w:val="none"/>
        </w:rPr>
        <w:sectPr>
          <w:pgSz w:w="11906" w:h="16838"/>
          <w:pgMar w:top="1134" w:right="1134" w:bottom="1134" w:left="1134" w:header="720" w:footer="720" w:gutter="0"/>
          <w:pgNumType w:fmt="decimal"/>
          <w:cols w:space="0" w:num="1"/>
          <w:docGrid w:type="lines" w:linePitch="312" w:charSpace="0"/>
        </w:sectPr>
      </w:pPr>
    </w:p>
    <w:p>
      <w:pPr>
        <w:snapToGrid w:val="0"/>
        <w:spacing w:before="50" w:line="360" w:lineRule="exact"/>
        <w:jc w:val="left"/>
        <w:rPr>
          <w:rFonts w:hint="eastAsia" w:ascii="宋体" w:hAnsi="宋体"/>
          <w:b/>
          <w:color w:val="auto"/>
          <w:sz w:val="24"/>
          <w:highlight w:val="none"/>
        </w:rPr>
      </w:pPr>
      <w:r>
        <w:rPr>
          <w:rFonts w:hint="eastAsia" w:ascii="宋体" w:hAnsi="宋体"/>
          <w:b/>
          <w:color w:val="auto"/>
          <w:sz w:val="24"/>
          <w:highlight w:val="none"/>
        </w:rPr>
        <w:t>十、 供应商同类项目业绩证明一览表（格式）</w:t>
      </w:r>
    </w:p>
    <w:p>
      <w:pPr>
        <w:pStyle w:val="28"/>
        <w:snapToGrid w:val="0"/>
        <w:spacing w:line="360" w:lineRule="exact"/>
        <w:ind w:left="643" w:hanging="643"/>
        <w:jc w:val="center"/>
        <w:rPr>
          <w:rFonts w:ascii="宋体" w:hAnsi="宋体"/>
          <w:b/>
          <w:bCs/>
          <w:color w:val="auto"/>
          <w:sz w:val="32"/>
          <w:szCs w:val="32"/>
          <w:highlight w:val="none"/>
        </w:rPr>
      </w:pPr>
    </w:p>
    <w:p>
      <w:pPr>
        <w:pStyle w:val="28"/>
        <w:snapToGrid w:val="0"/>
        <w:spacing w:line="360" w:lineRule="exact"/>
        <w:ind w:left="643" w:hanging="643"/>
        <w:jc w:val="center"/>
        <w:rPr>
          <w:rFonts w:ascii="宋体" w:hAnsi="宋体"/>
          <w:b/>
          <w:bCs/>
          <w:color w:val="auto"/>
          <w:sz w:val="32"/>
          <w:szCs w:val="32"/>
          <w:highlight w:val="none"/>
        </w:rPr>
      </w:pPr>
      <w:r>
        <w:rPr>
          <w:rFonts w:hint="eastAsia" w:ascii="宋体" w:hAnsi="宋体"/>
          <w:b/>
          <w:bCs/>
          <w:color w:val="auto"/>
          <w:sz w:val="32"/>
          <w:szCs w:val="32"/>
          <w:highlight w:val="none"/>
        </w:rPr>
        <w:t>供应商同类项目业绩一览表</w:t>
      </w:r>
    </w:p>
    <w:tbl>
      <w:tblPr>
        <w:tblStyle w:val="36"/>
        <w:tblW w:w="89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2"/>
        <w:gridCol w:w="1277"/>
        <w:gridCol w:w="1081"/>
        <w:gridCol w:w="1080"/>
        <w:gridCol w:w="958"/>
        <w:gridCol w:w="720"/>
        <w:gridCol w:w="720"/>
        <w:gridCol w:w="720"/>
        <w:gridCol w:w="13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采购单位名称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w:t>
            </w:r>
          </w:p>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合同</w:t>
            </w:r>
          </w:p>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金额</w:t>
            </w:r>
          </w:p>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采购单位联系人及</w:t>
            </w:r>
          </w:p>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01"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01"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auto"/>
                <w:szCs w:val="21"/>
                <w:highlight w:val="none"/>
              </w:rPr>
            </w:pPr>
          </w:p>
        </w:tc>
      </w:tr>
    </w:tbl>
    <w:p>
      <w:pPr>
        <w:pStyle w:val="28"/>
        <w:snapToGrid w:val="0"/>
        <w:spacing w:line="360" w:lineRule="exact"/>
        <w:ind w:left="420" w:leftChars="200" w:firstLine="0" w:firstLineChars="0"/>
        <w:jc w:val="left"/>
        <w:rPr>
          <w:rFonts w:ascii="宋体" w:hAnsi="宋体"/>
          <w:color w:val="auto"/>
          <w:sz w:val="21"/>
          <w:szCs w:val="21"/>
          <w:highlight w:val="none"/>
        </w:rPr>
      </w:pPr>
      <w:r>
        <w:rPr>
          <w:rFonts w:hint="eastAsia" w:ascii="宋体" w:hAnsi="宋体"/>
          <w:color w:val="auto"/>
          <w:sz w:val="21"/>
          <w:szCs w:val="21"/>
          <w:highlight w:val="none"/>
        </w:rPr>
        <w:t>注：供应商同类项目合同复印件、用户验收报告、用户评价意见格式自拟，请提供相关证明材料扫描件并加盖供应商电子公章（如有）</w:t>
      </w:r>
    </w:p>
    <w:p>
      <w:pPr>
        <w:pStyle w:val="13"/>
        <w:snapToGrid w:val="0"/>
        <w:spacing w:line="360" w:lineRule="exact"/>
        <w:rPr>
          <w:rFonts w:ascii="宋体" w:hAnsi="宋体" w:eastAsia="宋体"/>
          <w:color w:val="auto"/>
          <w:sz w:val="21"/>
          <w:szCs w:val="21"/>
          <w:highlight w:val="none"/>
        </w:rPr>
      </w:pPr>
    </w:p>
    <w:p>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pPr>
        <w:pStyle w:val="19"/>
        <w:spacing w:line="480" w:lineRule="auto"/>
        <w:ind w:right="200" w:firstLine="480"/>
        <w:jc w:val="right"/>
        <w:rPr>
          <w:rFonts w:hAnsi="宋体"/>
          <w:b/>
          <w:color w:val="auto"/>
          <w:sz w:val="24"/>
          <w:szCs w:val="24"/>
          <w:highlight w:val="none"/>
        </w:rPr>
      </w:pPr>
      <w:r>
        <w:rPr>
          <w:color w:val="auto"/>
          <w:sz w:val="24"/>
          <w:szCs w:val="24"/>
          <w:highlight w:val="none"/>
          <w:lang w:val="en-US"/>
        </w:rPr>
        <w:t xml:space="preserve">         </w:t>
      </w:r>
      <w:r>
        <w:rPr>
          <w:color w:val="auto"/>
          <w:sz w:val="24"/>
          <w:szCs w:val="24"/>
          <w:highlight w:val="none"/>
        </w:rPr>
        <w:t>年</w:t>
      </w:r>
      <w:r>
        <w:rPr>
          <w:rFonts w:hint="eastAsia"/>
          <w:color w:val="auto"/>
          <w:sz w:val="24"/>
          <w:szCs w:val="24"/>
          <w:highlight w:val="none"/>
          <w:lang w:eastAsia="zh-CN"/>
        </w:rPr>
        <w:t xml:space="preserve"> </w:t>
      </w:r>
      <w:r>
        <w:rPr>
          <w:color w:val="auto"/>
          <w:sz w:val="24"/>
          <w:szCs w:val="24"/>
          <w:highlight w:val="none"/>
          <w:lang w:eastAsia="zh-CN"/>
        </w:rPr>
        <w:t xml:space="preserve">  </w:t>
      </w:r>
      <w:r>
        <w:rPr>
          <w:color w:val="auto"/>
          <w:sz w:val="24"/>
          <w:szCs w:val="24"/>
          <w:highlight w:val="none"/>
        </w:rPr>
        <w:t xml:space="preserve"> 月    日</w:t>
      </w:r>
    </w:p>
    <w:p>
      <w:pPr>
        <w:snapToGrid w:val="0"/>
        <w:spacing w:before="156" w:beforeLines="50" w:after="50"/>
        <w:rPr>
          <w:rFonts w:ascii="宋体" w:hAnsi="宋体" w:cs="宋体"/>
          <w:b/>
          <w:bCs/>
          <w:color w:val="auto"/>
          <w:szCs w:val="21"/>
          <w:highlight w:val="none"/>
        </w:rPr>
      </w:pPr>
    </w:p>
    <w:p>
      <w:pPr>
        <w:snapToGrid w:val="0"/>
        <w:spacing w:before="156" w:beforeLines="50" w:after="50"/>
        <w:rPr>
          <w:rFonts w:ascii="宋体" w:hAnsi="宋体" w:cs="宋体"/>
          <w:b/>
          <w:bCs/>
          <w:color w:val="auto"/>
          <w:szCs w:val="21"/>
          <w:highlight w:val="none"/>
        </w:rPr>
      </w:pPr>
    </w:p>
    <w:p>
      <w:pPr>
        <w:snapToGrid w:val="0"/>
        <w:spacing w:before="156" w:beforeLines="50" w:after="50"/>
        <w:rPr>
          <w:rFonts w:ascii="宋体" w:hAnsi="宋体" w:cs="宋体"/>
          <w:b/>
          <w:bCs/>
          <w:color w:val="auto"/>
          <w:szCs w:val="21"/>
          <w:highlight w:val="none"/>
        </w:rPr>
      </w:pPr>
    </w:p>
    <w:p>
      <w:pPr>
        <w:snapToGrid w:val="0"/>
        <w:spacing w:before="156" w:beforeLines="50" w:after="50"/>
        <w:rPr>
          <w:rFonts w:ascii="宋体" w:hAnsi="宋体" w:cs="宋体"/>
          <w:b/>
          <w:bCs/>
          <w:color w:val="auto"/>
          <w:szCs w:val="21"/>
          <w:highlight w:val="none"/>
        </w:rPr>
      </w:pPr>
    </w:p>
    <w:p>
      <w:pPr>
        <w:snapToGrid w:val="0"/>
        <w:spacing w:before="156" w:beforeLines="50" w:after="50"/>
        <w:rPr>
          <w:rFonts w:ascii="宋体" w:hAnsi="宋体" w:cs="宋体"/>
          <w:b/>
          <w:bCs/>
          <w:color w:val="auto"/>
          <w:szCs w:val="21"/>
          <w:highlight w:val="none"/>
        </w:rPr>
      </w:pPr>
    </w:p>
    <w:p>
      <w:pPr>
        <w:snapToGrid w:val="0"/>
        <w:spacing w:before="156" w:beforeLines="50" w:after="50"/>
        <w:rPr>
          <w:rFonts w:ascii="宋体" w:hAnsi="宋体" w:cs="宋体"/>
          <w:b/>
          <w:bCs/>
          <w:color w:val="auto"/>
          <w:szCs w:val="21"/>
          <w:highlight w:val="none"/>
        </w:rPr>
      </w:pPr>
    </w:p>
    <w:p>
      <w:pPr>
        <w:snapToGrid w:val="0"/>
        <w:spacing w:before="156" w:beforeLines="50" w:after="50"/>
        <w:rPr>
          <w:rFonts w:ascii="宋体" w:hAnsi="宋体" w:cs="宋体"/>
          <w:b/>
          <w:bCs/>
          <w:color w:val="auto"/>
          <w:szCs w:val="21"/>
          <w:highlight w:val="none"/>
        </w:rPr>
      </w:pPr>
    </w:p>
    <w:p>
      <w:pPr>
        <w:snapToGrid w:val="0"/>
        <w:spacing w:before="156" w:beforeLines="50" w:after="50"/>
        <w:rPr>
          <w:rFonts w:ascii="宋体" w:hAnsi="宋体" w:cs="宋体"/>
          <w:b/>
          <w:bCs/>
          <w:color w:val="auto"/>
          <w:szCs w:val="21"/>
          <w:highlight w:val="none"/>
        </w:rPr>
      </w:pPr>
    </w:p>
    <w:p>
      <w:pPr>
        <w:snapToGrid w:val="0"/>
        <w:spacing w:before="156" w:beforeLines="50" w:after="50"/>
        <w:rPr>
          <w:rFonts w:ascii="宋体" w:hAnsi="宋体" w:cs="宋体"/>
          <w:b/>
          <w:bCs/>
          <w:color w:val="auto"/>
          <w:szCs w:val="21"/>
          <w:highlight w:val="none"/>
        </w:rPr>
      </w:pPr>
    </w:p>
    <w:p>
      <w:pPr>
        <w:snapToGrid w:val="0"/>
        <w:spacing w:before="156" w:beforeLines="50" w:after="50"/>
        <w:rPr>
          <w:rFonts w:ascii="宋体" w:hAnsi="宋体" w:cs="宋体"/>
          <w:b/>
          <w:bCs/>
          <w:color w:val="auto"/>
          <w:szCs w:val="21"/>
          <w:highlight w:val="none"/>
        </w:rPr>
      </w:pPr>
    </w:p>
    <w:p>
      <w:pPr>
        <w:snapToGrid w:val="0"/>
        <w:spacing w:before="156" w:beforeLines="50" w:after="50"/>
        <w:rPr>
          <w:rFonts w:ascii="宋体" w:hAnsi="宋体" w:cs="宋体"/>
          <w:b/>
          <w:bCs/>
          <w:color w:val="auto"/>
          <w:szCs w:val="21"/>
          <w:highlight w:val="none"/>
        </w:rPr>
      </w:pPr>
    </w:p>
    <w:p>
      <w:pPr>
        <w:snapToGrid w:val="0"/>
        <w:spacing w:before="156" w:beforeLines="50" w:after="50"/>
        <w:rPr>
          <w:rFonts w:ascii="宋体" w:hAnsi="宋体" w:cs="宋体"/>
          <w:b/>
          <w:bCs/>
          <w:color w:val="auto"/>
          <w:szCs w:val="21"/>
          <w:highlight w:val="none"/>
        </w:rPr>
      </w:pPr>
    </w:p>
    <w:p>
      <w:pPr>
        <w:snapToGrid w:val="0"/>
        <w:spacing w:before="156" w:beforeLines="50" w:after="50"/>
        <w:rPr>
          <w:rFonts w:ascii="宋体" w:hAnsi="宋体" w:cs="宋体"/>
          <w:b/>
          <w:bCs/>
          <w:color w:val="auto"/>
          <w:szCs w:val="21"/>
          <w:highlight w:val="none"/>
        </w:rPr>
      </w:pPr>
    </w:p>
    <w:p>
      <w:pPr>
        <w:snapToGrid w:val="0"/>
        <w:spacing w:before="156" w:beforeLines="50" w:after="50"/>
        <w:rPr>
          <w:rFonts w:ascii="宋体" w:hAnsi="宋体" w:cs="宋体"/>
          <w:b/>
          <w:bCs/>
          <w:color w:val="auto"/>
          <w:szCs w:val="21"/>
          <w:highlight w:val="none"/>
        </w:rPr>
      </w:pPr>
    </w:p>
    <w:p>
      <w:pPr>
        <w:snapToGrid w:val="0"/>
        <w:spacing w:before="156" w:beforeLines="50" w:after="50"/>
        <w:rPr>
          <w:rFonts w:ascii="宋体" w:hAnsi="宋体" w:cs="宋体"/>
          <w:b/>
          <w:bCs/>
          <w:color w:val="auto"/>
          <w:szCs w:val="21"/>
          <w:highlight w:val="none"/>
        </w:rPr>
      </w:pPr>
      <w:r>
        <w:rPr>
          <w:rFonts w:hint="eastAsia" w:ascii="宋体" w:hAnsi="宋体" w:cs="宋体"/>
          <w:b/>
          <w:bCs/>
          <w:color w:val="auto"/>
          <w:szCs w:val="21"/>
          <w:highlight w:val="none"/>
        </w:rPr>
        <w:t>3、报价文件格式：</w:t>
      </w:r>
    </w:p>
    <w:p>
      <w:pPr>
        <w:spacing w:line="240" w:lineRule="atLeast"/>
        <w:jc w:val="center"/>
        <w:rPr>
          <w:rFonts w:ascii="宋体" w:hAnsi="宋体" w:cs="宋体"/>
          <w:b/>
          <w:color w:val="auto"/>
          <w:sz w:val="32"/>
          <w:szCs w:val="32"/>
          <w:highlight w:val="none"/>
        </w:rPr>
      </w:pPr>
    </w:p>
    <w:p>
      <w:pPr>
        <w:spacing w:line="240" w:lineRule="atLeast"/>
        <w:jc w:val="center"/>
        <w:rPr>
          <w:rFonts w:ascii="宋体" w:hAnsi="宋体" w:cs="宋体"/>
          <w:b/>
          <w:color w:val="auto"/>
          <w:sz w:val="32"/>
          <w:szCs w:val="32"/>
          <w:highlight w:val="none"/>
        </w:rPr>
      </w:pPr>
    </w:p>
    <w:p>
      <w:pPr>
        <w:spacing w:line="320" w:lineRule="exact"/>
        <w:rPr>
          <w:rFonts w:ascii="宋体" w:hAnsi="宋体" w:cs="宋体"/>
          <w:b/>
          <w:color w:val="auto"/>
          <w:szCs w:val="21"/>
          <w:highlight w:val="none"/>
        </w:rPr>
      </w:pPr>
    </w:p>
    <w:p>
      <w:pPr>
        <w:spacing w:line="320" w:lineRule="exact"/>
        <w:rPr>
          <w:rFonts w:ascii="宋体" w:hAnsi="宋体" w:cs="宋体"/>
          <w:b/>
          <w:color w:val="auto"/>
          <w:szCs w:val="21"/>
          <w:highlight w:val="none"/>
        </w:rPr>
      </w:pPr>
    </w:p>
    <w:p>
      <w:pPr>
        <w:tabs>
          <w:tab w:val="left" w:pos="1418"/>
        </w:tabs>
        <w:snapToGrid w:val="0"/>
        <w:spacing w:before="50" w:after="50" w:line="320" w:lineRule="exact"/>
        <w:jc w:val="center"/>
        <w:rPr>
          <w:rFonts w:ascii="宋体" w:hAnsi="宋体"/>
          <w:bCs/>
          <w:color w:val="auto"/>
          <w:sz w:val="32"/>
          <w:szCs w:val="32"/>
          <w:highlight w:val="none"/>
        </w:rPr>
      </w:pPr>
      <w:r>
        <w:rPr>
          <w:rFonts w:hint="eastAsia" w:ascii="宋体" w:hAnsi="宋体"/>
          <w:bCs/>
          <w:color w:val="auto"/>
          <w:sz w:val="32"/>
          <w:szCs w:val="32"/>
          <w:highlight w:val="none"/>
        </w:rPr>
        <w:t>目   录</w:t>
      </w:r>
    </w:p>
    <w:p>
      <w:pPr>
        <w:tabs>
          <w:tab w:val="left" w:pos="2625"/>
        </w:tabs>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(供应商需根据响应文件自行编制目录及页码)</w:t>
      </w:r>
    </w:p>
    <w:p>
      <w:pPr>
        <w:spacing w:line="320" w:lineRule="exact"/>
        <w:rPr>
          <w:rFonts w:ascii="宋体" w:hAnsi="宋体"/>
          <w:bCs/>
          <w:color w:val="auto"/>
          <w:szCs w:val="21"/>
          <w:highlight w:val="none"/>
        </w:rPr>
      </w:pPr>
    </w:p>
    <w:p>
      <w:pPr>
        <w:spacing w:line="320" w:lineRule="exact"/>
        <w:rPr>
          <w:rFonts w:ascii="宋体" w:hAnsi="宋体"/>
          <w:bCs/>
          <w:color w:val="auto"/>
          <w:szCs w:val="21"/>
          <w:highlight w:val="none"/>
        </w:rPr>
      </w:pPr>
    </w:p>
    <w:p>
      <w:pPr>
        <w:spacing w:line="320" w:lineRule="exact"/>
        <w:rPr>
          <w:rFonts w:ascii="宋体" w:hAnsi="宋体"/>
          <w:bCs/>
          <w:color w:val="auto"/>
          <w:szCs w:val="21"/>
          <w:highlight w:val="none"/>
        </w:rPr>
      </w:pPr>
    </w:p>
    <w:p>
      <w:pPr>
        <w:spacing w:line="320" w:lineRule="exact"/>
        <w:rPr>
          <w:rFonts w:ascii="宋体" w:hAnsi="宋体"/>
          <w:bCs/>
          <w:color w:val="auto"/>
          <w:szCs w:val="21"/>
          <w:highlight w:val="none"/>
        </w:rPr>
      </w:pPr>
    </w:p>
    <w:p>
      <w:pPr>
        <w:spacing w:line="320" w:lineRule="exact"/>
        <w:rPr>
          <w:rFonts w:ascii="宋体" w:hAnsi="宋体"/>
          <w:bCs/>
          <w:color w:val="auto"/>
          <w:szCs w:val="21"/>
          <w:highlight w:val="none"/>
        </w:rPr>
      </w:pPr>
    </w:p>
    <w:p>
      <w:pPr>
        <w:spacing w:line="320" w:lineRule="exact"/>
        <w:rPr>
          <w:rFonts w:ascii="宋体" w:hAnsi="宋体"/>
          <w:bCs/>
          <w:color w:val="auto"/>
          <w:szCs w:val="21"/>
          <w:highlight w:val="none"/>
        </w:rPr>
      </w:pPr>
    </w:p>
    <w:p>
      <w:pPr>
        <w:spacing w:line="320" w:lineRule="exact"/>
        <w:rPr>
          <w:rFonts w:ascii="宋体" w:hAnsi="宋体"/>
          <w:bCs/>
          <w:color w:val="auto"/>
          <w:szCs w:val="21"/>
          <w:highlight w:val="none"/>
        </w:rPr>
      </w:pPr>
    </w:p>
    <w:p>
      <w:pPr>
        <w:spacing w:line="320" w:lineRule="exact"/>
        <w:rPr>
          <w:rFonts w:ascii="宋体" w:hAnsi="宋体"/>
          <w:bCs/>
          <w:color w:val="auto"/>
          <w:szCs w:val="21"/>
          <w:highlight w:val="none"/>
        </w:rPr>
      </w:pPr>
    </w:p>
    <w:p>
      <w:pPr>
        <w:spacing w:line="320" w:lineRule="exact"/>
        <w:rPr>
          <w:rFonts w:ascii="宋体" w:hAnsi="宋体"/>
          <w:bCs/>
          <w:color w:val="auto"/>
          <w:szCs w:val="21"/>
          <w:highlight w:val="none"/>
        </w:rPr>
      </w:pPr>
    </w:p>
    <w:p>
      <w:pPr>
        <w:spacing w:line="320" w:lineRule="exact"/>
        <w:rPr>
          <w:rFonts w:ascii="宋体" w:hAnsi="宋体"/>
          <w:bCs/>
          <w:color w:val="auto"/>
          <w:szCs w:val="21"/>
          <w:highlight w:val="none"/>
        </w:rPr>
      </w:pPr>
    </w:p>
    <w:p>
      <w:pPr>
        <w:spacing w:line="320" w:lineRule="exact"/>
        <w:rPr>
          <w:rFonts w:ascii="宋体" w:hAnsi="宋体"/>
          <w:bCs/>
          <w:color w:val="auto"/>
          <w:szCs w:val="21"/>
          <w:highlight w:val="none"/>
        </w:rPr>
      </w:pPr>
    </w:p>
    <w:p>
      <w:pPr>
        <w:spacing w:line="320" w:lineRule="exact"/>
        <w:rPr>
          <w:rFonts w:ascii="宋体" w:hAnsi="宋体"/>
          <w:bCs/>
          <w:color w:val="auto"/>
          <w:szCs w:val="21"/>
          <w:highlight w:val="none"/>
        </w:rPr>
      </w:pPr>
    </w:p>
    <w:p>
      <w:pPr>
        <w:spacing w:line="320" w:lineRule="exact"/>
        <w:rPr>
          <w:rFonts w:ascii="宋体" w:hAnsi="宋体"/>
          <w:bCs/>
          <w:color w:val="auto"/>
          <w:szCs w:val="21"/>
          <w:highlight w:val="none"/>
        </w:rPr>
      </w:pPr>
    </w:p>
    <w:p>
      <w:pPr>
        <w:spacing w:line="320" w:lineRule="exact"/>
        <w:rPr>
          <w:rFonts w:ascii="宋体" w:hAnsi="宋体"/>
          <w:bCs/>
          <w:color w:val="auto"/>
          <w:szCs w:val="21"/>
          <w:highlight w:val="none"/>
        </w:rPr>
      </w:pPr>
    </w:p>
    <w:p>
      <w:pPr>
        <w:spacing w:line="320" w:lineRule="exact"/>
        <w:rPr>
          <w:rFonts w:ascii="宋体" w:hAnsi="宋体"/>
          <w:bCs/>
          <w:color w:val="auto"/>
          <w:szCs w:val="21"/>
          <w:highlight w:val="none"/>
        </w:rPr>
      </w:pPr>
    </w:p>
    <w:p>
      <w:pPr>
        <w:spacing w:line="320" w:lineRule="exact"/>
        <w:rPr>
          <w:rFonts w:ascii="宋体" w:hAnsi="宋体"/>
          <w:bCs/>
          <w:color w:val="auto"/>
          <w:szCs w:val="21"/>
          <w:highlight w:val="none"/>
        </w:rPr>
      </w:pPr>
    </w:p>
    <w:p>
      <w:pPr>
        <w:spacing w:line="320" w:lineRule="exact"/>
        <w:rPr>
          <w:rFonts w:ascii="宋体" w:hAnsi="宋体"/>
          <w:bCs/>
          <w:color w:val="auto"/>
          <w:szCs w:val="21"/>
          <w:highlight w:val="none"/>
        </w:rPr>
      </w:pPr>
    </w:p>
    <w:p>
      <w:pPr>
        <w:pStyle w:val="27"/>
        <w:rPr>
          <w:rFonts w:ascii="宋体" w:hAnsi="宋体"/>
          <w:bCs/>
          <w:color w:val="auto"/>
          <w:szCs w:val="21"/>
          <w:highlight w:val="none"/>
        </w:rPr>
      </w:pPr>
    </w:p>
    <w:p>
      <w:pPr>
        <w:rPr>
          <w:rFonts w:ascii="宋体" w:hAnsi="宋体"/>
          <w:bCs/>
          <w:color w:val="auto"/>
          <w:szCs w:val="21"/>
          <w:highlight w:val="none"/>
        </w:rPr>
      </w:pPr>
    </w:p>
    <w:p>
      <w:pPr>
        <w:pStyle w:val="27"/>
        <w:rPr>
          <w:rFonts w:ascii="宋体" w:hAnsi="宋体"/>
          <w:bCs/>
          <w:color w:val="auto"/>
          <w:szCs w:val="21"/>
          <w:highlight w:val="none"/>
        </w:rPr>
      </w:pPr>
    </w:p>
    <w:p>
      <w:pPr>
        <w:rPr>
          <w:rFonts w:ascii="宋体" w:hAnsi="宋体"/>
          <w:bCs/>
          <w:color w:val="auto"/>
          <w:szCs w:val="21"/>
          <w:highlight w:val="none"/>
        </w:rPr>
      </w:pPr>
    </w:p>
    <w:p>
      <w:pPr>
        <w:pStyle w:val="27"/>
        <w:rPr>
          <w:rFonts w:ascii="宋体" w:hAnsi="宋体"/>
          <w:bCs/>
          <w:color w:val="auto"/>
          <w:szCs w:val="21"/>
          <w:highlight w:val="none"/>
        </w:rPr>
      </w:pPr>
    </w:p>
    <w:p>
      <w:pPr>
        <w:rPr>
          <w:rFonts w:ascii="宋体" w:hAnsi="宋体"/>
          <w:bCs/>
          <w:color w:val="auto"/>
          <w:szCs w:val="21"/>
          <w:highlight w:val="none"/>
        </w:rPr>
      </w:pPr>
    </w:p>
    <w:p>
      <w:pPr>
        <w:pStyle w:val="27"/>
        <w:rPr>
          <w:rFonts w:ascii="宋体" w:hAnsi="宋体"/>
          <w:bCs/>
          <w:color w:val="auto"/>
          <w:szCs w:val="21"/>
          <w:highlight w:val="none"/>
        </w:rPr>
      </w:pPr>
    </w:p>
    <w:p>
      <w:pPr>
        <w:rPr>
          <w:rFonts w:ascii="宋体" w:hAnsi="宋体"/>
          <w:bCs/>
          <w:color w:val="auto"/>
          <w:szCs w:val="21"/>
          <w:highlight w:val="none"/>
        </w:rPr>
      </w:pPr>
    </w:p>
    <w:p>
      <w:pPr>
        <w:pStyle w:val="27"/>
        <w:rPr>
          <w:rFonts w:ascii="宋体" w:hAnsi="宋体"/>
          <w:bCs/>
          <w:color w:val="auto"/>
          <w:szCs w:val="21"/>
          <w:highlight w:val="none"/>
        </w:rPr>
      </w:pPr>
    </w:p>
    <w:p>
      <w:pPr>
        <w:rPr>
          <w:rFonts w:ascii="宋体" w:hAnsi="宋体"/>
          <w:bCs/>
          <w:color w:val="auto"/>
          <w:szCs w:val="21"/>
          <w:highlight w:val="none"/>
        </w:rPr>
      </w:pPr>
    </w:p>
    <w:p>
      <w:pPr>
        <w:pStyle w:val="27"/>
        <w:rPr>
          <w:color w:val="auto"/>
          <w:highlight w:val="none"/>
        </w:rPr>
      </w:pPr>
    </w:p>
    <w:p>
      <w:pPr>
        <w:spacing w:line="320" w:lineRule="exact"/>
        <w:rPr>
          <w:rFonts w:ascii="宋体" w:hAnsi="宋体"/>
          <w:bCs/>
          <w:color w:val="auto"/>
          <w:szCs w:val="21"/>
          <w:highlight w:val="none"/>
        </w:rPr>
      </w:pPr>
    </w:p>
    <w:p>
      <w:pPr>
        <w:spacing w:line="320" w:lineRule="exact"/>
        <w:rPr>
          <w:rFonts w:ascii="宋体" w:hAnsi="宋体"/>
          <w:bCs/>
          <w:color w:val="auto"/>
          <w:szCs w:val="21"/>
          <w:highlight w:val="none"/>
        </w:rPr>
      </w:pPr>
    </w:p>
    <w:p>
      <w:pPr>
        <w:spacing w:line="320" w:lineRule="exact"/>
        <w:rPr>
          <w:rFonts w:ascii="宋体" w:hAnsi="宋体"/>
          <w:bCs/>
          <w:color w:val="auto"/>
          <w:szCs w:val="21"/>
          <w:highlight w:val="none"/>
        </w:rPr>
      </w:pPr>
    </w:p>
    <w:p>
      <w:pPr>
        <w:spacing w:line="320" w:lineRule="exact"/>
        <w:rPr>
          <w:rFonts w:ascii="宋体" w:hAnsi="宋体"/>
          <w:bCs/>
          <w:color w:val="auto"/>
          <w:szCs w:val="21"/>
          <w:highlight w:val="none"/>
        </w:rPr>
      </w:pPr>
    </w:p>
    <w:p>
      <w:pPr>
        <w:spacing w:line="320" w:lineRule="exact"/>
        <w:rPr>
          <w:rFonts w:ascii="宋体" w:hAnsi="宋体" w:cs="宋体"/>
          <w:b/>
          <w:color w:val="auto"/>
          <w:szCs w:val="21"/>
          <w:highlight w:val="none"/>
        </w:rPr>
      </w:pPr>
      <w:r>
        <w:rPr>
          <w:rFonts w:hint="eastAsia" w:ascii="宋体" w:hAnsi="宋体" w:cs="宋体"/>
          <w:b/>
          <w:color w:val="auto"/>
          <w:szCs w:val="21"/>
          <w:highlight w:val="none"/>
        </w:rPr>
        <w:t>一、竞标函格式</w:t>
      </w:r>
    </w:p>
    <w:p>
      <w:pPr>
        <w:snapToGrid w:val="0"/>
        <w:spacing w:before="156" w:beforeLines="50" w:after="50" w:line="360" w:lineRule="exact"/>
        <w:jc w:val="center"/>
        <w:rPr>
          <w:rFonts w:ascii="宋体" w:hAnsi="宋体"/>
          <w:b/>
          <w:color w:val="auto"/>
          <w:sz w:val="32"/>
          <w:szCs w:val="32"/>
          <w:highlight w:val="none"/>
        </w:rPr>
      </w:pPr>
      <w:r>
        <w:rPr>
          <w:rFonts w:hint="eastAsia" w:ascii="宋体" w:hAnsi="宋体"/>
          <w:b/>
          <w:color w:val="auto"/>
          <w:sz w:val="32"/>
          <w:szCs w:val="32"/>
          <w:highlight w:val="none"/>
        </w:rPr>
        <w:t>竞 标 函</w:t>
      </w:r>
    </w:p>
    <w:p>
      <w:pPr>
        <w:snapToGrid w:val="0"/>
        <w:spacing w:line="36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（采购人名称）：</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 xml:space="preserve">                             </w:t>
      </w:r>
      <w:r>
        <w:rPr>
          <w:rFonts w:hint="eastAsia" w:ascii="宋体" w:hAnsi="宋体"/>
          <w:color w:val="auto"/>
          <w:szCs w:val="21"/>
          <w:highlight w:val="none"/>
        </w:rPr>
        <w:t>项目的招标公告（项目编号：     ），签字代表</w:t>
      </w:r>
      <w:r>
        <w:rPr>
          <w:rFonts w:hint="eastAsia" w:ascii="宋体" w:hAnsi="宋体"/>
          <w:color w:val="auto"/>
          <w:szCs w:val="21"/>
          <w:highlight w:val="none"/>
          <w:u w:val="single"/>
        </w:rPr>
        <w:t xml:space="preserve">     （全名）</w:t>
      </w:r>
      <w:r>
        <w:rPr>
          <w:rFonts w:hint="eastAsia" w:ascii="宋体" w:hAnsi="宋体"/>
          <w:color w:val="auto"/>
          <w:szCs w:val="21"/>
          <w:highlight w:val="none"/>
        </w:rPr>
        <w:t>经正式授权并代表供应商</w:t>
      </w:r>
      <w:r>
        <w:rPr>
          <w:rFonts w:hint="eastAsia" w:ascii="宋体" w:hAnsi="宋体"/>
          <w:color w:val="auto"/>
          <w:szCs w:val="21"/>
          <w:highlight w:val="none"/>
          <w:u w:val="single"/>
        </w:rPr>
        <w:t xml:space="preserve">                    （供应商名称）</w:t>
      </w:r>
      <w:r>
        <w:rPr>
          <w:rFonts w:hint="eastAsia" w:ascii="宋体" w:hAnsi="宋体"/>
          <w:color w:val="auto"/>
          <w:szCs w:val="21"/>
          <w:highlight w:val="none"/>
        </w:rPr>
        <w:t>现正式递交下述文件参加贵方组织的本次政府采购活动：</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一、报价文件电子版一份；</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二、资格文件电子版一份；</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三、商务和技术文件电子版一份；</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据此函，签字代表宣布同意如下：</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1.我方已详细审查全部“竞争性谈判文件”，包括修改文件（如有的话）以及全部参考资料和有关附件，已经了解我方对于谈判文件、采购过程、采购结果有依法进行询问、质疑、投诉的权利及相关渠道和要求。</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2.我方在投标之前已经与贵方进行了充分的沟通，完全理解并接受竞争性谈判文件的各项规定和要求，对竞争性谈判文件的合理性、合法性不再有异议。</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3.本投标有效期自开标日起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个</w:t>
      </w:r>
      <w:r>
        <w:rPr>
          <w:rFonts w:hint="eastAsia" w:ascii="宋体" w:hAnsi="宋体"/>
          <w:color w:val="auto"/>
          <w:szCs w:val="21"/>
          <w:highlight w:val="none"/>
          <w:u w:val="single"/>
        </w:rPr>
        <w:t xml:space="preserve">    </w:t>
      </w:r>
      <w:r>
        <w:rPr>
          <w:rFonts w:hint="eastAsia" w:ascii="宋体" w:hAnsi="宋体"/>
          <w:color w:val="auto"/>
          <w:szCs w:val="21"/>
          <w:highlight w:val="none"/>
        </w:rPr>
        <w:t>日（自然日）。</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4.如中标，本响应文件至本项目合同履行完毕止均保持有效，我方将按“竞争性谈判文件”及政府采购法律、法规的规定履行合同责任和义务。</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5.我方同意按照贵方要求提供与投标有关的一切数据或资料。</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6.与本投标有关的一切正式往来信函请寄：</w:t>
      </w:r>
    </w:p>
    <w:p>
      <w:pPr>
        <w:snapToGrid w:val="0"/>
        <w:spacing w:line="360" w:lineRule="exact"/>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pPr>
        <w:snapToGrid w:val="0"/>
        <w:spacing w:line="360" w:lineRule="exact"/>
        <w:rPr>
          <w:rFonts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rPr>
        <w:t>供应商代表姓名</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360" w:lineRule="exact"/>
        <w:rPr>
          <w:rFonts w:ascii="宋体" w:hAnsi="宋体"/>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p>
    <w:p>
      <w:pPr>
        <w:snapToGrid w:val="0"/>
        <w:spacing w:line="360" w:lineRule="exact"/>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银行帐号：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360" w:lineRule="exact"/>
        <w:rPr>
          <w:rFonts w:ascii="宋体" w:hAnsi="宋体"/>
          <w:color w:val="auto"/>
          <w:szCs w:val="21"/>
          <w:highlight w:val="none"/>
        </w:rPr>
      </w:pPr>
    </w:p>
    <w:p>
      <w:pPr>
        <w:snapToGrid w:val="0"/>
        <w:spacing w:line="360" w:lineRule="exact"/>
        <w:rPr>
          <w:rFonts w:ascii="宋体" w:hAnsi="宋体"/>
          <w:color w:val="auto"/>
          <w:szCs w:val="21"/>
          <w:highlight w:val="none"/>
        </w:rPr>
      </w:pPr>
    </w:p>
    <w:p>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pPr>
        <w:pStyle w:val="19"/>
        <w:spacing w:line="480" w:lineRule="auto"/>
        <w:ind w:right="200" w:firstLine="480"/>
        <w:jc w:val="right"/>
        <w:rPr>
          <w:rFonts w:hAnsi="宋体"/>
          <w:b/>
          <w:color w:val="auto"/>
          <w:sz w:val="24"/>
          <w:szCs w:val="24"/>
          <w:highlight w:val="none"/>
        </w:rPr>
      </w:pPr>
      <w:r>
        <w:rPr>
          <w:color w:val="auto"/>
          <w:sz w:val="24"/>
          <w:szCs w:val="24"/>
          <w:highlight w:val="none"/>
          <w:lang w:val="en-US"/>
        </w:rPr>
        <w:t xml:space="preserve">         </w:t>
      </w:r>
      <w:r>
        <w:rPr>
          <w:color w:val="auto"/>
          <w:sz w:val="24"/>
          <w:szCs w:val="24"/>
          <w:highlight w:val="none"/>
        </w:rPr>
        <w:t>年</w:t>
      </w:r>
      <w:r>
        <w:rPr>
          <w:rFonts w:hint="eastAsia"/>
          <w:color w:val="auto"/>
          <w:sz w:val="24"/>
          <w:szCs w:val="24"/>
          <w:highlight w:val="none"/>
          <w:lang w:eastAsia="zh-CN"/>
        </w:rPr>
        <w:t xml:space="preserve"> </w:t>
      </w:r>
      <w:r>
        <w:rPr>
          <w:color w:val="auto"/>
          <w:sz w:val="24"/>
          <w:szCs w:val="24"/>
          <w:highlight w:val="none"/>
          <w:lang w:eastAsia="zh-CN"/>
        </w:rPr>
        <w:t xml:space="preserve">  </w:t>
      </w:r>
      <w:r>
        <w:rPr>
          <w:color w:val="auto"/>
          <w:sz w:val="24"/>
          <w:szCs w:val="24"/>
          <w:highlight w:val="none"/>
        </w:rPr>
        <w:t xml:space="preserve"> 月    日</w:t>
      </w:r>
    </w:p>
    <w:p>
      <w:pPr>
        <w:pStyle w:val="19"/>
        <w:spacing w:line="360" w:lineRule="exact"/>
        <w:rPr>
          <w:rFonts w:hAnsi="宋体"/>
          <w:color w:val="auto"/>
          <w:sz w:val="44"/>
          <w:szCs w:val="21"/>
          <w:highlight w:val="none"/>
        </w:rPr>
      </w:pPr>
    </w:p>
    <w:p>
      <w:pPr>
        <w:pStyle w:val="19"/>
        <w:spacing w:line="360" w:lineRule="exact"/>
        <w:rPr>
          <w:rFonts w:hAnsi="宋体"/>
          <w:color w:val="auto"/>
          <w:sz w:val="44"/>
          <w:highlight w:val="none"/>
        </w:rPr>
      </w:pPr>
    </w:p>
    <w:p>
      <w:pPr>
        <w:pStyle w:val="19"/>
        <w:spacing w:line="360" w:lineRule="exact"/>
        <w:rPr>
          <w:rFonts w:hAnsi="宋体"/>
          <w:color w:val="auto"/>
          <w:sz w:val="44"/>
          <w:highlight w:val="none"/>
        </w:rPr>
      </w:pPr>
    </w:p>
    <w:p>
      <w:pPr>
        <w:pStyle w:val="19"/>
        <w:spacing w:line="360" w:lineRule="exact"/>
        <w:rPr>
          <w:rFonts w:hAnsi="宋体"/>
          <w:color w:val="auto"/>
          <w:sz w:val="44"/>
          <w:highlight w:val="none"/>
        </w:rPr>
      </w:pPr>
    </w:p>
    <w:p>
      <w:pPr>
        <w:pStyle w:val="19"/>
        <w:spacing w:line="360" w:lineRule="exact"/>
        <w:rPr>
          <w:rFonts w:hAnsi="宋体"/>
          <w:color w:val="auto"/>
          <w:sz w:val="44"/>
          <w:highlight w:val="none"/>
        </w:rPr>
      </w:pPr>
    </w:p>
    <w:p>
      <w:pPr>
        <w:pStyle w:val="19"/>
        <w:spacing w:line="360" w:lineRule="exact"/>
        <w:rPr>
          <w:rFonts w:hAnsi="宋体"/>
          <w:color w:val="auto"/>
          <w:sz w:val="44"/>
          <w:highlight w:val="none"/>
        </w:rPr>
      </w:pPr>
    </w:p>
    <w:p>
      <w:pPr>
        <w:pStyle w:val="19"/>
        <w:spacing w:line="360" w:lineRule="exact"/>
        <w:rPr>
          <w:rFonts w:hAnsi="宋体"/>
          <w:color w:val="auto"/>
          <w:sz w:val="44"/>
          <w:highlight w:val="none"/>
        </w:rPr>
      </w:pPr>
    </w:p>
    <w:p>
      <w:pPr>
        <w:pStyle w:val="19"/>
        <w:spacing w:line="360" w:lineRule="exact"/>
        <w:rPr>
          <w:rFonts w:hAnsi="宋体"/>
          <w:color w:val="auto"/>
          <w:sz w:val="44"/>
          <w:highlight w:val="none"/>
        </w:rPr>
      </w:pPr>
    </w:p>
    <w:p>
      <w:pPr>
        <w:pStyle w:val="19"/>
        <w:spacing w:line="360" w:lineRule="exact"/>
        <w:rPr>
          <w:rFonts w:hAnsi="宋体"/>
          <w:color w:val="auto"/>
          <w:sz w:val="44"/>
          <w:highlight w:val="none"/>
        </w:rPr>
      </w:pPr>
    </w:p>
    <w:p>
      <w:pPr>
        <w:spacing w:line="320" w:lineRule="exact"/>
        <w:rPr>
          <w:rFonts w:ascii="宋体" w:hAnsi="宋体" w:cs="宋体"/>
          <w:b/>
          <w:color w:val="auto"/>
          <w:szCs w:val="21"/>
          <w:highlight w:val="none"/>
        </w:rPr>
      </w:pPr>
    </w:p>
    <w:p>
      <w:pPr>
        <w:spacing w:line="320" w:lineRule="exact"/>
        <w:rPr>
          <w:rFonts w:ascii="宋体" w:hAnsi="宋体" w:cs="宋体"/>
          <w:b/>
          <w:color w:val="auto"/>
          <w:szCs w:val="21"/>
          <w:highlight w:val="none"/>
        </w:rPr>
      </w:pPr>
      <w:r>
        <w:rPr>
          <w:rFonts w:hint="eastAsia" w:ascii="宋体" w:hAnsi="宋体" w:cs="宋体"/>
          <w:b/>
          <w:color w:val="auto"/>
          <w:szCs w:val="21"/>
          <w:highlight w:val="none"/>
        </w:rPr>
        <w:t>二、报价表和最后报价明细表格式</w:t>
      </w:r>
    </w:p>
    <w:p>
      <w:pPr>
        <w:spacing w:line="30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报  价  表</w:t>
      </w:r>
    </w:p>
    <w:p>
      <w:pPr>
        <w:spacing w:line="30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p>
    <w:p>
      <w:pPr>
        <w:snapToGrid w:val="0"/>
        <w:spacing w:before="50" w:after="50"/>
        <w:rPr>
          <w:rFonts w:ascii="宋体" w:hAnsi="宋体" w:cs="宋体"/>
          <w:color w:val="auto"/>
          <w:highlight w:val="none"/>
          <w:u w:val="single"/>
        </w:rPr>
      </w:pPr>
      <w:r>
        <w:rPr>
          <w:rFonts w:hint="eastAsia" w:ascii="宋体" w:hAnsi="宋体" w:cs="宋体"/>
          <w:color w:val="auto"/>
          <w:szCs w:val="21"/>
          <w:highlight w:val="none"/>
        </w:rPr>
        <w:t>项目编号:</w:t>
      </w:r>
      <w:r>
        <w:rPr>
          <w:rFonts w:hint="eastAsia" w:ascii="宋体" w:hAnsi="宋体" w:cs="宋体"/>
          <w:color w:val="auto"/>
          <w:highlight w:val="none"/>
          <w:u w:val="single"/>
        </w:rPr>
        <w:t xml:space="preserve">                                   </w:t>
      </w:r>
    </w:p>
    <w:tbl>
      <w:tblPr>
        <w:tblStyle w:val="36"/>
        <w:tblW w:w="9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912" w:type="dxa"/>
          </w:tcPr>
          <w:p>
            <w:pPr>
              <w:pStyle w:val="87"/>
              <w:spacing w:before="110"/>
              <w:ind w:left="217" w:right="224"/>
              <w:jc w:val="center"/>
              <w:rPr>
                <w:b/>
                <w:color w:val="auto"/>
                <w:sz w:val="21"/>
                <w:highlight w:val="none"/>
              </w:rPr>
            </w:pPr>
            <w:r>
              <w:rPr>
                <w:rFonts w:hint="eastAsia"/>
                <w:b/>
                <w:color w:val="auto"/>
                <w:sz w:val="21"/>
                <w:highlight w:val="none"/>
              </w:rPr>
              <w:t>项号</w:t>
            </w:r>
          </w:p>
        </w:tc>
        <w:tc>
          <w:tcPr>
            <w:tcW w:w="1603" w:type="dxa"/>
          </w:tcPr>
          <w:p>
            <w:pPr>
              <w:pStyle w:val="87"/>
              <w:spacing w:before="110"/>
              <w:ind w:left="369" w:right="0"/>
              <w:rPr>
                <w:b/>
                <w:color w:val="auto"/>
                <w:sz w:val="21"/>
                <w:highlight w:val="none"/>
              </w:rPr>
            </w:pPr>
            <w:r>
              <w:rPr>
                <w:rFonts w:hint="eastAsia"/>
                <w:b/>
                <w:color w:val="auto"/>
                <w:sz w:val="21"/>
                <w:highlight w:val="none"/>
              </w:rPr>
              <w:t>货物名称</w:t>
            </w:r>
          </w:p>
        </w:tc>
        <w:tc>
          <w:tcPr>
            <w:tcW w:w="1639" w:type="dxa"/>
          </w:tcPr>
          <w:p>
            <w:pPr>
              <w:pStyle w:val="87"/>
              <w:spacing w:before="1" w:line="322" w:lineRule="exact"/>
              <w:ind w:right="0"/>
              <w:jc w:val="center"/>
              <w:rPr>
                <w:b/>
                <w:color w:val="auto"/>
                <w:sz w:val="21"/>
                <w:highlight w:val="none"/>
                <w:lang w:eastAsia="zh-CN"/>
              </w:rPr>
            </w:pPr>
            <w:r>
              <w:rPr>
                <w:rFonts w:hint="eastAsia"/>
                <w:b/>
                <w:color w:val="auto"/>
                <w:sz w:val="21"/>
                <w:highlight w:val="none"/>
                <w:lang w:eastAsia="zh-CN"/>
              </w:rPr>
              <w:t>厂家、品牌、规格型号</w:t>
            </w:r>
          </w:p>
        </w:tc>
        <w:tc>
          <w:tcPr>
            <w:tcW w:w="1229" w:type="dxa"/>
          </w:tcPr>
          <w:p>
            <w:pPr>
              <w:pStyle w:val="87"/>
              <w:spacing w:before="110"/>
              <w:ind w:left="393" w:right="0"/>
              <w:rPr>
                <w:b/>
                <w:color w:val="auto"/>
                <w:sz w:val="21"/>
                <w:highlight w:val="none"/>
              </w:rPr>
            </w:pPr>
            <w:r>
              <w:rPr>
                <w:rFonts w:hint="eastAsia"/>
                <w:b/>
                <w:color w:val="auto"/>
                <w:sz w:val="21"/>
                <w:highlight w:val="none"/>
              </w:rPr>
              <w:t>产地</w:t>
            </w:r>
          </w:p>
        </w:tc>
        <w:tc>
          <w:tcPr>
            <w:tcW w:w="1051" w:type="dxa"/>
          </w:tcPr>
          <w:p>
            <w:pPr>
              <w:pStyle w:val="87"/>
              <w:spacing w:before="110"/>
              <w:ind w:left="196" w:right="0"/>
              <w:rPr>
                <w:b/>
                <w:color w:val="auto"/>
                <w:sz w:val="21"/>
                <w:highlight w:val="none"/>
              </w:rPr>
            </w:pPr>
            <w:r>
              <w:rPr>
                <w:rFonts w:hint="eastAsia"/>
                <w:b/>
                <w:color w:val="auto"/>
                <w:sz w:val="21"/>
                <w:highlight w:val="none"/>
              </w:rPr>
              <w:t>数量①</w:t>
            </w:r>
          </w:p>
        </w:tc>
        <w:tc>
          <w:tcPr>
            <w:tcW w:w="878" w:type="dxa"/>
          </w:tcPr>
          <w:p>
            <w:pPr>
              <w:pStyle w:val="87"/>
              <w:spacing w:before="110"/>
              <w:ind w:left="215" w:right="0"/>
              <w:rPr>
                <w:b/>
                <w:color w:val="auto"/>
                <w:sz w:val="21"/>
                <w:highlight w:val="none"/>
              </w:rPr>
            </w:pPr>
            <w:r>
              <w:rPr>
                <w:rFonts w:hint="eastAsia"/>
                <w:b/>
                <w:color w:val="auto"/>
                <w:sz w:val="21"/>
                <w:highlight w:val="none"/>
              </w:rPr>
              <w:t>单位</w:t>
            </w:r>
          </w:p>
        </w:tc>
        <w:tc>
          <w:tcPr>
            <w:tcW w:w="1066" w:type="dxa"/>
          </w:tcPr>
          <w:p>
            <w:pPr>
              <w:pStyle w:val="87"/>
              <w:spacing w:before="110"/>
              <w:ind w:left="206" w:right="0"/>
              <w:rPr>
                <w:b/>
                <w:color w:val="auto"/>
                <w:sz w:val="21"/>
                <w:highlight w:val="none"/>
              </w:rPr>
            </w:pPr>
            <w:r>
              <w:rPr>
                <w:rFonts w:hint="eastAsia"/>
                <w:b/>
                <w:color w:val="auto"/>
                <w:sz w:val="21"/>
                <w:highlight w:val="none"/>
              </w:rPr>
              <w:t>单价②</w:t>
            </w:r>
          </w:p>
        </w:tc>
        <w:tc>
          <w:tcPr>
            <w:tcW w:w="1404" w:type="dxa"/>
          </w:tcPr>
          <w:p>
            <w:pPr>
              <w:pStyle w:val="87"/>
              <w:spacing w:line="291" w:lineRule="exact"/>
              <w:ind w:left="311" w:right="0"/>
              <w:rPr>
                <w:b/>
                <w:color w:val="auto"/>
                <w:sz w:val="21"/>
                <w:highlight w:val="none"/>
              </w:rPr>
            </w:pPr>
            <w:r>
              <w:rPr>
                <w:rFonts w:hint="eastAsia"/>
                <w:b/>
                <w:color w:val="auto"/>
                <w:sz w:val="21"/>
                <w:highlight w:val="none"/>
              </w:rPr>
              <w:t>投标报价</w:t>
            </w:r>
          </w:p>
          <w:p>
            <w:pPr>
              <w:pStyle w:val="87"/>
              <w:spacing w:line="325" w:lineRule="exact"/>
              <w:ind w:left="259" w:right="0"/>
              <w:rPr>
                <w:b/>
                <w:color w:val="auto"/>
                <w:sz w:val="21"/>
                <w:highlight w:val="none"/>
              </w:rPr>
            </w:pPr>
            <w:r>
              <w:rPr>
                <w:rFonts w:hint="eastAsia"/>
                <w:b/>
                <w:color w:val="auto"/>
                <w:sz w:val="21"/>
                <w:highlight w:val="none"/>
              </w:rPr>
              <w:t>③=①×②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jc w:val="center"/>
        </w:trPr>
        <w:tc>
          <w:tcPr>
            <w:tcW w:w="912" w:type="dxa"/>
          </w:tcPr>
          <w:p>
            <w:pPr>
              <w:pStyle w:val="87"/>
              <w:spacing w:before="38"/>
              <w:ind w:left="0" w:right="0"/>
              <w:jc w:val="center"/>
              <w:rPr>
                <w:color w:val="auto"/>
                <w:sz w:val="21"/>
                <w:highlight w:val="none"/>
              </w:rPr>
            </w:pPr>
            <w:r>
              <w:rPr>
                <w:color w:val="auto"/>
                <w:sz w:val="21"/>
                <w:highlight w:val="none"/>
              </w:rPr>
              <w:t>1</w:t>
            </w:r>
          </w:p>
        </w:tc>
        <w:tc>
          <w:tcPr>
            <w:tcW w:w="1603" w:type="dxa"/>
          </w:tcPr>
          <w:p>
            <w:pPr>
              <w:rPr>
                <w:color w:val="auto"/>
                <w:highlight w:val="none"/>
              </w:rPr>
            </w:pPr>
          </w:p>
        </w:tc>
        <w:tc>
          <w:tcPr>
            <w:tcW w:w="1639" w:type="dxa"/>
          </w:tcPr>
          <w:p>
            <w:pPr>
              <w:rPr>
                <w:color w:val="auto"/>
                <w:highlight w:val="none"/>
              </w:rPr>
            </w:pPr>
          </w:p>
        </w:tc>
        <w:tc>
          <w:tcPr>
            <w:tcW w:w="1229" w:type="dxa"/>
          </w:tcPr>
          <w:p>
            <w:pPr>
              <w:rPr>
                <w:color w:val="auto"/>
                <w:highlight w:val="none"/>
              </w:rPr>
            </w:pPr>
          </w:p>
        </w:tc>
        <w:tc>
          <w:tcPr>
            <w:tcW w:w="1051" w:type="dxa"/>
          </w:tcPr>
          <w:p>
            <w:pPr>
              <w:rPr>
                <w:color w:val="auto"/>
                <w:highlight w:val="none"/>
              </w:rPr>
            </w:pPr>
          </w:p>
        </w:tc>
        <w:tc>
          <w:tcPr>
            <w:tcW w:w="878" w:type="dxa"/>
          </w:tcPr>
          <w:p>
            <w:pPr>
              <w:rPr>
                <w:color w:val="auto"/>
                <w:highlight w:val="none"/>
              </w:rPr>
            </w:pPr>
          </w:p>
        </w:tc>
        <w:tc>
          <w:tcPr>
            <w:tcW w:w="1066" w:type="dxa"/>
          </w:tcPr>
          <w:p>
            <w:pPr>
              <w:rPr>
                <w:color w:val="auto"/>
                <w:highlight w:val="none"/>
              </w:rPr>
            </w:pPr>
          </w:p>
        </w:tc>
        <w:tc>
          <w:tcPr>
            <w:tcW w:w="1404" w:type="dxa"/>
          </w:tcPr>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pPr>
              <w:pStyle w:val="87"/>
              <w:spacing w:before="38"/>
              <w:ind w:left="0" w:right="0"/>
              <w:jc w:val="center"/>
              <w:rPr>
                <w:color w:val="auto"/>
                <w:sz w:val="21"/>
                <w:highlight w:val="none"/>
              </w:rPr>
            </w:pPr>
            <w:r>
              <w:rPr>
                <w:color w:val="auto"/>
                <w:sz w:val="21"/>
                <w:highlight w:val="none"/>
              </w:rPr>
              <w:t>2</w:t>
            </w:r>
          </w:p>
        </w:tc>
        <w:tc>
          <w:tcPr>
            <w:tcW w:w="1603" w:type="dxa"/>
          </w:tcPr>
          <w:p>
            <w:pPr>
              <w:rPr>
                <w:color w:val="auto"/>
                <w:highlight w:val="none"/>
              </w:rPr>
            </w:pPr>
          </w:p>
        </w:tc>
        <w:tc>
          <w:tcPr>
            <w:tcW w:w="1639" w:type="dxa"/>
          </w:tcPr>
          <w:p>
            <w:pPr>
              <w:rPr>
                <w:color w:val="auto"/>
                <w:highlight w:val="none"/>
              </w:rPr>
            </w:pPr>
          </w:p>
        </w:tc>
        <w:tc>
          <w:tcPr>
            <w:tcW w:w="1229" w:type="dxa"/>
          </w:tcPr>
          <w:p>
            <w:pPr>
              <w:rPr>
                <w:color w:val="auto"/>
                <w:highlight w:val="none"/>
              </w:rPr>
            </w:pPr>
          </w:p>
        </w:tc>
        <w:tc>
          <w:tcPr>
            <w:tcW w:w="1051" w:type="dxa"/>
          </w:tcPr>
          <w:p>
            <w:pPr>
              <w:rPr>
                <w:color w:val="auto"/>
                <w:highlight w:val="none"/>
              </w:rPr>
            </w:pPr>
          </w:p>
        </w:tc>
        <w:tc>
          <w:tcPr>
            <w:tcW w:w="878" w:type="dxa"/>
          </w:tcPr>
          <w:p>
            <w:pPr>
              <w:rPr>
                <w:color w:val="auto"/>
                <w:highlight w:val="none"/>
              </w:rPr>
            </w:pPr>
          </w:p>
        </w:tc>
        <w:tc>
          <w:tcPr>
            <w:tcW w:w="1066" w:type="dxa"/>
          </w:tcPr>
          <w:p>
            <w:pPr>
              <w:rPr>
                <w:color w:val="auto"/>
                <w:highlight w:val="none"/>
              </w:rPr>
            </w:pPr>
          </w:p>
        </w:tc>
        <w:tc>
          <w:tcPr>
            <w:tcW w:w="1404" w:type="dxa"/>
          </w:tcPr>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pPr>
              <w:pStyle w:val="87"/>
              <w:spacing w:before="38"/>
              <w:ind w:left="0" w:right="0"/>
              <w:jc w:val="center"/>
              <w:rPr>
                <w:color w:val="auto"/>
                <w:sz w:val="21"/>
                <w:highlight w:val="none"/>
              </w:rPr>
            </w:pPr>
            <w:r>
              <w:rPr>
                <w:color w:val="auto"/>
                <w:sz w:val="21"/>
                <w:highlight w:val="none"/>
              </w:rPr>
              <w:t>…</w:t>
            </w:r>
          </w:p>
        </w:tc>
        <w:tc>
          <w:tcPr>
            <w:tcW w:w="1603" w:type="dxa"/>
          </w:tcPr>
          <w:p>
            <w:pPr>
              <w:rPr>
                <w:color w:val="auto"/>
                <w:highlight w:val="none"/>
              </w:rPr>
            </w:pPr>
          </w:p>
        </w:tc>
        <w:tc>
          <w:tcPr>
            <w:tcW w:w="1639" w:type="dxa"/>
          </w:tcPr>
          <w:p>
            <w:pPr>
              <w:rPr>
                <w:color w:val="auto"/>
                <w:highlight w:val="none"/>
              </w:rPr>
            </w:pPr>
          </w:p>
        </w:tc>
        <w:tc>
          <w:tcPr>
            <w:tcW w:w="1229" w:type="dxa"/>
          </w:tcPr>
          <w:p>
            <w:pPr>
              <w:rPr>
                <w:color w:val="auto"/>
                <w:highlight w:val="none"/>
              </w:rPr>
            </w:pPr>
          </w:p>
        </w:tc>
        <w:tc>
          <w:tcPr>
            <w:tcW w:w="1051" w:type="dxa"/>
          </w:tcPr>
          <w:p>
            <w:pPr>
              <w:rPr>
                <w:color w:val="auto"/>
                <w:highlight w:val="none"/>
              </w:rPr>
            </w:pPr>
          </w:p>
        </w:tc>
        <w:tc>
          <w:tcPr>
            <w:tcW w:w="878" w:type="dxa"/>
          </w:tcPr>
          <w:p>
            <w:pPr>
              <w:rPr>
                <w:color w:val="auto"/>
                <w:highlight w:val="none"/>
              </w:rPr>
            </w:pPr>
          </w:p>
        </w:tc>
        <w:tc>
          <w:tcPr>
            <w:tcW w:w="1066" w:type="dxa"/>
          </w:tcPr>
          <w:p>
            <w:pPr>
              <w:rPr>
                <w:color w:val="auto"/>
                <w:highlight w:val="none"/>
              </w:rPr>
            </w:pPr>
          </w:p>
        </w:tc>
        <w:tc>
          <w:tcPr>
            <w:tcW w:w="1404" w:type="dxa"/>
          </w:tcPr>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pPr>
              <w:pStyle w:val="87"/>
              <w:spacing w:before="38"/>
              <w:ind w:left="0" w:right="0"/>
              <w:jc w:val="center"/>
              <w:rPr>
                <w:color w:val="auto"/>
                <w:sz w:val="21"/>
                <w:highlight w:val="none"/>
              </w:rPr>
            </w:pPr>
            <w:r>
              <w:rPr>
                <w:color w:val="auto"/>
                <w:sz w:val="21"/>
                <w:highlight w:val="none"/>
              </w:rPr>
              <w:t>N</w:t>
            </w:r>
          </w:p>
        </w:tc>
        <w:tc>
          <w:tcPr>
            <w:tcW w:w="1603" w:type="dxa"/>
          </w:tcPr>
          <w:p>
            <w:pPr>
              <w:rPr>
                <w:color w:val="auto"/>
                <w:highlight w:val="none"/>
              </w:rPr>
            </w:pPr>
          </w:p>
        </w:tc>
        <w:tc>
          <w:tcPr>
            <w:tcW w:w="1639" w:type="dxa"/>
          </w:tcPr>
          <w:p>
            <w:pPr>
              <w:rPr>
                <w:color w:val="auto"/>
                <w:highlight w:val="none"/>
              </w:rPr>
            </w:pPr>
          </w:p>
        </w:tc>
        <w:tc>
          <w:tcPr>
            <w:tcW w:w="1229" w:type="dxa"/>
          </w:tcPr>
          <w:p>
            <w:pPr>
              <w:rPr>
                <w:color w:val="auto"/>
                <w:highlight w:val="none"/>
              </w:rPr>
            </w:pPr>
          </w:p>
        </w:tc>
        <w:tc>
          <w:tcPr>
            <w:tcW w:w="1051" w:type="dxa"/>
          </w:tcPr>
          <w:p>
            <w:pPr>
              <w:rPr>
                <w:color w:val="auto"/>
                <w:highlight w:val="none"/>
              </w:rPr>
            </w:pPr>
          </w:p>
        </w:tc>
        <w:tc>
          <w:tcPr>
            <w:tcW w:w="878" w:type="dxa"/>
          </w:tcPr>
          <w:p>
            <w:pPr>
              <w:rPr>
                <w:color w:val="auto"/>
                <w:highlight w:val="none"/>
              </w:rPr>
            </w:pPr>
          </w:p>
        </w:tc>
        <w:tc>
          <w:tcPr>
            <w:tcW w:w="1066" w:type="dxa"/>
          </w:tcPr>
          <w:p>
            <w:pPr>
              <w:rPr>
                <w:color w:val="auto"/>
                <w:highlight w:val="none"/>
              </w:rPr>
            </w:pPr>
          </w:p>
        </w:tc>
        <w:tc>
          <w:tcPr>
            <w:tcW w:w="1404" w:type="dxa"/>
          </w:tcPr>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jc w:val="center"/>
        </w:trPr>
        <w:tc>
          <w:tcPr>
            <w:tcW w:w="9782" w:type="dxa"/>
            <w:gridSpan w:val="8"/>
            <w:vAlign w:val="center"/>
          </w:tcPr>
          <w:p>
            <w:pPr>
              <w:pStyle w:val="87"/>
              <w:tabs>
                <w:tab w:val="left" w:pos="2931"/>
                <w:tab w:val="left" w:pos="4727"/>
                <w:tab w:val="left" w:pos="6699"/>
                <w:tab w:val="left" w:pos="8010"/>
                <w:tab w:val="left" w:pos="8140"/>
              </w:tabs>
              <w:spacing w:before="14" w:line="295" w:lineRule="auto"/>
              <w:ind w:left="105" w:right="142"/>
              <w:jc w:val="both"/>
              <w:rPr>
                <w:color w:val="auto"/>
                <w:sz w:val="21"/>
                <w:szCs w:val="21"/>
                <w:highlight w:val="none"/>
                <w:lang w:eastAsia="zh-CN"/>
              </w:rPr>
            </w:pPr>
            <w:r>
              <w:rPr>
                <w:rFonts w:hint="eastAsia"/>
                <w:color w:val="auto"/>
                <w:sz w:val="21"/>
                <w:szCs w:val="21"/>
                <w:highlight w:val="none"/>
                <w:lang w:eastAsia="zh-CN"/>
              </w:rPr>
              <w:t>投标报价（合计金额）大写：</w:t>
            </w:r>
            <w:r>
              <w:rPr>
                <w:rFonts w:ascii="Times New Roman" w:hAnsi="Times New Roman" w:eastAsia="Times New Roman"/>
                <w:color w:val="auto"/>
                <w:sz w:val="21"/>
                <w:szCs w:val="21"/>
                <w:highlight w:val="none"/>
                <w:u w:val="single"/>
                <w:lang w:eastAsia="zh-CN"/>
              </w:rPr>
              <w:t xml:space="preserve"> </w:t>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hint="eastAsia"/>
                <w:color w:val="auto"/>
                <w:sz w:val="21"/>
                <w:szCs w:val="21"/>
                <w:highlight w:val="none"/>
                <w:lang w:eastAsia="zh-CN"/>
              </w:rPr>
              <w:t>人</w:t>
            </w:r>
            <w:r>
              <w:rPr>
                <w:color w:val="auto"/>
                <w:spacing w:val="-72"/>
                <w:sz w:val="21"/>
                <w:szCs w:val="21"/>
                <w:highlight w:val="none"/>
                <w:lang w:eastAsia="zh-CN"/>
              </w:rPr>
              <w:t xml:space="preserve"> </w:t>
            </w:r>
            <w:r>
              <w:rPr>
                <w:rFonts w:hint="eastAsia"/>
                <w:color w:val="auto"/>
                <w:sz w:val="21"/>
                <w:szCs w:val="21"/>
                <w:highlight w:val="none"/>
                <w:lang w:eastAsia="zh-CN"/>
              </w:rPr>
              <w:t>民</w:t>
            </w:r>
            <w:r>
              <w:rPr>
                <w:color w:val="auto"/>
                <w:spacing w:val="-67"/>
                <w:sz w:val="21"/>
                <w:szCs w:val="21"/>
                <w:highlight w:val="none"/>
                <w:lang w:eastAsia="zh-CN"/>
              </w:rPr>
              <w:t xml:space="preserve"> </w:t>
            </w:r>
            <w:r>
              <w:rPr>
                <w:rFonts w:hint="eastAsia"/>
                <w:color w:val="auto"/>
                <w:sz w:val="21"/>
                <w:szCs w:val="21"/>
                <w:highlight w:val="none"/>
                <w:lang w:eastAsia="zh-CN"/>
              </w:rPr>
              <w:t>币</w:t>
            </w:r>
            <w:r>
              <w:rPr>
                <w:color w:val="auto"/>
                <w:spacing w:val="-67"/>
                <w:sz w:val="21"/>
                <w:szCs w:val="21"/>
                <w:highlight w:val="none"/>
                <w:lang w:eastAsia="zh-CN"/>
              </w:rPr>
              <w:t xml:space="preserve"> </w:t>
            </w:r>
            <w:r>
              <w:rPr>
                <w:rFonts w:hint="eastAsia"/>
                <w:color w:val="auto"/>
                <w:sz w:val="21"/>
                <w:szCs w:val="21"/>
                <w:highlight w:val="none"/>
                <w:lang w:eastAsia="zh-CN"/>
              </w:rPr>
              <w:t>（</w:t>
            </w:r>
            <w:r>
              <w:rPr>
                <w:color w:val="auto"/>
                <w:spacing w:val="-67"/>
                <w:sz w:val="21"/>
                <w:szCs w:val="21"/>
                <w:highlight w:val="none"/>
                <w:lang w:eastAsia="zh-CN"/>
              </w:rPr>
              <w:t xml:space="preserve"> </w:t>
            </w:r>
            <w:r>
              <w:rPr>
                <w:rFonts w:hint="eastAsia"/>
                <w:color w:val="auto"/>
                <w:sz w:val="21"/>
                <w:szCs w:val="21"/>
                <w:highlight w:val="none"/>
                <w:lang w:eastAsia="zh-CN"/>
              </w:rPr>
              <w:t>￥</w:t>
            </w:r>
            <w:r>
              <w:rPr>
                <w:rFonts w:ascii="Times New Roman" w:hAnsi="Times New Roman" w:eastAsia="Times New Roman"/>
                <w:color w:val="auto"/>
                <w:sz w:val="21"/>
                <w:szCs w:val="21"/>
                <w:highlight w:val="none"/>
                <w:u w:val="single"/>
                <w:lang w:eastAsia="zh-CN"/>
              </w:rPr>
              <w:t xml:space="preserve"> </w:t>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hint="eastAsia"/>
                <w:color w:val="auto"/>
                <w:sz w:val="21"/>
                <w:szCs w:val="21"/>
                <w:highlight w:val="none"/>
                <w:lang w:eastAsia="zh-CN"/>
              </w:rPr>
              <w:t>）</w:t>
            </w:r>
            <w:r>
              <w:rPr>
                <w:color w:val="auto"/>
                <w:sz w:val="21"/>
                <w:szCs w:val="21"/>
                <w:highlight w:val="none"/>
                <w:lang w:eastAsia="zh-CN"/>
              </w:rPr>
              <w:t xml:space="preserve"> </w:t>
            </w:r>
            <w:r>
              <w:rPr>
                <w:rFonts w:hint="eastAsia"/>
                <w:color w:val="auto"/>
                <w:sz w:val="21"/>
                <w:szCs w:val="21"/>
                <w:highlight w:val="none"/>
                <w:lang w:eastAsia="zh-CN"/>
              </w:rPr>
              <w:t>。</w:t>
            </w:r>
          </w:p>
          <w:p>
            <w:pPr>
              <w:pStyle w:val="87"/>
              <w:tabs>
                <w:tab w:val="left" w:pos="2931"/>
                <w:tab w:val="left" w:pos="4727"/>
                <w:tab w:val="left" w:pos="6699"/>
                <w:tab w:val="left" w:pos="8010"/>
                <w:tab w:val="left" w:pos="8140"/>
              </w:tabs>
              <w:spacing w:before="14" w:line="295" w:lineRule="auto"/>
              <w:ind w:left="105" w:right="142"/>
              <w:jc w:val="both"/>
              <w:rPr>
                <w:color w:val="auto"/>
                <w:sz w:val="24"/>
                <w:highlight w:val="none"/>
                <w:lang w:eastAsia="zh-CN"/>
              </w:rPr>
            </w:pPr>
            <w:r>
              <w:rPr>
                <w:color w:val="auto"/>
                <w:sz w:val="21"/>
                <w:szCs w:val="21"/>
                <w:highlight w:val="none"/>
                <w:lang w:eastAsia="zh-CN"/>
              </w:rPr>
              <w:t>属于优先采购节能产品总值为￥</w:t>
            </w:r>
            <w:r>
              <w:rPr>
                <w:color w:val="auto"/>
                <w:sz w:val="21"/>
                <w:szCs w:val="21"/>
                <w:highlight w:val="none"/>
                <w:u w:val="single"/>
                <w:lang w:eastAsia="zh-CN"/>
              </w:rPr>
              <w:t xml:space="preserve"> </w:t>
            </w:r>
            <w:r>
              <w:rPr>
                <w:rFonts w:hint="eastAsia"/>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（具体明细详见附表），占本投标报价的比例为</w:t>
            </w:r>
            <w:r>
              <w:rPr>
                <w:color w:val="auto"/>
                <w:sz w:val="21"/>
                <w:szCs w:val="21"/>
                <w:highlight w:val="none"/>
                <w:u w:val="single"/>
                <w:lang w:eastAsia="zh-CN"/>
              </w:rPr>
              <w:t xml:space="preserve"> </w:t>
            </w:r>
            <w:r>
              <w:rPr>
                <w:rFonts w:hint="eastAsia"/>
                <w:color w:val="auto"/>
                <w:sz w:val="21"/>
                <w:szCs w:val="21"/>
                <w:highlight w:val="none"/>
                <w:u w:val="single"/>
                <w:lang w:eastAsia="zh-CN"/>
              </w:rPr>
              <w:t xml:space="preserve">  </w:t>
            </w:r>
            <w:r>
              <w:rPr>
                <w:color w:val="auto"/>
                <w:sz w:val="21"/>
                <w:szCs w:val="21"/>
                <w:highlight w:val="none"/>
                <w:lang w:eastAsia="zh-CN"/>
              </w:rPr>
              <w:t xml:space="preserve">%；属于优先采购环境标志产品总值为￥ </w:t>
            </w:r>
            <w:r>
              <w:rPr>
                <w:color w:val="auto"/>
                <w:sz w:val="21"/>
                <w:szCs w:val="21"/>
                <w:highlight w:val="none"/>
                <w:u w:val="single"/>
                <w:lang w:eastAsia="zh-CN"/>
              </w:rPr>
              <w:tab/>
            </w:r>
            <w:r>
              <w:rPr>
                <w:color w:val="auto"/>
                <w:sz w:val="21"/>
                <w:szCs w:val="21"/>
                <w:highlight w:val="none"/>
                <w:lang w:eastAsia="zh-CN"/>
              </w:rPr>
              <w:t>（具体明细详见附表）， 占本投标报价的比例为</w:t>
            </w:r>
            <w:r>
              <w:rPr>
                <w:color w:val="auto"/>
                <w:sz w:val="21"/>
                <w:szCs w:val="21"/>
                <w:highlight w:val="none"/>
                <w:u w:val="single"/>
                <w:lang w:eastAsia="zh-CN"/>
              </w:rPr>
              <w:t xml:space="preserve"> </w:t>
            </w:r>
            <w:r>
              <w:rPr>
                <w:rFonts w:hint="eastAsia"/>
                <w:color w:val="auto"/>
                <w:sz w:val="21"/>
                <w:szCs w:val="21"/>
                <w:highlight w:val="none"/>
                <w:u w:val="single"/>
                <w:lang w:eastAsia="zh-CN"/>
              </w:rPr>
              <w:t xml:space="preserve"> </w:t>
            </w:r>
            <w:r>
              <w:rPr>
                <w:color w:val="auto"/>
                <w:sz w:val="21"/>
                <w:szCs w:val="21"/>
                <w:highlight w:val="none"/>
                <w:lang w:eastAsia="zh-CN"/>
              </w:rPr>
              <w:t>%</w:t>
            </w:r>
            <w:r>
              <w:rPr>
                <w:rFonts w:hint="eastAsia"/>
                <w:color w:val="auto"/>
                <w:sz w:val="21"/>
                <w:szCs w:val="21"/>
                <w:highlight w:val="none"/>
                <w:lang w:eastAsia="zh-CN"/>
              </w:rPr>
              <w:t>。</w:t>
            </w:r>
            <w:r>
              <w:rPr>
                <w:rFonts w:hint="eastAsia"/>
                <w:color w:val="auto"/>
                <w:sz w:val="24"/>
                <w:highlight w:val="none"/>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exact"/>
          <w:jc w:val="center"/>
        </w:trPr>
        <w:tc>
          <w:tcPr>
            <w:tcW w:w="9782" w:type="dxa"/>
            <w:gridSpan w:val="8"/>
            <w:vAlign w:val="center"/>
          </w:tcPr>
          <w:p>
            <w:pPr>
              <w:pStyle w:val="87"/>
              <w:tabs>
                <w:tab w:val="left" w:pos="3355"/>
                <w:tab w:val="left" w:pos="4727"/>
                <w:tab w:val="left" w:pos="7454"/>
                <w:tab w:val="left" w:pos="7905"/>
                <w:tab w:val="left" w:pos="8140"/>
              </w:tabs>
              <w:spacing w:before="14" w:line="295" w:lineRule="auto"/>
              <w:ind w:left="105" w:right="-20"/>
              <w:rPr>
                <w:color w:val="auto"/>
                <w:sz w:val="21"/>
                <w:szCs w:val="21"/>
                <w:highlight w:val="none"/>
                <w:lang w:eastAsia="zh-CN"/>
              </w:rPr>
            </w:pPr>
            <w:r>
              <w:rPr>
                <w:rFonts w:hint="eastAsia"/>
                <w:b/>
                <w:color w:val="auto"/>
                <w:sz w:val="21"/>
                <w:szCs w:val="21"/>
                <w:highlight w:val="none"/>
                <w:lang w:eastAsia="zh-CN"/>
              </w:rPr>
              <w:t>交货期：合同签订之日起</w:t>
            </w:r>
            <w:r>
              <w:rPr>
                <w:rFonts w:hint="eastAsia"/>
                <w:b/>
                <w:color w:val="auto"/>
                <w:sz w:val="21"/>
                <w:szCs w:val="21"/>
                <w:highlight w:val="none"/>
                <w:lang w:val="en-US" w:eastAsia="zh-CN"/>
              </w:rPr>
              <w:t>9</w:t>
            </w:r>
            <w:r>
              <w:rPr>
                <w:rFonts w:hint="eastAsia"/>
                <w:b/>
                <w:color w:val="auto"/>
                <w:sz w:val="21"/>
                <w:szCs w:val="21"/>
                <w:highlight w:val="none"/>
                <w:lang w:eastAsia="zh-CN"/>
              </w:rPr>
              <w:t>0日内交付使用。具体交付时间以采购人书面通知为准，供应商应确保货物按时到达指定地点。</w:t>
            </w:r>
          </w:p>
        </w:tc>
      </w:tr>
    </w:tbl>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注: 1、报价一经涂改，应在涂改处加盖供应商单位公章或者由供应商法定代表人或授权委托人签字，否则其响应文件作响应无效处理。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报价费用包含“第三章项目采购需求”中提出的所有费用，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报价中。</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3、本表</w:t>
      </w:r>
      <w:r>
        <w:rPr>
          <w:rFonts w:hint="eastAsia" w:ascii="宋体" w:hAnsi="宋体"/>
          <w:color w:val="auto"/>
          <w:szCs w:val="21"/>
          <w:highlight w:val="none"/>
          <w:lang w:eastAsia="zh-CN"/>
        </w:rPr>
        <w:t>竞标产品</w:t>
      </w:r>
      <w:r>
        <w:rPr>
          <w:rFonts w:hint="eastAsia" w:ascii="宋体" w:hAnsi="宋体"/>
          <w:color w:val="auto"/>
          <w:szCs w:val="21"/>
          <w:highlight w:val="none"/>
        </w:rPr>
        <w:t>中如有财政部现行《节能产品政府采购品目清单》目录内优先采购的产品、现行《环境标志产品政府采购品目清单》目录内优先采购的产品、小微企业生产的产品，请在本表后按类别分别附上此类产品明细表，明细表中列明：项号、货物名称、数量、单价、投标报价、累计金额并附相关证明材料。如因供应商未提供明细表或证明材料而导致</w:t>
      </w:r>
      <w:r>
        <w:rPr>
          <w:rFonts w:hint="eastAsia" w:ascii="宋体" w:hAnsi="宋体"/>
          <w:color w:val="auto"/>
          <w:szCs w:val="21"/>
          <w:highlight w:val="none"/>
          <w:lang w:eastAsia="zh-CN"/>
        </w:rPr>
        <w:t>谈判小组</w:t>
      </w:r>
      <w:r>
        <w:rPr>
          <w:rFonts w:hint="eastAsia" w:ascii="宋体" w:hAnsi="宋体"/>
          <w:color w:val="auto"/>
          <w:szCs w:val="21"/>
          <w:highlight w:val="none"/>
        </w:rPr>
        <w:t>无法评判或无法计分而给供应商造成的损失由供应商自行负责，如因供应商提供虚假材料以谋取中标的责任亦由供应商自行负责。</w:t>
      </w: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p>
    <w:p>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pPr>
        <w:pStyle w:val="19"/>
        <w:spacing w:line="480" w:lineRule="auto"/>
        <w:ind w:right="200" w:firstLine="480"/>
        <w:jc w:val="right"/>
        <w:rPr>
          <w:rFonts w:hAnsi="宋体"/>
          <w:b/>
          <w:color w:val="auto"/>
          <w:sz w:val="24"/>
          <w:szCs w:val="24"/>
          <w:highlight w:val="none"/>
        </w:rPr>
      </w:pPr>
      <w:r>
        <w:rPr>
          <w:color w:val="auto"/>
          <w:sz w:val="24"/>
          <w:szCs w:val="24"/>
          <w:highlight w:val="none"/>
          <w:lang w:val="en-US"/>
        </w:rPr>
        <w:t xml:space="preserve">         </w:t>
      </w:r>
      <w:r>
        <w:rPr>
          <w:color w:val="auto"/>
          <w:sz w:val="24"/>
          <w:szCs w:val="24"/>
          <w:highlight w:val="none"/>
        </w:rPr>
        <w:t>年</w:t>
      </w:r>
      <w:r>
        <w:rPr>
          <w:rFonts w:hint="eastAsia"/>
          <w:color w:val="auto"/>
          <w:sz w:val="24"/>
          <w:szCs w:val="24"/>
          <w:highlight w:val="none"/>
          <w:lang w:eastAsia="zh-CN"/>
        </w:rPr>
        <w:t xml:space="preserve"> </w:t>
      </w:r>
      <w:r>
        <w:rPr>
          <w:color w:val="auto"/>
          <w:sz w:val="24"/>
          <w:szCs w:val="24"/>
          <w:highlight w:val="none"/>
          <w:lang w:eastAsia="zh-CN"/>
        </w:rPr>
        <w:t xml:space="preserve">  </w:t>
      </w:r>
      <w:r>
        <w:rPr>
          <w:color w:val="auto"/>
          <w:sz w:val="24"/>
          <w:szCs w:val="24"/>
          <w:highlight w:val="none"/>
        </w:rPr>
        <w:t xml:space="preserve"> 月    日</w:t>
      </w:r>
    </w:p>
    <w:p>
      <w:pPr>
        <w:spacing w:line="360" w:lineRule="exact"/>
        <w:ind w:firstLine="420" w:firstLineChars="200"/>
        <w:rPr>
          <w:rFonts w:ascii="宋体" w:hAnsi="宋体" w:cs="宋体"/>
          <w:color w:val="auto"/>
          <w:szCs w:val="21"/>
          <w:highlight w:val="none"/>
        </w:rPr>
      </w:pPr>
    </w:p>
    <w:p>
      <w:pPr>
        <w:spacing w:line="300" w:lineRule="auto"/>
        <w:jc w:val="center"/>
        <w:rPr>
          <w:rFonts w:ascii="宋体" w:hAnsi="宋体" w:cs="宋体"/>
          <w:b/>
          <w:color w:val="auto"/>
          <w:sz w:val="32"/>
          <w:szCs w:val="32"/>
          <w:highlight w:val="none"/>
        </w:rPr>
      </w:pPr>
    </w:p>
    <w:p>
      <w:pPr>
        <w:spacing w:line="300" w:lineRule="auto"/>
        <w:jc w:val="center"/>
        <w:rPr>
          <w:rFonts w:ascii="宋体" w:hAnsi="宋体" w:cs="宋体"/>
          <w:b/>
          <w:color w:val="auto"/>
          <w:sz w:val="32"/>
          <w:szCs w:val="32"/>
          <w:highlight w:val="none"/>
        </w:rPr>
      </w:pPr>
    </w:p>
    <w:p>
      <w:pPr>
        <w:pStyle w:val="48"/>
        <w:rPr>
          <w:rFonts w:ascii="宋体" w:hAnsi="宋体" w:cs="宋体"/>
          <w:b/>
          <w:color w:val="auto"/>
          <w:sz w:val="32"/>
          <w:szCs w:val="32"/>
          <w:highlight w:val="none"/>
        </w:rPr>
      </w:pPr>
    </w:p>
    <w:p>
      <w:pPr>
        <w:spacing w:line="30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最后报价明细表</w:t>
      </w:r>
    </w:p>
    <w:p>
      <w:pPr>
        <w:spacing w:line="30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p>
    <w:p>
      <w:pPr>
        <w:snapToGrid w:val="0"/>
        <w:spacing w:before="50" w:after="50"/>
        <w:rPr>
          <w:rFonts w:ascii="宋体" w:hAnsi="宋体" w:cs="宋体"/>
          <w:color w:val="auto"/>
          <w:highlight w:val="none"/>
          <w:u w:val="single"/>
        </w:rPr>
      </w:pPr>
      <w:r>
        <w:rPr>
          <w:rFonts w:hint="eastAsia" w:ascii="宋体" w:hAnsi="宋体" w:cs="宋体"/>
          <w:color w:val="auto"/>
          <w:szCs w:val="21"/>
          <w:highlight w:val="none"/>
        </w:rPr>
        <w:t>项目编号:</w:t>
      </w:r>
      <w:r>
        <w:rPr>
          <w:rFonts w:hint="eastAsia" w:ascii="宋体" w:hAnsi="宋体" w:cs="宋体"/>
          <w:color w:val="auto"/>
          <w:highlight w:val="none"/>
          <w:u w:val="single"/>
        </w:rPr>
        <w:t xml:space="preserve">                                   </w:t>
      </w:r>
    </w:p>
    <w:p>
      <w:pPr>
        <w:spacing w:line="500" w:lineRule="exact"/>
        <w:ind w:firstLine="8190" w:firstLineChars="3900"/>
        <w:rPr>
          <w:rFonts w:ascii="宋体" w:hAnsi="宋体"/>
          <w:color w:val="auto"/>
          <w:szCs w:val="21"/>
          <w:highlight w:val="none"/>
        </w:rPr>
      </w:pPr>
      <w:r>
        <w:rPr>
          <w:rFonts w:hint="eastAsia" w:ascii="宋体" w:hAnsi="宋体"/>
          <w:color w:val="auto"/>
          <w:szCs w:val="21"/>
          <w:highlight w:val="none"/>
        </w:rPr>
        <w:t>单位：元</w:t>
      </w:r>
    </w:p>
    <w:tbl>
      <w:tblPr>
        <w:tblStyle w:val="36"/>
        <w:tblW w:w="9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912" w:type="dxa"/>
          </w:tcPr>
          <w:p>
            <w:pPr>
              <w:pStyle w:val="87"/>
              <w:spacing w:before="110"/>
              <w:ind w:left="217" w:right="224"/>
              <w:jc w:val="center"/>
              <w:rPr>
                <w:b/>
                <w:color w:val="auto"/>
                <w:sz w:val="21"/>
                <w:highlight w:val="none"/>
              </w:rPr>
            </w:pPr>
            <w:r>
              <w:rPr>
                <w:rFonts w:hint="eastAsia"/>
                <w:b/>
                <w:color w:val="auto"/>
                <w:sz w:val="21"/>
                <w:highlight w:val="none"/>
              </w:rPr>
              <w:t>项号</w:t>
            </w:r>
          </w:p>
        </w:tc>
        <w:tc>
          <w:tcPr>
            <w:tcW w:w="1603" w:type="dxa"/>
          </w:tcPr>
          <w:p>
            <w:pPr>
              <w:pStyle w:val="87"/>
              <w:spacing w:before="110"/>
              <w:ind w:left="369" w:right="0"/>
              <w:rPr>
                <w:b/>
                <w:color w:val="auto"/>
                <w:sz w:val="21"/>
                <w:highlight w:val="none"/>
              </w:rPr>
            </w:pPr>
            <w:r>
              <w:rPr>
                <w:rFonts w:hint="eastAsia"/>
                <w:b/>
                <w:color w:val="auto"/>
                <w:sz w:val="21"/>
                <w:highlight w:val="none"/>
              </w:rPr>
              <w:t>货物名称</w:t>
            </w:r>
          </w:p>
        </w:tc>
        <w:tc>
          <w:tcPr>
            <w:tcW w:w="1639" w:type="dxa"/>
          </w:tcPr>
          <w:p>
            <w:pPr>
              <w:pStyle w:val="87"/>
              <w:spacing w:before="1" w:line="322" w:lineRule="exact"/>
              <w:ind w:right="0"/>
              <w:jc w:val="center"/>
              <w:rPr>
                <w:b/>
                <w:color w:val="auto"/>
                <w:sz w:val="21"/>
                <w:highlight w:val="none"/>
                <w:lang w:eastAsia="zh-CN"/>
              </w:rPr>
            </w:pPr>
            <w:r>
              <w:rPr>
                <w:rFonts w:hint="eastAsia"/>
                <w:b/>
                <w:color w:val="auto"/>
                <w:sz w:val="21"/>
                <w:highlight w:val="none"/>
                <w:lang w:eastAsia="zh-CN"/>
              </w:rPr>
              <w:t>厂家、品牌、规格型号</w:t>
            </w:r>
          </w:p>
        </w:tc>
        <w:tc>
          <w:tcPr>
            <w:tcW w:w="1229" w:type="dxa"/>
          </w:tcPr>
          <w:p>
            <w:pPr>
              <w:pStyle w:val="87"/>
              <w:spacing w:before="110"/>
              <w:ind w:left="393" w:right="0"/>
              <w:rPr>
                <w:b/>
                <w:color w:val="auto"/>
                <w:sz w:val="21"/>
                <w:highlight w:val="none"/>
              </w:rPr>
            </w:pPr>
            <w:r>
              <w:rPr>
                <w:rFonts w:hint="eastAsia"/>
                <w:b/>
                <w:color w:val="auto"/>
                <w:sz w:val="21"/>
                <w:highlight w:val="none"/>
              </w:rPr>
              <w:t>产地</w:t>
            </w:r>
          </w:p>
        </w:tc>
        <w:tc>
          <w:tcPr>
            <w:tcW w:w="1051" w:type="dxa"/>
          </w:tcPr>
          <w:p>
            <w:pPr>
              <w:pStyle w:val="87"/>
              <w:spacing w:before="110"/>
              <w:ind w:left="196" w:right="0"/>
              <w:rPr>
                <w:b/>
                <w:color w:val="auto"/>
                <w:sz w:val="21"/>
                <w:highlight w:val="none"/>
              </w:rPr>
            </w:pPr>
            <w:r>
              <w:rPr>
                <w:rFonts w:hint="eastAsia"/>
                <w:b/>
                <w:color w:val="auto"/>
                <w:sz w:val="21"/>
                <w:highlight w:val="none"/>
              </w:rPr>
              <w:t>数量①</w:t>
            </w:r>
          </w:p>
        </w:tc>
        <w:tc>
          <w:tcPr>
            <w:tcW w:w="878" w:type="dxa"/>
          </w:tcPr>
          <w:p>
            <w:pPr>
              <w:pStyle w:val="87"/>
              <w:spacing w:before="110"/>
              <w:ind w:left="215" w:right="0"/>
              <w:rPr>
                <w:b/>
                <w:color w:val="auto"/>
                <w:sz w:val="21"/>
                <w:highlight w:val="none"/>
              </w:rPr>
            </w:pPr>
            <w:r>
              <w:rPr>
                <w:rFonts w:hint="eastAsia"/>
                <w:b/>
                <w:color w:val="auto"/>
                <w:sz w:val="21"/>
                <w:highlight w:val="none"/>
              </w:rPr>
              <w:t>单位</w:t>
            </w:r>
          </w:p>
        </w:tc>
        <w:tc>
          <w:tcPr>
            <w:tcW w:w="1066" w:type="dxa"/>
          </w:tcPr>
          <w:p>
            <w:pPr>
              <w:pStyle w:val="87"/>
              <w:spacing w:before="110"/>
              <w:ind w:left="206" w:right="0"/>
              <w:rPr>
                <w:b/>
                <w:color w:val="auto"/>
                <w:sz w:val="21"/>
                <w:highlight w:val="none"/>
              </w:rPr>
            </w:pPr>
            <w:r>
              <w:rPr>
                <w:rFonts w:hint="eastAsia"/>
                <w:b/>
                <w:color w:val="auto"/>
                <w:sz w:val="21"/>
                <w:highlight w:val="none"/>
              </w:rPr>
              <w:t>单价②</w:t>
            </w:r>
          </w:p>
        </w:tc>
        <w:tc>
          <w:tcPr>
            <w:tcW w:w="1404" w:type="dxa"/>
          </w:tcPr>
          <w:p>
            <w:pPr>
              <w:pStyle w:val="87"/>
              <w:spacing w:line="291" w:lineRule="exact"/>
              <w:ind w:left="311" w:right="0"/>
              <w:rPr>
                <w:b/>
                <w:color w:val="auto"/>
                <w:sz w:val="21"/>
                <w:highlight w:val="none"/>
              </w:rPr>
            </w:pPr>
            <w:r>
              <w:rPr>
                <w:rFonts w:hint="eastAsia"/>
                <w:b/>
                <w:color w:val="auto"/>
                <w:sz w:val="21"/>
                <w:highlight w:val="none"/>
              </w:rPr>
              <w:t>投标报价</w:t>
            </w:r>
          </w:p>
          <w:p>
            <w:pPr>
              <w:pStyle w:val="87"/>
              <w:spacing w:line="325" w:lineRule="exact"/>
              <w:ind w:left="259" w:right="0"/>
              <w:rPr>
                <w:b/>
                <w:color w:val="auto"/>
                <w:sz w:val="21"/>
                <w:highlight w:val="none"/>
              </w:rPr>
            </w:pPr>
            <w:r>
              <w:rPr>
                <w:rFonts w:hint="eastAsia"/>
                <w:b/>
                <w:color w:val="auto"/>
                <w:sz w:val="21"/>
                <w:highlight w:val="none"/>
              </w:rPr>
              <w:t>③=①×②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jc w:val="center"/>
        </w:trPr>
        <w:tc>
          <w:tcPr>
            <w:tcW w:w="912" w:type="dxa"/>
          </w:tcPr>
          <w:p>
            <w:pPr>
              <w:pStyle w:val="87"/>
              <w:spacing w:before="38"/>
              <w:ind w:left="0" w:right="0"/>
              <w:jc w:val="center"/>
              <w:rPr>
                <w:color w:val="auto"/>
                <w:sz w:val="21"/>
                <w:highlight w:val="none"/>
              </w:rPr>
            </w:pPr>
            <w:r>
              <w:rPr>
                <w:color w:val="auto"/>
                <w:sz w:val="21"/>
                <w:highlight w:val="none"/>
              </w:rPr>
              <w:t>1</w:t>
            </w:r>
          </w:p>
        </w:tc>
        <w:tc>
          <w:tcPr>
            <w:tcW w:w="1603" w:type="dxa"/>
          </w:tcPr>
          <w:p>
            <w:pPr>
              <w:rPr>
                <w:color w:val="auto"/>
                <w:highlight w:val="none"/>
              </w:rPr>
            </w:pPr>
          </w:p>
        </w:tc>
        <w:tc>
          <w:tcPr>
            <w:tcW w:w="1639" w:type="dxa"/>
          </w:tcPr>
          <w:p>
            <w:pPr>
              <w:rPr>
                <w:color w:val="auto"/>
                <w:highlight w:val="none"/>
              </w:rPr>
            </w:pPr>
          </w:p>
        </w:tc>
        <w:tc>
          <w:tcPr>
            <w:tcW w:w="1229" w:type="dxa"/>
          </w:tcPr>
          <w:p>
            <w:pPr>
              <w:rPr>
                <w:color w:val="auto"/>
                <w:highlight w:val="none"/>
              </w:rPr>
            </w:pPr>
          </w:p>
        </w:tc>
        <w:tc>
          <w:tcPr>
            <w:tcW w:w="1051" w:type="dxa"/>
          </w:tcPr>
          <w:p>
            <w:pPr>
              <w:rPr>
                <w:color w:val="auto"/>
                <w:highlight w:val="none"/>
              </w:rPr>
            </w:pPr>
          </w:p>
        </w:tc>
        <w:tc>
          <w:tcPr>
            <w:tcW w:w="878" w:type="dxa"/>
          </w:tcPr>
          <w:p>
            <w:pPr>
              <w:rPr>
                <w:color w:val="auto"/>
                <w:highlight w:val="none"/>
              </w:rPr>
            </w:pPr>
          </w:p>
        </w:tc>
        <w:tc>
          <w:tcPr>
            <w:tcW w:w="1066" w:type="dxa"/>
          </w:tcPr>
          <w:p>
            <w:pPr>
              <w:rPr>
                <w:color w:val="auto"/>
                <w:highlight w:val="none"/>
              </w:rPr>
            </w:pPr>
          </w:p>
        </w:tc>
        <w:tc>
          <w:tcPr>
            <w:tcW w:w="1404" w:type="dxa"/>
          </w:tcPr>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pPr>
              <w:pStyle w:val="87"/>
              <w:spacing w:before="38"/>
              <w:ind w:left="0" w:right="0"/>
              <w:jc w:val="center"/>
              <w:rPr>
                <w:color w:val="auto"/>
                <w:sz w:val="21"/>
                <w:highlight w:val="none"/>
              </w:rPr>
            </w:pPr>
            <w:r>
              <w:rPr>
                <w:color w:val="auto"/>
                <w:sz w:val="21"/>
                <w:highlight w:val="none"/>
              </w:rPr>
              <w:t>2</w:t>
            </w:r>
          </w:p>
        </w:tc>
        <w:tc>
          <w:tcPr>
            <w:tcW w:w="1603" w:type="dxa"/>
          </w:tcPr>
          <w:p>
            <w:pPr>
              <w:rPr>
                <w:color w:val="auto"/>
                <w:highlight w:val="none"/>
              </w:rPr>
            </w:pPr>
          </w:p>
        </w:tc>
        <w:tc>
          <w:tcPr>
            <w:tcW w:w="1639" w:type="dxa"/>
          </w:tcPr>
          <w:p>
            <w:pPr>
              <w:rPr>
                <w:color w:val="auto"/>
                <w:highlight w:val="none"/>
              </w:rPr>
            </w:pPr>
          </w:p>
        </w:tc>
        <w:tc>
          <w:tcPr>
            <w:tcW w:w="1229" w:type="dxa"/>
          </w:tcPr>
          <w:p>
            <w:pPr>
              <w:rPr>
                <w:color w:val="auto"/>
                <w:highlight w:val="none"/>
              </w:rPr>
            </w:pPr>
          </w:p>
        </w:tc>
        <w:tc>
          <w:tcPr>
            <w:tcW w:w="1051" w:type="dxa"/>
          </w:tcPr>
          <w:p>
            <w:pPr>
              <w:rPr>
                <w:color w:val="auto"/>
                <w:highlight w:val="none"/>
              </w:rPr>
            </w:pPr>
          </w:p>
        </w:tc>
        <w:tc>
          <w:tcPr>
            <w:tcW w:w="878" w:type="dxa"/>
          </w:tcPr>
          <w:p>
            <w:pPr>
              <w:rPr>
                <w:color w:val="auto"/>
                <w:highlight w:val="none"/>
              </w:rPr>
            </w:pPr>
          </w:p>
        </w:tc>
        <w:tc>
          <w:tcPr>
            <w:tcW w:w="1066" w:type="dxa"/>
          </w:tcPr>
          <w:p>
            <w:pPr>
              <w:rPr>
                <w:color w:val="auto"/>
                <w:highlight w:val="none"/>
              </w:rPr>
            </w:pPr>
          </w:p>
        </w:tc>
        <w:tc>
          <w:tcPr>
            <w:tcW w:w="1404" w:type="dxa"/>
          </w:tcPr>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pPr>
              <w:pStyle w:val="87"/>
              <w:spacing w:before="38"/>
              <w:ind w:left="0" w:right="0"/>
              <w:jc w:val="center"/>
              <w:rPr>
                <w:color w:val="auto"/>
                <w:sz w:val="21"/>
                <w:highlight w:val="none"/>
              </w:rPr>
            </w:pPr>
            <w:r>
              <w:rPr>
                <w:color w:val="auto"/>
                <w:sz w:val="21"/>
                <w:highlight w:val="none"/>
              </w:rPr>
              <w:t>…</w:t>
            </w:r>
          </w:p>
        </w:tc>
        <w:tc>
          <w:tcPr>
            <w:tcW w:w="1603" w:type="dxa"/>
          </w:tcPr>
          <w:p>
            <w:pPr>
              <w:rPr>
                <w:color w:val="auto"/>
                <w:highlight w:val="none"/>
              </w:rPr>
            </w:pPr>
          </w:p>
        </w:tc>
        <w:tc>
          <w:tcPr>
            <w:tcW w:w="1639" w:type="dxa"/>
          </w:tcPr>
          <w:p>
            <w:pPr>
              <w:rPr>
                <w:color w:val="auto"/>
                <w:highlight w:val="none"/>
              </w:rPr>
            </w:pPr>
          </w:p>
        </w:tc>
        <w:tc>
          <w:tcPr>
            <w:tcW w:w="1229" w:type="dxa"/>
          </w:tcPr>
          <w:p>
            <w:pPr>
              <w:rPr>
                <w:color w:val="auto"/>
                <w:highlight w:val="none"/>
              </w:rPr>
            </w:pPr>
          </w:p>
        </w:tc>
        <w:tc>
          <w:tcPr>
            <w:tcW w:w="1051" w:type="dxa"/>
          </w:tcPr>
          <w:p>
            <w:pPr>
              <w:rPr>
                <w:color w:val="auto"/>
                <w:highlight w:val="none"/>
              </w:rPr>
            </w:pPr>
          </w:p>
        </w:tc>
        <w:tc>
          <w:tcPr>
            <w:tcW w:w="878" w:type="dxa"/>
          </w:tcPr>
          <w:p>
            <w:pPr>
              <w:rPr>
                <w:color w:val="auto"/>
                <w:highlight w:val="none"/>
              </w:rPr>
            </w:pPr>
          </w:p>
        </w:tc>
        <w:tc>
          <w:tcPr>
            <w:tcW w:w="1066" w:type="dxa"/>
          </w:tcPr>
          <w:p>
            <w:pPr>
              <w:rPr>
                <w:color w:val="auto"/>
                <w:highlight w:val="none"/>
              </w:rPr>
            </w:pPr>
          </w:p>
        </w:tc>
        <w:tc>
          <w:tcPr>
            <w:tcW w:w="1404" w:type="dxa"/>
          </w:tcPr>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pPr>
              <w:pStyle w:val="87"/>
              <w:spacing w:before="38"/>
              <w:ind w:left="0" w:right="0"/>
              <w:jc w:val="center"/>
              <w:rPr>
                <w:color w:val="auto"/>
                <w:sz w:val="21"/>
                <w:highlight w:val="none"/>
              </w:rPr>
            </w:pPr>
            <w:r>
              <w:rPr>
                <w:color w:val="auto"/>
                <w:sz w:val="21"/>
                <w:highlight w:val="none"/>
              </w:rPr>
              <w:t>N</w:t>
            </w:r>
          </w:p>
        </w:tc>
        <w:tc>
          <w:tcPr>
            <w:tcW w:w="1603" w:type="dxa"/>
          </w:tcPr>
          <w:p>
            <w:pPr>
              <w:rPr>
                <w:color w:val="auto"/>
                <w:highlight w:val="none"/>
              </w:rPr>
            </w:pPr>
          </w:p>
        </w:tc>
        <w:tc>
          <w:tcPr>
            <w:tcW w:w="1639" w:type="dxa"/>
          </w:tcPr>
          <w:p>
            <w:pPr>
              <w:rPr>
                <w:color w:val="auto"/>
                <w:highlight w:val="none"/>
              </w:rPr>
            </w:pPr>
          </w:p>
        </w:tc>
        <w:tc>
          <w:tcPr>
            <w:tcW w:w="1229" w:type="dxa"/>
          </w:tcPr>
          <w:p>
            <w:pPr>
              <w:rPr>
                <w:color w:val="auto"/>
                <w:highlight w:val="none"/>
              </w:rPr>
            </w:pPr>
          </w:p>
        </w:tc>
        <w:tc>
          <w:tcPr>
            <w:tcW w:w="1051" w:type="dxa"/>
          </w:tcPr>
          <w:p>
            <w:pPr>
              <w:rPr>
                <w:color w:val="auto"/>
                <w:highlight w:val="none"/>
              </w:rPr>
            </w:pPr>
          </w:p>
        </w:tc>
        <w:tc>
          <w:tcPr>
            <w:tcW w:w="878" w:type="dxa"/>
          </w:tcPr>
          <w:p>
            <w:pPr>
              <w:rPr>
                <w:color w:val="auto"/>
                <w:highlight w:val="none"/>
              </w:rPr>
            </w:pPr>
          </w:p>
        </w:tc>
        <w:tc>
          <w:tcPr>
            <w:tcW w:w="1066" w:type="dxa"/>
          </w:tcPr>
          <w:p>
            <w:pPr>
              <w:rPr>
                <w:color w:val="auto"/>
                <w:highlight w:val="none"/>
              </w:rPr>
            </w:pPr>
          </w:p>
        </w:tc>
        <w:tc>
          <w:tcPr>
            <w:tcW w:w="1404" w:type="dxa"/>
          </w:tcPr>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jc w:val="center"/>
        </w:trPr>
        <w:tc>
          <w:tcPr>
            <w:tcW w:w="9782" w:type="dxa"/>
            <w:gridSpan w:val="8"/>
          </w:tcPr>
          <w:p>
            <w:pPr>
              <w:pStyle w:val="87"/>
              <w:tabs>
                <w:tab w:val="left" w:pos="2931"/>
                <w:tab w:val="left" w:pos="4727"/>
                <w:tab w:val="left" w:pos="6699"/>
                <w:tab w:val="left" w:pos="8010"/>
                <w:tab w:val="left" w:pos="8140"/>
              </w:tabs>
              <w:spacing w:before="14" w:line="295" w:lineRule="auto"/>
              <w:ind w:left="105" w:right="142"/>
              <w:rPr>
                <w:color w:val="auto"/>
                <w:sz w:val="21"/>
                <w:szCs w:val="21"/>
                <w:highlight w:val="none"/>
                <w:lang w:eastAsia="zh-CN"/>
              </w:rPr>
            </w:pPr>
            <w:r>
              <w:rPr>
                <w:rFonts w:hint="eastAsia"/>
                <w:color w:val="auto"/>
                <w:sz w:val="21"/>
                <w:szCs w:val="21"/>
                <w:highlight w:val="none"/>
                <w:lang w:eastAsia="zh-CN"/>
              </w:rPr>
              <w:t>投标报价（合计金额）大写：</w:t>
            </w:r>
            <w:r>
              <w:rPr>
                <w:rFonts w:ascii="Times New Roman" w:hAnsi="Times New Roman" w:eastAsia="Times New Roman"/>
                <w:color w:val="auto"/>
                <w:sz w:val="21"/>
                <w:szCs w:val="21"/>
                <w:highlight w:val="none"/>
                <w:u w:val="single"/>
                <w:lang w:eastAsia="zh-CN"/>
              </w:rPr>
              <w:t xml:space="preserve"> </w:t>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hint="eastAsia"/>
                <w:color w:val="auto"/>
                <w:sz w:val="21"/>
                <w:szCs w:val="21"/>
                <w:highlight w:val="none"/>
                <w:lang w:eastAsia="zh-CN"/>
              </w:rPr>
              <w:t>人</w:t>
            </w:r>
            <w:r>
              <w:rPr>
                <w:color w:val="auto"/>
                <w:spacing w:val="-72"/>
                <w:sz w:val="21"/>
                <w:szCs w:val="21"/>
                <w:highlight w:val="none"/>
                <w:lang w:eastAsia="zh-CN"/>
              </w:rPr>
              <w:t xml:space="preserve"> </w:t>
            </w:r>
            <w:r>
              <w:rPr>
                <w:rFonts w:hint="eastAsia"/>
                <w:color w:val="auto"/>
                <w:sz w:val="21"/>
                <w:szCs w:val="21"/>
                <w:highlight w:val="none"/>
                <w:lang w:eastAsia="zh-CN"/>
              </w:rPr>
              <w:t>民</w:t>
            </w:r>
            <w:r>
              <w:rPr>
                <w:color w:val="auto"/>
                <w:spacing w:val="-67"/>
                <w:sz w:val="21"/>
                <w:szCs w:val="21"/>
                <w:highlight w:val="none"/>
                <w:lang w:eastAsia="zh-CN"/>
              </w:rPr>
              <w:t xml:space="preserve"> </w:t>
            </w:r>
            <w:r>
              <w:rPr>
                <w:rFonts w:hint="eastAsia"/>
                <w:color w:val="auto"/>
                <w:sz w:val="21"/>
                <w:szCs w:val="21"/>
                <w:highlight w:val="none"/>
                <w:lang w:eastAsia="zh-CN"/>
              </w:rPr>
              <w:t>币</w:t>
            </w:r>
            <w:r>
              <w:rPr>
                <w:color w:val="auto"/>
                <w:spacing w:val="-67"/>
                <w:sz w:val="21"/>
                <w:szCs w:val="21"/>
                <w:highlight w:val="none"/>
                <w:lang w:eastAsia="zh-CN"/>
              </w:rPr>
              <w:t xml:space="preserve"> </w:t>
            </w:r>
            <w:r>
              <w:rPr>
                <w:rFonts w:hint="eastAsia"/>
                <w:color w:val="auto"/>
                <w:sz w:val="21"/>
                <w:szCs w:val="21"/>
                <w:highlight w:val="none"/>
                <w:lang w:eastAsia="zh-CN"/>
              </w:rPr>
              <w:t>（</w:t>
            </w:r>
            <w:r>
              <w:rPr>
                <w:color w:val="auto"/>
                <w:spacing w:val="-67"/>
                <w:sz w:val="21"/>
                <w:szCs w:val="21"/>
                <w:highlight w:val="none"/>
                <w:lang w:eastAsia="zh-CN"/>
              </w:rPr>
              <w:t xml:space="preserve"> </w:t>
            </w:r>
            <w:r>
              <w:rPr>
                <w:rFonts w:hint="eastAsia"/>
                <w:color w:val="auto"/>
                <w:sz w:val="21"/>
                <w:szCs w:val="21"/>
                <w:highlight w:val="none"/>
                <w:lang w:eastAsia="zh-CN"/>
              </w:rPr>
              <w:t>￥</w:t>
            </w:r>
            <w:r>
              <w:rPr>
                <w:rFonts w:ascii="Times New Roman" w:hAnsi="Times New Roman" w:eastAsia="Times New Roman"/>
                <w:color w:val="auto"/>
                <w:sz w:val="21"/>
                <w:szCs w:val="21"/>
                <w:highlight w:val="none"/>
                <w:u w:val="single"/>
                <w:lang w:eastAsia="zh-CN"/>
              </w:rPr>
              <w:t xml:space="preserve"> </w:t>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hint="eastAsia"/>
                <w:color w:val="auto"/>
                <w:sz w:val="21"/>
                <w:szCs w:val="21"/>
                <w:highlight w:val="none"/>
                <w:lang w:eastAsia="zh-CN"/>
              </w:rPr>
              <w:t>）</w:t>
            </w:r>
            <w:r>
              <w:rPr>
                <w:color w:val="auto"/>
                <w:sz w:val="21"/>
                <w:szCs w:val="21"/>
                <w:highlight w:val="none"/>
                <w:lang w:eastAsia="zh-CN"/>
              </w:rPr>
              <w:t xml:space="preserve"> </w:t>
            </w:r>
            <w:r>
              <w:rPr>
                <w:rFonts w:hint="eastAsia"/>
                <w:color w:val="auto"/>
                <w:sz w:val="21"/>
                <w:szCs w:val="21"/>
                <w:highlight w:val="none"/>
                <w:lang w:eastAsia="zh-CN"/>
              </w:rPr>
              <w:t>。</w:t>
            </w:r>
          </w:p>
          <w:p>
            <w:pPr>
              <w:pStyle w:val="87"/>
              <w:tabs>
                <w:tab w:val="left" w:pos="2931"/>
                <w:tab w:val="left" w:pos="4727"/>
                <w:tab w:val="left" w:pos="6699"/>
                <w:tab w:val="left" w:pos="8010"/>
                <w:tab w:val="left" w:pos="8140"/>
              </w:tabs>
              <w:spacing w:before="14" w:line="295" w:lineRule="auto"/>
              <w:ind w:left="105" w:right="142"/>
              <w:rPr>
                <w:color w:val="auto"/>
                <w:sz w:val="24"/>
                <w:highlight w:val="none"/>
                <w:lang w:eastAsia="zh-CN"/>
              </w:rPr>
            </w:pPr>
            <w:r>
              <w:rPr>
                <w:color w:val="auto"/>
                <w:sz w:val="21"/>
                <w:szCs w:val="21"/>
                <w:highlight w:val="none"/>
                <w:lang w:eastAsia="zh-CN"/>
              </w:rPr>
              <w:t>属于优先采购节能产品总值为￥</w:t>
            </w:r>
            <w:r>
              <w:rPr>
                <w:color w:val="auto"/>
                <w:sz w:val="21"/>
                <w:szCs w:val="21"/>
                <w:highlight w:val="none"/>
                <w:u w:val="single"/>
                <w:lang w:eastAsia="zh-CN"/>
              </w:rPr>
              <w:t xml:space="preserve"> </w:t>
            </w:r>
            <w:r>
              <w:rPr>
                <w:rFonts w:hint="eastAsia"/>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（具体明细详见附表），占本投标报价的比例为</w:t>
            </w:r>
            <w:r>
              <w:rPr>
                <w:color w:val="auto"/>
                <w:sz w:val="21"/>
                <w:szCs w:val="21"/>
                <w:highlight w:val="none"/>
                <w:u w:val="single"/>
                <w:lang w:eastAsia="zh-CN"/>
              </w:rPr>
              <w:t xml:space="preserve"> </w:t>
            </w:r>
            <w:r>
              <w:rPr>
                <w:rFonts w:hint="eastAsia"/>
                <w:color w:val="auto"/>
                <w:sz w:val="21"/>
                <w:szCs w:val="21"/>
                <w:highlight w:val="none"/>
                <w:u w:val="single"/>
                <w:lang w:eastAsia="zh-CN"/>
              </w:rPr>
              <w:t xml:space="preserve">  </w:t>
            </w:r>
            <w:r>
              <w:rPr>
                <w:color w:val="auto"/>
                <w:sz w:val="21"/>
                <w:szCs w:val="21"/>
                <w:highlight w:val="none"/>
                <w:lang w:eastAsia="zh-CN"/>
              </w:rPr>
              <w:t xml:space="preserve">%；属于优先采购环境标志产品总值为￥ </w:t>
            </w:r>
            <w:r>
              <w:rPr>
                <w:color w:val="auto"/>
                <w:sz w:val="21"/>
                <w:szCs w:val="21"/>
                <w:highlight w:val="none"/>
                <w:u w:val="single"/>
                <w:lang w:eastAsia="zh-CN"/>
              </w:rPr>
              <w:tab/>
            </w:r>
            <w:r>
              <w:rPr>
                <w:color w:val="auto"/>
                <w:sz w:val="21"/>
                <w:szCs w:val="21"/>
                <w:highlight w:val="none"/>
                <w:lang w:eastAsia="zh-CN"/>
              </w:rPr>
              <w:t>（具体明细详见附表）， 占本投标报价的比例为</w:t>
            </w:r>
            <w:r>
              <w:rPr>
                <w:color w:val="auto"/>
                <w:sz w:val="21"/>
                <w:szCs w:val="21"/>
                <w:highlight w:val="none"/>
                <w:u w:val="single"/>
                <w:lang w:eastAsia="zh-CN"/>
              </w:rPr>
              <w:t xml:space="preserve"> </w:t>
            </w:r>
            <w:r>
              <w:rPr>
                <w:rFonts w:hint="eastAsia"/>
                <w:color w:val="auto"/>
                <w:sz w:val="21"/>
                <w:szCs w:val="21"/>
                <w:highlight w:val="none"/>
                <w:u w:val="single"/>
                <w:lang w:eastAsia="zh-CN"/>
              </w:rPr>
              <w:t xml:space="preserve"> </w:t>
            </w:r>
            <w:r>
              <w:rPr>
                <w:color w:val="auto"/>
                <w:sz w:val="21"/>
                <w:szCs w:val="21"/>
                <w:highlight w:val="none"/>
                <w:lang w:eastAsia="zh-CN"/>
              </w:rPr>
              <w:t>%</w:t>
            </w:r>
            <w:r>
              <w:rPr>
                <w:rFonts w:hint="eastAsia"/>
                <w:color w:val="auto"/>
                <w:sz w:val="21"/>
                <w:szCs w:val="21"/>
                <w:highlight w:val="none"/>
                <w:lang w:eastAsia="zh-CN"/>
              </w:rPr>
              <w:t>。</w:t>
            </w:r>
            <w:r>
              <w:rPr>
                <w:rFonts w:hint="eastAsia"/>
                <w:color w:val="auto"/>
                <w:sz w:val="24"/>
                <w:highlight w:val="none"/>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exact"/>
          <w:jc w:val="center"/>
        </w:trPr>
        <w:tc>
          <w:tcPr>
            <w:tcW w:w="9782" w:type="dxa"/>
            <w:gridSpan w:val="8"/>
            <w:vAlign w:val="center"/>
          </w:tcPr>
          <w:p>
            <w:pPr>
              <w:pStyle w:val="87"/>
              <w:tabs>
                <w:tab w:val="left" w:pos="2931"/>
                <w:tab w:val="left" w:pos="4727"/>
                <w:tab w:val="left" w:pos="6699"/>
                <w:tab w:val="left" w:pos="8010"/>
                <w:tab w:val="left" w:pos="8140"/>
              </w:tabs>
              <w:spacing w:before="14" w:line="295" w:lineRule="auto"/>
              <w:ind w:left="105" w:right="142"/>
              <w:jc w:val="both"/>
              <w:rPr>
                <w:color w:val="auto"/>
                <w:sz w:val="21"/>
                <w:szCs w:val="21"/>
                <w:highlight w:val="none"/>
                <w:lang w:eastAsia="zh-CN"/>
              </w:rPr>
            </w:pPr>
            <w:r>
              <w:rPr>
                <w:rFonts w:hint="eastAsia"/>
                <w:b/>
                <w:color w:val="auto"/>
                <w:sz w:val="21"/>
                <w:szCs w:val="21"/>
                <w:highlight w:val="none"/>
                <w:lang w:eastAsia="zh-CN"/>
              </w:rPr>
              <w:t>交货期：合同签订之日起</w:t>
            </w:r>
            <w:r>
              <w:rPr>
                <w:rFonts w:hint="eastAsia"/>
                <w:b/>
                <w:color w:val="auto"/>
                <w:sz w:val="21"/>
                <w:szCs w:val="21"/>
                <w:highlight w:val="none"/>
                <w:lang w:val="en-US" w:eastAsia="zh-CN"/>
              </w:rPr>
              <w:t>9</w:t>
            </w:r>
            <w:r>
              <w:rPr>
                <w:rFonts w:hint="eastAsia"/>
                <w:b/>
                <w:color w:val="auto"/>
                <w:sz w:val="21"/>
                <w:szCs w:val="21"/>
                <w:highlight w:val="none"/>
                <w:lang w:eastAsia="zh-CN"/>
              </w:rPr>
              <w:t>0日内交付使用。具体交付时间以采购人书面通知为准，供应商应确保货物按时到达指定地点。</w:t>
            </w:r>
          </w:p>
        </w:tc>
      </w:tr>
    </w:tbl>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注： </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1、竞标</w:t>
      </w:r>
      <w:r>
        <w:rPr>
          <w:rFonts w:hint="eastAsia" w:ascii="宋体" w:hAnsi="宋体" w:cs="宋体"/>
          <w:color w:val="auto"/>
          <w:kern w:val="0"/>
          <w:szCs w:val="21"/>
          <w:highlight w:val="none"/>
        </w:rPr>
        <w:t>总报价为现场交付使用价，</w:t>
      </w:r>
      <w:r>
        <w:rPr>
          <w:rFonts w:hint="eastAsia" w:ascii="宋体" w:hAnsi="宋体"/>
          <w:color w:val="auto"/>
          <w:szCs w:val="21"/>
          <w:highlight w:val="none"/>
        </w:rPr>
        <w:t>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报价中。</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参加谈判的供应商在规定时间内提交最后报价时，须附相应的报价明细表（最后报价明细表应按以上格式要求提供），并且最后报价金额须与最后报价明细表的合计金额相等，否则须在规定时间内按最后报价金额调整最后报价明细表的金额。</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3、所有价格均用人民币表示，单位为元，精确到百分位。</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4、报价一经涂改，应在涂改处加盖单位公章或者由法定代表人或授权委托人签字，否则其报价无效。</w:t>
      </w:r>
    </w:p>
    <w:p>
      <w:pPr>
        <w:spacing w:line="360" w:lineRule="exact"/>
        <w:ind w:firstLine="420" w:firstLineChars="200"/>
        <w:rPr>
          <w:rFonts w:ascii="宋体" w:hAnsi="宋体" w:cs="仿宋_GB2312"/>
          <w:color w:val="auto"/>
          <w:szCs w:val="21"/>
          <w:highlight w:val="none"/>
        </w:rPr>
      </w:pPr>
      <w:r>
        <w:rPr>
          <w:rFonts w:hint="eastAsia" w:ascii="宋体" w:hAnsi="宋体" w:cs="宋体"/>
          <w:color w:val="auto"/>
          <w:kern w:val="0"/>
          <w:szCs w:val="21"/>
          <w:highlight w:val="none"/>
        </w:rPr>
        <w:t>5</w:t>
      </w:r>
      <w:r>
        <w:rPr>
          <w:rFonts w:hint="eastAsia" w:ascii="宋体" w:hAnsi="宋体"/>
          <w:color w:val="auto"/>
          <w:szCs w:val="21"/>
          <w:highlight w:val="none"/>
        </w:rPr>
        <w:t>、本表为最后报价时作为最后报价格式提供，无须在首次响应文件中体现。</w:t>
      </w:r>
    </w:p>
    <w:p>
      <w:pPr>
        <w:spacing w:line="360" w:lineRule="exact"/>
        <w:ind w:firstLine="6090" w:firstLineChars="2900"/>
        <w:rPr>
          <w:rFonts w:ascii="宋体" w:hAnsi="宋体"/>
          <w:color w:val="auto"/>
          <w:szCs w:val="21"/>
          <w:highlight w:val="none"/>
        </w:rPr>
      </w:pPr>
    </w:p>
    <w:p>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pPr>
        <w:pStyle w:val="19"/>
        <w:spacing w:line="480" w:lineRule="auto"/>
        <w:ind w:right="200" w:firstLine="480"/>
        <w:jc w:val="right"/>
        <w:rPr>
          <w:rFonts w:hAnsi="宋体"/>
          <w:b/>
          <w:color w:val="auto"/>
          <w:sz w:val="24"/>
          <w:szCs w:val="24"/>
          <w:highlight w:val="none"/>
        </w:rPr>
      </w:pPr>
      <w:r>
        <w:rPr>
          <w:color w:val="auto"/>
          <w:sz w:val="24"/>
          <w:szCs w:val="24"/>
          <w:highlight w:val="none"/>
          <w:lang w:val="en-US"/>
        </w:rPr>
        <w:t xml:space="preserve">         </w:t>
      </w:r>
      <w:r>
        <w:rPr>
          <w:color w:val="auto"/>
          <w:sz w:val="24"/>
          <w:szCs w:val="24"/>
          <w:highlight w:val="none"/>
        </w:rPr>
        <w:t>年</w:t>
      </w:r>
      <w:r>
        <w:rPr>
          <w:rFonts w:hint="eastAsia"/>
          <w:color w:val="auto"/>
          <w:sz w:val="24"/>
          <w:szCs w:val="24"/>
          <w:highlight w:val="none"/>
          <w:lang w:eastAsia="zh-CN"/>
        </w:rPr>
        <w:t xml:space="preserve"> </w:t>
      </w:r>
      <w:r>
        <w:rPr>
          <w:color w:val="auto"/>
          <w:sz w:val="24"/>
          <w:szCs w:val="24"/>
          <w:highlight w:val="none"/>
          <w:lang w:eastAsia="zh-CN"/>
        </w:rPr>
        <w:t xml:space="preserve">  </w:t>
      </w:r>
      <w:r>
        <w:rPr>
          <w:color w:val="auto"/>
          <w:sz w:val="24"/>
          <w:szCs w:val="24"/>
          <w:highlight w:val="none"/>
        </w:rPr>
        <w:t xml:space="preserve"> 月    日</w:t>
      </w:r>
    </w:p>
    <w:p>
      <w:pPr>
        <w:spacing w:line="360" w:lineRule="exact"/>
        <w:rPr>
          <w:rFonts w:hint="eastAsia" w:ascii="宋体" w:hAnsi="宋体" w:cs="宋体"/>
          <w:b/>
          <w:color w:val="auto"/>
          <w:sz w:val="24"/>
          <w:highlight w:val="none"/>
        </w:rPr>
        <w:sectPr>
          <w:pgSz w:w="11906" w:h="16838"/>
          <w:pgMar w:top="1134" w:right="1134" w:bottom="1134" w:left="1134" w:header="720" w:footer="720" w:gutter="0"/>
          <w:pgNumType w:fmt="decimal"/>
          <w:cols w:space="0" w:num="1"/>
          <w:docGrid w:type="lines" w:linePitch="312" w:charSpace="0"/>
        </w:sectPr>
      </w:pPr>
    </w:p>
    <w:p>
      <w:pPr>
        <w:spacing w:line="360" w:lineRule="exact"/>
        <w:rPr>
          <w:rFonts w:ascii="宋体" w:hAnsi="宋体" w:cs="宋体"/>
          <w:b/>
          <w:color w:val="auto"/>
          <w:sz w:val="24"/>
          <w:highlight w:val="none"/>
        </w:rPr>
      </w:pPr>
      <w:r>
        <w:rPr>
          <w:rFonts w:hint="eastAsia" w:ascii="宋体" w:hAnsi="宋体" w:cs="宋体"/>
          <w:b/>
          <w:color w:val="auto"/>
          <w:sz w:val="24"/>
          <w:highlight w:val="none"/>
        </w:rPr>
        <w:t>三、中小企业声明函格式</w:t>
      </w:r>
    </w:p>
    <w:p>
      <w:pPr>
        <w:spacing w:line="360" w:lineRule="exact"/>
        <w:jc w:val="center"/>
        <w:rPr>
          <w:rFonts w:ascii="宋体" w:hAnsi="宋体"/>
          <w:b/>
          <w:color w:val="auto"/>
          <w:szCs w:val="21"/>
          <w:highlight w:val="none"/>
        </w:rPr>
      </w:pPr>
      <w:r>
        <w:rPr>
          <w:rFonts w:hint="eastAsia" w:ascii="宋体" w:hAnsi="宋体"/>
          <w:b/>
          <w:color w:val="auto"/>
          <w:szCs w:val="21"/>
          <w:highlight w:val="none"/>
        </w:rPr>
        <w:t>中小企业声明函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说明：</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1、本声明函主要供参加政府采购活动的中小企业填写，非中小企业无需填写。</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2、小型、微型企业提供中型企业提供的货物的，视同为中型企业。</w:t>
      </w: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本公司（联合体）郑重声明，根据《政府采购促进中小企业发展管理办法》（财库﹝2020﹞46号）的规定，本公司（联合体）参加</w:t>
      </w:r>
      <w:r>
        <w:rPr>
          <w:rFonts w:hint="eastAsia" w:ascii="宋体" w:hAnsi="宋体"/>
          <w:color w:val="auto"/>
          <w:szCs w:val="21"/>
          <w:highlight w:val="none"/>
          <w:u w:val="single"/>
        </w:rPr>
        <w:t xml:space="preserve">    （单位名称）   </w:t>
      </w:r>
      <w:r>
        <w:rPr>
          <w:rFonts w:hint="eastAsia" w:ascii="宋体" w:hAnsi="宋体"/>
          <w:color w:val="auto"/>
          <w:szCs w:val="21"/>
          <w:highlight w:val="none"/>
        </w:rPr>
        <w:t>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采购活动，提供的货物全部由符合政策要求的中小企业制造。相关企业（含联合体中的中小企业、签订分包意向协议的中小企业）的具体情况如下：</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（标的名称）  </w:t>
      </w:r>
      <w:r>
        <w:rPr>
          <w:rFonts w:hint="eastAsia" w:ascii="宋体" w:hAnsi="宋体"/>
          <w:color w:val="auto"/>
          <w:szCs w:val="21"/>
          <w:highlight w:val="none"/>
        </w:rPr>
        <w:t>，属于</w:t>
      </w:r>
      <w:r>
        <w:rPr>
          <w:rFonts w:hint="eastAsia" w:ascii="宋体" w:hAnsi="宋体"/>
          <w:color w:val="auto"/>
          <w:szCs w:val="21"/>
          <w:highlight w:val="none"/>
          <w:u w:val="single"/>
        </w:rPr>
        <w:t xml:space="preserve"> （采购文件中明确的所属行业） </w:t>
      </w:r>
      <w:r>
        <w:rPr>
          <w:rFonts w:hint="eastAsia" w:ascii="宋体" w:hAnsi="宋体"/>
          <w:color w:val="auto"/>
          <w:szCs w:val="21"/>
          <w:highlight w:val="none"/>
        </w:rPr>
        <w:t>行业；制造商为</w:t>
      </w:r>
      <w:r>
        <w:rPr>
          <w:rFonts w:hint="eastAsia" w:ascii="宋体" w:hAnsi="宋体"/>
          <w:color w:val="auto"/>
          <w:szCs w:val="21"/>
          <w:highlight w:val="none"/>
          <w:u w:val="single"/>
        </w:rPr>
        <w:t xml:space="preserve"> （企业名称） </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 xml:space="preserve">   （标的名称）  </w:t>
      </w:r>
      <w:r>
        <w:rPr>
          <w:rFonts w:hint="eastAsia" w:ascii="宋体" w:hAnsi="宋体"/>
          <w:color w:val="auto"/>
          <w:szCs w:val="21"/>
          <w:highlight w:val="none"/>
        </w:rPr>
        <w:t>，属于</w:t>
      </w:r>
      <w:r>
        <w:rPr>
          <w:rFonts w:hint="eastAsia" w:ascii="宋体" w:hAnsi="宋体"/>
          <w:color w:val="auto"/>
          <w:szCs w:val="21"/>
          <w:highlight w:val="none"/>
          <w:u w:val="single"/>
        </w:rPr>
        <w:t xml:space="preserve"> （采购文件中明确的所属行业） </w:t>
      </w:r>
      <w:r>
        <w:rPr>
          <w:rFonts w:hint="eastAsia" w:ascii="宋体" w:hAnsi="宋体"/>
          <w:color w:val="auto"/>
          <w:szCs w:val="21"/>
          <w:highlight w:val="none"/>
        </w:rPr>
        <w:t>行业；制造商为</w:t>
      </w:r>
      <w:r>
        <w:rPr>
          <w:rFonts w:hint="eastAsia" w:ascii="宋体" w:hAnsi="宋体"/>
          <w:color w:val="auto"/>
          <w:szCs w:val="21"/>
          <w:highlight w:val="none"/>
          <w:u w:val="single"/>
        </w:rPr>
        <w:t xml:space="preserve"> （企业名称） </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以上企业，不属于大企业的分支机构，不存在控股股东为大企业的情形，也不存在与大企业的负责人为同一人的情形。</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本企业对上述声明内容的真实性负责。如有虚假，将依法承担相应责任。</w:t>
      </w:r>
    </w:p>
    <w:p>
      <w:pPr>
        <w:spacing w:line="360" w:lineRule="exact"/>
        <w:ind w:firstLine="3150" w:firstLineChars="1500"/>
        <w:rPr>
          <w:rFonts w:ascii="宋体" w:hAnsi="宋体"/>
          <w:color w:val="auto"/>
          <w:szCs w:val="21"/>
          <w:highlight w:val="none"/>
        </w:rPr>
      </w:pPr>
    </w:p>
    <w:p>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pPr>
        <w:pStyle w:val="19"/>
        <w:spacing w:line="480" w:lineRule="auto"/>
        <w:ind w:right="200" w:firstLine="480"/>
        <w:jc w:val="right"/>
        <w:rPr>
          <w:rFonts w:hAnsi="宋体"/>
          <w:b/>
          <w:color w:val="auto"/>
          <w:sz w:val="24"/>
          <w:szCs w:val="24"/>
          <w:highlight w:val="none"/>
        </w:rPr>
      </w:pPr>
      <w:r>
        <w:rPr>
          <w:color w:val="auto"/>
          <w:sz w:val="24"/>
          <w:szCs w:val="24"/>
          <w:highlight w:val="none"/>
          <w:lang w:val="en-US"/>
        </w:rPr>
        <w:t xml:space="preserve">         </w:t>
      </w:r>
      <w:r>
        <w:rPr>
          <w:color w:val="auto"/>
          <w:sz w:val="24"/>
          <w:szCs w:val="24"/>
          <w:highlight w:val="none"/>
        </w:rPr>
        <w:t>年</w:t>
      </w:r>
      <w:r>
        <w:rPr>
          <w:rFonts w:hint="eastAsia"/>
          <w:color w:val="auto"/>
          <w:sz w:val="24"/>
          <w:szCs w:val="24"/>
          <w:highlight w:val="none"/>
          <w:lang w:eastAsia="zh-CN"/>
        </w:rPr>
        <w:t xml:space="preserve"> </w:t>
      </w:r>
      <w:r>
        <w:rPr>
          <w:color w:val="auto"/>
          <w:sz w:val="24"/>
          <w:szCs w:val="24"/>
          <w:highlight w:val="none"/>
          <w:lang w:eastAsia="zh-CN"/>
        </w:rPr>
        <w:t xml:space="preserve">  </w:t>
      </w:r>
      <w:r>
        <w:rPr>
          <w:color w:val="auto"/>
          <w:sz w:val="24"/>
          <w:szCs w:val="24"/>
          <w:highlight w:val="none"/>
        </w:rPr>
        <w:t xml:space="preserve"> 月    日</w:t>
      </w: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注：</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1、从业人员、营业收入、资产总额填报上一年度数据，无上一年度数据的新成立企业可不填报。</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pPr>
        <w:spacing w:line="360" w:lineRule="exact"/>
        <w:ind w:firstLine="360" w:firstLineChars="200"/>
        <w:jc w:val="left"/>
        <w:rPr>
          <w:rFonts w:ascii="宋体" w:hAnsi="宋体"/>
          <w:color w:val="auto"/>
          <w:sz w:val="18"/>
          <w:szCs w:val="18"/>
          <w:highlight w:val="none"/>
        </w:rPr>
      </w:pPr>
    </w:p>
    <w:p>
      <w:pPr>
        <w:spacing w:line="360" w:lineRule="exact"/>
        <w:ind w:firstLine="360" w:firstLineChars="200"/>
        <w:jc w:val="left"/>
        <w:rPr>
          <w:rFonts w:ascii="宋体" w:hAnsi="宋体"/>
          <w:color w:val="auto"/>
          <w:sz w:val="18"/>
          <w:szCs w:val="18"/>
          <w:highlight w:val="none"/>
        </w:rPr>
      </w:pPr>
    </w:p>
    <w:p>
      <w:pPr>
        <w:spacing w:line="360" w:lineRule="exact"/>
        <w:jc w:val="left"/>
        <w:rPr>
          <w:rFonts w:ascii="宋体" w:hAnsi="宋体"/>
          <w:color w:val="auto"/>
          <w:sz w:val="18"/>
          <w:szCs w:val="18"/>
          <w:highlight w:val="none"/>
        </w:rPr>
      </w:pPr>
    </w:p>
    <w:p>
      <w:pPr>
        <w:spacing w:line="360" w:lineRule="exact"/>
        <w:jc w:val="left"/>
        <w:rPr>
          <w:rFonts w:ascii="宋体" w:hAnsi="宋体"/>
          <w:color w:val="auto"/>
          <w:sz w:val="18"/>
          <w:szCs w:val="18"/>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spacing w:line="360" w:lineRule="exact"/>
        <w:rPr>
          <w:rFonts w:ascii="宋体" w:hAnsi="宋体" w:cs="宋体"/>
          <w:b/>
          <w:color w:val="auto"/>
          <w:sz w:val="24"/>
          <w:highlight w:val="none"/>
        </w:rPr>
      </w:pPr>
      <w:bookmarkStart w:id="18" w:name="OLE_LINK14"/>
      <w:bookmarkStart w:id="19" w:name="OLE_LINK13"/>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、残疾人福利性单位声明函格式</w:t>
      </w:r>
    </w:p>
    <w:p>
      <w:pPr>
        <w:spacing w:line="360" w:lineRule="exact"/>
        <w:jc w:val="center"/>
        <w:rPr>
          <w:rFonts w:ascii="宋体" w:hAnsi="宋体"/>
          <w:b/>
          <w:color w:val="auto"/>
          <w:szCs w:val="21"/>
          <w:highlight w:val="none"/>
        </w:rPr>
      </w:pPr>
      <w:r>
        <w:rPr>
          <w:rFonts w:hint="eastAsia" w:ascii="宋体" w:hAnsi="宋体"/>
          <w:b/>
          <w:color w:val="auto"/>
          <w:szCs w:val="21"/>
          <w:highlight w:val="none"/>
        </w:rPr>
        <w:t>残疾人福利性单位声明函</w:t>
      </w:r>
    </w:p>
    <w:bookmarkEnd w:id="18"/>
    <w:bookmarkEnd w:id="19"/>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p>
    <w:p>
      <w:pPr>
        <w:spacing w:line="480" w:lineRule="auto"/>
        <w:ind w:firstLine="3990" w:firstLineChars="1900"/>
        <w:rPr>
          <w:color w:val="auto"/>
          <w:highlight w:val="none"/>
          <w:u w:val="single"/>
        </w:rPr>
      </w:pPr>
      <w:r>
        <w:rPr>
          <w:color w:val="auto"/>
          <w:highlight w:val="none"/>
        </w:rPr>
        <w:t>供应商名称（</w:t>
      </w:r>
      <w:r>
        <w:rPr>
          <w:rFonts w:hint="eastAsia" w:hAnsi="宋体"/>
          <w:color w:val="auto"/>
          <w:highlight w:val="none"/>
        </w:rPr>
        <w:t>电子公章</w:t>
      </w:r>
      <w:r>
        <w:rPr>
          <w:color w:val="auto"/>
          <w:highlight w:val="none"/>
        </w:rPr>
        <w:t>）：</w:t>
      </w:r>
      <w:r>
        <w:rPr>
          <w:color w:val="auto"/>
          <w:highlight w:val="none"/>
          <w:u w:val="single"/>
        </w:rPr>
        <w:t xml:space="preserve">                           </w:t>
      </w:r>
    </w:p>
    <w:p>
      <w:pPr>
        <w:pStyle w:val="19"/>
        <w:spacing w:line="480" w:lineRule="auto"/>
        <w:ind w:right="200" w:firstLine="480"/>
        <w:jc w:val="right"/>
        <w:rPr>
          <w:rFonts w:hAnsi="宋体"/>
          <w:b/>
          <w:color w:val="auto"/>
          <w:sz w:val="24"/>
          <w:szCs w:val="24"/>
          <w:highlight w:val="none"/>
        </w:rPr>
      </w:pPr>
      <w:r>
        <w:rPr>
          <w:color w:val="auto"/>
          <w:sz w:val="24"/>
          <w:szCs w:val="24"/>
          <w:highlight w:val="none"/>
          <w:lang w:val="en-US"/>
        </w:rPr>
        <w:t xml:space="preserve">         </w:t>
      </w:r>
      <w:r>
        <w:rPr>
          <w:color w:val="auto"/>
          <w:sz w:val="24"/>
          <w:szCs w:val="24"/>
          <w:highlight w:val="none"/>
        </w:rPr>
        <w:t>年</w:t>
      </w:r>
      <w:r>
        <w:rPr>
          <w:rFonts w:hint="eastAsia"/>
          <w:color w:val="auto"/>
          <w:sz w:val="24"/>
          <w:szCs w:val="24"/>
          <w:highlight w:val="none"/>
          <w:lang w:eastAsia="zh-CN"/>
        </w:rPr>
        <w:t xml:space="preserve"> </w:t>
      </w:r>
      <w:r>
        <w:rPr>
          <w:color w:val="auto"/>
          <w:sz w:val="24"/>
          <w:szCs w:val="24"/>
          <w:highlight w:val="none"/>
          <w:lang w:eastAsia="zh-CN"/>
        </w:rPr>
        <w:t xml:space="preserve">  </w:t>
      </w:r>
      <w:r>
        <w:rPr>
          <w:color w:val="auto"/>
          <w:sz w:val="24"/>
          <w:szCs w:val="24"/>
          <w:highlight w:val="none"/>
        </w:rPr>
        <w:t xml:space="preserve"> 月    日</w:t>
      </w:r>
    </w:p>
    <w:p>
      <w:pPr>
        <w:spacing w:line="360" w:lineRule="exact"/>
        <w:ind w:firstLine="420" w:firstLineChars="200"/>
        <w:rPr>
          <w:rFonts w:ascii="宋体" w:hAnsi="宋体"/>
          <w:color w:val="auto"/>
          <w:szCs w:val="21"/>
          <w:highlight w:val="none"/>
        </w:rPr>
      </w:pP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pPr>
        <w:rPr>
          <w:rFonts w:hint="eastAsia" w:ascii="宋体" w:hAnsi="宋体"/>
          <w:color w:val="auto"/>
          <w:szCs w:val="21"/>
          <w:highlight w:val="none"/>
        </w:rPr>
      </w:pPr>
      <w:r>
        <w:rPr>
          <w:rFonts w:hint="eastAsia" w:ascii="宋体" w:hAnsi="宋体"/>
          <w:color w:val="auto"/>
          <w:szCs w:val="21"/>
          <w:highlight w:val="none"/>
        </w:rPr>
        <w:br w:type="page"/>
      </w:r>
    </w:p>
    <w:p>
      <w:pPr>
        <w:pStyle w:val="19"/>
        <w:spacing w:line="440" w:lineRule="exact"/>
        <w:rPr>
          <w:rFonts w:hAnsi="宋体"/>
          <w:b/>
          <w:color w:val="auto"/>
          <w:sz w:val="24"/>
          <w:szCs w:val="24"/>
          <w:highlight w:val="none"/>
        </w:rPr>
      </w:pPr>
      <w:r>
        <w:rPr>
          <w:rFonts w:hint="eastAsia" w:hAnsi="宋体"/>
          <w:b/>
          <w:color w:val="auto"/>
          <w:sz w:val="24"/>
          <w:szCs w:val="24"/>
          <w:highlight w:val="none"/>
        </w:rPr>
        <w:t>关于符合本国产品标准的声明函格式：</w:t>
      </w:r>
    </w:p>
    <w:p>
      <w:pPr>
        <w:pStyle w:val="32"/>
        <w:topLinePunct/>
        <w:spacing w:before="0" w:beforeAutospacing="0" w:after="0" w:afterAutospacing="0" w:line="360" w:lineRule="auto"/>
        <w:rPr>
          <w:rFonts w:hint="eastAsia" w:hAnsi="宋体"/>
          <w:color w:val="auto"/>
          <w:kern w:val="2"/>
          <w:szCs w:val="24"/>
          <w:highlight w:val="none"/>
        </w:rPr>
      </w:pPr>
    </w:p>
    <w:p>
      <w:pPr>
        <w:pStyle w:val="32"/>
        <w:spacing w:before="0" w:beforeAutospacing="0" w:after="0" w:afterAutospacing="0" w:line="360" w:lineRule="auto"/>
        <w:jc w:val="center"/>
        <w:rPr>
          <w:rFonts w:hAnsi="宋体" w:cs="宋体"/>
          <w:color w:val="auto"/>
          <w:szCs w:val="24"/>
          <w:highlight w:val="none"/>
        </w:rPr>
      </w:pPr>
      <w:r>
        <w:rPr>
          <w:rStyle w:val="39"/>
          <w:rFonts w:hint="eastAsia"/>
          <w:color w:val="auto"/>
          <w:szCs w:val="24"/>
          <w:highlight w:val="none"/>
          <w:shd w:val="clear" w:color="auto" w:fill="FFFFFF"/>
        </w:rPr>
        <w:t>关于符合本国产品标准的声明函</w:t>
      </w:r>
    </w:p>
    <w:p>
      <w:pPr>
        <w:pStyle w:val="32"/>
        <w:spacing w:before="122" w:beforeAutospacing="0" w:after="62" w:afterAutospacing="0" w:line="360" w:lineRule="auto"/>
        <w:ind w:left="147" w:firstLine="420"/>
        <w:rPr>
          <w:rFonts w:hAnsi="宋体" w:cs="宋体"/>
          <w:color w:val="auto"/>
          <w:sz w:val="21"/>
          <w:highlight w:val="none"/>
          <w:shd w:val="clear" w:color="auto" w:fill="FFFFFF"/>
        </w:rPr>
      </w:pPr>
      <w:r>
        <w:rPr>
          <w:rFonts w:hint="eastAsia" w:hAnsi="宋体" w:cs="宋体"/>
          <w:color w:val="auto"/>
          <w:sz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32"/>
        <w:wordWrap w:val="0"/>
        <w:topLinePunct/>
        <w:spacing w:before="0" w:beforeAutospacing="0" w:after="0" w:afterAutospacing="0" w:line="360" w:lineRule="auto"/>
        <w:ind w:firstLine="420" w:firstLineChars="200"/>
        <w:rPr>
          <w:rFonts w:hAnsi="宋体" w:cs="宋体"/>
          <w:color w:val="auto"/>
          <w:sz w:val="21"/>
          <w:highlight w:val="none"/>
          <w:u w:val="single"/>
          <w:shd w:val="clear" w:color="auto" w:fill="FFFFFF"/>
        </w:rPr>
      </w:pPr>
      <w:r>
        <w:rPr>
          <w:rFonts w:hint="eastAsia" w:hAnsi="宋体" w:cs="宋体"/>
          <w:color w:val="auto"/>
          <w:sz w:val="21"/>
          <w:highlight w:val="none"/>
          <w:shd w:val="clear" w:color="auto" w:fill="FFFFFF"/>
        </w:rPr>
        <w:t>1.</w:t>
      </w:r>
      <w:r>
        <w:rPr>
          <w:rFonts w:hint="eastAsia" w:hAnsi="宋体" w:cs="宋体"/>
          <w:color w:val="auto"/>
          <w:sz w:val="21"/>
          <w:highlight w:val="none"/>
          <w:u w:val="single"/>
          <w:shd w:val="clear" w:color="auto" w:fill="FFFFFF"/>
        </w:rPr>
        <w:t xml:space="preserve">    （产品名称1）    </w:t>
      </w:r>
      <w:r>
        <w:rPr>
          <w:rFonts w:hint="eastAsia" w:hAnsi="宋体" w:cs="宋体"/>
          <w:color w:val="auto"/>
          <w:sz w:val="21"/>
          <w:highlight w:val="none"/>
          <w:shd w:val="clear" w:color="auto" w:fill="FFFFFF"/>
        </w:rPr>
        <w:t xml:space="preserve">，生产厂为 </w:t>
      </w:r>
      <w:r>
        <w:rPr>
          <w:rFonts w:hint="eastAsia" w:hAnsi="宋体" w:cs="宋体"/>
          <w:color w:val="auto"/>
          <w:sz w:val="21"/>
          <w:highlight w:val="none"/>
          <w:u w:val="single"/>
          <w:shd w:val="clear" w:color="auto" w:fill="FFFFFF"/>
        </w:rPr>
        <w:t xml:space="preserve">    （厂名）     </w:t>
      </w:r>
      <w:r>
        <w:rPr>
          <w:rFonts w:hint="eastAsia" w:hAnsi="宋体" w:cs="宋体"/>
          <w:color w:val="auto"/>
          <w:sz w:val="21"/>
          <w:highlight w:val="none"/>
          <w:shd w:val="clear" w:color="auto" w:fill="FFFFFF"/>
        </w:rPr>
        <w:t>，厂址为</w:t>
      </w:r>
      <w:r>
        <w:rPr>
          <w:rFonts w:hint="eastAsia" w:hAnsi="宋体" w:cs="宋体"/>
          <w:color w:val="auto"/>
          <w:sz w:val="21"/>
          <w:highlight w:val="none"/>
          <w:u w:val="single"/>
          <w:shd w:val="clear" w:color="auto" w:fill="FFFFFF"/>
        </w:rPr>
        <w:t xml:space="preserve">    （生产厂址）   </w:t>
      </w:r>
      <w:r>
        <w:rPr>
          <w:rFonts w:hint="eastAsia" w:hAnsi="宋体" w:cs="宋体"/>
          <w:color w:val="auto"/>
          <w:sz w:val="21"/>
          <w:highlight w:val="none"/>
          <w:shd w:val="clear" w:color="auto" w:fill="FFFFFF"/>
        </w:rPr>
        <w:t>。</w:t>
      </w:r>
      <w:r>
        <w:rPr>
          <w:rFonts w:hint="eastAsia" w:hAnsi="宋体" w:cs="宋体"/>
          <w:color w:val="auto"/>
          <w:sz w:val="21"/>
          <w:highlight w:val="none"/>
          <w:u w:val="single"/>
          <w:shd w:val="clear" w:color="auto" w:fill="FFFFFF"/>
        </w:rPr>
        <w:t>（产品名称1）</w:t>
      </w:r>
      <w:r>
        <w:rPr>
          <w:rFonts w:hint="eastAsia" w:hAnsi="宋体" w:cs="宋体"/>
          <w:color w:val="auto"/>
          <w:sz w:val="21"/>
          <w:highlight w:val="none"/>
          <w:shd w:val="clear" w:color="auto" w:fill="FFFFFF"/>
        </w:rPr>
        <w:t>的中国境内生产的组件成本占比≥</w:t>
      </w:r>
      <w:r>
        <w:rPr>
          <w:rFonts w:hint="eastAsia" w:hAnsi="宋体" w:cs="宋体"/>
          <w:color w:val="auto"/>
          <w:sz w:val="21"/>
          <w:highlight w:val="none"/>
          <w:u w:val="single"/>
          <w:shd w:val="clear" w:color="auto" w:fill="FFFFFF"/>
        </w:rPr>
        <w:t xml:space="preserve">   （规定比例）   </w:t>
      </w:r>
      <w:r>
        <w:rPr>
          <w:rFonts w:hint="eastAsia" w:hAnsi="宋体" w:cs="宋体"/>
          <w:color w:val="auto"/>
          <w:sz w:val="21"/>
          <w:highlight w:val="none"/>
          <w:shd w:val="clear" w:color="auto" w:fill="FFFFFF"/>
        </w:rPr>
        <w:t>。</w:t>
      </w:r>
      <w:r>
        <w:rPr>
          <w:rFonts w:hint="eastAsia" w:hAnsi="宋体" w:cs="宋体"/>
          <w:color w:val="auto"/>
          <w:sz w:val="21"/>
          <w:highlight w:val="none"/>
          <w:u w:val="single"/>
          <w:shd w:val="clear" w:color="auto" w:fill="FFFFFF"/>
        </w:rPr>
        <w:t xml:space="preserve">    （产品名称1）    </w:t>
      </w:r>
      <w:r>
        <w:rPr>
          <w:rFonts w:hint="eastAsia" w:hAnsi="宋体" w:cs="宋体"/>
          <w:color w:val="auto"/>
          <w:sz w:val="21"/>
          <w:highlight w:val="none"/>
          <w:shd w:val="clear" w:color="auto" w:fill="FFFFFF"/>
        </w:rPr>
        <w:t>的</w:t>
      </w:r>
      <w:r>
        <w:rPr>
          <w:rFonts w:hint="eastAsia" w:hAnsi="宋体" w:cs="宋体"/>
          <w:color w:val="auto"/>
          <w:sz w:val="21"/>
          <w:highlight w:val="none"/>
          <w:u w:val="single"/>
          <w:shd w:val="clear" w:color="auto" w:fill="FFFFFF"/>
        </w:rPr>
        <w:t xml:space="preserve"> </w:t>
      </w:r>
      <w:r>
        <w:rPr>
          <w:rFonts w:hAnsi="宋体" w:cs="宋体"/>
          <w:color w:val="auto"/>
          <w:sz w:val="21"/>
          <w:highlight w:val="none"/>
          <w:u w:val="single"/>
          <w:shd w:val="clear" w:color="auto" w:fill="FFFFFF"/>
        </w:rPr>
        <w:t xml:space="preserve"> </w:t>
      </w:r>
      <w:r>
        <w:rPr>
          <w:rFonts w:hint="eastAsia" w:hAnsi="宋体" w:cs="宋体"/>
          <w:color w:val="auto"/>
          <w:sz w:val="21"/>
          <w:highlight w:val="none"/>
          <w:u w:val="single"/>
          <w:shd w:val="clear" w:color="auto" w:fill="FFFFFF"/>
        </w:rPr>
        <w:t xml:space="preserve">（关键组件）   </w:t>
      </w:r>
      <w:r>
        <w:rPr>
          <w:rFonts w:hint="eastAsia" w:hAnsi="宋体" w:cs="宋体"/>
          <w:color w:val="auto"/>
          <w:sz w:val="21"/>
          <w:highlight w:val="none"/>
          <w:shd w:val="clear" w:color="auto" w:fill="FFFFFF"/>
        </w:rPr>
        <w:t>在中国境内生产。</w:t>
      </w:r>
      <w:r>
        <w:rPr>
          <w:rFonts w:hint="eastAsia" w:hAnsi="宋体" w:cs="宋体"/>
          <w:color w:val="auto"/>
          <w:sz w:val="21"/>
          <w:highlight w:val="none"/>
          <w:u w:val="single"/>
          <w:shd w:val="clear" w:color="auto" w:fill="FFFFFF"/>
        </w:rPr>
        <w:t xml:space="preserve">   （产品名称1）   </w:t>
      </w:r>
      <w:r>
        <w:rPr>
          <w:rFonts w:hint="eastAsia" w:hAnsi="宋体" w:cs="宋体"/>
          <w:color w:val="auto"/>
          <w:sz w:val="21"/>
          <w:highlight w:val="none"/>
          <w:shd w:val="clear" w:color="auto" w:fill="FFFFFF"/>
        </w:rPr>
        <w:t>的</w:t>
      </w:r>
      <w:r>
        <w:rPr>
          <w:rFonts w:hint="eastAsia" w:hAnsi="宋体" w:cs="宋体"/>
          <w:color w:val="auto"/>
          <w:sz w:val="21"/>
          <w:highlight w:val="none"/>
          <w:u w:val="single"/>
          <w:shd w:val="clear" w:color="auto" w:fill="FFFFFF"/>
        </w:rPr>
        <w:t xml:space="preserve">  （关键工序）  </w:t>
      </w:r>
      <w:r>
        <w:rPr>
          <w:rFonts w:hint="eastAsia" w:hAnsi="宋体" w:cs="宋体"/>
          <w:color w:val="auto"/>
          <w:sz w:val="21"/>
          <w:highlight w:val="none"/>
          <w:shd w:val="clear" w:color="auto" w:fill="FFFFFF"/>
        </w:rPr>
        <w:t>在中国境内完成。</w:t>
      </w:r>
    </w:p>
    <w:p>
      <w:pPr>
        <w:pStyle w:val="32"/>
        <w:numPr>
          <w:ilvl w:val="0"/>
          <w:numId w:val="4"/>
        </w:numPr>
        <w:wordWrap w:val="0"/>
        <w:topLinePunct/>
        <w:spacing w:before="0" w:beforeAutospacing="0" w:after="0" w:afterAutospacing="0" w:line="360" w:lineRule="auto"/>
        <w:ind w:firstLine="420" w:firstLineChars="200"/>
        <w:rPr>
          <w:rFonts w:hAnsi="宋体" w:cs="宋体"/>
          <w:color w:val="auto"/>
          <w:sz w:val="21"/>
          <w:highlight w:val="none"/>
          <w:u w:val="single"/>
          <w:shd w:val="clear" w:color="auto" w:fill="FFFFFF"/>
        </w:rPr>
      </w:pPr>
      <w:r>
        <w:rPr>
          <w:rFonts w:hint="eastAsia" w:hAnsi="宋体" w:cs="宋体"/>
          <w:color w:val="auto"/>
          <w:sz w:val="21"/>
          <w:highlight w:val="none"/>
          <w:u w:val="single"/>
          <w:shd w:val="clear" w:color="auto" w:fill="FFFFFF"/>
        </w:rPr>
        <w:t xml:space="preserve">   （产品名称2）   </w:t>
      </w:r>
      <w:r>
        <w:rPr>
          <w:rFonts w:hint="eastAsia" w:hAnsi="宋体" w:cs="宋体"/>
          <w:color w:val="auto"/>
          <w:sz w:val="21"/>
          <w:highlight w:val="none"/>
          <w:shd w:val="clear" w:color="auto" w:fill="FFFFFF"/>
        </w:rPr>
        <w:t>，生产厂为</w:t>
      </w:r>
      <w:r>
        <w:rPr>
          <w:rFonts w:hint="eastAsia" w:hAnsi="宋体" w:cs="宋体"/>
          <w:color w:val="auto"/>
          <w:sz w:val="21"/>
          <w:highlight w:val="none"/>
          <w:u w:val="single"/>
          <w:shd w:val="clear" w:color="auto" w:fill="FFFFFF"/>
        </w:rPr>
        <w:t xml:space="preserve">     （厂名）     </w:t>
      </w:r>
      <w:r>
        <w:rPr>
          <w:rFonts w:hint="eastAsia" w:hAnsi="宋体" w:cs="宋体"/>
          <w:color w:val="auto"/>
          <w:sz w:val="21"/>
          <w:highlight w:val="none"/>
          <w:shd w:val="clear" w:color="auto" w:fill="FFFFFF"/>
        </w:rPr>
        <w:t>，厂址为</w:t>
      </w:r>
      <w:r>
        <w:rPr>
          <w:rFonts w:hint="eastAsia" w:hAnsi="宋体" w:cs="宋体"/>
          <w:color w:val="auto"/>
          <w:sz w:val="21"/>
          <w:highlight w:val="none"/>
          <w:u w:val="single"/>
          <w:shd w:val="clear" w:color="auto" w:fill="FFFFFF"/>
        </w:rPr>
        <w:t xml:space="preserve">   （生产厂址）    </w:t>
      </w:r>
      <w:r>
        <w:rPr>
          <w:rFonts w:hint="eastAsia" w:hAnsi="宋体" w:cs="宋体"/>
          <w:color w:val="auto"/>
          <w:sz w:val="21"/>
          <w:highlight w:val="none"/>
          <w:shd w:val="clear" w:color="auto" w:fill="FFFFFF"/>
        </w:rPr>
        <w:t>。</w:t>
      </w:r>
      <w:r>
        <w:rPr>
          <w:rFonts w:hint="eastAsia" w:hAnsi="宋体" w:cs="宋体"/>
          <w:color w:val="auto"/>
          <w:sz w:val="21"/>
          <w:highlight w:val="none"/>
          <w:u w:val="single"/>
          <w:shd w:val="clear" w:color="auto" w:fill="FFFFFF"/>
        </w:rPr>
        <w:t>（产品名称2）</w:t>
      </w:r>
      <w:r>
        <w:rPr>
          <w:rFonts w:hint="eastAsia" w:hAnsi="宋体" w:cs="宋体"/>
          <w:color w:val="auto"/>
          <w:sz w:val="21"/>
          <w:highlight w:val="none"/>
          <w:shd w:val="clear" w:color="auto" w:fill="FFFFFF"/>
        </w:rPr>
        <w:t>的中国境内生产的组件成本占比≥</w:t>
      </w:r>
      <w:r>
        <w:rPr>
          <w:rFonts w:hint="eastAsia" w:hAnsi="宋体" w:cs="宋体"/>
          <w:color w:val="auto"/>
          <w:sz w:val="21"/>
          <w:highlight w:val="none"/>
          <w:u w:val="single"/>
          <w:shd w:val="clear" w:color="auto" w:fill="FFFFFF"/>
        </w:rPr>
        <w:t xml:space="preserve">  （规定比例）  </w:t>
      </w:r>
      <w:r>
        <w:rPr>
          <w:rFonts w:hint="eastAsia" w:hAnsi="宋体" w:cs="宋体"/>
          <w:color w:val="auto"/>
          <w:sz w:val="21"/>
          <w:highlight w:val="none"/>
          <w:shd w:val="clear" w:color="auto" w:fill="FFFFFF"/>
        </w:rPr>
        <w:t>。</w:t>
      </w:r>
      <w:r>
        <w:rPr>
          <w:rFonts w:hint="eastAsia" w:hAnsi="宋体" w:cs="宋体"/>
          <w:color w:val="auto"/>
          <w:sz w:val="21"/>
          <w:highlight w:val="none"/>
          <w:u w:val="single"/>
          <w:shd w:val="clear" w:color="auto" w:fill="FFFFFF"/>
        </w:rPr>
        <w:t xml:space="preserve">   （产品名称2）   </w:t>
      </w:r>
      <w:r>
        <w:rPr>
          <w:rFonts w:hint="eastAsia" w:hAnsi="宋体" w:cs="宋体"/>
          <w:color w:val="auto"/>
          <w:sz w:val="21"/>
          <w:highlight w:val="none"/>
          <w:shd w:val="clear" w:color="auto" w:fill="FFFFFF"/>
        </w:rPr>
        <w:t>的</w:t>
      </w:r>
      <w:r>
        <w:rPr>
          <w:rFonts w:hint="eastAsia" w:hAnsi="宋体" w:cs="宋体"/>
          <w:color w:val="auto"/>
          <w:sz w:val="21"/>
          <w:highlight w:val="none"/>
          <w:u w:val="single"/>
          <w:shd w:val="clear" w:color="auto" w:fill="FFFFFF"/>
        </w:rPr>
        <w:t xml:space="preserve"> （关键组件）  </w:t>
      </w:r>
      <w:r>
        <w:rPr>
          <w:rFonts w:hint="eastAsia" w:hAnsi="宋体" w:cs="宋体"/>
          <w:color w:val="auto"/>
          <w:sz w:val="21"/>
          <w:highlight w:val="none"/>
          <w:shd w:val="clear" w:color="auto" w:fill="FFFFFF"/>
        </w:rPr>
        <w:t>在中国境内生产。</w:t>
      </w:r>
      <w:r>
        <w:rPr>
          <w:rFonts w:hint="eastAsia" w:hAnsi="宋体" w:cs="宋体"/>
          <w:color w:val="auto"/>
          <w:sz w:val="21"/>
          <w:highlight w:val="none"/>
          <w:u w:val="single"/>
          <w:shd w:val="clear" w:color="auto" w:fill="FFFFFF"/>
        </w:rPr>
        <w:t xml:space="preserve">   （产品名称2）    </w:t>
      </w:r>
      <w:r>
        <w:rPr>
          <w:rFonts w:hint="eastAsia" w:hAnsi="宋体" w:cs="宋体"/>
          <w:color w:val="auto"/>
          <w:sz w:val="21"/>
          <w:highlight w:val="none"/>
          <w:shd w:val="clear" w:color="auto" w:fill="FFFFFF"/>
        </w:rPr>
        <w:t>的（关键工序）在中国境内完成。</w:t>
      </w:r>
    </w:p>
    <w:p>
      <w:pPr>
        <w:pStyle w:val="32"/>
        <w:wordWrap w:val="0"/>
        <w:topLinePunct/>
        <w:spacing w:before="0" w:beforeAutospacing="0" w:after="0" w:afterAutospacing="0" w:line="360" w:lineRule="auto"/>
        <w:ind w:firstLine="420" w:firstLineChars="200"/>
        <w:rPr>
          <w:rFonts w:hAnsi="宋体" w:cs="宋体"/>
          <w:color w:val="auto"/>
          <w:sz w:val="21"/>
          <w:highlight w:val="none"/>
          <w:shd w:val="clear" w:color="auto" w:fill="FFFFFF"/>
        </w:rPr>
      </w:pPr>
      <w:r>
        <w:rPr>
          <w:rFonts w:hint="eastAsia" w:hAnsi="宋体" w:cs="宋体"/>
          <w:color w:val="auto"/>
          <w:sz w:val="21"/>
          <w:highlight w:val="none"/>
          <w:shd w:val="clear" w:color="auto" w:fill="FFFFFF"/>
        </w:rPr>
        <w:t>……</w:t>
      </w:r>
    </w:p>
    <w:p>
      <w:pPr>
        <w:pStyle w:val="32"/>
        <w:wordWrap w:val="0"/>
        <w:topLinePunct/>
        <w:spacing w:before="0" w:beforeAutospacing="0" w:after="0" w:afterAutospacing="0" w:line="360" w:lineRule="auto"/>
        <w:ind w:firstLine="420" w:firstLineChars="200"/>
        <w:rPr>
          <w:rFonts w:hAnsi="宋体" w:cs="宋体"/>
          <w:color w:val="auto"/>
          <w:sz w:val="21"/>
          <w:highlight w:val="none"/>
          <w:shd w:val="clear" w:color="auto" w:fill="FFFFFF"/>
        </w:rPr>
      </w:pPr>
      <w:r>
        <w:rPr>
          <w:rFonts w:hint="eastAsia" w:hAnsi="宋体" w:cs="宋体"/>
          <w:color w:val="auto"/>
          <w:sz w:val="21"/>
          <w:highlight w:val="none"/>
          <w:shd w:val="clear" w:color="auto" w:fill="FFFFFF"/>
        </w:rPr>
        <w:t>本公司（单位）对上述声明内容的真实性负责。如有虚假，愿承担相应法律责任。</w:t>
      </w:r>
    </w:p>
    <w:p>
      <w:pPr>
        <w:pStyle w:val="32"/>
        <w:spacing w:before="482" w:beforeAutospacing="0" w:after="182" w:afterAutospacing="0" w:line="360" w:lineRule="auto"/>
        <w:ind w:left="150"/>
        <w:rPr>
          <w:rFonts w:hAnsi="宋体" w:cs="宋体"/>
          <w:color w:val="auto"/>
          <w:sz w:val="21"/>
          <w:highlight w:val="none"/>
        </w:rPr>
      </w:pPr>
      <w:r>
        <w:rPr>
          <w:rFonts w:hint="eastAsia" w:hAnsi="宋体" w:cs="宋体"/>
          <w:color w:val="auto"/>
          <w:sz w:val="21"/>
          <w:highlight w:val="none"/>
          <w:shd w:val="clear" w:color="auto" w:fill="FFFFFF"/>
        </w:rPr>
        <w:t> </w:t>
      </w:r>
    </w:p>
    <w:p>
      <w:pPr>
        <w:pStyle w:val="32"/>
        <w:spacing w:before="122" w:beforeAutospacing="0" w:after="62" w:afterAutospacing="0" w:line="360" w:lineRule="auto"/>
        <w:ind w:left="147" w:firstLine="5670" w:firstLineChars="2700"/>
        <w:rPr>
          <w:rFonts w:hAnsi="宋体" w:cs="宋体"/>
          <w:color w:val="auto"/>
          <w:sz w:val="21"/>
          <w:highlight w:val="none"/>
          <w:shd w:val="clear" w:color="auto" w:fill="FFFFFF"/>
        </w:rPr>
      </w:pPr>
      <w:r>
        <w:rPr>
          <w:rFonts w:hint="eastAsia" w:hAnsi="宋体" w:cs="宋体"/>
          <w:color w:val="auto"/>
          <w:sz w:val="21"/>
          <w:highlight w:val="none"/>
          <w:shd w:val="clear" w:color="auto" w:fill="FFFFFF"/>
        </w:rPr>
        <w:t>公司（单位）名称（盖章）：　 </w:t>
      </w:r>
    </w:p>
    <w:p>
      <w:pPr>
        <w:pStyle w:val="32"/>
        <w:spacing w:before="122" w:beforeAutospacing="0" w:after="62" w:afterAutospacing="0" w:line="360" w:lineRule="auto"/>
        <w:ind w:firstLine="6510" w:firstLineChars="3100"/>
        <w:rPr>
          <w:rFonts w:hAnsi="宋体" w:cs="宋体"/>
          <w:color w:val="auto"/>
          <w:sz w:val="21"/>
          <w:highlight w:val="none"/>
          <w:shd w:val="clear" w:color="auto" w:fill="FFFFFF"/>
        </w:rPr>
      </w:pPr>
      <w:r>
        <w:rPr>
          <w:rFonts w:hint="eastAsia" w:hAnsi="宋体" w:cs="宋体"/>
          <w:color w:val="auto"/>
          <w:sz w:val="21"/>
          <w:highlight w:val="none"/>
          <w:shd w:val="clear" w:color="auto" w:fill="FFFFFF"/>
        </w:rPr>
        <w:t>日期：   年   月   日 </w:t>
      </w:r>
    </w:p>
    <w:p>
      <w:pPr>
        <w:pStyle w:val="32"/>
        <w:spacing w:before="122" w:beforeAutospacing="0" w:after="62" w:afterAutospacing="0" w:line="360" w:lineRule="auto"/>
        <w:ind w:firstLine="6510" w:firstLineChars="3100"/>
        <w:rPr>
          <w:rFonts w:hAnsi="宋体" w:cs="宋体"/>
          <w:color w:val="auto"/>
          <w:sz w:val="21"/>
          <w:highlight w:val="none"/>
          <w:shd w:val="clear" w:color="auto" w:fill="FFFFFF"/>
        </w:rPr>
      </w:pPr>
    </w:p>
    <w:p>
      <w:pPr>
        <w:pStyle w:val="2"/>
        <w:spacing w:line="400" w:lineRule="exact"/>
        <w:ind w:right="-105" w:rightChars="-50"/>
        <w:rPr>
          <w:rFonts w:hAnsi="宋体"/>
          <w:b/>
          <w:color w:val="auto"/>
          <w:spacing w:val="-10"/>
          <w:highlight w:val="none"/>
        </w:rPr>
      </w:pPr>
      <w:r>
        <w:rPr>
          <w:rFonts w:hint="eastAsia" w:hAnsi="宋体"/>
          <w:b/>
          <w:color w:val="auto"/>
          <w:spacing w:val="-10"/>
          <w:sz w:val="21"/>
          <w:highlight w:val="none"/>
        </w:rPr>
        <w:t>注：</w:t>
      </w:r>
    </w:p>
    <w:p>
      <w:pPr>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1.产品如有型号，请在“产品名称”栏一并填写。</w:t>
      </w:r>
    </w:p>
    <w:p>
      <w:pPr>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2.生产厂名与厂址应与生产厂营业执照载明的相关信息保持一致。</w:t>
      </w:r>
    </w:p>
    <w:p>
      <w:pPr>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3.该产品的中国境内生产的组件成本占比相关要求实施前，“规定比例”栏可不填，下同。</w:t>
      </w:r>
    </w:p>
    <w:p>
      <w:pPr>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4.该产品的关键组件要求实施前，“关键组件”栏可不填，下同。</w:t>
      </w:r>
    </w:p>
    <w:p>
      <w:pPr>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5.该产品的关键工序要求实施前，“关键工序”栏可不填，下同。</w:t>
      </w:r>
    </w:p>
    <w:p>
      <w:pPr>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投标人按上述格式要求如实填写《关于符合本国产品标准的声明函》，并对该声明函的真实性负责，否则不得享受本国产品扶持政策；投标人提供的《关于符合本国产品标准的声明函》与事实不符的，依照《中华人民共和国政府采购法》第七十七条第一款的规定追究法律责任。</w:t>
      </w:r>
    </w:p>
    <w:p>
      <w:pPr>
        <w:spacing w:line="360" w:lineRule="exact"/>
        <w:ind w:firstLine="420" w:firstLineChars="200"/>
        <w:rPr>
          <w:rFonts w:hint="eastAsia" w:ascii="宋体" w:hAnsi="宋体"/>
          <w:color w:val="auto"/>
          <w:szCs w:val="21"/>
          <w:highlight w:val="none"/>
        </w:rPr>
      </w:pPr>
      <w:r>
        <w:rPr>
          <w:rFonts w:hint="eastAsia" w:ascii="宋体" w:hAnsi="宋体" w:eastAsia="宋体" w:cs="宋体"/>
          <w:color w:val="auto"/>
          <w:sz w:val="21"/>
          <w:highlight w:val="none"/>
        </w:rPr>
        <w:t>7.中标供应商依法享受本国产品扶持政策的，采购代理机构将在</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rPr>
        <w:t>结果公告中公告其《关于符合本国产品标准的声明函》。</w:t>
      </w:r>
    </w:p>
    <w:p>
      <w:pPr>
        <w:spacing w:line="360" w:lineRule="exact"/>
        <w:jc w:val="center"/>
        <w:rPr>
          <w:rFonts w:ascii="宋体" w:hAnsi="宋体"/>
          <w:color w:val="auto"/>
          <w:sz w:val="32"/>
          <w:szCs w:val="32"/>
          <w:highlight w:val="none"/>
        </w:rPr>
      </w:pPr>
    </w:p>
    <w:p>
      <w:pPr>
        <w:pStyle w:val="3"/>
        <w:rPr>
          <w:rFonts w:hint="eastAsia" w:ascii="宋体" w:hAnsi="宋体" w:eastAsia="宋体"/>
          <w:color w:val="auto"/>
          <w:highlight w:val="none"/>
          <w:lang w:eastAsia="zh-CN"/>
        </w:rPr>
      </w:pPr>
      <w:bookmarkStart w:id="20" w:name="_Toc336"/>
      <w:r>
        <w:rPr>
          <w:rFonts w:hint="eastAsia" w:ascii="宋体" w:hAnsi="宋体"/>
          <w:color w:val="auto"/>
          <w:highlight w:val="none"/>
        </w:rPr>
        <w:t>第五章 合同条款</w:t>
      </w:r>
      <w:r>
        <w:rPr>
          <w:rFonts w:hint="eastAsia" w:ascii="宋体" w:hAnsi="宋体"/>
          <w:color w:val="auto"/>
          <w:highlight w:val="none"/>
          <w:lang w:eastAsia="zh-CN"/>
        </w:rPr>
        <w:t>（</w:t>
      </w:r>
      <w:r>
        <w:rPr>
          <w:rFonts w:hint="eastAsia" w:ascii="宋体" w:hAnsi="宋体"/>
          <w:color w:val="auto"/>
          <w:highlight w:val="none"/>
          <w:lang w:val="en-US" w:eastAsia="zh-CN"/>
        </w:rPr>
        <w:t>主要条款</w:t>
      </w:r>
      <w:r>
        <w:rPr>
          <w:rFonts w:hint="eastAsia" w:ascii="宋体" w:hAnsi="宋体"/>
          <w:color w:val="auto"/>
          <w:highlight w:val="none"/>
          <w:lang w:eastAsia="zh-CN"/>
        </w:rPr>
        <w:t>）</w:t>
      </w:r>
      <w:bookmarkEnd w:id="20"/>
    </w:p>
    <w:p>
      <w:pPr>
        <w:pStyle w:val="128"/>
        <w:jc w:val="center"/>
        <w:rPr>
          <w:rFonts w:ascii="宋体" w:hAnsi="宋体" w:eastAsia="宋体" w:cs="宋体"/>
          <w:color w:val="auto"/>
          <w:highlight w:val="none"/>
        </w:rPr>
      </w:pPr>
      <w:bookmarkStart w:id="21" w:name="_Toc296890982"/>
      <w:bookmarkStart w:id="22" w:name="_Toc1756478213"/>
      <w:bookmarkStart w:id="23" w:name="_Toc724920571"/>
      <w:bookmarkStart w:id="24" w:name="_Toc351203480"/>
      <w:bookmarkStart w:id="25" w:name="_Toc407135191"/>
      <w:bookmarkStart w:id="26" w:name="_Toc296503025"/>
      <w:bookmarkStart w:id="27" w:name="_Toc373227552"/>
      <w:bookmarkStart w:id="28" w:name="_Toc373478199"/>
      <w:bookmarkStart w:id="29" w:name="_Toc78449777"/>
      <w:bookmarkStart w:id="30" w:name="_Toc389065255"/>
    </w:p>
    <w:p>
      <w:pPr>
        <w:pStyle w:val="129"/>
        <w:adjustRightInd w:val="0"/>
        <w:snapToGrid w:val="0"/>
        <w:spacing w:line="800" w:lineRule="exact"/>
        <w:contextualSpacing/>
        <w:jc w:val="center"/>
        <w:rPr>
          <w:rFonts w:ascii="宋体" w:hAnsi="宋体" w:cs="宋体"/>
          <w:b/>
          <w:bCs/>
          <w:color w:val="auto"/>
          <w:sz w:val="44"/>
          <w:szCs w:val="44"/>
          <w:highlight w:val="none"/>
        </w:rPr>
      </w:pPr>
      <w:bookmarkStart w:id="31" w:name="_Toc403396429"/>
      <w:bookmarkStart w:id="32" w:name="_Toc74156273"/>
      <w:bookmarkStart w:id="33" w:name="_Toc74156228"/>
    </w:p>
    <w:p>
      <w:pPr>
        <w:pStyle w:val="129"/>
        <w:adjustRightInd w:val="0"/>
        <w:snapToGrid w:val="0"/>
        <w:spacing w:line="800" w:lineRule="exact"/>
        <w:contextualSpacing/>
        <w:jc w:val="center"/>
        <w:rPr>
          <w:rFonts w:ascii="宋体" w:hAnsi="宋体" w:cs="宋体"/>
          <w:b/>
          <w:color w:val="auto"/>
          <w:sz w:val="72"/>
          <w:szCs w:val="72"/>
          <w:highlight w:val="none"/>
        </w:rPr>
      </w:pPr>
      <w:r>
        <w:rPr>
          <w:rFonts w:hint="eastAsia" w:ascii="宋体" w:hAnsi="宋体" w:cs="宋体"/>
          <w:b/>
          <w:bCs/>
          <w:color w:val="auto"/>
          <w:sz w:val="84"/>
          <w:szCs w:val="84"/>
          <w:highlight w:val="none"/>
        </w:rPr>
        <w:t>政府采购合同</w:t>
      </w:r>
    </w:p>
    <w:p>
      <w:pPr>
        <w:pStyle w:val="129"/>
        <w:adjustRightInd w:val="0"/>
        <w:snapToGrid w:val="0"/>
        <w:spacing w:line="800" w:lineRule="exact"/>
        <w:contextualSpacing/>
        <w:rPr>
          <w:rFonts w:ascii="宋体" w:hAnsi="宋体" w:cs="宋体"/>
          <w:b/>
          <w:color w:val="auto"/>
          <w:sz w:val="32"/>
          <w:szCs w:val="32"/>
          <w:highlight w:val="none"/>
        </w:rPr>
      </w:pPr>
    </w:p>
    <w:p>
      <w:pPr>
        <w:spacing w:line="360" w:lineRule="exact"/>
        <w:ind w:firstLine="643" w:firstLineChars="2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 xml:space="preserve">项目名称： </w:t>
      </w:r>
      <w:r>
        <w:rPr>
          <w:rFonts w:hint="eastAsia" w:ascii="宋体" w:hAnsi="宋体" w:eastAsia="宋体" w:cs="宋体"/>
          <w:b/>
          <w:color w:val="auto"/>
          <w:sz w:val="32"/>
          <w:szCs w:val="32"/>
          <w:highlight w:val="none"/>
          <w:lang w:eastAsia="zh-CN"/>
        </w:rPr>
        <w:t>振动噪声测试与控制协同创新平台--扫描</w:t>
      </w:r>
    </w:p>
    <w:p>
      <w:pPr>
        <w:spacing w:line="360" w:lineRule="exact"/>
        <w:ind w:firstLine="643" w:firstLineChars="2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式激光测振仪采购</w:t>
      </w:r>
    </w:p>
    <w:p>
      <w:pPr>
        <w:spacing w:line="360" w:lineRule="exact"/>
        <w:ind w:left="2202" w:leftChars="284" w:hanging="1606" w:hangingChars="500"/>
        <w:rPr>
          <w:rFonts w:ascii="宋体" w:hAnsi="宋体" w:cs="宋体"/>
          <w:b/>
          <w:color w:val="auto"/>
          <w:sz w:val="32"/>
          <w:szCs w:val="32"/>
          <w:highlight w:val="none"/>
        </w:rPr>
      </w:pPr>
    </w:p>
    <w:p>
      <w:pPr>
        <w:spacing w:line="360" w:lineRule="exact"/>
        <w:rPr>
          <w:rFonts w:ascii="宋体" w:hAnsi="宋体" w:cs="宋体"/>
          <w:b/>
          <w:color w:val="auto"/>
          <w:sz w:val="32"/>
          <w:szCs w:val="32"/>
          <w:highlight w:val="none"/>
        </w:rPr>
      </w:pPr>
    </w:p>
    <w:p>
      <w:pPr>
        <w:spacing w:line="360" w:lineRule="exact"/>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项目编号：</w:t>
      </w:r>
      <w:r>
        <w:rPr>
          <w:rFonts w:hint="eastAsia" w:ascii="宋体" w:hAnsi="宋体" w:cs="宋体"/>
          <w:b/>
          <w:bCs/>
          <w:color w:val="auto"/>
          <w:sz w:val="32"/>
          <w:szCs w:val="32"/>
          <w:highlight w:val="none"/>
        </w:rPr>
        <w:t xml:space="preserve"> </w:t>
      </w:r>
    </w:p>
    <w:p>
      <w:pPr>
        <w:spacing w:line="360" w:lineRule="exact"/>
        <w:ind w:firstLine="643" w:firstLineChars="200"/>
        <w:rPr>
          <w:rFonts w:ascii="宋体" w:hAnsi="宋体" w:cs="宋体"/>
          <w:b/>
          <w:bCs/>
          <w:color w:val="auto"/>
          <w:sz w:val="32"/>
          <w:szCs w:val="32"/>
          <w:highlight w:val="none"/>
        </w:rPr>
      </w:pPr>
    </w:p>
    <w:p>
      <w:pPr>
        <w:spacing w:line="360" w:lineRule="exact"/>
        <w:ind w:firstLine="643" w:firstLineChars="200"/>
        <w:rPr>
          <w:rFonts w:ascii="宋体" w:hAnsi="宋体" w:cs="宋体"/>
          <w:b/>
          <w:bCs/>
          <w:color w:val="auto"/>
          <w:sz w:val="32"/>
          <w:szCs w:val="32"/>
          <w:highlight w:val="none"/>
        </w:rPr>
      </w:pPr>
    </w:p>
    <w:p>
      <w:pPr>
        <w:spacing w:line="36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合同编号： </w:t>
      </w:r>
    </w:p>
    <w:p>
      <w:pPr>
        <w:spacing w:line="360" w:lineRule="exact"/>
        <w:ind w:firstLine="643" w:firstLineChars="200"/>
        <w:rPr>
          <w:rFonts w:ascii="宋体" w:hAnsi="宋体" w:cs="宋体"/>
          <w:b/>
          <w:bCs/>
          <w:color w:val="auto"/>
          <w:sz w:val="32"/>
          <w:szCs w:val="32"/>
          <w:highlight w:val="none"/>
        </w:rPr>
      </w:pPr>
    </w:p>
    <w:p>
      <w:pPr>
        <w:spacing w:line="360" w:lineRule="exact"/>
        <w:ind w:firstLine="643" w:firstLineChars="200"/>
        <w:rPr>
          <w:rFonts w:ascii="宋体" w:hAnsi="宋体" w:cs="宋体"/>
          <w:b/>
          <w:bCs/>
          <w:color w:val="auto"/>
          <w:sz w:val="32"/>
          <w:szCs w:val="32"/>
          <w:highlight w:val="none"/>
        </w:rPr>
      </w:pPr>
    </w:p>
    <w:p>
      <w:pPr>
        <w:spacing w:line="36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合同甲方：</w:t>
      </w:r>
    </w:p>
    <w:p>
      <w:pPr>
        <w:spacing w:line="360" w:lineRule="exact"/>
        <w:ind w:firstLine="643" w:firstLineChars="200"/>
        <w:rPr>
          <w:rFonts w:ascii="宋体" w:hAnsi="宋体" w:cs="宋体"/>
          <w:b/>
          <w:bCs/>
          <w:color w:val="auto"/>
          <w:sz w:val="32"/>
          <w:szCs w:val="32"/>
          <w:highlight w:val="none"/>
        </w:rPr>
      </w:pPr>
    </w:p>
    <w:p>
      <w:pPr>
        <w:spacing w:line="360" w:lineRule="exact"/>
        <w:ind w:firstLine="643" w:firstLineChars="200"/>
        <w:rPr>
          <w:rFonts w:ascii="宋体" w:hAnsi="宋体" w:cs="宋体"/>
          <w:b/>
          <w:bCs/>
          <w:color w:val="auto"/>
          <w:sz w:val="32"/>
          <w:szCs w:val="32"/>
          <w:highlight w:val="none"/>
        </w:rPr>
      </w:pPr>
    </w:p>
    <w:p>
      <w:pPr>
        <w:spacing w:line="36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合同乙方：  </w:t>
      </w:r>
    </w:p>
    <w:p>
      <w:pPr>
        <w:spacing w:line="360" w:lineRule="exact"/>
        <w:ind w:firstLine="643" w:firstLineChars="200"/>
        <w:rPr>
          <w:rFonts w:ascii="宋体" w:hAnsi="宋体" w:cs="宋体"/>
          <w:b/>
          <w:bCs/>
          <w:color w:val="auto"/>
          <w:sz w:val="32"/>
          <w:szCs w:val="32"/>
          <w:highlight w:val="none"/>
        </w:rPr>
      </w:pPr>
    </w:p>
    <w:p>
      <w:pPr>
        <w:spacing w:line="360" w:lineRule="exact"/>
        <w:ind w:firstLine="643" w:firstLineChars="200"/>
        <w:rPr>
          <w:rFonts w:ascii="宋体" w:hAnsi="宋体" w:cs="宋体"/>
          <w:b/>
          <w:bCs/>
          <w:color w:val="auto"/>
          <w:sz w:val="32"/>
          <w:szCs w:val="32"/>
          <w:highlight w:val="none"/>
        </w:rPr>
      </w:pPr>
    </w:p>
    <w:p>
      <w:pPr>
        <w:spacing w:line="36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合同签订时间：</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年  月  日</w:t>
      </w:r>
    </w:p>
    <w:p>
      <w:pPr>
        <w:pStyle w:val="129"/>
        <w:adjustRightInd w:val="0"/>
        <w:snapToGrid w:val="0"/>
        <w:spacing w:line="800" w:lineRule="exact"/>
        <w:contextualSpacing/>
        <w:rPr>
          <w:rFonts w:ascii="宋体" w:hAnsi="宋体" w:cs="宋体"/>
          <w:b/>
          <w:bCs/>
          <w:color w:val="auto"/>
          <w:sz w:val="32"/>
          <w:szCs w:val="32"/>
          <w:highlight w:val="none"/>
          <w:u w:val="single"/>
        </w:rPr>
      </w:pPr>
    </w:p>
    <w:p>
      <w:pPr>
        <w:pStyle w:val="129"/>
        <w:adjustRightInd w:val="0"/>
        <w:snapToGrid w:val="0"/>
        <w:spacing w:line="800" w:lineRule="exact"/>
        <w:contextualSpacing/>
        <w:rPr>
          <w:rFonts w:ascii="宋体" w:hAnsi="宋体" w:cs="宋体"/>
          <w:b/>
          <w:bCs/>
          <w:color w:val="auto"/>
          <w:sz w:val="32"/>
          <w:szCs w:val="32"/>
          <w:highlight w:val="none"/>
          <w:u w:val="single"/>
        </w:rPr>
      </w:pPr>
    </w:p>
    <w:p>
      <w:pPr>
        <w:pStyle w:val="129"/>
        <w:adjustRightInd w:val="0"/>
        <w:snapToGrid w:val="0"/>
        <w:spacing w:line="800" w:lineRule="exact"/>
        <w:contextualSpacing/>
        <w:rPr>
          <w:rFonts w:ascii="宋体" w:hAnsi="宋体" w:cs="宋体"/>
          <w:b/>
          <w:bCs/>
          <w:color w:val="auto"/>
          <w:sz w:val="28"/>
          <w:szCs w:val="28"/>
          <w:highlight w:val="none"/>
          <w:u w:val="single"/>
        </w:rPr>
      </w:pPr>
    </w:p>
    <w:p>
      <w:pPr>
        <w:pStyle w:val="129"/>
        <w:adjustRightInd w:val="0"/>
        <w:snapToGrid w:val="0"/>
        <w:spacing w:line="800" w:lineRule="exact"/>
        <w:contextualSpacing/>
        <w:rPr>
          <w:rFonts w:ascii="宋体" w:hAnsi="宋体" w:cs="宋体"/>
          <w:b/>
          <w:bCs/>
          <w:color w:val="auto"/>
          <w:sz w:val="28"/>
          <w:szCs w:val="28"/>
          <w:highlight w:val="none"/>
          <w:u w:val="single"/>
        </w:rPr>
      </w:pPr>
    </w:p>
    <w:p>
      <w:pPr>
        <w:pStyle w:val="129"/>
        <w:adjustRightInd w:val="0"/>
        <w:snapToGrid w:val="0"/>
        <w:spacing w:line="800" w:lineRule="exact"/>
        <w:contextualSpacing/>
        <w:rPr>
          <w:rFonts w:ascii="宋体" w:hAnsi="宋体" w:cs="宋体"/>
          <w:b/>
          <w:bCs/>
          <w:color w:val="auto"/>
          <w:sz w:val="28"/>
          <w:szCs w:val="28"/>
          <w:highlight w:val="none"/>
          <w:u w:val="single"/>
        </w:rPr>
      </w:pPr>
    </w:p>
    <w:bookmarkEnd w:id="31"/>
    <w:bookmarkEnd w:id="32"/>
    <w:bookmarkEnd w:id="33"/>
    <w:p>
      <w:pPr>
        <w:pStyle w:val="3"/>
        <w:spacing w:line="360" w:lineRule="exact"/>
        <w:rPr>
          <w:rFonts w:hint="eastAsia" w:ascii="宋体" w:hAnsi="宋体" w:cs="宋体"/>
          <w:color w:val="auto"/>
          <w:sz w:val="28"/>
          <w:szCs w:val="28"/>
          <w:highlight w:val="none"/>
        </w:rPr>
        <w:sectPr>
          <w:pgSz w:w="11906" w:h="16838"/>
          <w:pgMar w:top="1134" w:right="1134" w:bottom="1134" w:left="1134" w:header="720" w:footer="720" w:gutter="0"/>
          <w:pgNumType w:fmt="decimal"/>
          <w:cols w:space="0" w:num="1"/>
          <w:docGrid w:type="lines" w:linePitch="312" w:charSpace="0"/>
        </w:sectPr>
      </w:pPr>
    </w:p>
    <w:p>
      <w:pPr>
        <w:pStyle w:val="3"/>
        <w:spacing w:line="360" w:lineRule="exact"/>
        <w:rPr>
          <w:rFonts w:hint="eastAsia" w:ascii="宋体" w:hAnsi="宋体" w:eastAsia="宋体" w:cs="宋体"/>
          <w:color w:val="auto"/>
          <w:sz w:val="28"/>
          <w:szCs w:val="28"/>
          <w:highlight w:val="none"/>
          <w:lang w:eastAsia="zh-CN"/>
        </w:rPr>
      </w:pPr>
      <w:bookmarkStart w:id="34" w:name="_Toc27904"/>
      <w:bookmarkStart w:id="35" w:name="_Toc10916"/>
      <w:bookmarkStart w:id="36" w:name="_Toc20923"/>
      <w:r>
        <w:rPr>
          <w:rFonts w:hint="eastAsia" w:ascii="宋体" w:hAnsi="宋体" w:cs="宋体"/>
          <w:color w:val="auto"/>
          <w:sz w:val="28"/>
          <w:szCs w:val="28"/>
          <w:highlight w:val="none"/>
        </w:rPr>
        <w:t>政府采购合同</w:t>
      </w:r>
      <w:bookmarkEnd w:id="34"/>
      <w:bookmarkEnd w:id="35"/>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主要条款</w:t>
      </w:r>
      <w:r>
        <w:rPr>
          <w:rFonts w:hint="eastAsia" w:ascii="宋体" w:hAnsi="宋体" w:cs="宋体"/>
          <w:color w:val="auto"/>
          <w:sz w:val="28"/>
          <w:szCs w:val="28"/>
          <w:highlight w:val="none"/>
          <w:lang w:eastAsia="zh-CN"/>
        </w:rPr>
        <w:t>）</w:t>
      </w:r>
      <w:bookmarkEnd w:id="36"/>
    </w:p>
    <w:p>
      <w:pPr>
        <w:spacing w:line="360" w:lineRule="exact"/>
        <w:rPr>
          <w:rFonts w:ascii="宋体" w:hAnsi="宋体"/>
          <w:color w:val="auto"/>
          <w:szCs w:val="21"/>
          <w:highlight w:val="none"/>
        </w:rPr>
      </w:pPr>
      <w:bookmarkStart w:id="37" w:name="_Toc99768080"/>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采购计划号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 xml:space="preserve">签订地点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签订时间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根据《中华人民共和国政府采购法》、《中华人民共和国民法典》等法律、法规规定，按照竞争性谈判文件规定条款和成交供应 商竞争性谈判响应文件及其承诺，甲乙双方签订本合同。</w:t>
      </w:r>
    </w:p>
    <w:p>
      <w:pPr>
        <w:pStyle w:val="2"/>
        <w:spacing w:after="0" w:line="360" w:lineRule="exact"/>
        <w:ind w:firstLine="478" w:firstLineChars="200"/>
        <w:jc w:val="both"/>
        <w:rPr>
          <w:rFonts w:hAnsi="宋体" w:cs="宋体"/>
          <w:b/>
          <w:bCs/>
          <w:color w:val="auto"/>
          <w:spacing w:val="14"/>
          <w:sz w:val="21"/>
          <w:szCs w:val="21"/>
          <w:highlight w:val="none"/>
        </w:rPr>
      </w:pPr>
      <w:r>
        <w:rPr>
          <w:rFonts w:hint="eastAsia" w:hAnsi="宋体" w:cs="宋体"/>
          <w:b/>
          <w:bCs/>
          <w:color w:val="auto"/>
          <w:spacing w:val="14"/>
          <w:sz w:val="21"/>
          <w:szCs w:val="21"/>
          <w:highlight w:val="none"/>
        </w:rPr>
        <w:t>第</w:t>
      </w:r>
      <w:r>
        <w:rPr>
          <w:rFonts w:hint="eastAsia" w:hAnsi="宋体" w:cs="宋体"/>
          <w:color w:val="auto"/>
          <w:spacing w:val="-73"/>
          <w:sz w:val="21"/>
          <w:szCs w:val="21"/>
          <w:highlight w:val="none"/>
        </w:rPr>
        <w:t xml:space="preserve"> </w:t>
      </w:r>
      <w:r>
        <w:rPr>
          <w:rFonts w:hint="eastAsia" w:hAnsi="宋体" w:cs="宋体"/>
          <w:b/>
          <w:bCs/>
          <w:color w:val="auto"/>
          <w:spacing w:val="14"/>
          <w:sz w:val="21"/>
          <w:szCs w:val="21"/>
          <w:highlight w:val="none"/>
        </w:rPr>
        <w:t>一</w:t>
      </w:r>
      <w:r>
        <w:rPr>
          <w:rFonts w:hint="eastAsia" w:hAnsi="宋体" w:cs="宋体"/>
          <w:color w:val="auto"/>
          <w:spacing w:val="-79"/>
          <w:sz w:val="21"/>
          <w:szCs w:val="21"/>
          <w:highlight w:val="none"/>
        </w:rPr>
        <w:t xml:space="preserve"> </w:t>
      </w:r>
      <w:r>
        <w:rPr>
          <w:rFonts w:hint="eastAsia" w:hAnsi="宋体" w:cs="宋体"/>
          <w:b/>
          <w:bCs/>
          <w:color w:val="auto"/>
          <w:spacing w:val="14"/>
          <w:sz w:val="21"/>
          <w:szCs w:val="21"/>
          <w:highlight w:val="none"/>
        </w:rPr>
        <w:t>条</w:t>
      </w:r>
      <w:r>
        <w:rPr>
          <w:rFonts w:hint="eastAsia" w:hAnsi="宋体" w:cs="宋体"/>
          <w:color w:val="auto"/>
          <w:spacing w:val="23"/>
          <w:sz w:val="21"/>
          <w:szCs w:val="21"/>
          <w:highlight w:val="none"/>
        </w:rPr>
        <w:t xml:space="preserve"> </w:t>
      </w:r>
      <w:r>
        <w:rPr>
          <w:rFonts w:hint="eastAsia" w:hAnsi="宋体" w:cs="宋体"/>
          <w:b/>
          <w:bCs/>
          <w:color w:val="auto"/>
          <w:spacing w:val="14"/>
          <w:sz w:val="21"/>
          <w:szCs w:val="21"/>
          <w:highlight w:val="none"/>
        </w:rPr>
        <w:t>合同标的</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1.供货一览表</w:t>
      </w:r>
    </w:p>
    <w:tbl>
      <w:tblPr>
        <w:tblStyle w:val="140"/>
        <w:tblW w:w="91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241"/>
        <w:gridCol w:w="996"/>
        <w:gridCol w:w="989"/>
        <w:gridCol w:w="979"/>
        <w:gridCol w:w="888"/>
        <w:gridCol w:w="968"/>
        <w:gridCol w:w="1104"/>
        <w:gridCol w:w="11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786" w:type="dxa"/>
            <w:vAlign w:val="center"/>
          </w:tcPr>
          <w:p>
            <w:pPr>
              <w:pStyle w:val="2"/>
              <w:adjustRightInd/>
              <w:spacing w:after="0" w:line="360" w:lineRule="exact"/>
              <w:jc w:val="center"/>
              <w:rPr>
                <w:rFonts w:hAnsi="宋体"/>
                <w:color w:val="auto"/>
                <w:kern w:val="2"/>
                <w:sz w:val="21"/>
                <w:szCs w:val="21"/>
                <w:highlight w:val="none"/>
              </w:rPr>
            </w:pPr>
            <w:r>
              <w:rPr>
                <w:rFonts w:hint="eastAsia" w:hAnsi="宋体"/>
                <w:color w:val="auto"/>
                <w:kern w:val="2"/>
                <w:sz w:val="21"/>
                <w:szCs w:val="21"/>
                <w:highlight w:val="none"/>
              </w:rPr>
              <w:t>序号</w:t>
            </w:r>
          </w:p>
        </w:tc>
        <w:tc>
          <w:tcPr>
            <w:tcW w:w="1241" w:type="dxa"/>
            <w:vAlign w:val="center"/>
          </w:tcPr>
          <w:p>
            <w:pPr>
              <w:pStyle w:val="2"/>
              <w:adjustRightInd/>
              <w:spacing w:after="0" w:line="360" w:lineRule="exact"/>
              <w:jc w:val="center"/>
              <w:rPr>
                <w:rFonts w:hAnsi="宋体"/>
                <w:color w:val="auto"/>
                <w:kern w:val="2"/>
                <w:sz w:val="21"/>
                <w:szCs w:val="21"/>
                <w:highlight w:val="none"/>
              </w:rPr>
            </w:pPr>
            <w:r>
              <w:rPr>
                <w:rFonts w:hint="eastAsia" w:hAnsi="宋体"/>
                <w:color w:val="auto"/>
                <w:kern w:val="2"/>
                <w:sz w:val="21"/>
                <w:szCs w:val="21"/>
                <w:highlight w:val="none"/>
              </w:rPr>
              <w:t>标的名称</w:t>
            </w:r>
          </w:p>
        </w:tc>
        <w:tc>
          <w:tcPr>
            <w:tcW w:w="996" w:type="dxa"/>
            <w:vAlign w:val="center"/>
          </w:tcPr>
          <w:p>
            <w:pPr>
              <w:pStyle w:val="2"/>
              <w:adjustRightInd/>
              <w:spacing w:after="0" w:line="360" w:lineRule="exact"/>
              <w:jc w:val="center"/>
              <w:rPr>
                <w:rFonts w:hAnsi="宋体"/>
                <w:color w:val="auto"/>
                <w:kern w:val="2"/>
                <w:sz w:val="21"/>
                <w:szCs w:val="21"/>
                <w:highlight w:val="none"/>
              </w:rPr>
            </w:pPr>
            <w:r>
              <w:rPr>
                <w:rFonts w:hint="eastAsia" w:hAnsi="宋体"/>
                <w:color w:val="auto"/>
                <w:kern w:val="2"/>
                <w:sz w:val="21"/>
                <w:szCs w:val="21"/>
                <w:highlight w:val="none"/>
              </w:rPr>
              <w:t>商标品牌</w:t>
            </w:r>
          </w:p>
        </w:tc>
        <w:tc>
          <w:tcPr>
            <w:tcW w:w="989" w:type="dxa"/>
            <w:vAlign w:val="center"/>
          </w:tcPr>
          <w:p>
            <w:pPr>
              <w:pStyle w:val="2"/>
              <w:adjustRightInd/>
              <w:spacing w:after="0" w:line="360" w:lineRule="exact"/>
              <w:jc w:val="center"/>
              <w:rPr>
                <w:rFonts w:hAnsi="宋体"/>
                <w:color w:val="auto"/>
                <w:kern w:val="2"/>
                <w:sz w:val="21"/>
                <w:szCs w:val="21"/>
                <w:highlight w:val="none"/>
              </w:rPr>
            </w:pPr>
            <w:r>
              <w:rPr>
                <w:rFonts w:hint="eastAsia" w:hAnsi="宋体"/>
                <w:color w:val="auto"/>
                <w:kern w:val="2"/>
                <w:sz w:val="21"/>
                <w:szCs w:val="21"/>
                <w:highlight w:val="none"/>
              </w:rPr>
              <w:t>型号参数</w:t>
            </w:r>
          </w:p>
        </w:tc>
        <w:tc>
          <w:tcPr>
            <w:tcW w:w="979" w:type="dxa"/>
            <w:vAlign w:val="center"/>
          </w:tcPr>
          <w:p>
            <w:pPr>
              <w:pStyle w:val="2"/>
              <w:adjustRightInd/>
              <w:spacing w:after="0" w:line="360" w:lineRule="exact"/>
              <w:jc w:val="center"/>
              <w:rPr>
                <w:rFonts w:hAnsi="宋体"/>
                <w:color w:val="auto"/>
                <w:kern w:val="2"/>
                <w:sz w:val="21"/>
                <w:szCs w:val="21"/>
                <w:highlight w:val="none"/>
              </w:rPr>
            </w:pPr>
            <w:r>
              <w:rPr>
                <w:rFonts w:hint="eastAsia" w:hAnsi="宋体"/>
                <w:color w:val="auto"/>
                <w:kern w:val="2"/>
                <w:sz w:val="21"/>
                <w:szCs w:val="21"/>
                <w:highlight w:val="none"/>
              </w:rPr>
              <w:t>生产厂家</w:t>
            </w:r>
          </w:p>
        </w:tc>
        <w:tc>
          <w:tcPr>
            <w:tcW w:w="888" w:type="dxa"/>
            <w:vAlign w:val="center"/>
          </w:tcPr>
          <w:p>
            <w:pPr>
              <w:pStyle w:val="2"/>
              <w:adjustRightInd/>
              <w:spacing w:after="0" w:line="360" w:lineRule="exact"/>
              <w:jc w:val="center"/>
              <w:rPr>
                <w:rFonts w:hAnsi="宋体"/>
                <w:color w:val="auto"/>
                <w:kern w:val="2"/>
                <w:sz w:val="21"/>
                <w:szCs w:val="21"/>
                <w:highlight w:val="none"/>
              </w:rPr>
            </w:pPr>
            <w:r>
              <w:rPr>
                <w:rFonts w:hint="eastAsia" w:hAnsi="宋体"/>
                <w:color w:val="auto"/>
                <w:kern w:val="2"/>
                <w:sz w:val="21"/>
                <w:szCs w:val="21"/>
                <w:highlight w:val="none"/>
              </w:rPr>
              <w:t>数量</w:t>
            </w:r>
          </w:p>
        </w:tc>
        <w:tc>
          <w:tcPr>
            <w:tcW w:w="968" w:type="dxa"/>
            <w:vAlign w:val="center"/>
          </w:tcPr>
          <w:p>
            <w:pPr>
              <w:pStyle w:val="2"/>
              <w:adjustRightInd/>
              <w:spacing w:after="0" w:line="360" w:lineRule="exact"/>
              <w:jc w:val="center"/>
              <w:rPr>
                <w:rFonts w:hAnsi="宋体"/>
                <w:color w:val="auto"/>
                <w:kern w:val="2"/>
                <w:sz w:val="21"/>
                <w:szCs w:val="21"/>
                <w:highlight w:val="none"/>
              </w:rPr>
            </w:pPr>
            <w:r>
              <w:rPr>
                <w:rFonts w:hint="eastAsia" w:hAnsi="宋体"/>
                <w:color w:val="auto"/>
                <w:kern w:val="2"/>
                <w:sz w:val="21"/>
                <w:szCs w:val="21"/>
                <w:highlight w:val="none"/>
              </w:rPr>
              <w:t>单位</w:t>
            </w:r>
          </w:p>
        </w:tc>
        <w:tc>
          <w:tcPr>
            <w:tcW w:w="1104" w:type="dxa"/>
            <w:vAlign w:val="center"/>
          </w:tcPr>
          <w:p>
            <w:pPr>
              <w:pStyle w:val="2"/>
              <w:adjustRightInd/>
              <w:spacing w:after="0" w:line="360" w:lineRule="exact"/>
              <w:jc w:val="center"/>
              <w:rPr>
                <w:rFonts w:hAnsi="宋体"/>
                <w:color w:val="auto"/>
                <w:kern w:val="2"/>
                <w:sz w:val="21"/>
                <w:szCs w:val="21"/>
                <w:highlight w:val="none"/>
              </w:rPr>
            </w:pPr>
            <w:r>
              <w:rPr>
                <w:rFonts w:hint="eastAsia" w:hAnsi="宋体"/>
                <w:color w:val="auto"/>
                <w:kern w:val="2"/>
                <w:sz w:val="21"/>
                <w:szCs w:val="21"/>
                <w:highlight w:val="none"/>
              </w:rPr>
              <w:t>单价 (元)</w:t>
            </w:r>
          </w:p>
        </w:tc>
        <w:tc>
          <w:tcPr>
            <w:tcW w:w="1153" w:type="dxa"/>
            <w:vAlign w:val="center"/>
          </w:tcPr>
          <w:p>
            <w:pPr>
              <w:pStyle w:val="2"/>
              <w:adjustRightInd/>
              <w:spacing w:after="0" w:line="360" w:lineRule="exact"/>
              <w:jc w:val="center"/>
              <w:rPr>
                <w:rFonts w:hAnsi="宋体"/>
                <w:color w:val="auto"/>
                <w:kern w:val="2"/>
                <w:sz w:val="21"/>
                <w:szCs w:val="21"/>
                <w:highlight w:val="none"/>
              </w:rPr>
            </w:pPr>
            <w:r>
              <w:rPr>
                <w:rFonts w:hint="eastAsia" w:hAnsi="宋体"/>
                <w:color w:val="auto"/>
                <w:kern w:val="2"/>
                <w:sz w:val="21"/>
                <w:szCs w:val="21"/>
                <w:highlight w:val="none"/>
              </w:rPr>
              <w:t>金额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86" w:type="dxa"/>
          </w:tcPr>
          <w:p>
            <w:pPr>
              <w:pStyle w:val="139"/>
              <w:spacing w:line="360" w:lineRule="exact"/>
              <w:jc w:val="center"/>
              <w:rPr>
                <w:color w:val="auto"/>
                <w:sz w:val="21"/>
                <w:szCs w:val="21"/>
                <w:highlight w:val="none"/>
              </w:rPr>
            </w:pPr>
            <w:r>
              <w:rPr>
                <w:rFonts w:hint="eastAsia"/>
                <w:color w:val="auto"/>
                <w:sz w:val="21"/>
                <w:szCs w:val="21"/>
                <w:highlight w:val="none"/>
              </w:rPr>
              <w:t>1</w:t>
            </w:r>
          </w:p>
        </w:tc>
        <w:tc>
          <w:tcPr>
            <w:tcW w:w="1241" w:type="dxa"/>
          </w:tcPr>
          <w:p>
            <w:pPr>
              <w:spacing w:line="360" w:lineRule="exact"/>
              <w:rPr>
                <w:rFonts w:ascii="宋体" w:hAnsi="宋体" w:cs="宋体"/>
                <w:color w:val="auto"/>
                <w:szCs w:val="21"/>
                <w:highlight w:val="none"/>
              </w:rPr>
            </w:pPr>
          </w:p>
        </w:tc>
        <w:tc>
          <w:tcPr>
            <w:tcW w:w="996" w:type="dxa"/>
          </w:tcPr>
          <w:p>
            <w:pPr>
              <w:spacing w:line="360" w:lineRule="exact"/>
              <w:rPr>
                <w:rFonts w:ascii="宋体" w:hAnsi="宋体" w:cs="宋体"/>
                <w:color w:val="auto"/>
                <w:szCs w:val="21"/>
                <w:highlight w:val="none"/>
              </w:rPr>
            </w:pPr>
          </w:p>
        </w:tc>
        <w:tc>
          <w:tcPr>
            <w:tcW w:w="989" w:type="dxa"/>
          </w:tcPr>
          <w:p>
            <w:pPr>
              <w:spacing w:line="360" w:lineRule="exact"/>
              <w:rPr>
                <w:rFonts w:ascii="宋体" w:hAnsi="宋体" w:cs="宋体"/>
                <w:color w:val="auto"/>
                <w:szCs w:val="21"/>
                <w:highlight w:val="none"/>
              </w:rPr>
            </w:pPr>
          </w:p>
        </w:tc>
        <w:tc>
          <w:tcPr>
            <w:tcW w:w="979" w:type="dxa"/>
          </w:tcPr>
          <w:p>
            <w:pPr>
              <w:spacing w:line="360" w:lineRule="exact"/>
              <w:rPr>
                <w:rFonts w:ascii="宋体" w:hAnsi="宋体" w:cs="宋体"/>
                <w:color w:val="auto"/>
                <w:szCs w:val="21"/>
                <w:highlight w:val="none"/>
              </w:rPr>
            </w:pPr>
          </w:p>
        </w:tc>
        <w:tc>
          <w:tcPr>
            <w:tcW w:w="888" w:type="dxa"/>
          </w:tcPr>
          <w:p>
            <w:pPr>
              <w:spacing w:line="360" w:lineRule="exact"/>
              <w:rPr>
                <w:rFonts w:ascii="宋体" w:hAnsi="宋体" w:cs="宋体"/>
                <w:color w:val="auto"/>
                <w:szCs w:val="21"/>
                <w:highlight w:val="none"/>
              </w:rPr>
            </w:pPr>
          </w:p>
        </w:tc>
        <w:tc>
          <w:tcPr>
            <w:tcW w:w="968" w:type="dxa"/>
          </w:tcPr>
          <w:p>
            <w:pPr>
              <w:spacing w:line="360" w:lineRule="exact"/>
              <w:rPr>
                <w:rFonts w:ascii="宋体" w:hAnsi="宋体" w:cs="宋体"/>
                <w:color w:val="auto"/>
                <w:szCs w:val="21"/>
                <w:highlight w:val="none"/>
              </w:rPr>
            </w:pPr>
          </w:p>
        </w:tc>
        <w:tc>
          <w:tcPr>
            <w:tcW w:w="1104" w:type="dxa"/>
          </w:tcPr>
          <w:p>
            <w:pPr>
              <w:spacing w:line="360" w:lineRule="exact"/>
              <w:rPr>
                <w:rFonts w:ascii="宋体" w:hAnsi="宋体" w:cs="宋体"/>
                <w:color w:val="auto"/>
                <w:szCs w:val="21"/>
                <w:highlight w:val="none"/>
              </w:rPr>
            </w:pPr>
          </w:p>
        </w:tc>
        <w:tc>
          <w:tcPr>
            <w:tcW w:w="1153" w:type="dxa"/>
          </w:tcPr>
          <w:p>
            <w:pPr>
              <w:spacing w:line="360" w:lineRule="exact"/>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86" w:type="dxa"/>
          </w:tcPr>
          <w:p>
            <w:pPr>
              <w:pStyle w:val="139"/>
              <w:spacing w:line="360" w:lineRule="exact"/>
              <w:jc w:val="center"/>
              <w:rPr>
                <w:color w:val="auto"/>
                <w:sz w:val="21"/>
                <w:szCs w:val="21"/>
                <w:highlight w:val="none"/>
              </w:rPr>
            </w:pPr>
            <w:r>
              <w:rPr>
                <w:rFonts w:hint="eastAsia"/>
                <w:color w:val="auto"/>
                <w:sz w:val="21"/>
                <w:szCs w:val="21"/>
                <w:highlight w:val="none"/>
              </w:rPr>
              <w:t>2</w:t>
            </w:r>
          </w:p>
        </w:tc>
        <w:tc>
          <w:tcPr>
            <w:tcW w:w="1241" w:type="dxa"/>
          </w:tcPr>
          <w:p>
            <w:pPr>
              <w:spacing w:line="360" w:lineRule="exact"/>
              <w:rPr>
                <w:rFonts w:ascii="宋体" w:hAnsi="宋体" w:cs="宋体"/>
                <w:color w:val="auto"/>
                <w:szCs w:val="21"/>
                <w:highlight w:val="none"/>
              </w:rPr>
            </w:pPr>
          </w:p>
        </w:tc>
        <w:tc>
          <w:tcPr>
            <w:tcW w:w="996" w:type="dxa"/>
          </w:tcPr>
          <w:p>
            <w:pPr>
              <w:spacing w:line="360" w:lineRule="exact"/>
              <w:rPr>
                <w:rFonts w:ascii="宋体" w:hAnsi="宋体" w:cs="宋体"/>
                <w:color w:val="auto"/>
                <w:szCs w:val="21"/>
                <w:highlight w:val="none"/>
              </w:rPr>
            </w:pPr>
          </w:p>
        </w:tc>
        <w:tc>
          <w:tcPr>
            <w:tcW w:w="989" w:type="dxa"/>
          </w:tcPr>
          <w:p>
            <w:pPr>
              <w:spacing w:line="360" w:lineRule="exact"/>
              <w:rPr>
                <w:rFonts w:ascii="宋体" w:hAnsi="宋体" w:cs="宋体"/>
                <w:color w:val="auto"/>
                <w:szCs w:val="21"/>
                <w:highlight w:val="none"/>
              </w:rPr>
            </w:pPr>
          </w:p>
        </w:tc>
        <w:tc>
          <w:tcPr>
            <w:tcW w:w="979" w:type="dxa"/>
          </w:tcPr>
          <w:p>
            <w:pPr>
              <w:spacing w:line="360" w:lineRule="exact"/>
              <w:rPr>
                <w:rFonts w:ascii="宋体" w:hAnsi="宋体" w:cs="宋体"/>
                <w:color w:val="auto"/>
                <w:szCs w:val="21"/>
                <w:highlight w:val="none"/>
              </w:rPr>
            </w:pPr>
          </w:p>
        </w:tc>
        <w:tc>
          <w:tcPr>
            <w:tcW w:w="888" w:type="dxa"/>
          </w:tcPr>
          <w:p>
            <w:pPr>
              <w:spacing w:line="360" w:lineRule="exact"/>
              <w:rPr>
                <w:rFonts w:ascii="宋体" w:hAnsi="宋体" w:cs="宋体"/>
                <w:color w:val="auto"/>
                <w:szCs w:val="21"/>
                <w:highlight w:val="none"/>
              </w:rPr>
            </w:pPr>
          </w:p>
        </w:tc>
        <w:tc>
          <w:tcPr>
            <w:tcW w:w="968" w:type="dxa"/>
          </w:tcPr>
          <w:p>
            <w:pPr>
              <w:spacing w:line="360" w:lineRule="exact"/>
              <w:rPr>
                <w:rFonts w:ascii="宋体" w:hAnsi="宋体" w:cs="宋体"/>
                <w:color w:val="auto"/>
                <w:szCs w:val="21"/>
                <w:highlight w:val="none"/>
              </w:rPr>
            </w:pPr>
          </w:p>
        </w:tc>
        <w:tc>
          <w:tcPr>
            <w:tcW w:w="1104" w:type="dxa"/>
          </w:tcPr>
          <w:p>
            <w:pPr>
              <w:spacing w:line="360" w:lineRule="exact"/>
              <w:rPr>
                <w:rFonts w:ascii="宋体" w:hAnsi="宋体" w:cs="宋体"/>
                <w:color w:val="auto"/>
                <w:szCs w:val="21"/>
                <w:highlight w:val="none"/>
              </w:rPr>
            </w:pPr>
          </w:p>
        </w:tc>
        <w:tc>
          <w:tcPr>
            <w:tcW w:w="1153" w:type="dxa"/>
          </w:tcPr>
          <w:p>
            <w:pPr>
              <w:spacing w:line="360" w:lineRule="exact"/>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86" w:type="dxa"/>
          </w:tcPr>
          <w:p>
            <w:pPr>
              <w:spacing w:line="360" w:lineRule="exact"/>
              <w:rPr>
                <w:rFonts w:ascii="宋体" w:hAnsi="宋体" w:cs="宋体"/>
                <w:color w:val="auto"/>
                <w:szCs w:val="21"/>
                <w:highlight w:val="none"/>
              </w:rPr>
            </w:pPr>
          </w:p>
        </w:tc>
        <w:tc>
          <w:tcPr>
            <w:tcW w:w="1241" w:type="dxa"/>
          </w:tcPr>
          <w:p>
            <w:pPr>
              <w:spacing w:line="360" w:lineRule="exact"/>
              <w:rPr>
                <w:rFonts w:ascii="宋体" w:hAnsi="宋体" w:cs="宋体"/>
                <w:color w:val="auto"/>
                <w:szCs w:val="21"/>
                <w:highlight w:val="none"/>
              </w:rPr>
            </w:pPr>
          </w:p>
        </w:tc>
        <w:tc>
          <w:tcPr>
            <w:tcW w:w="996" w:type="dxa"/>
          </w:tcPr>
          <w:p>
            <w:pPr>
              <w:spacing w:line="360" w:lineRule="exact"/>
              <w:rPr>
                <w:rFonts w:ascii="宋体" w:hAnsi="宋体" w:cs="宋体"/>
                <w:color w:val="auto"/>
                <w:szCs w:val="21"/>
                <w:highlight w:val="none"/>
              </w:rPr>
            </w:pPr>
          </w:p>
        </w:tc>
        <w:tc>
          <w:tcPr>
            <w:tcW w:w="989" w:type="dxa"/>
          </w:tcPr>
          <w:p>
            <w:pPr>
              <w:spacing w:line="360" w:lineRule="exact"/>
              <w:rPr>
                <w:rFonts w:ascii="宋体" w:hAnsi="宋体" w:cs="宋体"/>
                <w:color w:val="auto"/>
                <w:szCs w:val="21"/>
                <w:highlight w:val="none"/>
              </w:rPr>
            </w:pPr>
          </w:p>
        </w:tc>
        <w:tc>
          <w:tcPr>
            <w:tcW w:w="979" w:type="dxa"/>
          </w:tcPr>
          <w:p>
            <w:pPr>
              <w:spacing w:line="360" w:lineRule="exact"/>
              <w:rPr>
                <w:rFonts w:ascii="宋体" w:hAnsi="宋体" w:cs="宋体"/>
                <w:color w:val="auto"/>
                <w:szCs w:val="21"/>
                <w:highlight w:val="none"/>
              </w:rPr>
            </w:pPr>
          </w:p>
        </w:tc>
        <w:tc>
          <w:tcPr>
            <w:tcW w:w="888" w:type="dxa"/>
          </w:tcPr>
          <w:p>
            <w:pPr>
              <w:spacing w:line="360" w:lineRule="exact"/>
              <w:rPr>
                <w:rFonts w:ascii="宋体" w:hAnsi="宋体" w:cs="宋体"/>
                <w:color w:val="auto"/>
                <w:szCs w:val="21"/>
                <w:highlight w:val="none"/>
              </w:rPr>
            </w:pPr>
          </w:p>
        </w:tc>
        <w:tc>
          <w:tcPr>
            <w:tcW w:w="968" w:type="dxa"/>
          </w:tcPr>
          <w:p>
            <w:pPr>
              <w:spacing w:line="360" w:lineRule="exact"/>
              <w:rPr>
                <w:rFonts w:ascii="宋体" w:hAnsi="宋体" w:cs="宋体"/>
                <w:color w:val="auto"/>
                <w:szCs w:val="21"/>
                <w:highlight w:val="none"/>
              </w:rPr>
            </w:pPr>
          </w:p>
        </w:tc>
        <w:tc>
          <w:tcPr>
            <w:tcW w:w="1104" w:type="dxa"/>
          </w:tcPr>
          <w:p>
            <w:pPr>
              <w:spacing w:line="360" w:lineRule="exact"/>
              <w:rPr>
                <w:rFonts w:ascii="宋体" w:hAnsi="宋体" w:cs="宋体"/>
                <w:color w:val="auto"/>
                <w:szCs w:val="21"/>
                <w:highlight w:val="none"/>
              </w:rPr>
            </w:pPr>
          </w:p>
        </w:tc>
        <w:tc>
          <w:tcPr>
            <w:tcW w:w="1153" w:type="dxa"/>
          </w:tcPr>
          <w:p>
            <w:pPr>
              <w:spacing w:line="360" w:lineRule="exact"/>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9104" w:type="dxa"/>
            <w:gridSpan w:val="9"/>
            <w:vAlign w:val="center"/>
          </w:tcPr>
          <w:p>
            <w:pPr>
              <w:pStyle w:val="2"/>
              <w:spacing w:after="0" w:line="360" w:lineRule="exact"/>
              <w:jc w:val="both"/>
              <w:rPr>
                <w:rFonts w:hAnsi="宋体" w:cs="宋体"/>
                <w:color w:val="auto"/>
                <w:sz w:val="21"/>
                <w:szCs w:val="21"/>
                <w:highlight w:val="none"/>
                <w:u w:val="single"/>
              </w:rPr>
            </w:pPr>
            <w:r>
              <w:rPr>
                <w:rFonts w:hint="eastAsia" w:hAnsi="宋体"/>
                <w:color w:val="auto"/>
                <w:kern w:val="2"/>
                <w:sz w:val="21"/>
                <w:szCs w:val="21"/>
                <w:highlight w:val="none"/>
              </w:rPr>
              <w:t>人民币合计金额  (大写)</w:t>
            </w:r>
            <w:r>
              <w:rPr>
                <w:rFonts w:hint="eastAsia" w:hAnsi="宋体"/>
                <w:color w:val="auto"/>
                <w:kern w:val="2"/>
                <w:sz w:val="21"/>
                <w:szCs w:val="21"/>
                <w:highlight w:val="none"/>
                <w:u w:val="single"/>
              </w:rPr>
              <w:t xml:space="preserve">               </w:t>
            </w:r>
            <w:r>
              <w:rPr>
                <w:rFonts w:hint="eastAsia" w:hAnsi="宋体"/>
                <w:color w:val="auto"/>
                <w:kern w:val="2"/>
                <w:sz w:val="21"/>
                <w:szCs w:val="21"/>
                <w:highlight w:val="none"/>
              </w:rPr>
              <w:t>(小写)</w:t>
            </w:r>
            <w:r>
              <w:rPr>
                <w:rFonts w:hint="eastAsia" w:hAnsi="宋体"/>
                <w:color w:val="auto"/>
                <w:kern w:val="2"/>
                <w:sz w:val="21"/>
                <w:szCs w:val="21"/>
                <w:highlight w:val="none"/>
                <w:u w:val="single"/>
              </w:rPr>
              <w:t xml:space="preserve">               </w:t>
            </w:r>
          </w:p>
        </w:tc>
      </w:tr>
    </w:tbl>
    <w:p>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2.合同合计金额包括</w:t>
      </w:r>
      <w:r>
        <w:rPr>
          <w:rFonts w:hint="eastAsia" w:ascii="宋体" w:hAnsi="宋体" w:eastAsia="宋体" w:cs="宋体"/>
          <w:color w:val="auto"/>
          <w:kern w:val="0"/>
          <w:szCs w:val="21"/>
          <w:highlight w:val="none"/>
        </w:rPr>
        <w:t>货款、标准附件、备品备件、专用工具、包装、运输、装卸、保险、税金、货到就位以及安装、安装所需辅材、调试、检验、验收等所需的一切使本项目完成验收的费用及供货商对业主承诺</w:t>
      </w:r>
      <w:r>
        <w:rPr>
          <w:rFonts w:hint="eastAsia" w:ascii="宋体" w:hAnsi="宋体" w:eastAsia="宋体" w:cs="宋体"/>
          <w:color w:val="auto"/>
          <w:kern w:val="0"/>
          <w:szCs w:val="21"/>
          <w:highlight w:val="none"/>
          <w:lang w:val="en-US" w:eastAsia="zh-CN"/>
        </w:rPr>
        <w:t>技术</w:t>
      </w:r>
      <w:r>
        <w:rPr>
          <w:rFonts w:hint="eastAsia" w:ascii="宋体" w:hAnsi="宋体" w:eastAsia="宋体" w:cs="宋体"/>
          <w:color w:val="auto"/>
          <w:kern w:val="0"/>
          <w:szCs w:val="21"/>
          <w:highlight w:val="none"/>
        </w:rPr>
        <w:t>培训、售前、售后质量保证等相关费用等在内的一切可能发生的费用</w:t>
      </w:r>
      <w:r>
        <w:rPr>
          <w:rFonts w:hint="eastAsia" w:ascii="宋体" w:hAnsi="宋体" w:eastAsia="宋体" w:cs="宋体"/>
          <w:color w:val="auto"/>
          <w:szCs w:val="21"/>
          <w:highlight w:val="none"/>
        </w:rPr>
        <w:t>。如谈判文件、 响应文件对其另有规定的，从其规定。</w:t>
      </w:r>
    </w:p>
    <w:p>
      <w:pPr>
        <w:pStyle w:val="2"/>
        <w:spacing w:after="0" w:line="360" w:lineRule="exact"/>
        <w:ind w:firstLine="478" w:firstLineChars="200"/>
        <w:jc w:val="both"/>
        <w:rPr>
          <w:rFonts w:hAnsi="宋体" w:cs="宋体"/>
          <w:b/>
          <w:bCs/>
          <w:color w:val="auto"/>
          <w:spacing w:val="14"/>
          <w:sz w:val="21"/>
          <w:szCs w:val="21"/>
          <w:highlight w:val="none"/>
        </w:rPr>
      </w:pPr>
      <w:r>
        <w:rPr>
          <w:rFonts w:hint="eastAsia" w:hAnsi="宋体" w:cs="宋体"/>
          <w:b/>
          <w:bCs/>
          <w:color w:val="auto"/>
          <w:spacing w:val="14"/>
          <w:sz w:val="21"/>
          <w:szCs w:val="21"/>
          <w:highlight w:val="none"/>
        </w:rPr>
        <w:t>第二条 质量保证</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1.乙方所提供的货物型号、技术规格、技术参数等质量必须与谈判文件、响应文件和承诺相一致。乙方提供的节能和环保产品必须是列入政府采购清单的产品。</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2.乙方所提供的货物必须是全新、未经使用的原装产品，且在正常安装、使用和保养条件下，其使用寿命期内各项指标均达到质量要求。</w:t>
      </w:r>
    </w:p>
    <w:p>
      <w:pPr>
        <w:pStyle w:val="2"/>
        <w:spacing w:after="0" w:line="360" w:lineRule="exact"/>
        <w:ind w:firstLine="478" w:firstLineChars="200"/>
        <w:jc w:val="both"/>
        <w:rPr>
          <w:rFonts w:hAnsi="宋体" w:cs="宋体"/>
          <w:b/>
          <w:bCs/>
          <w:color w:val="auto"/>
          <w:spacing w:val="14"/>
          <w:sz w:val="21"/>
          <w:szCs w:val="21"/>
          <w:highlight w:val="none"/>
        </w:rPr>
      </w:pPr>
      <w:r>
        <w:rPr>
          <w:rFonts w:hint="eastAsia" w:hAnsi="宋体" w:cs="宋体"/>
          <w:b/>
          <w:bCs/>
          <w:color w:val="auto"/>
          <w:spacing w:val="14"/>
          <w:sz w:val="21"/>
          <w:szCs w:val="21"/>
          <w:highlight w:val="none"/>
        </w:rPr>
        <w:t>第三条 权利保证</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1.乙方应保证所提供货物在使用时不会侵犯任何第三方的专利权、商标权、工业设计权或其他权利。</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2.乙方应按谈判文件规定的时间或响应文件承诺的时间向甲方提供使用货物的有关技术资料。</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4.乙方保证所交付的货物的所有权完全属于乙方且无任何抵押、质押、查封等产权瑕疵。</w:t>
      </w:r>
    </w:p>
    <w:p>
      <w:pPr>
        <w:pStyle w:val="2"/>
        <w:spacing w:after="0" w:line="360" w:lineRule="exact"/>
        <w:ind w:firstLine="478" w:firstLineChars="200"/>
        <w:jc w:val="both"/>
        <w:rPr>
          <w:rFonts w:hAnsi="宋体" w:cs="宋体"/>
          <w:b/>
          <w:bCs/>
          <w:color w:val="auto"/>
          <w:spacing w:val="14"/>
          <w:sz w:val="21"/>
          <w:szCs w:val="21"/>
          <w:highlight w:val="none"/>
        </w:rPr>
      </w:pPr>
      <w:r>
        <w:rPr>
          <w:rFonts w:hint="eastAsia" w:hAnsi="宋体" w:cs="宋体"/>
          <w:b/>
          <w:bCs/>
          <w:color w:val="auto"/>
          <w:spacing w:val="14"/>
          <w:sz w:val="21"/>
          <w:szCs w:val="21"/>
          <w:highlight w:val="none"/>
        </w:rPr>
        <w:t>第四条 包装和运输</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1.乙方提供的货物均应按谈判文件、响应文件要求的包装材料、包装标准、包装方式进行包装，每一包装单元内应附详细的装箱单和质量合格证。</w:t>
      </w:r>
    </w:p>
    <w:p>
      <w:pPr>
        <w:pStyle w:val="2"/>
        <w:spacing w:after="0" w:line="360" w:lineRule="exact"/>
        <w:ind w:firstLine="420" w:firstLineChars="200"/>
        <w:jc w:val="both"/>
        <w:rPr>
          <w:rFonts w:hAnsi="宋体" w:cs="宋体"/>
          <w:color w:val="auto"/>
          <w:sz w:val="21"/>
          <w:szCs w:val="21"/>
          <w:highlight w:val="none"/>
        </w:rPr>
      </w:pPr>
      <w:r>
        <w:rPr>
          <w:rFonts w:hint="eastAsia" w:hAnsi="宋体"/>
          <w:color w:val="auto"/>
          <w:kern w:val="2"/>
          <w:sz w:val="21"/>
          <w:szCs w:val="21"/>
          <w:highlight w:val="none"/>
        </w:rPr>
        <w:t>2.货物的运输方式</w:t>
      </w:r>
      <w:r>
        <w:rPr>
          <w:rFonts w:hint="eastAsia" w:hAnsi="宋体" w:cs="宋体"/>
          <w:color w:val="auto"/>
          <w:spacing w:val="-14"/>
          <w:sz w:val="21"/>
          <w:szCs w:val="21"/>
          <w:highlight w:val="none"/>
        </w:rPr>
        <w:t>：</w:t>
      </w:r>
      <w:r>
        <w:rPr>
          <w:rFonts w:hint="eastAsia" w:hAnsi="宋体" w:cs="宋体"/>
          <w:color w:val="auto"/>
          <w:spacing w:val="3"/>
          <w:sz w:val="21"/>
          <w:szCs w:val="21"/>
          <w:highlight w:val="none"/>
          <w:u w:val="single"/>
        </w:rPr>
        <w:t xml:space="preserve">   </w:t>
      </w:r>
      <w:r>
        <w:rPr>
          <w:rFonts w:hint="eastAsia" w:hAnsi="宋体" w:cs="宋体"/>
          <w:color w:val="auto"/>
          <w:sz w:val="21"/>
          <w:szCs w:val="21"/>
          <w:highlight w:val="none"/>
          <w:u w:val="single"/>
        </w:rPr>
        <w:t xml:space="preserve">不限  </w:t>
      </w:r>
      <w:r>
        <w:rPr>
          <w:rFonts w:hint="eastAsia" w:hAnsi="宋体" w:cs="宋体"/>
          <w:color w:val="auto"/>
          <w:spacing w:val="3"/>
          <w:sz w:val="21"/>
          <w:szCs w:val="21"/>
          <w:highlight w:val="none"/>
          <w:u w:val="single"/>
        </w:rPr>
        <w:t xml:space="preserve">     </w:t>
      </w:r>
    </w:p>
    <w:p>
      <w:pPr>
        <w:pStyle w:val="2"/>
        <w:spacing w:after="0" w:line="360" w:lineRule="exact"/>
        <w:ind w:firstLine="420" w:firstLineChars="200"/>
        <w:jc w:val="both"/>
        <w:rPr>
          <w:rFonts w:hAnsi="宋体" w:cs="宋体"/>
          <w:color w:val="auto"/>
          <w:spacing w:val="-6"/>
          <w:sz w:val="21"/>
          <w:szCs w:val="21"/>
          <w:highlight w:val="none"/>
          <w:u w:val="single"/>
        </w:rPr>
      </w:pPr>
      <w:r>
        <w:rPr>
          <w:rFonts w:hint="eastAsia" w:hAnsi="宋体"/>
          <w:color w:val="auto"/>
          <w:kern w:val="2"/>
          <w:sz w:val="21"/>
          <w:szCs w:val="21"/>
          <w:highlight w:val="none"/>
        </w:rPr>
        <w:t>3.乙方负责货物运输</w:t>
      </w:r>
      <w:r>
        <w:rPr>
          <w:rFonts w:hint="eastAsia" w:hAnsi="宋体" w:cs="宋体"/>
          <w:color w:val="auto"/>
          <w:spacing w:val="-13"/>
          <w:sz w:val="21"/>
          <w:szCs w:val="21"/>
          <w:highlight w:val="none"/>
        </w:rPr>
        <w:t xml:space="preserve"> ，</w:t>
      </w:r>
      <w:r>
        <w:rPr>
          <w:rFonts w:hint="eastAsia" w:hAnsi="宋体" w:cs="宋体"/>
          <w:color w:val="auto"/>
          <w:spacing w:val="-20"/>
          <w:sz w:val="21"/>
          <w:szCs w:val="21"/>
          <w:highlight w:val="none"/>
        </w:rPr>
        <w:t xml:space="preserve"> </w:t>
      </w:r>
      <w:r>
        <w:rPr>
          <w:rFonts w:hint="eastAsia" w:hAnsi="宋体" w:cs="宋体"/>
          <w:color w:val="auto"/>
          <w:spacing w:val="-13"/>
          <w:sz w:val="21"/>
          <w:szCs w:val="21"/>
          <w:highlight w:val="none"/>
        </w:rPr>
        <w:t>货</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物</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运</w:t>
      </w:r>
      <w:r>
        <w:rPr>
          <w:rFonts w:hint="eastAsia" w:hAnsi="宋体" w:cs="宋体"/>
          <w:color w:val="auto"/>
          <w:spacing w:val="-27"/>
          <w:sz w:val="21"/>
          <w:szCs w:val="21"/>
          <w:highlight w:val="none"/>
        </w:rPr>
        <w:t xml:space="preserve"> </w:t>
      </w:r>
      <w:r>
        <w:rPr>
          <w:rFonts w:hint="eastAsia" w:hAnsi="宋体" w:cs="宋体"/>
          <w:color w:val="auto"/>
          <w:spacing w:val="-13"/>
          <w:sz w:val="21"/>
          <w:szCs w:val="21"/>
          <w:highlight w:val="none"/>
        </w:rPr>
        <w:t>输</w:t>
      </w:r>
      <w:r>
        <w:rPr>
          <w:rFonts w:hint="eastAsia" w:hAnsi="宋体" w:cs="宋体"/>
          <w:color w:val="auto"/>
          <w:spacing w:val="-25"/>
          <w:sz w:val="21"/>
          <w:szCs w:val="21"/>
          <w:highlight w:val="none"/>
        </w:rPr>
        <w:t xml:space="preserve"> </w:t>
      </w:r>
      <w:r>
        <w:rPr>
          <w:rFonts w:hint="eastAsia" w:hAnsi="宋体" w:cs="宋体"/>
          <w:color w:val="auto"/>
          <w:spacing w:val="-13"/>
          <w:sz w:val="21"/>
          <w:szCs w:val="21"/>
          <w:highlight w:val="none"/>
        </w:rPr>
        <w:t>合</w:t>
      </w:r>
      <w:r>
        <w:rPr>
          <w:rFonts w:hint="eastAsia" w:hAnsi="宋体" w:cs="宋体"/>
          <w:color w:val="auto"/>
          <w:spacing w:val="-23"/>
          <w:sz w:val="21"/>
          <w:szCs w:val="21"/>
          <w:highlight w:val="none"/>
        </w:rPr>
        <w:t xml:space="preserve"> </w:t>
      </w:r>
      <w:r>
        <w:rPr>
          <w:rFonts w:hint="eastAsia" w:hAnsi="宋体" w:cs="宋体"/>
          <w:color w:val="auto"/>
          <w:spacing w:val="-13"/>
          <w:sz w:val="21"/>
          <w:szCs w:val="21"/>
          <w:highlight w:val="none"/>
        </w:rPr>
        <w:t>理</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损</w:t>
      </w:r>
      <w:r>
        <w:rPr>
          <w:rFonts w:hint="eastAsia" w:hAnsi="宋体" w:cs="宋体"/>
          <w:color w:val="auto"/>
          <w:spacing w:val="-25"/>
          <w:sz w:val="21"/>
          <w:szCs w:val="21"/>
          <w:highlight w:val="none"/>
        </w:rPr>
        <w:t xml:space="preserve"> </w:t>
      </w:r>
      <w:r>
        <w:rPr>
          <w:rFonts w:hint="eastAsia" w:hAnsi="宋体" w:cs="宋体"/>
          <w:color w:val="auto"/>
          <w:spacing w:val="-13"/>
          <w:sz w:val="21"/>
          <w:szCs w:val="21"/>
          <w:highlight w:val="none"/>
        </w:rPr>
        <w:t>耗</w:t>
      </w:r>
      <w:r>
        <w:rPr>
          <w:rFonts w:hint="eastAsia" w:hAnsi="宋体" w:cs="宋体"/>
          <w:color w:val="auto"/>
          <w:spacing w:val="-27"/>
          <w:sz w:val="21"/>
          <w:szCs w:val="21"/>
          <w:highlight w:val="none"/>
        </w:rPr>
        <w:t xml:space="preserve"> </w:t>
      </w:r>
      <w:r>
        <w:rPr>
          <w:rFonts w:hint="eastAsia" w:hAnsi="宋体" w:cs="宋体"/>
          <w:color w:val="auto"/>
          <w:spacing w:val="-13"/>
          <w:sz w:val="21"/>
          <w:szCs w:val="21"/>
          <w:highlight w:val="none"/>
        </w:rPr>
        <w:t>及</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计</w:t>
      </w:r>
      <w:r>
        <w:rPr>
          <w:rFonts w:hint="eastAsia" w:hAnsi="宋体" w:cs="宋体"/>
          <w:color w:val="auto"/>
          <w:spacing w:val="-24"/>
          <w:sz w:val="21"/>
          <w:szCs w:val="21"/>
          <w:highlight w:val="none"/>
        </w:rPr>
        <w:t xml:space="preserve"> </w:t>
      </w:r>
      <w:r>
        <w:rPr>
          <w:rFonts w:hint="eastAsia" w:hAnsi="宋体" w:cs="宋体"/>
          <w:color w:val="auto"/>
          <w:spacing w:val="-13"/>
          <w:sz w:val="21"/>
          <w:szCs w:val="21"/>
          <w:highlight w:val="none"/>
        </w:rPr>
        <w:t>算</w:t>
      </w:r>
      <w:r>
        <w:rPr>
          <w:rFonts w:hint="eastAsia" w:hAnsi="宋体" w:cs="宋体"/>
          <w:color w:val="auto"/>
          <w:spacing w:val="-25"/>
          <w:sz w:val="21"/>
          <w:szCs w:val="21"/>
          <w:highlight w:val="none"/>
        </w:rPr>
        <w:t xml:space="preserve"> </w:t>
      </w:r>
      <w:r>
        <w:rPr>
          <w:rFonts w:hint="eastAsia" w:hAnsi="宋体" w:cs="宋体"/>
          <w:color w:val="auto"/>
          <w:spacing w:val="-13"/>
          <w:sz w:val="21"/>
          <w:szCs w:val="21"/>
          <w:highlight w:val="none"/>
        </w:rPr>
        <w:t>方</w:t>
      </w:r>
      <w:r>
        <w:rPr>
          <w:rFonts w:hint="eastAsia" w:hAnsi="宋体" w:cs="宋体"/>
          <w:color w:val="auto"/>
          <w:spacing w:val="-6"/>
          <w:sz w:val="21"/>
          <w:szCs w:val="21"/>
          <w:highlight w:val="none"/>
        </w:rPr>
        <w:t>法</w:t>
      </w:r>
      <w:r>
        <w:rPr>
          <w:rFonts w:hint="eastAsia" w:hAnsi="宋体" w:cs="宋体"/>
          <w:color w:val="auto"/>
          <w:spacing w:val="-59"/>
          <w:sz w:val="21"/>
          <w:szCs w:val="21"/>
          <w:highlight w:val="none"/>
        </w:rPr>
        <w:t xml:space="preserve"> </w:t>
      </w:r>
      <w:r>
        <w:rPr>
          <w:rFonts w:hint="eastAsia" w:hAnsi="宋体" w:cs="宋体"/>
          <w:color w:val="auto"/>
          <w:spacing w:val="-6"/>
          <w:sz w:val="21"/>
          <w:szCs w:val="21"/>
          <w:highlight w:val="none"/>
        </w:rPr>
        <w:t>：</w:t>
      </w:r>
      <w:r>
        <w:rPr>
          <w:rFonts w:hint="eastAsia" w:hAnsi="宋体" w:cs="宋体"/>
          <w:color w:val="auto"/>
          <w:spacing w:val="-6"/>
          <w:sz w:val="21"/>
          <w:szCs w:val="21"/>
          <w:highlight w:val="none"/>
          <w:u w:val="single"/>
        </w:rPr>
        <w:t xml:space="preserve">     </w:t>
      </w:r>
      <w:r>
        <w:rPr>
          <w:rFonts w:hint="eastAsia" w:hAnsi="宋体" w:cs="宋体"/>
          <w:color w:val="auto"/>
          <w:sz w:val="21"/>
          <w:szCs w:val="21"/>
          <w:highlight w:val="none"/>
          <w:u w:val="single"/>
        </w:rPr>
        <w:t>本合同货物不接受损耗</w:t>
      </w:r>
      <w:r>
        <w:rPr>
          <w:rFonts w:hint="eastAsia" w:hAnsi="宋体" w:cs="宋体"/>
          <w:color w:val="auto"/>
          <w:spacing w:val="-6"/>
          <w:sz w:val="21"/>
          <w:szCs w:val="21"/>
          <w:highlight w:val="none"/>
          <w:u w:val="single"/>
        </w:rPr>
        <w:t xml:space="preserve">            </w:t>
      </w:r>
    </w:p>
    <w:p>
      <w:pPr>
        <w:pStyle w:val="2"/>
        <w:spacing w:after="0" w:line="360" w:lineRule="exact"/>
        <w:ind w:firstLine="478" w:firstLineChars="200"/>
        <w:jc w:val="both"/>
        <w:rPr>
          <w:rFonts w:hAnsi="宋体" w:cs="宋体"/>
          <w:b/>
          <w:bCs/>
          <w:color w:val="auto"/>
          <w:spacing w:val="14"/>
          <w:sz w:val="21"/>
          <w:szCs w:val="21"/>
          <w:highlight w:val="none"/>
        </w:rPr>
      </w:pPr>
      <w:r>
        <w:rPr>
          <w:rFonts w:hint="eastAsia" w:hAnsi="宋体" w:cs="宋体"/>
          <w:b/>
          <w:bCs/>
          <w:color w:val="auto"/>
          <w:spacing w:val="14"/>
          <w:sz w:val="21"/>
          <w:szCs w:val="21"/>
          <w:highlight w:val="none"/>
        </w:rPr>
        <w:t>第五条  交付和验收</w:t>
      </w:r>
    </w:p>
    <w:p>
      <w:pPr>
        <w:snapToGrid w:val="0"/>
        <w:ind w:firstLine="420" w:firstLineChars="200"/>
        <w:rPr>
          <w:rFonts w:hint="eastAsia" w:ascii="宋体" w:hAnsi="宋体" w:eastAsia="宋体" w:cs="宋体"/>
          <w:color w:val="auto"/>
          <w:kern w:val="0"/>
          <w:sz w:val="21"/>
          <w:szCs w:val="21"/>
          <w:highlight w:val="none"/>
          <w:lang w:val="en-US" w:eastAsia="zh-CN" w:bidi="ar-SA"/>
        </w:rPr>
      </w:pPr>
      <w:r>
        <w:rPr>
          <w:rFonts w:hint="eastAsia" w:hAnsi="宋体"/>
          <w:color w:val="auto"/>
          <w:kern w:val="2"/>
          <w:sz w:val="21"/>
          <w:szCs w:val="21"/>
          <w:highlight w:val="none"/>
        </w:rPr>
        <w:t>1.</w:t>
      </w:r>
      <w:r>
        <w:rPr>
          <w:rFonts w:hint="eastAsia" w:hAnsi="宋体" w:cs="宋体"/>
          <w:color w:val="auto"/>
          <w:szCs w:val="21"/>
          <w:highlight w:val="none"/>
        </w:rPr>
        <w:t>交</w:t>
      </w:r>
      <w:r>
        <w:rPr>
          <w:rFonts w:hint="eastAsia" w:ascii="宋体" w:hAnsi="宋体" w:eastAsia="宋体" w:cs="宋体"/>
          <w:color w:val="auto"/>
          <w:kern w:val="0"/>
          <w:sz w:val="21"/>
          <w:szCs w:val="21"/>
          <w:highlight w:val="none"/>
          <w:lang w:val="en-US" w:eastAsia="zh-CN" w:bidi="ar-SA"/>
        </w:rPr>
        <w:t>付使用时间：</w:t>
      </w:r>
      <w:r>
        <w:rPr>
          <w:rFonts w:hint="eastAsia" w:ascii="宋体" w:hAnsi="宋体" w:eastAsia="宋体" w:cs="宋体"/>
          <w:color w:val="auto"/>
          <w:sz w:val="21"/>
          <w:szCs w:val="21"/>
          <w:highlight w:val="none"/>
        </w:rPr>
        <w:t>自签订合同之日起</w:t>
      </w:r>
      <w:r>
        <w:rPr>
          <w:rFonts w:hint="eastAsia" w:ascii="宋体" w:hAnsi="宋体" w:cs="宋体"/>
          <w:color w:val="auto"/>
          <w:sz w:val="21"/>
          <w:szCs w:val="21"/>
          <w:highlight w:val="none"/>
          <w:lang w:val="en-US" w:eastAsia="zh-CN"/>
        </w:rPr>
        <w:t>120</w:t>
      </w:r>
      <w:r>
        <w:rPr>
          <w:rFonts w:hint="eastAsia" w:ascii="宋体" w:hAnsi="宋体" w:eastAsia="宋体" w:cs="宋体"/>
          <w:color w:val="auto"/>
          <w:sz w:val="21"/>
          <w:szCs w:val="21"/>
          <w:highlight w:val="none"/>
        </w:rPr>
        <w:t>日内安装调试完毕，验收合格并交付使用</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交货</w:t>
      </w:r>
      <w:r>
        <w:rPr>
          <w:rFonts w:hint="eastAsia" w:ascii="宋体" w:hAnsi="宋体" w:eastAsia="宋体" w:cs="宋体"/>
          <w:color w:val="auto"/>
          <w:kern w:val="0"/>
          <w:sz w:val="21"/>
          <w:szCs w:val="21"/>
          <w:highlight w:val="none"/>
          <w:lang w:val="en-US" w:eastAsia="zh-CN" w:bidi="ar-SA"/>
        </w:rPr>
        <w:t>地点：甲方指定地点   。</w:t>
      </w:r>
    </w:p>
    <w:p>
      <w:pPr>
        <w:pStyle w:val="2"/>
        <w:spacing w:after="0" w:line="360" w:lineRule="exact"/>
        <w:ind w:firstLine="420" w:firstLineChars="200"/>
        <w:jc w:val="both"/>
        <w:rPr>
          <w:rFonts w:hAnsi="宋体" w:cs="宋体"/>
          <w:color w:val="auto"/>
          <w:sz w:val="21"/>
          <w:szCs w:val="21"/>
          <w:highlight w:val="none"/>
          <w:u w:val="single"/>
        </w:rPr>
      </w:pPr>
    </w:p>
    <w:p>
      <w:pPr>
        <w:pStyle w:val="2"/>
        <w:spacing w:after="0" w:line="36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2.乙方提供不符合谈判文件、响应文件和本合同规定的货物，甲方有权拒绝接受。</w:t>
      </w:r>
    </w:p>
    <w:p>
      <w:pPr>
        <w:pStyle w:val="2"/>
        <w:spacing w:after="0" w:line="36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3.乙方应将所提供货物的装箱清单、用户手册、原厂保修卡、随</w:t>
      </w:r>
      <w:r>
        <w:rPr>
          <w:rFonts w:hint="eastAsia" w:hAnsi="宋体" w:cs="宋体"/>
          <w:color w:val="auto"/>
          <w:spacing w:val="5"/>
          <w:sz w:val="21"/>
          <w:szCs w:val="21"/>
          <w:highlight w:val="none"/>
        </w:rPr>
        <w:t>机资料、工具和备品、备件等交付给甲方，如有缺失应及时补齐，否</w:t>
      </w:r>
      <w:r>
        <w:rPr>
          <w:rFonts w:hint="eastAsia" w:hAnsi="宋体" w:cs="宋体"/>
          <w:color w:val="auto"/>
          <w:sz w:val="21"/>
          <w:szCs w:val="21"/>
          <w:highlight w:val="none"/>
        </w:rPr>
        <w:t>则视为逾期交货。</w:t>
      </w:r>
    </w:p>
    <w:p>
      <w:pPr>
        <w:pStyle w:val="2"/>
        <w:spacing w:after="0" w:line="360" w:lineRule="exact"/>
        <w:ind w:firstLine="448" w:firstLineChars="200"/>
        <w:jc w:val="both"/>
        <w:rPr>
          <w:rFonts w:hAnsi="宋体" w:cs="宋体"/>
          <w:color w:val="auto"/>
          <w:sz w:val="21"/>
          <w:szCs w:val="21"/>
          <w:highlight w:val="none"/>
        </w:rPr>
      </w:pPr>
      <w:r>
        <w:rPr>
          <w:rFonts w:hint="eastAsia" w:hAnsi="宋体" w:cs="宋体"/>
          <w:color w:val="auto"/>
          <w:spacing w:val="7"/>
          <w:sz w:val="21"/>
          <w:szCs w:val="21"/>
          <w:highlight w:val="none"/>
        </w:rPr>
        <w:t>4.甲方应当在到货(安装、调试完)后七个工作日内进行验收，</w:t>
      </w:r>
      <w:r>
        <w:rPr>
          <w:rFonts w:hint="eastAsia" w:hAnsi="宋体" w:cs="宋体"/>
          <w:color w:val="auto"/>
          <w:spacing w:val="6"/>
          <w:sz w:val="21"/>
          <w:szCs w:val="21"/>
          <w:highlight w:val="none"/>
        </w:rPr>
        <w:t>逾期不验收的，乙方可视同验收合格。验收</w:t>
      </w:r>
      <w:r>
        <w:rPr>
          <w:rFonts w:hint="eastAsia" w:hAnsi="宋体" w:cs="宋体"/>
          <w:color w:val="auto"/>
          <w:spacing w:val="5"/>
          <w:sz w:val="21"/>
          <w:szCs w:val="21"/>
          <w:highlight w:val="none"/>
        </w:rPr>
        <w:t>合格后由甲乙双方签署货</w:t>
      </w:r>
      <w:r>
        <w:rPr>
          <w:rFonts w:hint="eastAsia" w:hAnsi="宋体" w:cs="宋体"/>
          <w:color w:val="auto"/>
          <w:sz w:val="21"/>
          <w:szCs w:val="21"/>
          <w:highlight w:val="none"/>
        </w:rPr>
        <w:t xml:space="preserve"> </w:t>
      </w:r>
      <w:r>
        <w:rPr>
          <w:rFonts w:hint="eastAsia" w:hAnsi="宋体" w:cs="宋体"/>
          <w:color w:val="auto"/>
          <w:spacing w:val="-3"/>
          <w:sz w:val="21"/>
          <w:szCs w:val="21"/>
          <w:highlight w:val="none"/>
        </w:rPr>
        <w:t>物验收单并加盖采购人公章，甲乙双方各执一</w:t>
      </w:r>
      <w:r>
        <w:rPr>
          <w:rFonts w:hint="eastAsia" w:hAnsi="宋体" w:cs="宋体"/>
          <w:color w:val="auto"/>
          <w:spacing w:val="-4"/>
          <w:sz w:val="21"/>
          <w:szCs w:val="21"/>
          <w:highlight w:val="none"/>
        </w:rPr>
        <w:t>份。</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pStyle w:val="2"/>
        <w:spacing w:after="0" w:line="360" w:lineRule="exact"/>
        <w:ind w:firstLine="420" w:firstLineChars="200"/>
        <w:jc w:val="both"/>
        <w:rPr>
          <w:rFonts w:hAnsi="宋体" w:cs="宋体"/>
          <w:color w:val="auto"/>
          <w:spacing w:val="-3"/>
          <w:sz w:val="21"/>
          <w:szCs w:val="21"/>
          <w:highlight w:val="none"/>
        </w:rPr>
      </w:pPr>
      <w:r>
        <w:rPr>
          <w:rFonts w:hint="eastAsia" w:hAnsi="宋体"/>
          <w:color w:val="auto"/>
          <w:kern w:val="2"/>
          <w:sz w:val="21"/>
          <w:szCs w:val="21"/>
          <w:highlight w:val="none"/>
        </w:rPr>
        <w:t>6</w:t>
      </w:r>
      <w:r>
        <w:rPr>
          <w:rFonts w:hint="eastAsia" w:hAnsi="宋体" w:cs="宋体"/>
          <w:color w:val="auto"/>
          <w:spacing w:val="-3"/>
          <w:sz w:val="21"/>
          <w:szCs w:val="21"/>
          <w:highlight w:val="none"/>
        </w:rPr>
        <w:t>.甲方对验收有异议的，在验收后五个工作日内以书面形式向乙方提出，乙方应自收到甲方书面异议后</w:t>
      </w:r>
      <w:r>
        <w:rPr>
          <w:rFonts w:hint="eastAsia" w:hAnsi="宋体" w:cs="宋体"/>
          <w:color w:val="auto"/>
          <w:spacing w:val="-3"/>
          <w:sz w:val="21"/>
          <w:szCs w:val="21"/>
          <w:highlight w:val="none"/>
          <w:u w:val="single"/>
        </w:rPr>
        <w:t>30</w:t>
      </w:r>
      <w:r>
        <w:rPr>
          <w:rFonts w:hint="eastAsia" w:hAnsi="宋体" w:cs="宋体"/>
          <w:color w:val="auto"/>
          <w:spacing w:val="-3"/>
          <w:sz w:val="21"/>
          <w:szCs w:val="21"/>
          <w:highlight w:val="none"/>
        </w:rPr>
        <w:t>日内及时予以解决。</w:t>
      </w:r>
    </w:p>
    <w:p>
      <w:pPr>
        <w:pStyle w:val="2"/>
        <w:spacing w:after="0" w:line="360" w:lineRule="exact"/>
        <w:ind w:firstLine="478" w:firstLineChars="200"/>
        <w:jc w:val="both"/>
        <w:rPr>
          <w:rFonts w:hAnsi="宋体" w:cs="宋体"/>
          <w:b/>
          <w:bCs/>
          <w:color w:val="auto"/>
          <w:spacing w:val="14"/>
          <w:sz w:val="21"/>
          <w:szCs w:val="21"/>
          <w:highlight w:val="none"/>
        </w:rPr>
      </w:pPr>
      <w:r>
        <w:rPr>
          <w:rFonts w:hint="eastAsia" w:hAnsi="宋体" w:cs="宋体"/>
          <w:b/>
          <w:bCs/>
          <w:color w:val="auto"/>
          <w:spacing w:val="14"/>
          <w:sz w:val="21"/>
          <w:szCs w:val="21"/>
          <w:highlight w:val="none"/>
        </w:rPr>
        <w:t>第六条  安装和培训</w:t>
      </w:r>
    </w:p>
    <w:p>
      <w:pPr>
        <w:pStyle w:val="2"/>
        <w:spacing w:after="0" w:line="360" w:lineRule="exact"/>
        <w:ind w:firstLine="408" w:firstLineChars="200"/>
        <w:jc w:val="both"/>
        <w:rPr>
          <w:rFonts w:hAnsi="宋体" w:cs="宋体"/>
          <w:color w:val="auto"/>
          <w:spacing w:val="-3"/>
          <w:sz w:val="21"/>
          <w:szCs w:val="21"/>
          <w:highlight w:val="none"/>
        </w:rPr>
      </w:pPr>
      <w:r>
        <w:rPr>
          <w:rFonts w:hint="eastAsia" w:hAnsi="宋体" w:cs="宋体"/>
          <w:color w:val="auto"/>
          <w:spacing w:val="-3"/>
          <w:sz w:val="21"/>
          <w:szCs w:val="21"/>
          <w:highlight w:val="none"/>
        </w:rPr>
        <w:t>1.甲方应提供必要安装条件(如场地、电源、水源等)。</w:t>
      </w:r>
    </w:p>
    <w:p>
      <w:pPr>
        <w:pStyle w:val="2"/>
        <w:spacing w:after="0" w:line="360" w:lineRule="exact"/>
        <w:ind w:firstLine="416" w:firstLineChars="200"/>
        <w:jc w:val="both"/>
        <w:rPr>
          <w:rFonts w:hAnsi="宋体" w:cs="宋体"/>
          <w:color w:val="auto"/>
          <w:sz w:val="21"/>
          <w:szCs w:val="21"/>
          <w:highlight w:val="none"/>
        </w:rPr>
      </w:pPr>
      <w:r>
        <w:rPr>
          <w:rFonts w:hint="eastAsia" w:hAnsi="宋体" w:cs="宋体"/>
          <w:color w:val="auto"/>
          <w:spacing w:val="-1"/>
          <w:sz w:val="21"/>
          <w:szCs w:val="21"/>
          <w:highlight w:val="none"/>
        </w:rPr>
        <w:t>2.乙方负责甲方有关人员的培训。培训时间、地点：</w:t>
      </w:r>
      <w:r>
        <w:rPr>
          <w:rFonts w:hint="eastAsia" w:hAnsi="宋体" w:cs="宋体"/>
          <w:color w:val="auto"/>
          <w:spacing w:val="55"/>
          <w:sz w:val="21"/>
          <w:szCs w:val="21"/>
          <w:highlight w:val="none"/>
          <w:u w:val="single"/>
        </w:rPr>
        <w:t xml:space="preserve"> </w:t>
      </w:r>
      <w:r>
        <w:rPr>
          <w:rFonts w:hint="eastAsia" w:hAnsi="宋体" w:cs="宋体"/>
          <w:color w:val="auto"/>
          <w:spacing w:val="-3"/>
          <w:sz w:val="21"/>
          <w:szCs w:val="21"/>
          <w:highlight w:val="none"/>
          <w:u w:val="single"/>
        </w:rPr>
        <w:t xml:space="preserve">  由甲方依据实际情况确定 </w:t>
      </w:r>
      <w:r>
        <w:rPr>
          <w:rFonts w:hint="eastAsia" w:hAnsi="宋体" w:cs="宋体"/>
          <w:color w:val="auto"/>
          <w:spacing w:val="-1"/>
          <w:sz w:val="21"/>
          <w:szCs w:val="21"/>
          <w:highlight w:val="none"/>
          <w:u w:val="single"/>
        </w:rPr>
        <w:t xml:space="preserve">    </w:t>
      </w:r>
      <w:r>
        <w:rPr>
          <w:rFonts w:hint="eastAsia" w:hAnsi="宋体" w:cs="宋体"/>
          <w:color w:val="auto"/>
          <w:spacing w:val="-1"/>
          <w:sz w:val="21"/>
          <w:szCs w:val="21"/>
          <w:highlight w:val="none"/>
        </w:rPr>
        <w:t>。</w:t>
      </w:r>
    </w:p>
    <w:p>
      <w:pPr>
        <w:pStyle w:val="2"/>
        <w:spacing w:after="0" w:line="360" w:lineRule="exact"/>
        <w:ind w:firstLine="478" w:firstLineChars="200"/>
        <w:jc w:val="both"/>
        <w:rPr>
          <w:rFonts w:hAnsi="宋体" w:cs="宋体"/>
          <w:color w:val="auto"/>
          <w:sz w:val="21"/>
          <w:szCs w:val="21"/>
          <w:highlight w:val="none"/>
        </w:rPr>
      </w:pPr>
      <w:r>
        <w:rPr>
          <w:rFonts w:hint="eastAsia" w:hAnsi="宋体" w:cs="宋体"/>
          <w:b/>
          <w:bCs/>
          <w:color w:val="auto"/>
          <w:spacing w:val="14"/>
          <w:sz w:val="21"/>
          <w:szCs w:val="21"/>
          <w:highlight w:val="none"/>
        </w:rPr>
        <w:t>第七条 售后服务、保修期</w:t>
      </w:r>
    </w:p>
    <w:p>
      <w:pPr>
        <w:pStyle w:val="2"/>
        <w:spacing w:after="0" w:line="360" w:lineRule="exact"/>
        <w:ind w:firstLine="380" w:firstLineChars="200"/>
        <w:jc w:val="both"/>
        <w:rPr>
          <w:rFonts w:hAnsi="宋体" w:cs="宋体"/>
          <w:color w:val="auto"/>
          <w:sz w:val="21"/>
          <w:szCs w:val="21"/>
          <w:highlight w:val="none"/>
        </w:rPr>
      </w:pPr>
      <w:r>
        <w:rPr>
          <w:rFonts w:hint="eastAsia" w:hAnsi="宋体" w:cs="宋体"/>
          <w:color w:val="auto"/>
          <w:spacing w:val="-10"/>
          <w:sz w:val="21"/>
          <w:szCs w:val="21"/>
          <w:highlight w:val="none"/>
        </w:rPr>
        <w:t>1.乙方应按照国家有关法律法规和“三包”规定以及谈判文件、响</w:t>
      </w:r>
      <w:r>
        <w:rPr>
          <w:rFonts w:hint="eastAsia" w:hAnsi="宋体" w:cs="宋体"/>
          <w:color w:val="auto"/>
          <w:spacing w:val="7"/>
          <w:sz w:val="21"/>
          <w:szCs w:val="21"/>
          <w:highlight w:val="none"/>
        </w:rPr>
        <w:t>应文件和本合同所附的《服务承诺》，为甲方提供售后服务。</w:t>
      </w:r>
    </w:p>
    <w:p>
      <w:pPr>
        <w:pStyle w:val="2"/>
        <w:spacing w:after="0" w:line="360" w:lineRule="exact"/>
        <w:ind w:firstLine="380" w:firstLineChars="200"/>
        <w:jc w:val="both"/>
        <w:rPr>
          <w:rFonts w:hint="eastAsia" w:hAnsi="宋体" w:eastAsia="宋体" w:cs="宋体"/>
          <w:color w:val="auto"/>
          <w:sz w:val="21"/>
          <w:szCs w:val="21"/>
          <w:highlight w:val="none"/>
          <w:u w:val="single"/>
          <w:lang w:eastAsia="zh-CN"/>
        </w:rPr>
      </w:pPr>
      <w:r>
        <w:rPr>
          <w:rFonts w:hint="eastAsia" w:hAnsi="宋体" w:cs="宋体"/>
          <w:color w:val="auto"/>
          <w:spacing w:val="-10"/>
          <w:sz w:val="21"/>
          <w:szCs w:val="21"/>
          <w:highlight w:val="none"/>
        </w:rPr>
        <w:t>2.货物保修期；</w:t>
      </w:r>
      <w:r>
        <w:rPr>
          <w:rFonts w:hint="eastAsia" w:hAnsi="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p>
    <w:p>
      <w:pPr>
        <w:pStyle w:val="2"/>
        <w:spacing w:after="0" w:line="36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3.乙方提供的服务承诺和售后服务及保修期责任等其它具体约</w:t>
      </w:r>
      <w:r>
        <w:rPr>
          <w:rFonts w:hint="eastAsia" w:hAnsi="宋体" w:cs="宋体"/>
          <w:color w:val="auto"/>
          <w:spacing w:val="3"/>
          <w:sz w:val="21"/>
          <w:szCs w:val="21"/>
          <w:highlight w:val="none"/>
        </w:rPr>
        <w:t>定事项。(见合同附件)</w:t>
      </w:r>
    </w:p>
    <w:p>
      <w:pPr>
        <w:pStyle w:val="2"/>
        <w:spacing w:after="0" w:line="360" w:lineRule="exact"/>
        <w:ind w:firstLine="410" w:firstLineChars="200"/>
        <w:jc w:val="both"/>
        <w:rPr>
          <w:rFonts w:hAnsi="宋体" w:cs="宋体"/>
          <w:b/>
          <w:bCs/>
          <w:color w:val="auto"/>
          <w:sz w:val="21"/>
          <w:szCs w:val="21"/>
          <w:highlight w:val="none"/>
        </w:rPr>
      </w:pPr>
      <w:r>
        <w:rPr>
          <w:rFonts w:hint="eastAsia" w:hAnsi="宋体" w:cs="宋体"/>
          <w:b/>
          <w:bCs/>
          <w:color w:val="auto"/>
          <w:spacing w:val="-3"/>
          <w:sz w:val="21"/>
          <w:szCs w:val="21"/>
          <w:highlight w:val="none"/>
        </w:rPr>
        <w:t>第八条  付款方式</w:t>
      </w:r>
    </w:p>
    <w:p>
      <w:pPr>
        <w:pStyle w:val="2"/>
        <w:spacing w:after="0" w:line="360" w:lineRule="exact"/>
        <w:ind w:firstLine="336" w:firstLineChars="200"/>
        <w:jc w:val="both"/>
        <w:rPr>
          <w:rFonts w:hAnsi="宋体" w:cs="宋体"/>
          <w:color w:val="auto"/>
          <w:sz w:val="21"/>
          <w:szCs w:val="21"/>
          <w:highlight w:val="none"/>
          <w:u w:val="single"/>
        </w:rPr>
      </w:pPr>
      <w:r>
        <w:rPr>
          <w:rFonts w:hint="eastAsia" w:hAnsi="宋体" w:cs="宋体"/>
          <w:color w:val="auto"/>
          <w:spacing w:val="-21"/>
          <w:sz w:val="21"/>
          <w:szCs w:val="21"/>
          <w:highlight w:val="none"/>
        </w:rPr>
        <w:t>1.资金性质</w:t>
      </w:r>
      <w:r>
        <w:rPr>
          <w:rFonts w:hint="eastAsia" w:hAnsi="宋体" w:cs="宋体"/>
          <w:color w:val="auto"/>
          <w:spacing w:val="-3"/>
          <w:sz w:val="21"/>
          <w:szCs w:val="21"/>
          <w:highlight w:val="none"/>
        </w:rPr>
        <w:t>：</w:t>
      </w:r>
      <w:r>
        <w:rPr>
          <w:rFonts w:hint="eastAsia" w:hAnsi="宋体" w:cs="宋体"/>
          <w:color w:val="auto"/>
          <w:spacing w:val="-3"/>
          <w:sz w:val="21"/>
          <w:szCs w:val="21"/>
          <w:highlight w:val="none"/>
          <w:u w:val="single"/>
        </w:rPr>
        <w:t xml:space="preserve"> 财政性资金</w:t>
      </w:r>
    </w:p>
    <w:p>
      <w:pPr>
        <w:pStyle w:val="2"/>
        <w:spacing w:after="0" w:line="360" w:lineRule="exact"/>
        <w:ind w:firstLine="360" w:firstLineChars="200"/>
        <w:jc w:val="both"/>
        <w:rPr>
          <w:rFonts w:hAnsi="宋体" w:cs="宋体"/>
          <w:color w:val="auto"/>
          <w:sz w:val="21"/>
          <w:szCs w:val="21"/>
          <w:highlight w:val="none"/>
          <w:u w:val="single"/>
        </w:rPr>
      </w:pPr>
      <w:r>
        <w:rPr>
          <w:rFonts w:hint="eastAsia" w:hAnsi="宋体" w:cs="宋体"/>
          <w:color w:val="auto"/>
          <w:spacing w:val="-15"/>
          <w:sz w:val="21"/>
          <w:szCs w:val="21"/>
          <w:highlight w:val="none"/>
        </w:rPr>
        <w:t>2.付款方式：</w:t>
      </w:r>
      <w:r>
        <w:rPr>
          <w:rFonts w:hint="eastAsia" w:hAnsi="宋体" w:cs="宋体"/>
          <w:color w:val="auto"/>
          <w:spacing w:val="-2"/>
          <w:sz w:val="21"/>
          <w:szCs w:val="21"/>
          <w:highlight w:val="none"/>
          <w:u w:val="single"/>
        </w:rPr>
        <w:t>本项目无预付款，全部货物交货安装调试完毕，验</w:t>
      </w:r>
      <w:r>
        <w:rPr>
          <w:rFonts w:hint="eastAsia" w:hAnsi="宋体" w:cs="宋体"/>
          <w:color w:val="auto"/>
          <w:spacing w:val="-3"/>
          <w:sz w:val="21"/>
          <w:szCs w:val="21"/>
          <w:highlight w:val="none"/>
          <w:u w:val="single"/>
        </w:rPr>
        <w:t>收合格后</w:t>
      </w:r>
      <w:r>
        <w:rPr>
          <w:rFonts w:hint="eastAsia" w:hAnsi="宋体" w:cs="宋体"/>
          <w:color w:val="auto"/>
          <w:spacing w:val="-3"/>
          <w:sz w:val="21"/>
          <w:szCs w:val="21"/>
          <w:highlight w:val="none"/>
          <w:u w:val="single"/>
          <w:lang w:eastAsia="zh-CN"/>
        </w:rPr>
        <w:t>甲方</w:t>
      </w:r>
      <w:r>
        <w:rPr>
          <w:rFonts w:hint="eastAsia" w:hAnsi="宋体" w:cs="宋体"/>
          <w:color w:val="auto"/>
          <w:spacing w:val="3"/>
          <w:sz w:val="21"/>
          <w:szCs w:val="21"/>
          <w:highlight w:val="none"/>
          <w:u w:val="single"/>
        </w:rPr>
        <w:t>收到</w:t>
      </w:r>
      <w:r>
        <w:rPr>
          <w:rFonts w:hint="eastAsia" w:hAnsi="宋体" w:cs="宋体"/>
          <w:color w:val="auto"/>
          <w:spacing w:val="3"/>
          <w:sz w:val="21"/>
          <w:szCs w:val="21"/>
          <w:highlight w:val="none"/>
          <w:u w:val="single"/>
          <w:lang w:eastAsia="zh-CN"/>
        </w:rPr>
        <w:t>乙方</w:t>
      </w:r>
      <w:r>
        <w:rPr>
          <w:rFonts w:hint="eastAsia" w:hAnsi="宋体" w:cs="宋体"/>
          <w:color w:val="auto"/>
          <w:spacing w:val="3"/>
          <w:sz w:val="21"/>
          <w:szCs w:val="21"/>
          <w:highlight w:val="none"/>
          <w:u w:val="single"/>
        </w:rPr>
        <w:t>有效货物发票后</w:t>
      </w:r>
      <w:r>
        <w:rPr>
          <w:rFonts w:hint="eastAsia" w:hAnsi="宋体" w:cs="宋体"/>
          <w:color w:val="auto"/>
          <w:spacing w:val="3"/>
          <w:sz w:val="21"/>
          <w:szCs w:val="21"/>
          <w:highlight w:val="none"/>
          <w:u w:val="single"/>
          <w:lang w:val="en-US" w:eastAsia="zh-CN"/>
        </w:rPr>
        <w:t>20</w:t>
      </w:r>
      <w:r>
        <w:rPr>
          <w:rFonts w:hint="eastAsia" w:hAnsi="宋体" w:cs="宋体"/>
          <w:color w:val="auto"/>
          <w:spacing w:val="3"/>
          <w:sz w:val="21"/>
          <w:szCs w:val="21"/>
          <w:highlight w:val="none"/>
          <w:u w:val="single"/>
        </w:rPr>
        <w:t>个工作日内一次性支付全部</w:t>
      </w:r>
      <w:r>
        <w:rPr>
          <w:rFonts w:hint="eastAsia" w:hAnsi="宋体" w:cs="宋体"/>
          <w:color w:val="auto"/>
          <w:spacing w:val="-13"/>
          <w:sz w:val="21"/>
          <w:szCs w:val="21"/>
          <w:highlight w:val="none"/>
          <w:u w:val="single"/>
        </w:rPr>
        <w:t>货款。</w:t>
      </w:r>
    </w:p>
    <w:p>
      <w:pPr>
        <w:pStyle w:val="2"/>
        <w:spacing w:after="0" w:line="360" w:lineRule="exact"/>
        <w:ind w:firstLine="478" w:firstLineChars="200"/>
        <w:jc w:val="both"/>
        <w:rPr>
          <w:rFonts w:hAnsi="宋体" w:cs="宋体"/>
          <w:b/>
          <w:bCs/>
          <w:color w:val="auto"/>
          <w:spacing w:val="14"/>
          <w:sz w:val="21"/>
          <w:szCs w:val="21"/>
          <w:highlight w:val="none"/>
        </w:rPr>
      </w:pPr>
      <w:r>
        <w:rPr>
          <w:rFonts w:hint="eastAsia" w:hAnsi="宋体" w:cs="宋体"/>
          <w:b/>
          <w:bCs/>
          <w:color w:val="auto"/>
          <w:spacing w:val="14"/>
          <w:sz w:val="21"/>
          <w:szCs w:val="21"/>
          <w:highlight w:val="none"/>
        </w:rPr>
        <w:t>第九条  履约保证金</w:t>
      </w:r>
    </w:p>
    <w:p>
      <w:pPr>
        <w:pStyle w:val="2"/>
        <w:spacing w:after="0" w:line="360" w:lineRule="exact"/>
        <w:ind w:firstLine="408" w:firstLineChars="200"/>
        <w:jc w:val="both"/>
        <w:rPr>
          <w:rFonts w:hint="eastAsia" w:ascii="宋体" w:hAnsi="宋体" w:eastAsia="宋体" w:cs="宋体"/>
          <w:color w:val="auto"/>
          <w:spacing w:val="-3"/>
          <w:sz w:val="21"/>
          <w:szCs w:val="21"/>
          <w:highlight w:val="none"/>
          <w:lang w:eastAsia="zh-Hans"/>
        </w:rPr>
      </w:pPr>
      <w:r>
        <w:rPr>
          <w:rFonts w:hint="eastAsia" w:ascii="宋体" w:hAnsi="宋体" w:eastAsia="宋体" w:cs="宋体"/>
          <w:color w:val="auto"/>
          <w:spacing w:val="-3"/>
          <w:sz w:val="21"/>
          <w:szCs w:val="21"/>
          <w:highlight w:val="none"/>
        </w:rPr>
        <w:t>1.履约保证金为合同价款的5%，若乙方是中小企业（提供产品制造商均为中小微企业或残疾人福利企业或监狱企业），则履约保证金按合同价款的2%收取。履约保证金在签订合同前</w:t>
      </w:r>
      <w:r>
        <w:rPr>
          <w:rFonts w:hint="eastAsia" w:ascii="宋体" w:hAnsi="宋体" w:eastAsia="宋体" w:cs="宋体"/>
          <w:color w:val="auto"/>
          <w:spacing w:val="-3"/>
          <w:sz w:val="21"/>
          <w:szCs w:val="21"/>
          <w:highlight w:val="none"/>
          <w:lang w:val="en-US" w:eastAsia="zh-CN"/>
        </w:rPr>
        <w:t>5</w:t>
      </w:r>
      <w:r>
        <w:rPr>
          <w:rFonts w:hint="eastAsia" w:ascii="宋体" w:hAnsi="宋体" w:eastAsia="宋体" w:cs="宋体"/>
          <w:color w:val="auto"/>
          <w:spacing w:val="-3"/>
          <w:sz w:val="21"/>
          <w:szCs w:val="21"/>
          <w:highlight w:val="none"/>
        </w:rPr>
        <w:t>日内</w:t>
      </w:r>
      <w:r>
        <w:rPr>
          <w:rFonts w:hint="eastAsia" w:ascii="宋体" w:hAnsi="宋体" w:eastAsia="宋体" w:cs="宋体"/>
          <w:color w:val="auto"/>
          <w:spacing w:val="-3"/>
          <w:sz w:val="21"/>
          <w:szCs w:val="21"/>
          <w:highlight w:val="none"/>
          <w:lang w:eastAsia="zh-Hans"/>
        </w:rPr>
        <w:t>支付。</w:t>
      </w:r>
    </w:p>
    <w:p>
      <w:pPr>
        <w:pStyle w:val="2"/>
        <w:spacing w:after="0" w:line="360" w:lineRule="exact"/>
        <w:ind w:firstLine="408" w:firstLineChars="200"/>
        <w:jc w:val="both"/>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2.履约保证金提交方式：银行转账、支票、汇票、本票或者银行、保险机构出具的保函等非现金方式。</w:t>
      </w:r>
    </w:p>
    <w:p>
      <w:pPr>
        <w:pStyle w:val="2"/>
        <w:spacing w:after="0" w:line="360" w:lineRule="exact"/>
        <w:ind w:firstLine="408" w:firstLineChars="200"/>
        <w:jc w:val="both"/>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3.履约保证金退付条件及时间：自项目验收合格之日起至质保期满无质量问题，甲方收到退付履约保证金申请后</w:t>
      </w:r>
      <w:r>
        <w:rPr>
          <w:rFonts w:hint="eastAsia" w:hAnsi="宋体" w:cs="宋体"/>
          <w:color w:val="auto"/>
          <w:spacing w:val="-3"/>
          <w:sz w:val="21"/>
          <w:szCs w:val="21"/>
          <w:highlight w:val="none"/>
          <w:lang w:val="en-US" w:eastAsia="zh-CN"/>
        </w:rPr>
        <w:t>15</w:t>
      </w:r>
      <w:r>
        <w:rPr>
          <w:rFonts w:hint="eastAsia" w:ascii="宋体" w:hAnsi="宋体" w:eastAsia="宋体" w:cs="宋体"/>
          <w:color w:val="auto"/>
          <w:spacing w:val="-3"/>
          <w:sz w:val="21"/>
          <w:szCs w:val="21"/>
          <w:highlight w:val="none"/>
        </w:rPr>
        <w:t>个工作日内退还（无息）。</w:t>
      </w:r>
    </w:p>
    <w:p>
      <w:pPr>
        <w:pStyle w:val="2"/>
        <w:spacing w:after="0" w:line="360" w:lineRule="exact"/>
        <w:ind w:firstLine="408" w:firstLineChars="200"/>
        <w:jc w:val="both"/>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履约保证金账户：</w:t>
      </w:r>
    </w:p>
    <w:p>
      <w:pPr>
        <w:pStyle w:val="2"/>
        <w:spacing w:after="0" w:line="360" w:lineRule="exact"/>
        <w:ind w:firstLine="408" w:firstLineChars="200"/>
        <w:jc w:val="both"/>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全    称：广西科技大学</w:t>
      </w:r>
    </w:p>
    <w:p>
      <w:pPr>
        <w:pStyle w:val="2"/>
        <w:spacing w:after="0" w:line="360" w:lineRule="exact"/>
        <w:ind w:firstLine="408" w:firstLineChars="200"/>
        <w:jc w:val="both"/>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账    号：20-112801040000305</w:t>
      </w:r>
    </w:p>
    <w:p>
      <w:pPr>
        <w:pStyle w:val="2"/>
        <w:spacing w:after="0" w:line="360" w:lineRule="exact"/>
        <w:ind w:firstLine="408" w:firstLineChars="200"/>
        <w:jc w:val="both"/>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开户银行：中国农业银行柳州市祥兴支行</w:t>
      </w:r>
    </w:p>
    <w:p>
      <w:pPr>
        <w:pStyle w:val="2"/>
        <w:spacing w:after="0" w:line="360" w:lineRule="exact"/>
        <w:ind w:firstLine="408" w:firstLineChars="200"/>
        <w:jc w:val="both"/>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转账时注明：项目名称+项目编号</w:t>
      </w:r>
    </w:p>
    <w:p>
      <w:pPr>
        <w:pStyle w:val="2"/>
        <w:spacing w:after="0" w:line="360" w:lineRule="exact"/>
        <w:ind w:firstLine="478" w:firstLineChars="200"/>
        <w:jc w:val="both"/>
        <w:rPr>
          <w:rFonts w:hAnsi="宋体" w:cs="宋体"/>
          <w:b/>
          <w:bCs/>
          <w:color w:val="auto"/>
          <w:spacing w:val="14"/>
          <w:sz w:val="21"/>
          <w:szCs w:val="21"/>
          <w:highlight w:val="none"/>
        </w:rPr>
      </w:pPr>
      <w:r>
        <w:rPr>
          <w:rFonts w:hint="eastAsia" w:hAnsi="宋体" w:cs="宋体"/>
          <w:b/>
          <w:bCs/>
          <w:color w:val="auto"/>
          <w:spacing w:val="14"/>
          <w:sz w:val="21"/>
          <w:szCs w:val="21"/>
          <w:highlight w:val="none"/>
        </w:rPr>
        <w:t>第十条 税费本合同执行中相关的一切税费均由乙方负担。</w:t>
      </w:r>
    </w:p>
    <w:p>
      <w:pPr>
        <w:pStyle w:val="2"/>
        <w:spacing w:after="0" w:line="360" w:lineRule="exact"/>
        <w:ind w:firstLine="478" w:firstLineChars="200"/>
        <w:jc w:val="both"/>
        <w:rPr>
          <w:rFonts w:hAnsi="宋体" w:cs="宋体"/>
          <w:b/>
          <w:bCs/>
          <w:color w:val="auto"/>
          <w:spacing w:val="14"/>
          <w:sz w:val="21"/>
          <w:szCs w:val="21"/>
          <w:highlight w:val="none"/>
        </w:rPr>
      </w:pPr>
      <w:r>
        <w:rPr>
          <w:rFonts w:hint="eastAsia" w:hAnsi="宋体" w:cs="宋体"/>
          <w:b/>
          <w:bCs/>
          <w:color w:val="auto"/>
          <w:spacing w:val="14"/>
          <w:sz w:val="21"/>
          <w:szCs w:val="21"/>
          <w:highlight w:val="none"/>
        </w:rPr>
        <w:t>第十一条 质量保证及售后服务</w:t>
      </w:r>
    </w:p>
    <w:p>
      <w:pPr>
        <w:pStyle w:val="2"/>
        <w:spacing w:after="0" w:line="360" w:lineRule="exact"/>
        <w:ind w:firstLine="408" w:firstLineChars="200"/>
        <w:jc w:val="both"/>
        <w:rPr>
          <w:rFonts w:hAnsi="宋体" w:cs="宋体"/>
          <w:color w:val="auto"/>
          <w:sz w:val="21"/>
          <w:szCs w:val="21"/>
          <w:highlight w:val="none"/>
        </w:rPr>
      </w:pPr>
      <w:r>
        <w:rPr>
          <w:rFonts w:hint="eastAsia" w:hAnsi="宋体" w:cs="宋体"/>
          <w:color w:val="auto"/>
          <w:spacing w:val="-3"/>
          <w:sz w:val="21"/>
          <w:szCs w:val="21"/>
          <w:highlight w:val="none"/>
        </w:rPr>
        <w:t>1.</w:t>
      </w:r>
      <w:r>
        <w:rPr>
          <w:rFonts w:hint="eastAsia" w:hAnsi="宋体" w:cs="宋体"/>
          <w:color w:val="auto"/>
          <w:spacing w:val="-46"/>
          <w:sz w:val="21"/>
          <w:szCs w:val="21"/>
          <w:highlight w:val="none"/>
        </w:rPr>
        <w:t xml:space="preserve"> </w:t>
      </w:r>
      <w:r>
        <w:rPr>
          <w:rFonts w:hint="eastAsia" w:hAnsi="宋体" w:cs="宋体"/>
          <w:color w:val="auto"/>
          <w:spacing w:val="-3"/>
          <w:sz w:val="21"/>
          <w:szCs w:val="21"/>
          <w:highlight w:val="none"/>
        </w:rPr>
        <w:t>乙方应按谈判文件规定及响应文件承诺的货物性能、技术要</w:t>
      </w:r>
      <w:r>
        <w:rPr>
          <w:rFonts w:hint="eastAsia" w:hAnsi="宋体" w:cs="宋体"/>
          <w:color w:val="auto"/>
          <w:spacing w:val="-5"/>
          <w:sz w:val="21"/>
          <w:szCs w:val="21"/>
          <w:highlight w:val="none"/>
        </w:rPr>
        <w:t>求、质量标准向甲方提供未经使用的全新产品。乙方提供货物的质量</w:t>
      </w:r>
      <w:r>
        <w:rPr>
          <w:rFonts w:hint="eastAsia" w:hAnsi="宋体" w:cs="宋体"/>
          <w:color w:val="auto"/>
          <w:spacing w:val="-1"/>
          <w:sz w:val="21"/>
          <w:szCs w:val="21"/>
          <w:highlight w:val="none"/>
        </w:rPr>
        <w:t>保证期按交货验收合格之日起计(期限见《采购需求》中各分标的要</w:t>
      </w:r>
      <w:r>
        <w:rPr>
          <w:rFonts w:hint="eastAsia" w:hAnsi="宋体" w:cs="宋体"/>
          <w:color w:val="auto"/>
          <w:sz w:val="21"/>
          <w:szCs w:val="21"/>
          <w:highlight w:val="none"/>
        </w:rPr>
        <w:t>求)。在保证期内因货物本身的质量问题发生故障，乙方应负责免费</w:t>
      </w:r>
      <w:r>
        <w:rPr>
          <w:rFonts w:hint="eastAsia" w:hAnsi="宋体" w:cs="宋体"/>
          <w:color w:val="auto"/>
          <w:spacing w:val="-5"/>
          <w:sz w:val="21"/>
          <w:szCs w:val="21"/>
          <w:highlight w:val="none"/>
        </w:rPr>
        <w:t>修理和更换零部件。对达不到技术要求者，根据实际情况，经双方协</w:t>
      </w:r>
      <w:r>
        <w:rPr>
          <w:rFonts w:hint="eastAsia" w:hAnsi="宋体" w:cs="宋体"/>
          <w:color w:val="auto"/>
          <w:spacing w:val="-11"/>
          <w:sz w:val="21"/>
          <w:szCs w:val="21"/>
          <w:highlight w:val="none"/>
        </w:rPr>
        <w:t>商，可按以下办法处理：</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(1)更换：由乙方承担所发生的全部费用。</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(2)贬值处理：由甲乙双方合议定价。</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(3)退货处理：乙方应退还甲方支付的合同款，同时应承担该货物的直接费用(运输、保险、检验、货款利息及银行手续费等)。</w:t>
      </w:r>
    </w:p>
    <w:p>
      <w:pPr>
        <w:pStyle w:val="2"/>
        <w:spacing w:after="0" w:line="360" w:lineRule="exact"/>
        <w:ind w:firstLine="420" w:firstLineChars="200"/>
        <w:jc w:val="both"/>
        <w:rPr>
          <w:rFonts w:hAnsi="宋体" w:cs="宋体"/>
          <w:color w:val="auto"/>
          <w:sz w:val="21"/>
          <w:szCs w:val="21"/>
          <w:highlight w:val="none"/>
        </w:rPr>
      </w:pPr>
      <w:r>
        <w:rPr>
          <w:rFonts w:hint="eastAsia" w:hAnsi="宋体"/>
          <w:color w:val="auto"/>
          <w:kern w:val="2"/>
          <w:sz w:val="21"/>
          <w:szCs w:val="21"/>
          <w:highlight w:val="none"/>
        </w:rPr>
        <w:t>2</w:t>
      </w:r>
      <w:r>
        <w:rPr>
          <w:rFonts w:hint="eastAsia" w:hAnsi="宋体" w:cs="宋体"/>
          <w:color w:val="auto"/>
          <w:spacing w:val="-3"/>
          <w:sz w:val="21"/>
          <w:szCs w:val="21"/>
          <w:highlight w:val="none"/>
        </w:rPr>
        <w:t>.如在</w:t>
      </w:r>
      <w:r>
        <w:rPr>
          <w:rFonts w:hint="eastAsia" w:hAnsi="宋体" w:cs="宋体"/>
          <w:color w:val="auto"/>
          <w:spacing w:val="13"/>
          <w:sz w:val="21"/>
          <w:szCs w:val="21"/>
          <w:highlight w:val="none"/>
        </w:rPr>
        <w:t>使用过程中发生质量问题，乙方在接到甲方通知</w:t>
      </w:r>
      <w:r>
        <w:rPr>
          <w:rFonts w:hint="eastAsia" w:hAnsi="宋体" w:cs="宋体"/>
          <w:color w:val="auto"/>
          <w:spacing w:val="12"/>
          <w:sz w:val="21"/>
          <w:szCs w:val="21"/>
          <w:highlight w:val="none"/>
        </w:rPr>
        <w:t>后在</w:t>
      </w:r>
      <w:r>
        <w:rPr>
          <w:rFonts w:hint="eastAsia" w:hAnsi="宋体" w:cs="宋体"/>
          <w:color w:val="auto"/>
          <w:spacing w:val="-13"/>
          <w:sz w:val="21"/>
          <w:szCs w:val="21"/>
          <w:highlight w:val="none"/>
          <w:u w:val="single"/>
          <w:lang w:val="en-US" w:eastAsia="zh-CN"/>
        </w:rPr>
        <w:t xml:space="preserve"> 24小时内 </w:t>
      </w:r>
      <w:r>
        <w:rPr>
          <w:rFonts w:hint="eastAsia" w:hAnsi="宋体" w:cs="宋体"/>
          <w:color w:val="auto"/>
          <w:spacing w:val="-13"/>
          <w:sz w:val="21"/>
          <w:szCs w:val="21"/>
          <w:highlight w:val="none"/>
        </w:rPr>
        <w:t>到达甲方现场。</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3.在质保期内，乙方应对货物出现的质量及安全问题负责处理解决并承担一切费用。</w:t>
      </w:r>
    </w:p>
    <w:p>
      <w:pPr>
        <w:pStyle w:val="2"/>
        <w:spacing w:after="0" w:line="360" w:lineRule="exact"/>
        <w:ind w:firstLine="384" w:firstLineChars="200"/>
        <w:jc w:val="both"/>
        <w:rPr>
          <w:rFonts w:hint="eastAsia" w:hAnsi="宋体" w:eastAsia="宋体" w:cs="宋体"/>
          <w:color w:val="auto"/>
          <w:sz w:val="21"/>
          <w:szCs w:val="21"/>
          <w:highlight w:val="none"/>
          <w:lang w:val="en-US" w:eastAsia="zh-CN"/>
        </w:rPr>
      </w:pPr>
      <w:r>
        <w:rPr>
          <w:rFonts w:hint="eastAsia" w:hAnsi="宋体" w:cs="宋体"/>
          <w:color w:val="auto"/>
          <w:spacing w:val="-9"/>
          <w:sz w:val="21"/>
          <w:szCs w:val="21"/>
          <w:highlight w:val="none"/>
        </w:rPr>
        <w:t>4.上述的货物免费保修期为</w:t>
      </w:r>
      <w:r>
        <w:rPr>
          <w:rFonts w:hint="eastAsia" w:hAnsi="宋体" w:cs="宋体"/>
          <w:color w:val="auto"/>
          <w:spacing w:val="-89"/>
          <w:sz w:val="21"/>
          <w:szCs w:val="21"/>
          <w:highlight w:val="none"/>
        </w:rPr>
        <w:t xml:space="preserve"> </w:t>
      </w:r>
      <w:r>
        <w:rPr>
          <w:rFonts w:hint="eastAsia" w:hAnsi="宋体" w:cs="宋体"/>
          <w:color w:val="auto"/>
          <w:spacing w:val="-9"/>
          <w:sz w:val="21"/>
          <w:szCs w:val="21"/>
          <w:highlight w:val="none"/>
          <w:u w:val="single"/>
        </w:rPr>
        <w:t xml:space="preserve">   </w:t>
      </w:r>
      <w:r>
        <w:rPr>
          <w:rFonts w:hint="eastAsia" w:hAnsi="宋体" w:cs="宋体"/>
          <w:color w:val="auto"/>
          <w:spacing w:val="-9"/>
          <w:sz w:val="21"/>
          <w:szCs w:val="21"/>
          <w:highlight w:val="none"/>
          <w:u w:val="single"/>
          <w:lang w:val="en-US" w:eastAsia="zh-CN"/>
        </w:rPr>
        <w:t xml:space="preserve"> </w:t>
      </w:r>
      <w:r>
        <w:rPr>
          <w:rFonts w:hint="eastAsia" w:hAnsi="宋体" w:cs="宋体"/>
          <w:color w:val="auto"/>
          <w:spacing w:val="-9"/>
          <w:sz w:val="21"/>
          <w:szCs w:val="21"/>
          <w:highlight w:val="none"/>
          <w:u w:val="single"/>
        </w:rPr>
        <w:t xml:space="preserve">  </w:t>
      </w:r>
      <w:r>
        <w:rPr>
          <w:rFonts w:hint="eastAsia" w:hAnsi="宋体" w:cs="宋体"/>
          <w:color w:val="auto"/>
          <w:spacing w:val="-9"/>
          <w:sz w:val="21"/>
          <w:szCs w:val="21"/>
          <w:highlight w:val="none"/>
        </w:rPr>
        <w:t>年，因人为因素出现的故障不在免费保修范围内。超过保修期的机器设备，终生维修，维修时只收部件成本费</w:t>
      </w:r>
      <w:r>
        <w:rPr>
          <w:rFonts w:hint="eastAsia" w:hAnsi="宋体" w:cs="宋体"/>
          <w:color w:val="auto"/>
          <w:spacing w:val="-9"/>
          <w:sz w:val="21"/>
          <w:szCs w:val="21"/>
          <w:highlight w:val="none"/>
          <w:lang w:eastAsia="zh-CN"/>
        </w:rPr>
        <w:t>。</w:t>
      </w:r>
    </w:p>
    <w:p>
      <w:pPr>
        <w:pStyle w:val="2"/>
        <w:spacing w:after="0" w:line="360" w:lineRule="exact"/>
        <w:ind w:firstLine="402" w:firstLineChars="200"/>
        <w:jc w:val="both"/>
        <w:rPr>
          <w:rFonts w:hAnsi="宋体" w:cs="宋体"/>
          <w:color w:val="auto"/>
          <w:sz w:val="21"/>
          <w:szCs w:val="21"/>
          <w:highlight w:val="none"/>
        </w:rPr>
      </w:pPr>
      <w:r>
        <w:rPr>
          <w:rFonts w:hint="eastAsia" w:hAnsi="宋体" w:cs="宋体"/>
          <w:b/>
          <w:bCs/>
          <w:color w:val="auto"/>
          <w:spacing w:val="-5"/>
          <w:sz w:val="21"/>
          <w:szCs w:val="21"/>
          <w:highlight w:val="none"/>
        </w:rPr>
        <w:t>第十二条</w:t>
      </w:r>
      <w:r>
        <w:rPr>
          <w:rFonts w:hint="eastAsia" w:hAnsi="宋体" w:cs="宋体"/>
          <w:color w:val="auto"/>
          <w:spacing w:val="-5"/>
          <w:sz w:val="21"/>
          <w:szCs w:val="21"/>
          <w:highlight w:val="none"/>
        </w:rPr>
        <w:t xml:space="preserve">  </w:t>
      </w:r>
      <w:r>
        <w:rPr>
          <w:rFonts w:hint="eastAsia" w:hAnsi="宋体" w:cs="宋体"/>
          <w:b/>
          <w:bCs/>
          <w:color w:val="auto"/>
          <w:spacing w:val="-5"/>
          <w:sz w:val="21"/>
          <w:szCs w:val="21"/>
          <w:highlight w:val="none"/>
        </w:rPr>
        <w:t>调试和验收</w:t>
      </w:r>
    </w:p>
    <w:p>
      <w:pPr>
        <w:pStyle w:val="2"/>
        <w:spacing w:after="0" w:line="360" w:lineRule="exact"/>
        <w:ind w:firstLine="404" w:firstLineChars="200"/>
        <w:jc w:val="both"/>
        <w:rPr>
          <w:rFonts w:hint="eastAsia" w:hAnsi="宋体" w:cs="宋体"/>
          <w:b w:val="0"/>
          <w:bCs w:val="0"/>
          <w:color w:val="auto"/>
          <w:spacing w:val="-4"/>
          <w:sz w:val="21"/>
          <w:szCs w:val="21"/>
          <w:highlight w:val="none"/>
        </w:rPr>
      </w:pPr>
      <w:r>
        <w:rPr>
          <w:rFonts w:hint="eastAsia" w:hAnsi="宋体" w:cs="宋体"/>
          <w:b w:val="0"/>
          <w:bCs w:val="0"/>
          <w:color w:val="auto"/>
          <w:spacing w:val="-4"/>
          <w:sz w:val="21"/>
          <w:szCs w:val="21"/>
          <w:highlight w:val="none"/>
          <w:lang w:val="en-US" w:eastAsia="zh-CN"/>
        </w:rPr>
        <w:t>1.</w:t>
      </w:r>
      <w:r>
        <w:rPr>
          <w:rFonts w:hint="eastAsia" w:hAnsi="宋体" w:cs="宋体"/>
          <w:b w:val="0"/>
          <w:bCs w:val="0"/>
          <w:color w:val="auto"/>
          <w:spacing w:val="-4"/>
          <w:sz w:val="21"/>
          <w:szCs w:val="21"/>
          <w:highlight w:val="none"/>
        </w:rPr>
        <w:t>安装调试在产品到货后3个工作日内开始进行。</w:t>
      </w:r>
      <w:r>
        <w:rPr>
          <w:rFonts w:hint="eastAsia" w:hAnsi="宋体" w:cs="宋体"/>
          <w:color w:val="auto"/>
          <w:spacing w:val="13"/>
          <w:sz w:val="21"/>
          <w:szCs w:val="21"/>
          <w:highlight w:val="none"/>
        </w:rPr>
        <w:t>乙方</w:t>
      </w:r>
      <w:r>
        <w:rPr>
          <w:rFonts w:hint="eastAsia" w:hAnsi="宋体" w:cs="宋体"/>
          <w:b w:val="0"/>
          <w:bCs w:val="0"/>
          <w:color w:val="auto"/>
          <w:spacing w:val="-4"/>
          <w:sz w:val="21"/>
          <w:szCs w:val="21"/>
          <w:highlight w:val="none"/>
        </w:rPr>
        <w:t>负责将采购设备运至</w:t>
      </w:r>
      <w:r>
        <w:rPr>
          <w:rFonts w:hint="eastAsia" w:hAnsi="宋体" w:cs="宋体"/>
          <w:color w:val="auto"/>
          <w:spacing w:val="13"/>
          <w:sz w:val="21"/>
          <w:szCs w:val="21"/>
          <w:highlight w:val="none"/>
        </w:rPr>
        <w:t>甲方</w:t>
      </w:r>
      <w:r>
        <w:rPr>
          <w:rFonts w:hint="eastAsia" w:hAnsi="宋体" w:cs="宋体"/>
          <w:b w:val="0"/>
          <w:bCs w:val="0"/>
          <w:color w:val="auto"/>
          <w:spacing w:val="-4"/>
          <w:sz w:val="21"/>
          <w:szCs w:val="21"/>
          <w:highlight w:val="none"/>
        </w:rPr>
        <w:t>定地点，并进行设备的安装与调试；</w:t>
      </w:r>
    </w:p>
    <w:p>
      <w:pPr>
        <w:pStyle w:val="2"/>
        <w:spacing w:after="0" w:line="360" w:lineRule="exact"/>
        <w:ind w:firstLine="404" w:firstLineChars="200"/>
        <w:jc w:val="both"/>
        <w:rPr>
          <w:rFonts w:hint="eastAsia" w:hAnsi="宋体" w:cs="宋体"/>
          <w:b w:val="0"/>
          <w:bCs w:val="0"/>
          <w:color w:val="auto"/>
          <w:spacing w:val="-4"/>
          <w:sz w:val="21"/>
          <w:szCs w:val="21"/>
          <w:highlight w:val="none"/>
        </w:rPr>
      </w:pPr>
      <w:r>
        <w:rPr>
          <w:rFonts w:hint="eastAsia" w:hAnsi="宋体" w:cs="宋体"/>
          <w:b w:val="0"/>
          <w:bCs w:val="0"/>
          <w:color w:val="auto"/>
          <w:spacing w:val="-4"/>
          <w:sz w:val="21"/>
          <w:szCs w:val="21"/>
          <w:highlight w:val="none"/>
          <w:lang w:val="en-US" w:eastAsia="zh-CN"/>
        </w:rPr>
        <w:t>2.</w:t>
      </w:r>
      <w:r>
        <w:rPr>
          <w:rFonts w:hint="eastAsia" w:hAnsi="宋体" w:cs="宋体"/>
          <w:b w:val="0"/>
          <w:bCs w:val="0"/>
          <w:color w:val="auto"/>
          <w:spacing w:val="-4"/>
          <w:sz w:val="21"/>
          <w:szCs w:val="21"/>
          <w:highlight w:val="none"/>
        </w:rPr>
        <w:t>所有产品均须由</w:t>
      </w:r>
      <w:r>
        <w:rPr>
          <w:rFonts w:hint="eastAsia" w:hAnsi="宋体" w:cs="宋体"/>
          <w:color w:val="auto"/>
          <w:spacing w:val="13"/>
          <w:sz w:val="21"/>
          <w:szCs w:val="21"/>
          <w:highlight w:val="none"/>
        </w:rPr>
        <w:t>乙方</w:t>
      </w:r>
      <w:r>
        <w:rPr>
          <w:rFonts w:hint="eastAsia" w:hAnsi="宋体" w:cs="宋体"/>
          <w:b w:val="0"/>
          <w:bCs w:val="0"/>
          <w:color w:val="auto"/>
          <w:spacing w:val="-4"/>
          <w:sz w:val="21"/>
          <w:szCs w:val="21"/>
          <w:highlight w:val="none"/>
        </w:rPr>
        <w:t>送货上门并依照本项目采购文件的要求和本项目</w:t>
      </w:r>
      <w:r>
        <w:rPr>
          <w:rFonts w:hint="eastAsia" w:hAnsi="宋体" w:cs="宋体"/>
          <w:color w:val="auto"/>
          <w:spacing w:val="13"/>
          <w:sz w:val="21"/>
          <w:szCs w:val="21"/>
          <w:highlight w:val="none"/>
        </w:rPr>
        <w:t>乙方</w:t>
      </w:r>
      <w:r>
        <w:rPr>
          <w:rFonts w:hint="eastAsia" w:hAnsi="宋体" w:cs="宋体"/>
          <w:b w:val="0"/>
          <w:bCs w:val="0"/>
          <w:color w:val="auto"/>
          <w:spacing w:val="-4"/>
          <w:sz w:val="21"/>
          <w:szCs w:val="21"/>
          <w:highlight w:val="none"/>
        </w:rPr>
        <w:t>成交的报价文件的承诺，将设备、系统安装并调试至正常运行的最佳状态。</w:t>
      </w:r>
      <w:r>
        <w:rPr>
          <w:rFonts w:hint="eastAsia" w:hAnsi="宋体" w:cs="宋体"/>
          <w:color w:val="auto"/>
          <w:spacing w:val="13"/>
          <w:sz w:val="21"/>
          <w:szCs w:val="21"/>
          <w:highlight w:val="none"/>
        </w:rPr>
        <w:t>甲方</w:t>
      </w:r>
      <w:r>
        <w:rPr>
          <w:rFonts w:hint="eastAsia" w:hAnsi="宋体" w:cs="宋体"/>
          <w:b w:val="0"/>
          <w:bCs w:val="0"/>
          <w:color w:val="auto"/>
          <w:spacing w:val="-4"/>
          <w:sz w:val="21"/>
          <w:szCs w:val="21"/>
          <w:highlight w:val="none"/>
        </w:rPr>
        <w:t>不再支付任何费用。</w:t>
      </w:r>
    </w:p>
    <w:p>
      <w:pPr>
        <w:pStyle w:val="2"/>
        <w:spacing w:after="0" w:line="360" w:lineRule="exact"/>
        <w:ind w:firstLine="404" w:firstLineChars="200"/>
        <w:jc w:val="both"/>
        <w:rPr>
          <w:rFonts w:hint="eastAsia" w:hAnsi="宋体" w:cs="宋体"/>
          <w:b w:val="0"/>
          <w:bCs w:val="0"/>
          <w:color w:val="auto"/>
          <w:spacing w:val="-4"/>
          <w:sz w:val="21"/>
          <w:szCs w:val="21"/>
          <w:highlight w:val="none"/>
        </w:rPr>
      </w:pPr>
      <w:r>
        <w:rPr>
          <w:rFonts w:hint="eastAsia" w:hAnsi="宋体" w:cs="宋体"/>
          <w:b w:val="0"/>
          <w:bCs w:val="0"/>
          <w:color w:val="auto"/>
          <w:spacing w:val="-4"/>
          <w:sz w:val="21"/>
          <w:szCs w:val="21"/>
          <w:highlight w:val="none"/>
          <w:lang w:val="en-US" w:eastAsia="zh-CN"/>
        </w:rPr>
        <w:t>3.</w:t>
      </w:r>
      <w:r>
        <w:rPr>
          <w:rFonts w:hint="eastAsia" w:hAnsi="宋体" w:cs="宋体"/>
          <w:color w:val="auto"/>
          <w:spacing w:val="13"/>
          <w:sz w:val="21"/>
          <w:szCs w:val="21"/>
          <w:highlight w:val="none"/>
        </w:rPr>
        <w:t>乙方</w:t>
      </w:r>
      <w:r>
        <w:rPr>
          <w:rFonts w:hint="eastAsia" w:hAnsi="宋体" w:cs="宋体"/>
          <w:b w:val="0"/>
          <w:bCs w:val="0"/>
          <w:color w:val="auto"/>
          <w:spacing w:val="-4"/>
          <w:sz w:val="21"/>
          <w:szCs w:val="21"/>
          <w:highlight w:val="none"/>
        </w:rPr>
        <w:t>须提供原制造商制造的全新产品，整机无污染，无侵权行为、表面无划损、无任何缺陷隐患，完全符合国家的有关质量标准，在中国境内可依常规安全合法使用。</w:t>
      </w:r>
    </w:p>
    <w:p>
      <w:pPr>
        <w:pStyle w:val="2"/>
        <w:spacing w:after="0" w:line="360" w:lineRule="exact"/>
        <w:ind w:firstLine="404" w:firstLineChars="200"/>
        <w:jc w:val="both"/>
        <w:rPr>
          <w:rFonts w:hint="eastAsia" w:hAnsi="宋体" w:cs="宋体"/>
          <w:b w:val="0"/>
          <w:bCs w:val="0"/>
          <w:color w:val="auto"/>
          <w:spacing w:val="-4"/>
          <w:sz w:val="21"/>
          <w:szCs w:val="21"/>
          <w:highlight w:val="none"/>
        </w:rPr>
      </w:pPr>
      <w:r>
        <w:rPr>
          <w:rFonts w:hint="eastAsia" w:hAnsi="宋体" w:cs="宋体"/>
          <w:b w:val="0"/>
          <w:bCs w:val="0"/>
          <w:color w:val="auto"/>
          <w:spacing w:val="-4"/>
          <w:sz w:val="21"/>
          <w:szCs w:val="21"/>
          <w:highlight w:val="none"/>
          <w:lang w:val="en-US" w:eastAsia="zh-CN"/>
        </w:rPr>
        <w:t>4.</w:t>
      </w:r>
      <w:r>
        <w:rPr>
          <w:rFonts w:hint="eastAsia" w:hAnsi="宋体" w:cs="宋体"/>
          <w:b w:val="0"/>
          <w:bCs w:val="0"/>
          <w:color w:val="auto"/>
          <w:spacing w:val="-4"/>
          <w:sz w:val="21"/>
          <w:szCs w:val="21"/>
          <w:highlight w:val="none"/>
        </w:rPr>
        <w:t>产品为原厂商未启封全新包装，具出厂合格证，序列号、包装箱号与出厂批号一致，并可追索查阅。每台设备上均应钉有铭牌标签(内容包括：制造商、产品名称、型号规格、出厂日期等)并附有产品质量检验合格标志。</w:t>
      </w:r>
    </w:p>
    <w:p>
      <w:pPr>
        <w:pStyle w:val="2"/>
        <w:spacing w:after="0" w:line="360" w:lineRule="exact"/>
        <w:ind w:firstLine="404" w:firstLineChars="200"/>
        <w:jc w:val="both"/>
        <w:rPr>
          <w:rFonts w:hint="eastAsia" w:hAnsi="宋体" w:cs="宋体"/>
          <w:b w:val="0"/>
          <w:bCs w:val="0"/>
          <w:color w:val="auto"/>
          <w:spacing w:val="-4"/>
          <w:sz w:val="21"/>
          <w:szCs w:val="21"/>
          <w:highlight w:val="none"/>
        </w:rPr>
      </w:pPr>
      <w:r>
        <w:rPr>
          <w:rFonts w:hint="eastAsia" w:hAnsi="宋体" w:cs="宋体"/>
          <w:b w:val="0"/>
          <w:bCs w:val="0"/>
          <w:color w:val="auto"/>
          <w:spacing w:val="-4"/>
          <w:sz w:val="21"/>
          <w:szCs w:val="21"/>
          <w:highlight w:val="none"/>
          <w:lang w:val="en-US" w:eastAsia="zh-CN"/>
        </w:rPr>
        <w:t>5.</w:t>
      </w:r>
      <w:r>
        <w:rPr>
          <w:rFonts w:hint="eastAsia" w:hAnsi="宋体" w:cs="宋体"/>
          <w:b w:val="0"/>
          <w:bCs w:val="0"/>
          <w:color w:val="auto"/>
          <w:spacing w:val="-4"/>
          <w:sz w:val="21"/>
          <w:szCs w:val="21"/>
          <w:highlight w:val="none"/>
        </w:rPr>
        <w:t>产品的到货验收包括：数量、外观质量、随机备件备品、装箱单、随机资料(中文)及产品包装完整无破损。产品验收通过前，外包装数量、质量及外包装内产品数量、质量，均由</w:t>
      </w:r>
      <w:r>
        <w:rPr>
          <w:rFonts w:hint="eastAsia" w:hAnsi="宋体" w:cs="宋体"/>
          <w:color w:val="auto"/>
          <w:spacing w:val="13"/>
          <w:sz w:val="21"/>
          <w:szCs w:val="21"/>
          <w:highlight w:val="none"/>
        </w:rPr>
        <w:t>乙方</w:t>
      </w:r>
      <w:r>
        <w:rPr>
          <w:rFonts w:hint="eastAsia" w:hAnsi="宋体" w:cs="宋体"/>
          <w:b w:val="0"/>
          <w:bCs w:val="0"/>
          <w:color w:val="auto"/>
          <w:spacing w:val="-4"/>
          <w:sz w:val="21"/>
          <w:szCs w:val="21"/>
          <w:highlight w:val="none"/>
        </w:rPr>
        <w:t>负责。</w:t>
      </w:r>
    </w:p>
    <w:p>
      <w:pPr>
        <w:pStyle w:val="2"/>
        <w:spacing w:after="0" w:line="360" w:lineRule="exact"/>
        <w:ind w:firstLine="404" w:firstLineChars="200"/>
        <w:jc w:val="both"/>
        <w:rPr>
          <w:rFonts w:hint="eastAsia" w:hAnsi="宋体" w:cs="宋体"/>
          <w:b w:val="0"/>
          <w:bCs w:val="0"/>
          <w:color w:val="auto"/>
          <w:spacing w:val="-4"/>
          <w:sz w:val="21"/>
          <w:szCs w:val="21"/>
          <w:highlight w:val="none"/>
        </w:rPr>
      </w:pPr>
      <w:r>
        <w:rPr>
          <w:rFonts w:hint="eastAsia" w:hAnsi="宋体" w:cs="宋体"/>
          <w:b w:val="0"/>
          <w:bCs w:val="0"/>
          <w:color w:val="auto"/>
          <w:spacing w:val="-4"/>
          <w:sz w:val="21"/>
          <w:szCs w:val="21"/>
          <w:highlight w:val="none"/>
          <w:lang w:val="en-US" w:eastAsia="zh-CN"/>
        </w:rPr>
        <w:t>6.</w:t>
      </w:r>
      <w:r>
        <w:rPr>
          <w:rFonts w:hint="eastAsia" w:hAnsi="宋体" w:cs="宋体"/>
          <w:b w:val="0"/>
          <w:bCs w:val="0"/>
          <w:color w:val="auto"/>
          <w:spacing w:val="-4"/>
          <w:sz w:val="21"/>
          <w:szCs w:val="21"/>
          <w:highlight w:val="none"/>
        </w:rPr>
        <w:t>产品验收通过前外包装数量、质量及外包装内产品数量、质量出现问题，</w:t>
      </w:r>
      <w:r>
        <w:rPr>
          <w:rFonts w:hint="eastAsia" w:hAnsi="宋体" w:cs="宋体"/>
          <w:color w:val="auto"/>
          <w:spacing w:val="13"/>
          <w:sz w:val="21"/>
          <w:szCs w:val="21"/>
          <w:highlight w:val="none"/>
        </w:rPr>
        <w:t>乙方</w:t>
      </w:r>
      <w:r>
        <w:rPr>
          <w:rFonts w:hint="eastAsia" w:hAnsi="宋体" w:cs="宋体"/>
          <w:b w:val="0"/>
          <w:bCs w:val="0"/>
          <w:color w:val="auto"/>
          <w:spacing w:val="-4"/>
          <w:sz w:val="21"/>
          <w:szCs w:val="21"/>
          <w:highlight w:val="none"/>
        </w:rPr>
        <w:t>应负责三包(包修、包换、包退), 费用均由</w:t>
      </w:r>
      <w:r>
        <w:rPr>
          <w:rFonts w:hint="eastAsia" w:hAnsi="宋体" w:cs="宋体"/>
          <w:color w:val="auto"/>
          <w:spacing w:val="13"/>
          <w:sz w:val="21"/>
          <w:szCs w:val="21"/>
          <w:highlight w:val="none"/>
        </w:rPr>
        <w:t>乙方</w:t>
      </w:r>
      <w:r>
        <w:rPr>
          <w:rFonts w:hint="eastAsia" w:hAnsi="宋体" w:cs="宋体"/>
          <w:b w:val="0"/>
          <w:bCs w:val="0"/>
          <w:color w:val="auto"/>
          <w:spacing w:val="-4"/>
          <w:sz w:val="21"/>
          <w:szCs w:val="21"/>
          <w:highlight w:val="none"/>
        </w:rPr>
        <w:t>负责。</w:t>
      </w:r>
    </w:p>
    <w:p>
      <w:pPr>
        <w:pStyle w:val="2"/>
        <w:spacing w:after="0" w:line="360" w:lineRule="exact"/>
        <w:ind w:firstLine="404" w:firstLineChars="200"/>
        <w:jc w:val="both"/>
        <w:rPr>
          <w:rFonts w:hint="eastAsia" w:hAnsi="宋体" w:cs="宋体"/>
          <w:b w:val="0"/>
          <w:bCs w:val="0"/>
          <w:color w:val="auto"/>
          <w:spacing w:val="-4"/>
          <w:sz w:val="21"/>
          <w:szCs w:val="21"/>
          <w:highlight w:val="none"/>
        </w:rPr>
      </w:pPr>
      <w:r>
        <w:rPr>
          <w:rFonts w:hint="eastAsia" w:hAnsi="宋体" w:cs="宋体"/>
          <w:b w:val="0"/>
          <w:bCs w:val="0"/>
          <w:color w:val="auto"/>
          <w:spacing w:val="-4"/>
          <w:sz w:val="21"/>
          <w:szCs w:val="21"/>
          <w:highlight w:val="none"/>
          <w:lang w:val="en-US" w:eastAsia="zh-CN"/>
        </w:rPr>
        <w:t>7.</w:t>
      </w:r>
      <w:r>
        <w:rPr>
          <w:rFonts w:hint="eastAsia" w:hAnsi="宋体" w:cs="宋体"/>
          <w:b w:val="0"/>
          <w:bCs w:val="0"/>
          <w:color w:val="auto"/>
          <w:spacing w:val="-4"/>
          <w:sz w:val="21"/>
          <w:szCs w:val="21"/>
          <w:highlight w:val="none"/>
        </w:rPr>
        <w:t>设备安装过程中，实施安装的人员人身安全由</w:t>
      </w:r>
      <w:r>
        <w:rPr>
          <w:rFonts w:hint="eastAsia" w:hAnsi="宋体" w:cs="宋体"/>
          <w:color w:val="auto"/>
          <w:spacing w:val="13"/>
          <w:sz w:val="21"/>
          <w:szCs w:val="21"/>
          <w:highlight w:val="none"/>
        </w:rPr>
        <w:t>乙方</w:t>
      </w:r>
      <w:r>
        <w:rPr>
          <w:rFonts w:hint="eastAsia" w:hAnsi="宋体" w:cs="宋体"/>
          <w:b w:val="0"/>
          <w:bCs w:val="0"/>
          <w:color w:val="auto"/>
          <w:spacing w:val="-4"/>
          <w:sz w:val="21"/>
          <w:szCs w:val="21"/>
          <w:highlight w:val="none"/>
        </w:rPr>
        <w:t>负责。</w:t>
      </w:r>
    </w:p>
    <w:p>
      <w:pPr>
        <w:pStyle w:val="2"/>
        <w:spacing w:after="0" w:line="360" w:lineRule="exact"/>
        <w:ind w:firstLine="406" w:firstLineChars="200"/>
        <w:jc w:val="both"/>
        <w:rPr>
          <w:rFonts w:hAnsi="宋体" w:cs="宋体"/>
          <w:color w:val="auto"/>
          <w:sz w:val="21"/>
          <w:szCs w:val="21"/>
          <w:highlight w:val="none"/>
        </w:rPr>
      </w:pPr>
      <w:r>
        <w:rPr>
          <w:rFonts w:hint="eastAsia" w:hAnsi="宋体" w:cs="宋体"/>
          <w:b/>
          <w:bCs/>
          <w:color w:val="auto"/>
          <w:spacing w:val="-4"/>
          <w:sz w:val="21"/>
          <w:szCs w:val="21"/>
          <w:highlight w:val="none"/>
        </w:rPr>
        <w:t>第十三条</w:t>
      </w:r>
      <w:r>
        <w:rPr>
          <w:rFonts w:hint="eastAsia" w:hAnsi="宋体" w:cs="宋体"/>
          <w:color w:val="auto"/>
          <w:spacing w:val="-4"/>
          <w:sz w:val="21"/>
          <w:szCs w:val="21"/>
          <w:highlight w:val="none"/>
        </w:rPr>
        <w:t xml:space="preserve">  </w:t>
      </w:r>
      <w:r>
        <w:rPr>
          <w:rFonts w:hint="eastAsia" w:hAnsi="宋体" w:cs="宋体"/>
          <w:b/>
          <w:bCs/>
          <w:color w:val="auto"/>
          <w:spacing w:val="-4"/>
          <w:sz w:val="21"/>
          <w:szCs w:val="21"/>
          <w:highlight w:val="none"/>
        </w:rPr>
        <w:t>货物包装、发运及运输</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1. 乙方应在货物发运前对其进行满足运输距离、防潮、防震、防锈和防破损装卸等要求包装，以保证货物安全运达甲方指定地点。</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2. 使用说明书、质量检验证明书、随配附件和工具以及清单一并附于货物内。</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3. 乙方在货物发运手续办理完毕后二十四小时内或货到甲方四十八小时前通知甲方，以准备接货。</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4. 货物在交付甲方前发生的风险均由乙方负责。</w:t>
      </w:r>
    </w:p>
    <w:p>
      <w:pPr>
        <w:pStyle w:val="2"/>
        <w:spacing w:after="0" w:line="360" w:lineRule="exact"/>
        <w:ind w:firstLine="432" w:firstLineChars="200"/>
        <w:jc w:val="both"/>
        <w:rPr>
          <w:rFonts w:hAnsi="宋体" w:cs="宋体"/>
          <w:color w:val="auto"/>
          <w:sz w:val="21"/>
          <w:szCs w:val="21"/>
          <w:highlight w:val="none"/>
        </w:rPr>
      </w:pPr>
      <w:r>
        <w:rPr>
          <w:rFonts w:hint="eastAsia" w:hAnsi="宋体" w:cs="宋体"/>
          <w:color w:val="auto"/>
          <w:spacing w:val="3"/>
          <w:sz w:val="21"/>
          <w:szCs w:val="21"/>
          <w:highlight w:val="none"/>
        </w:rPr>
        <w:t>5.</w:t>
      </w:r>
      <w:r>
        <w:rPr>
          <w:rFonts w:hint="eastAsia" w:hAnsi="宋体" w:cs="宋体"/>
          <w:color w:val="auto"/>
          <w:spacing w:val="-63"/>
          <w:sz w:val="21"/>
          <w:szCs w:val="21"/>
          <w:highlight w:val="none"/>
        </w:rPr>
        <w:t xml:space="preserve"> </w:t>
      </w:r>
      <w:r>
        <w:rPr>
          <w:rFonts w:hint="eastAsia" w:hAnsi="宋体" w:cs="宋体"/>
          <w:color w:val="auto"/>
          <w:spacing w:val="3"/>
          <w:sz w:val="21"/>
          <w:szCs w:val="21"/>
          <w:highlight w:val="none"/>
        </w:rPr>
        <w:t>货物在规定的交付期限内由乙方送达甲方指定的地点视为交</w:t>
      </w:r>
      <w:r>
        <w:rPr>
          <w:rFonts w:hint="eastAsia" w:hAnsi="宋体" w:cs="宋体"/>
          <w:color w:val="auto"/>
          <w:spacing w:val="-3"/>
          <w:sz w:val="21"/>
          <w:szCs w:val="21"/>
          <w:highlight w:val="none"/>
        </w:rPr>
        <w:t>付，乙方同时需通知甲方货物已送达。</w:t>
      </w:r>
    </w:p>
    <w:p>
      <w:pPr>
        <w:pStyle w:val="2"/>
        <w:spacing w:after="0" w:line="360" w:lineRule="exact"/>
        <w:ind w:firstLine="398" w:firstLineChars="200"/>
        <w:jc w:val="both"/>
        <w:rPr>
          <w:rFonts w:hAnsi="宋体" w:cs="宋体"/>
          <w:color w:val="auto"/>
          <w:sz w:val="21"/>
          <w:szCs w:val="21"/>
          <w:highlight w:val="none"/>
        </w:rPr>
      </w:pPr>
      <w:r>
        <w:rPr>
          <w:rFonts w:hint="eastAsia" w:hAnsi="宋体" w:cs="宋体"/>
          <w:b/>
          <w:bCs/>
          <w:color w:val="auto"/>
          <w:spacing w:val="-6"/>
          <w:sz w:val="21"/>
          <w:szCs w:val="21"/>
          <w:highlight w:val="none"/>
        </w:rPr>
        <w:t>第十四条</w:t>
      </w:r>
      <w:r>
        <w:rPr>
          <w:rFonts w:hint="eastAsia" w:hAnsi="宋体" w:cs="宋体"/>
          <w:color w:val="auto"/>
          <w:spacing w:val="135"/>
          <w:sz w:val="21"/>
          <w:szCs w:val="21"/>
          <w:highlight w:val="none"/>
        </w:rPr>
        <w:t xml:space="preserve"> </w:t>
      </w:r>
      <w:r>
        <w:rPr>
          <w:rFonts w:hint="eastAsia" w:hAnsi="宋体" w:cs="宋体"/>
          <w:b/>
          <w:bCs/>
          <w:color w:val="auto"/>
          <w:spacing w:val="-6"/>
          <w:sz w:val="21"/>
          <w:szCs w:val="21"/>
          <w:highlight w:val="none"/>
        </w:rPr>
        <w:t>违约责任</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2.乙方提供的货物如侵犯了第三方合法权益而引发的任何纠纷或诉讼，均由乙方负责交涉并承担全部责任。</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3.因包装、运输引起的货物损坏，按质量不合格处罚。</w:t>
      </w:r>
    </w:p>
    <w:p>
      <w:pPr>
        <w:pStyle w:val="2"/>
        <w:spacing w:after="0" w:line="360" w:lineRule="exact"/>
        <w:ind w:firstLine="420" w:firstLineChars="200"/>
        <w:jc w:val="both"/>
        <w:rPr>
          <w:rFonts w:hAnsi="宋体" w:cs="宋体"/>
          <w:color w:val="auto"/>
          <w:sz w:val="21"/>
          <w:szCs w:val="21"/>
          <w:highlight w:val="none"/>
        </w:rPr>
      </w:pPr>
      <w:r>
        <w:rPr>
          <w:rFonts w:hint="eastAsia" w:hAnsi="宋体"/>
          <w:color w:val="auto"/>
          <w:kern w:val="2"/>
          <w:sz w:val="21"/>
          <w:szCs w:val="21"/>
          <w:highlight w:val="none"/>
        </w:rPr>
        <w:t>4.甲方无故延期接收货物、乙方逾期交货的，每天向对方偿付违约货款额</w:t>
      </w:r>
      <w:r>
        <w:rPr>
          <w:rFonts w:hint="eastAsia" w:hAnsi="宋体"/>
          <w:color w:val="auto"/>
          <w:kern w:val="2"/>
          <w:sz w:val="21"/>
          <w:szCs w:val="21"/>
          <w:highlight w:val="none"/>
          <w:u w:val="single"/>
          <w:lang w:val="en-US" w:eastAsia="zh-CN"/>
        </w:rPr>
        <w:t>3</w:t>
      </w:r>
      <w:r>
        <w:rPr>
          <w:rFonts w:hint="default" w:ascii="Arial" w:hAnsi="Arial" w:cs="Arial"/>
          <w:color w:val="auto"/>
          <w:kern w:val="2"/>
          <w:sz w:val="21"/>
          <w:szCs w:val="21"/>
          <w:highlight w:val="none"/>
          <w:u w:val="single"/>
          <w:lang w:val="en-US" w:eastAsia="zh-CN"/>
        </w:rPr>
        <w:t>‰</w:t>
      </w:r>
      <w:r>
        <w:rPr>
          <w:rFonts w:hint="eastAsia" w:hAnsi="宋体"/>
          <w:color w:val="auto"/>
          <w:kern w:val="2"/>
          <w:sz w:val="21"/>
          <w:szCs w:val="21"/>
          <w:highlight w:val="none"/>
        </w:rPr>
        <w:t>违约金，但违约金累计不</w:t>
      </w:r>
      <w:r>
        <w:rPr>
          <w:rFonts w:hint="eastAsia" w:hAnsi="宋体" w:cs="宋体"/>
          <w:color w:val="auto"/>
          <w:spacing w:val="19"/>
          <w:sz w:val="21"/>
          <w:szCs w:val="21"/>
          <w:highlight w:val="none"/>
        </w:rPr>
        <w:t>得超过</w:t>
      </w:r>
      <w:r>
        <w:rPr>
          <w:rFonts w:hint="eastAsia" w:hAnsi="宋体" w:cs="宋体"/>
          <w:color w:val="auto"/>
          <w:spacing w:val="18"/>
          <w:sz w:val="21"/>
          <w:szCs w:val="21"/>
          <w:highlight w:val="none"/>
        </w:rPr>
        <w:t>违约货款额</w:t>
      </w:r>
      <w:r>
        <w:rPr>
          <w:rFonts w:hint="eastAsia" w:hAnsi="宋体" w:cs="宋体"/>
          <w:color w:val="auto"/>
          <w:spacing w:val="18"/>
          <w:sz w:val="21"/>
          <w:szCs w:val="21"/>
          <w:highlight w:val="none"/>
          <w:u w:val="single"/>
        </w:rPr>
        <w:t>5%</w:t>
      </w:r>
      <w:r>
        <w:rPr>
          <w:rFonts w:hint="eastAsia" w:hAnsi="宋体" w:cs="宋体"/>
          <w:color w:val="auto"/>
          <w:spacing w:val="18"/>
          <w:sz w:val="21"/>
          <w:szCs w:val="21"/>
          <w:highlight w:val="none"/>
        </w:rPr>
        <w:t>，超</w:t>
      </w:r>
      <w:r>
        <w:rPr>
          <w:rFonts w:hint="eastAsia" w:hAnsi="宋体" w:cs="宋体"/>
          <w:color w:val="auto"/>
          <w:spacing w:val="2"/>
          <w:sz w:val="21"/>
          <w:szCs w:val="21"/>
          <w:highlight w:val="none"/>
        </w:rPr>
        <w:t>过</w:t>
      </w:r>
      <w:r>
        <w:rPr>
          <w:rFonts w:hint="eastAsia" w:hAnsi="宋体" w:cs="宋体"/>
          <w:color w:val="auto"/>
          <w:spacing w:val="2"/>
          <w:sz w:val="21"/>
          <w:szCs w:val="21"/>
          <w:highlight w:val="none"/>
          <w:u w:val="single"/>
        </w:rPr>
        <w:t>120</w:t>
      </w:r>
      <w:r>
        <w:rPr>
          <w:rFonts w:hint="eastAsia" w:hAnsi="宋体" w:cs="宋体"/>
          <w:color w:val="auto"/>
          <w:spacing w:val="2"/>
          <w:sz w:val="21"/>
          <w:szCs w:val="21"/>
          <w:highlight w:val="none"/>
        </w:rPr>
        <w:t>天对方有权解除合同，违约方承担因此给对方造成经济损失</w:t>
      </w:r>
      <w:r>
        <w:rPr>
          <w:rFonts w:hint="eastAsia" w:hAnsi="宋体" w:cs="宋体"/>
          <w:color w:val="auto"/>
          <w:spacing w:val="-9"/>
          <w:sz w:val="21"/>
          <w:szCs w:val="21"/>
          <w:highlight w:val="none"/>
        </w:rPr>
        <w:t>甲方延期付货款的，每天向乙方偿付延期货款额</w:t>
      </w:r>
      <w:r>
        <w:rPr>
          <w:rFonts w:hint="eastAsia" w:hAnsi="宋体" w:cs="宋体"/>
          <w:color w:val="auto"/>
          <w:spacing w:val="-117"/>
          <w:sz w:val="21"/>
          <w:szCs w:val="21"/>
          <w:highlight w:val="none"/>
        </w:rPr>
        <w:t xml:space="preserve"> </w:t>
      </w:r>
      <w:r>
        <w:rPr>
          <w:rFonts w:hint="eastAsia" w:hAnsi="宋体" w:cs="宋体"/>
          <w:color w:val="auto"/>
          <w:spacing w:val="-124"/>
          <w:sz w:val="21"/>
          <w:szCs w:val="21"/>
          <w:highlight w:val="none"/>
          <w:u w:val="single"/>
        </w:rPr>
        <w:t xml:space="preserve"> </w:t>
      </w:r>
      <w:r>
        <w:rPr>
          <w:rFonts w:hint="eastAsia" w:hAnsi="宋体" w:cs="宋体"/>
          <w:color w:val="auto"/>
          <w:spacing w:val="-9"/>
          <w:sz w:val="21"/>
          <w:szCs w:val="21"/>
          <w:highlight w:val="none"/>
          <w:u w:val="single"/>
        </w:rPr>
        <w:t>3</w:t>
      </w:r>
      <w:r>
        <w:rPr>
          <w:rFonts w:hint="default" w:ascii="Arial" w:hAnsi="Arial" w:cs="Arial"/>
          <w:color w:val="auto"/>
          <w:spacing w:val="-9"/>
          <w:sz w:val="21"/>
          <w:szCs w:val="21"/>
          <w:highlight w:val="none"/>
          <w:u w:val="single"/>
        </w:rPr>
        <w:t>‰</w:t>
      </w:r>
      <w:r>
        <w:rPr>
          <w:rFonts w:hint="eastAsia" w:hAnsi="宋体" w:cs="宋体"/>
          <w:color w:val="auto"/>
          <w:spacing w:val="-9"/>
          <w:sz w:val="21"/>
          <w:szCs w:val="21"/>
          <w:highlight w:val="none"/>
          <w:u w:val="single"/>
          <w:lang w:val="en-US" w:eastAsia="zh-CN"/>
        </w:rPr>
        <w:t xml:space="preserve"> </w:t>
      </w:r>
      <w:r>
        <w:rPr>
          <w:rFonts w:hint="eastAsia" w:hAnsi="宋体" w:cs="宋体"/>
          <w:color w:val="auto"/>
          <w:spacing w:val="-9"/>
          <w:sz w:val="21"/>
          <w:szCs w:val="21"/>
          <w:highlight w:val="none"/>
        </w:rPr>
        <w:t>滞纳金，但滞纳</w:t>
      </w:r>
      <w:r>
        <w:rPr>
          <w:rFonts w:hint="eastAsia" w:hAnsi="宋体" w:cs="宋体"/>
          <w:color w:val="auto"/>
          <w:spacing w:val="1"/>
          <w:sz w:val="21"/>
          <w:szCs w:val="21"/>
          <w:highlight w:val="none"/>
        </w:rPr>
        <w:t xml:space="preserve"> </w:t>
      </w:r>
      <w:r>
        <w:rPr>
          <w:rFonts w:hint="eastAsia" w:hAnsi="宋体" w:cs="宋体"/>
          <w:color w:val="auto"/>
          <w:spacing w:val="-4"/>
          <w:sz w:val="21"/>
          <w:szCs w:val="21"/>
          <w:highlight w:val="none"/>
        </w:rPr>
        <w:t>金累计不得超过延期货款额</w:t>
      </w:r>
      <w:r>
        <w:rPr>
          <w:rFonts w:hint="eastAsia" w:hAnsi="宋体" w:cs="宋体"/>
          <w:color w:val="auto"/>
          <w:spacing w:val="-104"/>
          <w:sz w:val="21"/>
          <w:szCs w:val="21"/>
          <w:highlight w:val="none"/>
        </w:rPr>
        <w:t xml:space="preserve"> </w:t>
      </w:r>
      <w:r>
        <w:rPr>
          <w:rFonts w:hint="eastAsia" w:hAnsi="宋体" w:cs="宋体"/>
          <w:color w:val="auto"/>
          <w:spacing w:val="-124"/>
          <w:sz w:val="21"/>
          <w:szCs w:val="21"/>
          <w:highlight w:val="none"/>
          <w:u w:val="single"/>
        </w:rPr>
        <w:t xml:space="preserve"> </w:t>
      </w:r>
      <w:r>
        <w:rPr>
          <w:rFonts w:hint="eastAsia" w:hAnsi="宋体" w:cs="宋体"/>
          <w:color w:val="auto"/>
          <w:spacing w:val="-4"/>
          <w:sz w:val="21"/>
          <w:szCs w:val="21"/>
          <w:highlight w:val="none"/>
          <w:u w:val="single"/>
        </w:rPr>
        <w:t>5%</w:t>
      </w:r>
      <w:r>
        <w:rPr>
          <w:rFonts w:hint="eastAsia" w:hAnsi="宋体" w:cs="宋体"/>
          <w:color w:val="auto"/>
          <w:spacing w:val="-4"/>
          <w:sz w:val="21"/>
          <w:szCs w:val="21"/>
          <w:highlight w:val="none"/>
        </w:rPr>
        <w:t>。</w:t>
      </w:r>
    </w:p>
    <w:p>
      <w:pPr>
        <w:pStyle w:val="2"/>
        <w:spacing w:after="0" w:line="360" w:lineRule="exact"/>
        <w:ind w:firstLine="416" w:firstLineChars="200"/>
        <w:jc w:val="both"/>
        <w:rPr>
          <w:rFonts w:hAnsi="宋体" w:cs="宋体"/>
          <w:color w:val="auto"/>
          <w:sz w:val="21"/>
          <w:szCs w:val="21"/>
          <w:highlight w:val="none"/>
        </w:rPr>
      </w:pPr>
      <w:r>
        <w:rPr>
          <w:rFonts w:hint="eastAsia" w:hAnsi="宋体" w:cs="宋体"/>
          <w:color w:val="auto"/>
          <w:spacing w:val="-1"/>
          <w:sz w:val="21"/>
          <w:szCs w:val="21"/>
          <w:highlight w:val="none"/>
        </w:rPr>
        <w:t>5.乙方未按本合同和响应文件中规定的服务承诺提供售后服务</w:t>
      </w:r>
      <w:r>
        <w:rPr>
          <w:rFonts w:hint="eastAsia" w:hAnsi="宋体" w:cs="宋体"/>
          <w:color w:val="auto"/>
          <w:spacing w:val="6"/>
          <w:sz w:val="21"/>
          <w:szCs w:val="21"/>
          <w:highlight w:val="none"/>
        </w:rPr>
        <w:t>的，乙方应按本合同合计金额5%向甲方支付违约金。</w:t>
      </w:r>
    </w:p>
    <w:p>
      <w:pPr>
        <w:pStyle w:val="2"/>
        <w:spacing w:after="0" w:line="360" w:lineRule="exact"/>
        <w:ind w:firstLine="424" w:firstLineChars="200"/>
        <w:jc w:val="both"/>
        <w:rPr>
          <w:rFonts w:hAnsi="宋体" w:cs="宋体"/>
          <w:color w:val="auto"/>
          <w:sz w:val="21"/>
          <w:szCs w:val="21"/>
          <w:highlight w:val="none"/>
        </w:rPr>
      </w:pPr>
      <w:r>
        <w:rPr>
          <w:rFonts w:hint="eastAsia" w:hAnsi="宋体" w:cs="宋体"/>
          <w:color w:val="auto"/>
          <w:spacing w:val="1"/>
          <w:sz w:val="21"/>
          <w:szCs w:val="21"/>
          <w:highlight w:val="none"/>
        </w:rPr>
        <w:t>6.乙方提供的货物在质量保证期内，因设</w:t>
      </w:r>
      <w:r>
        <w:rPr>
          <w:rFonts w:hint="eastAsia" w:hAnsi="宋体" w:cs="宋体"/>
          <w:color w:val="auto"/>
          <w:sz w:val="21"/>
          <w:szCs w:val="21"/>
          <w:highlight w:val="none"/>
        </w:rPr>
        <w:t>计、工艺或材料的缺</w:t>
      </w:r>
      <w:r>
        <w:rPr>
          <w:rFonts w:hint="eastAsia" w:hAnsi="宋体" w:cs="宋体"/>
          <w:color w:val="auto"/>
          <w:spacing w:val="-4"/>
          <w:sz w:val="21"/>
          <w:szCs w:val="21"/>
          <w:highlight w:val="none"/>
        </w:rPr>
        <w:t>陷和其它质量原因造成的问题，由乙方负责，费用</w:t>
      </w:r>
      <w:r>
        <w:rPr>
          <w:rFonts w:hint="eastAsia" w:hAnsi="宋体" w:cs="宋体"/>
          <w:color w:val="auto"/>
          <w:spacing w:val="-5"/>
          <w:sz w:val="21"/>
          <w:szCs w:val="21"/>
          <w:highlight w:val="none"/>
        </w:rPr>
        <w:t>从履约保证金中扣</w:t>
      </w:r>
      <w:r>
        <w:rPr>
          <w:rFonts w:hint="eastAsia" w:hAnsi="宋体" w:cs="宋体"/>
          <w:color w:val="auto"/>
          <w:spacing w:val="-9"/>
          <w:sz w:val="21"/>
          <w:szCs w:val="21"/>
          <w:highlight w:val="none"/>
        </w:rPr>
        <w:t>除，不足另补。</w:t>
      </w:r>
    </w:p>
    <w:p>
      <w:pPr>
        <w:pStyle w:val="2"/>
        <w:spacing w:after="0" w:line="360" w:lineRule="exact"/>
        <w:ind w:firstLine="436" w:firstLineChars="200"/>
        <w:jc w:val="both"/>
        <w:rPr>
          <w:rFonts w:hAnsi="宋体" w:cs="宋体"/>
          <w:color w:val="auto"/>
          <w:spacing w:val="9"/>
          <w:sz w:val="21"/>
          <w:szCs w:val="21"/>
          <w:highlight w:val="none"/>
        </w:rPr>
      </w:pPr>
      <w:r>
        <w:rPr>
          <w:rFonts w:hint="eastAsia" w:hAnsi="宋体" w:cs="宋体"/>
          <w:color w:val="auto"/>
          <w:spacing w:val="4"/>
          <w:sz w:val="21"/>
          <w:szCs w:val="21"/>
          <w:highlight w:val="none"/>
        </w:rPr>
        <w:t>7.其它违约行为按违约货款额5%收取违约金并赔偿经济损失。</w:t>
      </w:r>
      <w:r>
        <w:rPr>
          <w:rFonts w:hint="eastAsia" w:hAnsi="宋体" w:cs="宋体"/>
          <w:color w:val="auto"/>
          <w:spacing w:val="9"/>
          <w:sz w:val="21"/>
          <w:szCs w:val="21"/>
          <w:highlight w:val="none"/>
        </w:rPr>
        <w:t xml:space="preserve"> </w:t>
      </w:r>
    </w:p>
    <w:p>
      <w:pPr>
        <w:pStyle w:val="2"/>
        <w:spacing w:after="0" w:line="360" w:lineRule="exact"/>
        <w:ind w:firstLine="432" w:firstLineChars="200"/>
        <w:jc w:val="both"/>
        <w:rPr>
          <w:rFonts w:hAnsi="宋体" w:cs="宋体"/>
          <w:color w:val="auto"/>
          <w:sz w:val="21"/>
          <w:szCs w:val="21"/>
          <w:highlight w:val="none"/>
        </w:rPr>
      </w:pPr>
      <w:r>
        <w:rPr>
          <w:rFonts w:hint="eastAsia" w:hAnsi="宋体" w:cs="宋体"/>
          <w:color w:val="auto"/>
          <w:spacing w:val="3"/>
          <w:sz w:val="21"/>
          <w:szCs w:val="21"/>
          <w:highlight w:val="none"/>
        </w:rPr>
        <w:t>8.</w:t>
      </w:r>
      <w:r>
        <w:rPr>
          <w:rFonts w:hint="eastAsia" w:hAnsi="宋体" w:cs="宋体"/>
          <w:color w:val="auto"/>
          <w:spacing w:val="-31"/>
          <w:sz w:val="21"/>
          <w:szCs w:val="21"/>
          <w:highlight w:val="none"/>
        </w:rPr>
        <w:t xml:space="preserve"> </w:t>
      </w:r>
      <w:r>
        <w:rPr>
          <w:rFonts w:hint="eastAsia" w:hAnsi="宋体" w:cs="宋体"/>
          <w:color w:val="auto"/>
          <w:spacing w:val="3"/>
          <w:sz w:val="21"/>
          <w:szCs w:val="21"/>
          <w:highlight w:val="none"/>
        </w:rPr>
        <w:t>甲乙双方最高罚款总额应不超过货款总额5%。</w:t>
      </w:r>
    </w:p>
    <w:p>
      <w:pPr>
        <w:pStyle w:val="2"/>
        <w:spacing w:after="0" w:line="360" w:lineRule="exact"/>
        <w:ind w:firstLine="422" w:firstLineChars="200"/>
        <w:jc w:val="both"/>
        <w:rPr>
          <w:rFonts w:hAnsi="宋体"/>
          <w:b/>
          <w:bCs/>
          <w:color w:val="auto"/>
          <w:kern w:val="2"/>
          <w:sz w:val="21"/>
          <w:szCs w:val="21"/>
          <w:highlight w:val="none"/>
        </w:rPr>
      </w:pPr>
      <w:r>
        <w:rPr>
          <w:rFonts w:hint="eastAsia" w:hAnsi="宋体"/>
          <w:b/>
          <w:bCs/>
          <w:color w:val="auto"/>
          <w:kern w:val="2"/>
          <w:sz w:val="21"/>
          <w:szCs w:val="21"/>
          <w:highlight w:val="none"/>
        </w:rPr>
        <w:t>第十五条  不可抗力事件处理</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1. 在合同有效期内，任何一方因不可抗力事件导致不能履行合同，则合同履行期可延长，其延长期与不可抗力影响期相同。</w:t>
      </w:r>
    </w:p>
    <w:p>
      <w:pPr>
        <w:pStyle w:val="2"/>
        <w:spacing w:after="0"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2. 不可抗力事件发生后，应立即通知对方，并寄送有关权威机构 出具的证明。</w:t>
      </w:r>
    </w:p>
    <w:p>
      <w:pPr>
        <w:pStyle w:val="2"/>
        <w:spacing w:after="0" w:line="360" w:lineRule="exact"/>
        <w:ind w:firstLine="420" w:firstLineChars="200"/>
        <w:jc w:val="both"/>
        <w:rPr>
          <w:rFonts w:hAnsi="宋体" w:cs="宋体"/>
          <w:color w:val="auto"/>
          <w:sz w:val="21"/>
          <w:szCs w:val="21"/>
          <w:highlight w:val="none"/>
        </w:rPr>
      </w:pPr>
      <w:r>
        <w:rPr>
          <w:rFonts w:hint="eastAsia" w:hAnsi="宋体"/>
          <w:color w:val="auto"/>
          <w:kern w:val="2"/>
          <w:sz w:val="21"/>
          <w:szCs w:val="21"/>
          <w:highlight w:val="none"/>
        </w:rPr>
        <w:t xml:space="preserve">3. </w:t>
      </w:r>
      <w:r>
        <w:rPr>
          <w:rFonts w:hint="eastAsia" w:hAnsi="宋体" w:cs="宋体"/>
          <w:color w:val="auto"/>
          <w:spacing w:val="-7"/>
          <w:sz w:val="21"/>
          <w:szCs w:val="21"/>
          <w:highlight w:val="none"/>
        </w:rPr>
        <w:t>不可抗力事件延续一百二十天以上，双方应通过友好协商，确</w:t>
      </w:r>
      <w:r>
        <w:rPr>
          <w:rFonts w:hint="eastAsia" w:hAnsi="宋体" w:cs="宋体"/>
          <w:color w:val="auto"/>
          <w:sz w:val="21"/>
          <w:szCs w:val="21"/>
          <w:highlight w:val="none"/>
        </w:rPr>
        <w:t xml:space="preserve"> </w:t>
      </w:r>
      <w:r>
        <w:rPr>
          <w:rFonts w:hint="eastAsia" w:hAnsi="宋体" w:cs="宋体"/>
          <w:color w:val="auto"/>
          <w:spacing w:val="-6"/>
          <w:sz w:val="21"/>
          <w:szCs w:val="21"/>
          <w:highlight w:val="none"/>
        </w:rPr>
        <w:t>定是否继续履行合同。</w:t>
      </w:r>
    </w:p>
    <w:p>
      <w:pPr>
        <w:pStyle w:val="2"/>
        <w:spacing w:after="0" w:line="360" w:lineRule="exact"/>
        <w:ind w:firstLine="398" w:firstLineChars="200"/>
        <w:jc w:val="both"/>
        <w:rPr>
          <w:rFonts w:hAnsi="宋体" w:cs="宋体"/>
          <w:color w:val="auto"/>
          <w:sz w:val="21"/>
          <w:szCs w:val="21"/>
          <w:highlight w:val="none"/>
        </w:rPr>
      </w:pPr>
      <w:r>
        <w:rPr>
          <w:rFonts w:hint="eastAsia" w:hAnsi="宋体" w:cs="宋体"/>
          <w:b/>
          <w:bCs/>
          <w:color w:val="auto"/>
          <w:spacing w:val="-6"/>
          <w:sz w:val="21"/>
          <w:szCs w:val="21"/>
          <w:highlight w:val="none"/>
        </w:rPr>
        <w:t>第十六条</w:t>
      </w:r>
      <w:r>
        <w:rPr>
          <w:rFonts w:hint="eastAsia" w:hAnsi="宋体" w:cs="宋体"/>
          <w:color w:val="auto"/>
          <w:spacing w:val="-6"/>
          <w:sz w:val="21"/>
          <w:szCs w:val="21"/>
          <w:highlight w:val="none"/>
        </w:rPr>
        <w:t xml:space="preserve">  </w:t>
      </w:r>
      <w:r>
        <w:rPr>
          <w:rFonts w:hint="eastAsia" w:hAnsi="宋体" w:cs="宋体"/>
          <w:b/>
          <w:bCs/>
          <w:color w:val="auto"/>
          <w:spacing w:val="-6"/>
          <w:sz w:val="21"/>
          <w:szCs w:val="21"/>
          <w:highlight w:val="none"/>
        </w:rPr>
        <w:t>合同争议解决</w:t>
      </w:r>
    </w:p>
    <w:p>
      <w:pPr>
        <w:pStyle w:val="2"/>
        <w:spacing w:after="0" w:line="360" w:lineRule="exact"/>
        <w:ind w:firstLine="396" w:firstLineChars="200"/>
        <w:jc w:val="both"/>
        <w:rPr>
          <w:rFonts w:hAnsi="宋体" w:cs="宋体"/>
          <w:color w:val="auto"/>
          <w:sz w:val="21"/>
          <w:szCs w:val="21"/>
          <w:highlight w:val="none"/>
        </w:rPr>
      </w:pPr>
      <w:r>
        <w:rPr>
          <w:rFonts w:hint="eastAsia" w:hAnsi="宋体" w:cs="宋体"/>
          <w:color w:val="auto"/>
          <w:spacing w:val="-6"/>
          <w:sz w:val="21"/>
          <w:szCs w:val="21"/>
          <w:highlight w:val="none"/>
        </w:rPr>
        <w:t>1.因货物质量问题发生争议的，应邀请国家认可的质量检测机构</w:t>
      </w:r>
      <w:r>
        <w:rPr>
          <w:rFonts w:hint="eastAsia" w:hAnsi="宋体" w:cs="宋体"/>
          <w:color w:val="auto"/>
          <w:spacing w:val="11"/>
          <w:sz w:val="21"/>
          <w:szCs w:val="21"/>
          <w:highlight w:val="none"/>
        </w:rPr>
        <w:t xml:space="preserve"> </w:t>
      </w:r>
      <w:r>
        <w:rPr>
          <w:rFonts w:hint="eastAsia" w:hAnsi="宋体" w:cs="宋体"/>
          <w:color w:val="auto"/>
          <w:spacing w:val="-5"/>
          <w:sz w:val="21"/>
          <w:szCs w:val="21"/>
          <w:highlight w:val="none"/>
        </w:rPr>
        <w:t>对货物质量进行鉴定。货物符合标准的，鉴定费由甲方承担；货物不</w:t>
      </w:r>
      <w:r>
        <w:rPr>
          <w:rFonts w:hint="eastAsia" w:hAnsi="宋体" w:cs="宋体"/>
          <w:color w:val="auto"/>
          <w:spacing w:val="-4"/>
          <w:sz w:val="21"/>
          <w:szCs w:val="21"/>
          <w:highlight w:val="none"/>
        </w:rPr>
        <w:t>符合标准的，鉴定费由乙方承担。</w:t>
      </w:r>
    </w:p>
    <w:p>
      <w:pPr>
        <w:pStyle w:val="2"/>
        <w:spacing w:after="0" w:line="360" w:lineRule="exact"/>
        <w:ind w:firstLine="404" w:firstLineChars="200"/>
        <w:jc w:val="both"/>
        <w:rPr>
          <w:rFonts w:hAnsi="宋体" w:cs="宋体"/>
          <w:color w:val="auto"/>
          <w:sz w:val="21"/>
          <w:szCs w:val="21"/>
          <w:highlight w:val="none"/>
        </w:rPr>
      </w:pPr>
      <w:r>
        <w:rPr>
          <w:rFonts w:hint="eastAsia" w:hAnsi="宋体" w:cs="宋体"/>
          <w:color w:val="auto"/>
          <w:spacing w:val="-4"/>
          <w:sz w:val="21"/>
          <w:szCs w:val="21"/>
          <w:highlight w:val="none"/>
        </w:rPr>
        <w:t>2.因履行本合同引起的或与本合同有关的争议，甲乙双方应首先</w:t>
      </w:r>
      <w:r>
        <w:rPr>
          <w:rFonts w:hint="eastAsia" w:hAnsi="宋体" w:cs="宋体"/>
          <w:color w:val="auto"/>
          <w:spacing w:val="-5"/>
          <w:sz w:val="21"/>
          <w:szCs w:val="21"/>
          <w:highlight w:val="none"/>
        </w:rPr>
        <w:t>通过友好协商解决，如果协商不能解决，可向</w:t>
      </w:r>
      <w:r>
        <w:rPr>
          <w:rFonts w:hint="eastAsia" w:hAnsi="宋体" w:cs="宋体"/>
          <w:color w:val="auto"/>
          <w:spacing w:val="-5"/>
          <w:sz w:val="21"/>
          <w:szCs w:val="21"/>
          <w:highlight w:val="none"/>
          <w:lang w:eastAsia="zh-CN"/>
        </w:rPr>
        <w:t>柳州市</w:t>
      </w:r>
      <w:r>
        <w:rPr>
          <w:rFonts w:hint="eastAsia" w:hAnsi="宋体" w:cs="宋体"/>
          <w:color w:val="auto"/>
          <w:spacing w:val="-8"/>
          <w:sz w:val="21"/>
          <w:szCs w:val="21"/>
          <w:highlight w:val="none"/>
        </w:rPr>
        <w:t>人民法院提起诉讼。</w:t>
      </w:r>
    </w:p>
    <w:p>
      <w:pPr>
        <w:pStyle w:val="2"/>
        <w:spacing w:after="0" w:line="360" w:lineRule="exact"/>
        <w:ind w:firstLine="384" w:firstLineChars="200"/>
        <w:jc w:val="both"/>
        <w:rPr>
          <w:rFonts w:hAnsi="宋体" w:cs="宋体"/>
          <w:color w:val="auto"/>
          <w:sz w:val="21"/>
          <w:szCs w:val="21"/>
          <w:highlight w:val="none"/>
        </w:rPr>
      </w:pPr>
      <w:r>
        <w:rPr>
          <w:rFonts w:hint="eastAsia" w:hAnsi="宋体" w:cs="宋体"/>
          <w:color w:val="auto"/>
          <w:spacing w:val="-9"/>
          <w:sz w:val="21"/>
          <w:szCs w:val="21"/>
          <w:highlight w:val="none"/>
        </w:rPr>
        <w:t>3.诉讼期间，本合同继续履行。</w:t>
      </w:r>
    </w:p>
    <w:p>
      <w:pPr>
        <w:pStyle w:val="2"/>
        <w:spacing w:after="0" w:line="360" w:lineRule="exact"/>
        <w:ind w:firstLine="402" w:firstLineChars="200"/>
        <w:jc w:val="both"/>
        <w:rPr>
          <w:rFonts w:hAnsi="宋体" w:cs="宋体"/>
          <w:color w:val="auto"/>
          <w:sz w:val="21"/>
          <w:szCs w:val="21"/>
          <w:highlight w:val="none"/>
        </w:rPr>
      </w:pPr>
      <w:r>
        <w:rPr>
          <w:rFonts w:hint="eastAsia" w:hAnsi="宋体" w:cs="宋体"/>
          <w:b/>
          <w:bCs/>
          <w:color w:val="auto"/>
          <w:spacing w:val="-5"/>
          <w:sz w:val="21"/>
          <w:szCs w:val="21"/>
          <w:highlight w:val="none"/>
        </w:rPr>
        <w:t>第十七条 合同生效及其它</w:t>
      </w:r>
    </w:p>
    <w:p>
      <w:pPr>
        <w:pStyle w:val="2"/>
        <w:spacing w:after="0" w:line="360" w:lineRule="exact"/>
        <w:ind w:firstLine="424" w:firstLineChars="200"/>
        <w:jc w:val="both"/>
        <w:rPr>
          <w:rFonts w:hAnsi="宋体" w:cs="宋体"/>
          <w:color w:val="auto"/>
          <w:spacing w:val="1"/>
          <w:sz w:val="21"/>
          <w:szCs w:val="21"/>
          <w:highlight w:val="none"/>
        </w:rPr>
      </w:pPr>
      <w:r>
        <w:rPr>
          <w:rFonts w:hint="eastAsia" w:hAnsi="宋体" w:cs="宋体"/>
          <w:color w:val="auto"/>
          <w:spacing w:val="1"/>
          <w:sz w:val="21"/>
          <w:szCs w:val="21"/>
          <w:highlight w:val="none"/>
        </w:rPr>
        <w:t>1. 合同经双方法定代表人(负责人)或授权代表(委托代理人)签字并加盖单位公章后生效。</w:t>
      </w:r>
    </w:p>
    <w:p>
      <w:pPr>
        <w:pStyle w:val="2"/>
        <w:spacing w:after="0" w:line="360" w:lineRule="exact"/>
        <w:ind w:firstLine="424" w:firstLineChars="200"/>
        <w:jc w:val="both"/>
        <w:rPr>
          <w:rFonts w:hAnsi="宋体" w:cs="宋体"/>
          <w:color w:val="auto"/>
          <w:spacing w:val="1"/>
          <w:sz w:val="21"/>
          <w:szCs w:val="21"/>
          <w:highlight w:val="none"/>
        </w:rPr>
      </w:pPr>
      <w:r>
        <w:rPr>
          <w:rFonts w:hint="eastAsia" w:hAnsi="宋体" w:cs="宋体"/>
          <w:color w:val="auto"/>
          <w:spacing w:val="1"/>
          <w:sz w:val="21"/>
          <w:szCs w:val="21"/>
          <w:highlight w:val="none"/>
        </w:rPr>
        <w:t>2. 合同执行中涉及采购资金和采购内容修改或补充的，须经广西区财政厅政府采购监督管理处审批，并签书面补充协议报广西区财政厅政府采购监督管理处备案，方可作为主合同不可分割的一部分。</w:t>
      </w:r>
    </w:p>
    <w:p>
      <w:pPr>
        <w:pStyle w:val="2"/>
        <w:spacing w:after="0" w:line="360" w:lineRule="exact"/>
        <w:ind w:firstLine="424" w:firstLineChars="200"/>
        <w:jc w:val="both"/>
        <w:rPr>
          <w:rFonts w:hAnsi="宋体" w:cs="宋体"/>
          <w:color w:val="auto"/>
          <w:spacing w:val="-6"/>
          <w:sz w:val="21"/>
          <w:szCs w:val="21"/>
          <w:highlight w:val="none"/>
        </w:rPr>
      </w:pPr>
      <w:r>
        <w:rPr>
          <w:rFonts w:hint="eastAsia" w:hAnsi="宋体" w:cs="宋体"/>
          <w:color w:val="auto"/>
          <w:spacing w:val="1"/>
          <w:sz w:val="21"/>
          <w:szCs w:val="21"/>
          <w:highlight w:val="none"/>
        </w:rPr>
        <w:t>3</w:t>
      </w:r>
      <w:r>
        <w:rPr>
          <w:rFonts w:hint="eastAsia" w:hAnsi="宋体" w:cs="宋体"/>
          <w:color w:val="auto"/>
          <w:spacing w:val="-6"/>
          <w:sz w:val="21"/>
          <w:szCs w:val="21"/>
          <w:highlight w:val="none"/>
        </w:rPr>
        <w:t>. 本合同未尽事宜，遵照《中华人民共和国民法典》有关条文执行。</w:t>
      </w:r>
    </w:p>
    <w:p>
      <w:pPr>
        <w:pStyle w:val="2"/>
        <w:spacing w:after="0" w:line="360" w:lineRule="exact"/>
        <w:ind w:firstLine="402" w:firstLineChars="200"/>
        <w:jc w:val="both"/>
        <w:rPr>
          <w:rFonts w:hAnsi="宋体" w:cs="宋体"/>
          <w:color w:val="auto"/>
          <w:sz w:val="21"/>
          <w:szCs w:val="21"/>
          <w:highlight w:val="none"/>
        </w:rPr>
      </w:pPr>
      <w:r>
        <w:rPr>
          <w:rFonts w:hint="eastAsia" w:hAnsi="宋体" w:cs="宋体"/>
          <w:b/>
          <w:bCs/>
          <w:color w:val="auto"/>
          <w:spacing w:val="-5"/>
          <w:sz w:val="21"/>
          <w:szCs w:val="21"/>
          <w:highlight w:val="none"/>
        </w:rPr>
        <w:t>第十八条 合同的变更、终止与转让</w:t>
      </w:r>
    </w:p>
    <w:p>
      <w:pPr>
        <w:pStyle w:val="2"/>
        <w:spacing w:after="0" w:line="360" w:lineRule="exact"/>
        <w:ind w:firstLine="404" w:firstLineChars="200"/>
        <w:jc w:val="both"/>
        <w:rPr>
          <w:rFonts w:hAnsi="宋体" w:cs="宋体"/>
          <w:color w:val="auto"/>
          <w:sz w:val="21"/>
          <w:szCs w:val="21"/>
          <w:highlight w:val="none"/>
        </w:rPr>
      </w:pPr>
      <w:r>
        <w:rPr>
          <w:rFonts w:hint="eastAsia" w:hAnsi="宋体" w:cs="宋体"/>
          <w:color w:val="auto"/>
          <w:spacing w:val="-4"/>
          <w:sz w:val="21"/>
          <w:szCs w:val="21"/>
          <w:highlight w:val="none"/>
        </w:rPr>
        <w:t>1. 除《中华人民共和国政府采购法》第五十条规定的情形外，本合同一经签订，甲乙双方不得擅自变更、中止或终止。</w:t>
      </w:r>
    </w:p>
    <w:p>
      <w:pPr>
        <w:pStyle w:val="2"/>
        <w:spacing w:after="0" w:line="360" w:lineRule="exact"/>
        <w:ind w:firstLine="428" w:firstLineChars="200"/>
        <w:jc w:val="both"/>
        <w:rPr>
          <w:rFonts w:hAnsi="宋体" w:cs="宋体"/>
          <w:color w:val="auto"/>
          <w:sz w:val="21"/>
          <w:szCs w:val="21"/>
          <w:highlight w:val="none"/>
        </w:rPr>
      </w:pPr>
      <w:r>
        <w:rPr>
          <w:rFonts w:hint="eastAsia" w:hAnsi="宋体" w:cs="宋体"/>
          <w:color w:val="auto"/>
          <w:spacing w:val="2"/>
          <w:sz w:val="21"/>
          <w:szCs w:val="21"/>
          <w:highlight w:val="none"/>
        </w:rPr>
        <w:t>2.乙方不得擅自转让(无进口资格的供应商委</w:t>
      </w:r>
      <w:r>
        <w:rPr>
          <w:rFonts w:hint="eastAsia" w:hAnsi="宋体" w:cs="宋体"/>
          <w:color w:val="auto"/>
          <w:spacing w:val="1"/>
          <w:sz w:val="21"/>
          <w:szCs w:val="21"/>
          <w:highlight w:val="none"/>
        </w:rPr>
        <w:t>托进口货物除外)</w:t>
      </w:r>
      <w:r>
        <w:rPr>
          <w:rFonts w:hint="eastAsia" w:hAnsi="宋体" w:cs="宋体"/>
          <w:color w:val="auto"/>
          <w:sz w:val="21"/>
          <w:szCs w:val="21"/>
          <w:highlight w:val="none"/>
        </w:rPr>
        <w:t xml:space="preserve"> </w:t>
      </w:r>
      <w:r>
        <w:rPr>
          <w:rFonts w:hint="eastAsia" w:hAnsi="宋体" w:cs="宋体"/>
          <w:color w:val="auto"/>
          <w:spacing w:val="-5"/>
          <w:sz w:val="21"/>
          <w:szCs w:val="21"/>
          <w:highlight w:val="none"/>
        </w:rPr>
        <w:t>其应履行的合同义务。</w:t>
      </w:r>
    </w:p>
    <w:p>
      <w:pPr>
        <w:pStyle w:val="2"/>
        <w:spacing w:after="0" w:line="360" w:lineRule="exact"/>
        <w:ind w:firstLine="398" w:firstLineChars="200"/>
        <w:jc w:val="both"/>
        <w:rPr>
          <w:rFonts w:hAnsi="宋体" w:cs="宋体"/>
          <w:color w:val="auto"/>
          <w:sz w:val="21"/>
          <w:szCs w:val="21"/>
          <w:highlight w:val="none"/>
        </w:rPr>
      </w:pPr>
      <w:r>
        <w:rPr>
          <w:rFonts w:hint="eastAsia" w:hAnsi="宋体" w:cs="宋体"/>
          <w:b/>
          <w:bCs/>
          <w:color w:val="auto"/>
          <w:spacing w:val="-6"/>
          <w:sz w:val="21"/>
          <w:szCs w:val="21"/>
          <w:highlight w:val="none"/>
        </w:rPr>
        <w:t>第十九条</w:t>
      </w:r>
      <w:r>
        <w:rPr>
          <w:rFonts w:hint="eastAsia" w:hAnsi="宋体" w:cs="宋体"/>
          <w:color w:val="auto"/>
          <w:spacing w:val="-6"/>
          <w:sz w:val="21"/>
          <w:szCs w:val="21"/>
          <w:highlight w:val="none"/>
        </w:rPr>
        <w:t xml:space="preserve">  </w:t>
      </w:r>
      <w:r>
        <w:rPr>
          <w:rFonts w:hint="eastAsia" w:hAnsi="宋体" w:cs="宋体"/>
          <w:b/>
          <w:bCs/>
          <w:color w:val="auto"/>
          <w:spacing w:val="-6"/>
          <w:sz w:val="21"/>
          <w:szCs w:val="21"/>
          <w:highlight w:val="none"/>
        </w:rPr>
        <w:t>签订本合同依据</w:t>
      </w:r>
    </w:p>
    <w:p>
      <w:pPr>
        <w:pStyle w:val="2"/>
        <w:spacing w:after="0" w:line="360" w:lineRule="exact"/>
        <w:ind w:firstLine="424" w:firstLineChars="200"/>
        <w:jc w:val="both"/>
        <w:rPr>
          <w:rFonts w:hAnsi="宋体" w:cs="宋体"/>
          <w:color w:val="auto"/>
          <w:spacing w:val="1"/>
          <w:sz w:val="21"/>
          <w:szCs w:val="21"/>
          <w:highlight w:val="none"/>
        </w:rPr>
      </w:pPr>
      <w:r>
        <w:rPr>
          <w:rFonts w:hint="eastAsia" w:hAnsi="宋体" w:cs="宋体"/>
          <w:color w:val="auto"/>
          <w:spacing w:val="1"/>
          <w:sz w:val="21"/>
          <w:szCs w:val="21"/>
          <w:highlight w:val="none"/>
        </w:rPr>
        <w:t>1. 谈判文件；</w:t>
      </w:r>
    </w:p>
    <w:p>
      <w:pPr>
        <w:pStyle w:val="2"/>
        <w:spacing w:after="0" w:line="360" w:lineRule="exact"/>
        <w:ind w:firstLine="424" w:firstLineChars="200"/>
        <w:jc w:val="both"/>
        <w:rPr>
          <w:rFonts w:hAnsi="宋体" w:cs="宋体"/>
          <w:color w:val="auto"/>
          <w:spacing w:val="1"/>
          <w:sz w:val="21"/>
          <w:szCs w:val="21"/>
          <w:highlight w:val="none"/>
        </w:rPr>
      </w:pPr>
      <w:r>
        <w:rPr>
          <w:rFonts w:hint="eastAsia" w:hAnsi="宋体" w:cs="宋体"/>
          <w:color w:val="auto"/>
          <w:spacing w:val="1"/>
          <w:sz w:val="21"/>
          <w:szCs w:val="21"/>
          <w:highlight w:val="none"/>
        </w:rPr>
        <w:t>2. 乙方提供的响应文件；</w:t>
      </w:r>
    </w:p>
    <w:p>
      <w:pPr>
        <w:pStyle w:val="2"/>
        <w:spacing w:after="0" w:line="360" w:lineRule="exact"/>
        <w:ind w:firstLine="424" w:firstLineChars="200"/>
        <w:jc w:val="both"/>
        <w:rPr>
          <w:rFonts w:hAnsi="宋体" w:cs="宋体"/>
          <w:color w:val="auto"/>
          <w:spacing w:val="1"/>
          <w:sz w:val="21"/>
          <w:szCs w:val="21"/>
          <w:highlight w:val="none"/>
        </w:rPr>
      </w:pPr>
      <w:r>
        <w:rPr>
          <w:rFonts w:hint="eastAsia" w:hAnsi="宋体" w:cs="宋体"/>
          <w:color w:val="auto"/>
          <w:spacing w:val="1"/>
          <w:sz w:val="21"/>
          <w:szCs w:val="21"/>
          <w:highlight w:val="none"/>
        </w:rPr>
        <w:t>3. 谈判书；</w:t>
      </w:r>
    </w:p>
    <w:p>
      <w:pPr>
        <w:pStyle w:val="2"/>
        <w:spacing w:after="0" w:line="360" w:lineRule="exact"/>
        <w:ind w:firstLine="404" w:firstLineChars="200"/>
        <w:jc w:val="both"/>
        <w:rPr>
          <w:rFonts w:hAnsi="宋体" w:cs="宋体"/>
          <w:color w:val="auto"/>
          <w:spacing w:val="-4"/>
          <w:sz w:val="21"/>
          <w:szCs w:val="21"/>
          <w:highlight w:val="none"/>
        </w:rPr>
      </w:pPr>
      <w:r>
        <w:rPr>
          <w:rFonts w:hint="eastAsia" w:hAnsi="宋体" w:cs="宋体"/>
          <w:color w:val="auto"/>
          <w:spacing w:val="-4"/>
          <w:sz w:val="21"/>
          <w:szCs w:val="21"/>
          <w:highlight w:val="none"/>
        </w:rPr>
        <w:t>4. 成交通知书。</w:t>
      </w:r>
    </w:p>
    <w:p>
      <w:pPr>
        <w:pStyle w:val="2"/>
        <w:spacing w:after="0" w:line="360" w:lineRule="exact"/>
        <w:ind w:firstLine="406" w:firstLineChars="200"/>
        <w:jc w:val="both"/>
        <w:rPr>
          <w:rFonts w:hAnsi="宋体"/>
          <w:color w:val="auto"/>
          <w:sz w:val="21"/>
          <w:szCs w:val="21"/>
          <w:highlight w:val="none"/>
        </w:rPr>
      </w:pPr>
      <w:r>
        <w:rPr>
          <w:rFonts w:hint="eastAsia" w:hAnsi="宋体" w:cs="宋体"/>
          <w:b/>
          <w:bCs/>
          <w:color w:val="auto"/>
          <w:spacing w:val="-4"/>
          <w:sz w:val="21"/>
          <w:szCs w:val="21"/>
          <w:highlight w:val="none"/>
        </w:rPr>
        <w:t>第二</w:t>
      </w:r>
      <w:r>
        <w:rPr>
          <w:rFonts w:hint="eastAsia" w:hAnsi="宋体"/>
          <w:b/>
          <w:bCs/>
          <w:color w:val="auto"/>
          <w:sz w:val="21"/>
          <w:szCs w:val="21"/>
          <w:highlight w:val="none"/>
        </w:rPr>
        <w:t>十条</w:t>
      </w:r>
      <w:r>
        <w:rPr>
          <w:rFonts w:hint="eastAsia" w:hAnsi="宋体"/>
          <w:b/>
          <w:color w:val="auto"/>
          <w:sz w:val="21"/>
          <w:szCs w:val="21"/>
          <w:highlight w:val="none"/>
        </w:rPr>
        <w:t>　</w:t>
      </w:r>
      <w:r>
        <w:rPr>
          <w:rFonts w:hint="eastAsia" w:hAnsi="宋体"/>
          <w:color w:val="auto"/>
          <w:sz w:val="21"/>
          <w:szCs w:val="21"/>
          <w:highlight w:val="none"/>
        </w:rPr>
        <w:t>本合同一式</w:t>
      </w:r>
      <w:r>
        <w:rPr>
          <w:rFonts w:hint="eastAsia" w:hAnsi="宋体"/>
          <w:color w:val="auto"/>
          <w:sz w:val="21"/>
          <w:szCs w:val="21"/>
          <w:highlight w:val="none"/>
          <w:u w:val="single"/>
        </w:rPr>
        <w:t xml:space="preserve">  </w:t>
      </w:r>
      <w:r>
        <w:rPr>
          <w:rFonts w:hint="eastAsia" w:hAnsi="宋体"/>
          <w:color w:val="auto"/>
          <w:sz w:val="21"/>
          <w:szCs w:val="21"/>
          <w:highlight w:val="none"/>
          <w:u w:val="single"/>
          <w:lang w:eastAsia="zh-CN"/>
        </w:rPr>
        <w:t>陆</w:t>
      </w:r>
      <w:r>
        <w:rPr>
          <w:rFonts w:hint="eastAsia" w:hAnsi="宋体"/>
          <w:color w:val="auto"/>
          <w:sz w:val="21"/>
          <w:szCs w:val="21"/>
          <w:highlight w:val="none"/>
          <w:u w:val="single"/>
        </w:rPr>
        <w:t xml:space="preserve">   </w:t>
      </w:r>
      <w:r>
        <w:rPr>
          <w:rFonts w:hint="eastAsia" w:hAnsi="宋体"/>
          <w:color w:val="auto"/>
          <w:sz w:val="21"/>
          <w:szCs w:val="21"/>
          <w:highlight w:val="none"/>
        </w:rPr>
        <w:t>份，具有同等法律效力，采购代理单位、政府采购监管部门各一份，甲乙双方各</w:t>
      </w:r>
      <w:r>
        <w:rPr>
          <w:rFonts w:hint="eastAsia" w:hAnsi="宋体"/>
          <w:color w:val="auto"/>
          <w:sz w:val="21"/>
          <w:szCs w:val="21"/>
          <w:highlight w:val="none"/>
          <w:u w:val="single"/>
        </w:rPr>
        <w:t xml:space="preserve"> </w:t>
      </w:r>
      <w:r>
        <w:rPr>
          <w:rFonts w:hint="eastAsia" w:hAnsi="宋体"/>
          <w:color w:val="auto"/>
          <w:sz w:val="21"/>
          <w:szCs w:val="21"/>
          <w:highlight w:val="none"/>
          <w:u w:val="single"/>
          <w:lang w:eastAsia="zh-CN"/>
        </w:rPr>
        <w:t>贰</w:t>
      </w:r>
      <w:r>
        <w:rPr>
          <w:rFonts w:hint="eastAsia" w:hAnsi="宋体"/>
          <w:color w:val="auto"/>
          <w:sz w:val="21"/>
          <w:szCs w:val="21"/>
          <w:highlight w:val="none"/>
          <w:u w:val="single"/>
        </w:rPr>
        <w:t xml:space="preserve">  </w:t>
      </w:r>
      <w:r>
        <w:rPr>
          <w:rFonts w:hint="eastAsia" w:hAnsi="宋体"/>
          <w:color w:val="auto"/>
          <w:sz w:val="21"/>
          <w:szCs w:val="21"/>
          <w:highlight w:val="none"/>
        </w:rPr>
        <w:t>份。</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 xml:space="preserve">甲方（章）           </w:t>
            </w:r>
          </w:p>
          <w:p>
            <w:pPr>
              <w:snapToGrid w:val="0"/>
              <w:spacing w:line="360" w:lineRule="exact"/>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 xml:space="preserve">乙方（章）              </w:t>
            </w:r>
          </w:p>
          <w:p>
            <w:pPr>
              <w:snapToGrid w:val="0"/>
              <w:spacing w:line="360" w:lineRule="exact"/>
              <w:jc w:val="right"/>
              <w:rPr>
                <w:rFonts w:ascii="宋体" w:hAnsi="宋体"/>
                <w:color w:val="auto"/>
                <w:szCs w:val="21"/>
                <w:highlight w:val="none"/>
              </w:rPr>
            </w:pPr>
            <w:r>
              <w:rPr>
                <w:rFonts w:hint="eastAsia" w:ascii="宋体" w:hAnsi="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color w:val="auto"/>
                <w:szCs w:val="21"/>
                <w:highlight w:val="none"/>
              </w:rPr>
            </w:pPr>
            <w:r>
              <w:rPr>
                <w:rFonts w:hint="eastAsia" w:ascii="宋体" w:hAnsi="宋体"/>
                <w:color w:val="auto"/>
                <w:szCs w:val="21"/>
                <w:highlight w:val="none"/>
              </w:rPr>
              <w:t>经办人：</w:t>
            </w:r>
          </w:p>
          <w:p>
            <w:pPr>
              <w:snapToGrid w:val="0"/>
              <w:spacing w:line="360" w:lineRule="exact"/>
              <w:ind w:firstLine="630" w:firstLineChars="300"/>
              <w:jc w:val="right"/>
              <w:rPr>
                <w:rFonts w:ascii="宋体" w:hAnsi="宋体"/>
                <w:color w:val="auto"/>
                <w:szCs w:val="21"/>
                <w:highlight w:val="none"/>
              </w:rPr>
            </w:pPr>
            <w:r>
              <w:rPr>
                <w:rFonts w:hint="eastAsia" w:ascii="宋体" w:hAnsi="宋体"/>
                <w:color w:val="auto"/>
                <w:szCs w:val="21"/>
                <w:highlight w:val="none"/>
              </w:rPr>
              <w:t>年    月    日</w:t>
            </w:r>
          </w:p>
        </w:tc>
      </w:tr>
    </w:tbl>
    <w:p>
      <w:pPr>
        <w:snapToGrid w:val="0"/>
        <w:spacing w:line="360" w:lineRule="exact"/>
        <w:rPr>
          <w:rFonts w:ascii="宋体" w:hAnsi="宋体"/>
          <w:b/>
          <w:color w:val="auto"/>
          <w:sz w:val="28"/>
          <w:szCs w:val="28"/>
          <w:highlight w:val="none"/>
        </w:rPr>
      </w:pPr>
    </w:p>
    <w:p>
      <w:pPr>
        <w:pStyle w:val="135"/>
        <w:adjustRightInd w:val="0"/>
        <w:spacing w:line="360" w:lineRule="exact"/>
        <w:ind w:right="408"/>
        <w:jc w:val="left"/>
        <w:rPr>
          <w:rFonts w:ascii="宋体" w:hAnsi="宋体" w:cs="宋体"/>
          <w:b/>
          <w:color w:val="auto"/>
          <w:szCs w:val="21"/>
          <w:highlight w:val="none"/>
        </w:rPr>
      </w:pPr>
    </w:p>
    <w:p>
      <w:pPr>
        <w:pStyle w:val="135"/>
        <w:adjustRightInd w:val="0"/>
        <w:spacing w:line="360" w:lineRule="exact"/>
        <w:ind w:right="408"/>
        <w:jc w:val="left"/>
        <w:rPr>
          <w:rFonts w:ascii="宋体" w:hAnsi="宋体" w:cs="宋体"/>
          <w:b/>
          <w:color w:val="auto"/>
          <w:szCs w:val="21"/>
          <w:highlight w:val="none"/>
        </w:rPr>
      </w:pPr>
    </w:p>
    <w:p>
      <w:pPr>
        <w:pStyle w:val="135"/>
        <w:adjustRightInd w:val="0"/>
        <w:spacing w:line="360" w:lineRule="exact"/>
        <w:ind w:right="408"/>
        <w:jc w:val="left"/>
        <w:rPr>
          <w:rFonts w:ascii="宋体" w:hAnsi="宋体" w:cs="宋体"/>
          <w:b/>
          <w:color w:val="auto"/>
          <w:szCs w:val="21"/>
          <w:highlight w:val="none"/>
        </w:rPr>
      </w:pPr>
    </w:p>
    <w:p>
      <w:pPr>
        <w:pStyle w:val="135"/>
        <w:adjustRightInd w:val="0"/>
        <w:spacing w:line="360" w:lineRule="exact"/>
        <w:ind w:right="408"/>
        <w:jc w:val="left"/>
        <w:rPr>
          <w:rFonts w:ascii="宋体" w:hAnsi="宋体" w:cs="宋体"/>
          <w:b/>
          <w:color w:val="auto"/>
          <w:szCs w:val="21"/>
          <w:highlight w:val="none"/>
        </w:rPr>
      </w:pPr>
    </w:p>
    <w:p>
      <w:pPr>
        <w:pStyle w:val="135"/>
        <w:adjustRightInd w:val="0"/>
        <w:spacing w:line="360" w:lineRule="exact"/>
        <w:ind w:right="408"/>
        <w:jc w:val="left"/>
        <w:rPr>
          <w:rFonts w:ascii="宋体" w:hAnsi="宋体" w:cs="宋体"/>
          <w:b/>
          <w:color w:val="auto"/>
          <w:szCs w:val="21"/>
          <w:highlight w:val="none"/>
        </w:rPr>
      </w:pPr>
    </w:p>
    <w:p>
      <w:pPr>
        <w:pStyle w:val="135"/>
        <w:adjustRightInd w:val="0"/>
        <w:spacing w:line="360" w:lineRule="exact"/>
        <w:ind w:right="408"/>
        <w:jc w:val="left"/>
        <w:rPr>
          <w:rFonts w:ascii="宋体" w:hAnsi="宋体" w:cs="宋体"/>
          <w:b/>
          <w:color w:val="auto"/>
          <w:szCs w:val="21"/>
          <w:highlight w:val="none"/>
        </w:rPr>
      </w:pPr>
    </w:p>
    <w:p>
      <w:pPr>
        <w:pStyle w:val="135"/>
        <w:adjustRightInd w:val="0"/>
        <w:spacing w:line="360" w:lineRule="exact"/>
        <w:ind w:right="408"/>
        <w:jc w:val="left"/>
        <w:rPr>
          <w:rFonts w:ascii="宋体" w:hAnsi="宋体" w:cs="宋体"/>
          <w:b/>
          <w:color w:val="auto"/>
          <w:szCs w:val="21"/>
          <w:highlight w:val="none"/>
        </w:rPr>
      </w:pPr>
    </w:p>
    <w:p>
      <w:pPr>
        <w:pStyle w:val="135"/>
        <w:adjustRightInd w:val="0"/>
        <w:spacing w:line="360" w:lineRule="exact"/>
        <w:ind w:right="408"/>
        <w:jc w:val="left"/>
        <w:rPr>
          <w:rFonts w:ascii="宋体" w:hAnsi="宋体" w:cs="宋体"/>
          <w:b/>
          <w:color w:val="auto"/>
          <w:szCs w:val="21"/>
          <w:highlight w:val="none"/>
        </w:rPr>
      </w:pPr>
    </w:p>
    <w:p>
      <w:pPr>
        <w:pStyle w:val="135"/>
        <w:adjustRightInd w:val="0"/>
        <w:spacing w:line="360" w:lineRule="exact"/>
        <w:ind w:right="408"/>
        <w:jc w:val="left"/>
        <w:rPr>
          <w:rFonts w:ascii="宋体" w:hAnsi="宋体" w:cs="宋体"/>
          <w:b/>
          <w:color w:val="auto"/>
          <w:szCs w:val="21"/>
          <w:highlight w:val="none"/>
        </w:rPr>
      </w:pPr>
    </w:p>
    <w:p>
      <w:pPr>
        <w:pStyle w:val="135"/>
        <w:adjustRightInd w:val="0"/>
        <w:spacing w:line="360" w:lineRule="exact"/>
        <w:ind w:right="408"/>
        <w:jc w:val="left"/>
        <w:rPr>
          <w:rFonts w:ascii="宋体" w:hAnsi="宋体" w:cs="宋体"/>
          <w:b/>
          <w:color w:val="auto"/>
          <w:szCs w:val="21"/>
          <w:highlight w:val="none"/>
        </w:rPr>
      </w:pPr>
    </w:p>
    <w:p>
      <w:pPr>
        <w:pStyle w:val="135"/>
        <w:adjustRightInd w:val="0"/>
        <w:spacing w:line="360" w:lineRule="exact"/>
        <w:ind w:right="408"/>
        <w:jc w:val="left"/>
        <w:rPr>
          <w:rFonts w:ascii="宋体" w:hAnsi="宋体" w:cs="宋体"/>
          <w:b/>
          <w:color w:val="auto"/>
          <w:szCs w:val="21"/>
          <w:highlight w:val="none"/>
        </w:rPr>
      </w:pPr>
    </w:p>
    <w:p>
      <w:pPr>
        <w:pStyle w:val="135"/>
        <w:adjustRightInd w:val="0"/>
        <w:spacing w:line="360" w:lineRule="exact"/>
        <w:ind w:right="408"/>
        <w:jc w:val="left"/>
        <w:rPr>
          <w:rFonts w:ascii="宋体" w:hAnsi="宋体" w:cs="宋体"/>
          <w:b/>
          <w:color w:val="auto"/>
          <w:szCs w:val="21"/>
          <w:highlight w:val="none"/>
        </w:rPr>
      </w:pPr>
    </w:p>
    <w:p>
      <w:pPr>
        <w:pStyle w:val="135"/>
        <w:adjustRightInd w:val="0"/>
        <w:spacing w:line="360" w:lineRule="exact"/>
        <w:ind w:right="408"/>
        <w:jc w:val="left"/>
        <w:rPr>
          <w:rFonts w:ascii="宋体" w:hAnsi="宋体" w:cs="宋体"/>
          <w:b/>
          <w:color w:val="auto"/>
          <w:szCs w:val="21"/>
          <w:highlight w:val="none"/>
        </w:rPr>
      </w:pPr>
    </w:p>
    <w:p>
      <w:pPr>
        <w:pStyle w:val="135"/>
        <w:adjustRightInd w:val="0"/>
        <w:spacing w:line="360" w:lineRule="exact"/>
        <w:ind w:right="408"/>
        <w:jc w:val="left"/>
        <w:rPr>
          <w:rFonts w:ascii="宋体" w:hAnsi="宋体" w:cs="宋体"/>
          <w:b/>
          <w:color w:val="auto"/>
          <w:szCs w:val="21"/>
          <w:highlight w:val="none"/>
        </w:rPr>
      </w:pPr>
    </w:p>
    <w:p>
      <w:pPr>
        <w:pStyle w:val="135"/>
        <w:adjustRightInd w:val="0"/>
        <w:spacing w:line="360" w:lineRule="exact"/>
        <w:ind w:right="408"/>
        <w:jc w:val="left"/>
        <w:rPr>
          <w:rFonts w:ascii="宋体" w:hAnsi="宋体" w:cs="宋体"/>
          <w:b/>
          <w:color w:val="auto"/>
          <w:szCs w:val="21"/>
          <w:highlight w:val="none"/>
        </w:rPr>
      </w:pPr>
    </w:p>
    <w:p>
      <w:pPr>
        <w:pStyle w:val="135"/>
        <w:adjustRightInd w:val="0"/>
        <w:spacing w:line="360" w:lineRule="exact"/>
        <w:ind w:right="408"/>
        <w:jc w:val="left"/>
        <w:rPr>
          <w:rFonts w:ascii="宋体" w:hAnsi="宋体" w:cs="宋体"/>
          <w:b/>
          <w:color w:val="auto"/>
          <w:szCs w:val="21"/>
          <w:highlight w:val="none"/>
        </w:rPr>
      </w:pPr>
    </w:p>
    <w:p>
      <w:pPr>
        <w:pStyle w:val="135"/>
        <w:adjustRightInd w:val="0"/>
        <w:spacing w:line="360" w:lineRule="exact"/>
        <w:ind w:right="408"/>
        <w:jc w:val="left"/>
        <w:rPr>
          <w:rFonts w:ascii="宋体" w:hAnsi="宋体" w:cs="宋体"/>
          <w:b/>
          <w:color w:val="auto"/>
          <w:szCs w:val="21"/>
          <w:highlight w:val="none"/>
        </w:rPr>
      </w:pPr>
    </w:p>
    <w:bookmarkEnd w:id="21"/>
    <w:bookmarkEnd w:id="22"/>
    <w:bookmarkEnd w:id="23"/>
    <w:bookmarkEnd w:id="24"/>
    <w:bookmarkEnd w:id="25"/>
    <w:bookmarkEnd w:id="26"/>
    <w:bookmarkEnd w:id="27"/>
    <w:bookmarkEnd w:id="28"/>
    <w:bookmarkEnd w:id="29"/>
    <w:bookmarkEnd w:id="30"/>
    <w:bookmarkEnd w:id="37"/>
    <w:p>
      <w:pPr>
        <w:pStyle w:val="3"/>
        <w:rPr>
          <w:rFonts w:hint="eastAsia" w:ascii="宋体" w:hAnsi="宋体"/>
          <w:color w:val="auto"/>
          <w:highlight w:val="none"/>
        </w:rPr>
        <w:sectPr>
          <w:pgSz w:w="11906" w:h="16838"/>
          <w:pgMar w:top="1134" w:right="1134" w:bottom="1134" w:left="1134" w:header="720" w:footer="720" w:gutter="0"/>
          <w:pgNumType w:fmt="decimal"/>
          <w:cols w:space="0" w:num="1"/>
          <w:docGrid w:type="lines" w:linePitch="312" w:charSpace="0"/>
        </w:sectPr>
      </w:pPr>
    </w:p>
    <w:p>
      <w:pPr>
        <w:pStyle w:val="3"/>
        <w:rPr>
          <w:rFonts w:ascii="宋体" w:hAnsi="宋体"/>
          <w:color w:val="auto"/>
          <w:highlight w:val="none"/>
        </w:rPr>
      </w:pPr>
      <w:bookmarkStart w:id="38" w:name="_Toc22601"/>
      <w:r>
        <w:rPr>
          <w:rFonts w:hint="eastAsia" w:ascii="宋体" w:hAnsi="宋体"/>
          <w:color w:val="auto"/>
          <w:highlight w:val="none"/>
        </w:rPr>
        <w:t>第六章 评审办法</w:t>
      </w:r>
      <w:bookmarkEnd w:id="38"/>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一、评审原则</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（一）谈判小组的构成：本采购项目的谈判小组分别由评审专家、采购人代表等三人以上单数组成，其中技术、经济专家人数不少于成员总数的三分之二。</w:t>
      </w:r>
      <w:r>
        <w:rPr>
          <w:rFonts w:hint="eastAsia" w:ascii="宋体" w:hAnsi="宋体" w:cs="宋体"/>
          <w:color w:val="auto"/>
          <w:szCs w:val="21"/>
          <w:highlight w:val="none"/>
        </w:rPr>
        <w:t>采购人不得以评审专家身份参加本部门或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（二）评审依据：</w:t>
      </w:r>
    </w:p>
    <w:p>
      <w:pPr>
        <w:pStyle w:val="19"/>
        <w:spacing w:line="380" w:lineRule="exact"/>
        <w:ind w:firstLine="420"/>
        <w:rPr>
          <w:rFonts w:hAnsi="宋体" w:cs="宋体"/>
          <w:color w:val="auto"/>
          <w:kern w:val="2"/>
          <w:sz w:val="21"/>
          <w:szCs w:val="21"/>
          <w:highlight w:val="none"/>
        </w:rPr>
      </w:pPr>
      <w:r>
        <w:rPr>
          <w:rFonts w:hint="eastAsia" w:hAnsi="宋体" w:cs="宋体"/>
          <w:color w:val="auto"/>
          <w:kern w:val="2"/>
          <w:sz w:val="21"/>
          <w:szCs w:val="21"/>
          <w:highlight w:val="none"/>
        </w:rPr>
        <w:t>1、</w:t>
      </w:r>
      <w:r>
        <w:rPr>
          <w:rFonts w:hint="eastAsia" w:hAnsi="宋体"/>
          <w:color w:val="auto"/>
          <w:szCs w:val="21"/>
          <w:highlight w:val="none"/>
        </w:rPr>
        <w:t>以谈判文件、响应文件为评审依据</w:t>
      </w:r>
      <w:r>
        <w:rPr>
          <w:rFonts w:hint="eastAsia" w:hAnsi="宋体" w:cs="宋体"/>
          <w:color w:val="auto"/>
          <w:kern w:val="2"/>
          <w:sz w:val="21"/>
          <w:szCs w:val="21"/>
          <w:highlight w:val="none"/>
        </w:rPr>
        <w:t>。</w:t>
      </w:r>
    </w:p>
    <w:p>
      <w:pPr>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2、评审价为供应商的竞标报价进行政策性扣除后的价格，评审价只是作为评标时使用。最终成交人的成交金额等于竞标报价。</w:t>
      </w:r>
    </w:p>
    <w:p>
      <w:pPr>
        <w:pStyle w:val="19"/>
        <w:snapToGrid w:val="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highlight w:val="none"/>
        </w:rPr>
        <w:t>（1）按照《政府采购促进中小企业发展管理办法》（财库〔2020〕46号）的规定，供应商在其响应文件中按照格式要求提供《中小企业声明函》，且其竞标产品全部为小型或微型企业产品的，对其最后报价给予10%的扣除。</w:t>
      </w:r>
    </w:p>
    <w:p>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adjustRightIn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19"/>
        <w:snapToGrid w:val="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highlight w:val="none"/>
        </w:rPr>
        <w:t>（4）在货物采购项目中，供应商投标全部货物（除招标文件明确的配件及辅材不做为主要标的物外）由小型或微型企业制造；对符合上述要求的供应商的竞标报价给予10%的扣除，扣除后的价格为评审价，即评审价=竞标报价×（1-10%）。</w:t>
      </w:r>
    </w:p>
    <w:p>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5）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hAnsi="宋体" w:cs="宋体"/>
          <w:color w:val="auto"/>
          <w:kern w:val="2"/>
          <w:sz w:val="21"/>
          <w:szCs w:val="21"/>
          <w:highlight w:val="none"/>
          <w:u w:val="single"/>
        </w:rPr>
        <w:t xml:space="preserve"> 6 </w:t>
      </w:r>
      <w:r>
        <w:rPr>
          <w:rFonts w:hint="eastAsia" w:hAnsi="宋体" w:cs="宋体"/>
          <w:color w:val="auto"/>
          <w:kern w:val="2"/>
          <w:sz w:val="21"/>
          <w:szCs w:val="21"/>
          <w:highlight w:val="none"/>
        </w:rPr>
        <w:t>%（范围为4%-6%）的扣除，用扣除后的价格参加评审，扣除后的价格为评审价，即评审价=竞标报价×（1-</w:t>
      </w:r>
      <w:r>
        <w:rPr>
          <w:rFonts w:hint="eastAsia" w:hAnsi="宋体" w:cs="宋体"/>
          <w:color w:val="auto"/>
          <w:kern w:val="2"/>
          <w:sz w:val="21"/>
          <w:szCs w:val="21"/>
          <w:highlight w:val="none"/>
          <w:u w:val="single"/>
        </w:rPr>
        <w:t xml:space="preserve"> 6 </w:t>
      </w:r>
      <w:r>
        <w:rPr>
          <w:rFonts w:hint="eastAsia" w:hAnsi="宋体" w:cs="宋体"/>
          <w:color w:val="auto"/>
          <w:kern w:val="2"/>
          <w:sz w:val="21"/>
          <w:szCs w:val="21"/>
          <w:highlight w:val="none"/>
        </w:rPr>
        <w:t>%）。除上述情况外，评审价=竞标报价。</w:t>
      </w:r>
    </w:p>
    <w:p>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 xml:space="preserve">（6）本国产品政策性扣除计算方法。 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 供应商在其投标文件中提供《关于符合本国产品标准的声明函》或财政部会同有关部门规定的有关证明文件，出具符合要求的《声明函》或有关证明文件的，该产品视为本国产品。 如果所有参与竞争的供应商均可享受本国产品价格评审优惠，则统一不进行价格扣除。 </w:t>
      </w:r>
    </w:p>
    <w:p>
      <w:pPr>
        <w:pStyle w:val="19"/>
        <w:numPr>
          <w:ilvl w:val="0"/>
          <w:numId w:val="0"/>
        </w:numPr>
        <w:spacing w:line="360" w:lineRule="exact"/>
        <w:ind w:firstLine="210" w:firstLineChars="100"/>
        <w:rPr>
          <w:rFonts w:hint="eastAsia" w:ascii="宋体" w:hAnsi="宋体" w:eastAsia="宋体" w:cs="宋体"/>
          <w:bCs/>
          <w:color w:val="auto"/>
          <w:sz w:val="21"/>
          <w:highlight w:val="none"/>
        </w:rPr>
      </w:pPr>
      <w:r>
        <w:rPr>
          <w:rFonts w:hint="eastAsia" w:hAnsi="宋体" w:cs="宋体"/>
          <w:color w:val="auto"/>
          <w:kern w:val="2"/>
          <w:sz w:val="21"/>
          <w:szCs w:val="21"/>
          <w:highlight w:val="none"/>
        </w:rPr>
        <w:t>（7）中小企业折扣与本国产品折扣进行叠加计算，用扣除后的价格参加评审。即评审价=竞标报价-中小企业折扣-本国产品折扣，除上述情况外，评审价=竞标报价。</w:t>
      </w:r>
    </w:p>
    <w:p>
      <w:pPr>
        <w:keepNext w:val="0"/>
        <w:keepLines w:val="0"/>
        <w:pageBreakBefore w:val="0"/>
        <w:numPr>
          <w:ilvl w:val="0"/>
          <w:numId w:val="0"/>
        </w:numPr>
        <w:kinsoku/>
        <w:wordWrap/>
        <w:overflowPunct/>
        <w:topLinePunct w:val="0"/>
        <w:bidi w:val="0"/>
        <w:spacing w:line="360" w:lineRule="exact"/>
        <w:ind w:leftChars="0"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lang w:eastAsia="zh-CN"/>
        </w:rPr>
        <w:t>谈判小组</w:t>
      </w:r>
      <w:r>
        <w:rPr>
          <w:rFonts w:hint="eastAsia" w:ascii="宋体" w:hAnsi="宋体" w:cs="宋体"/>
          <w:b/>
          <w:color w:val="auto"/>
          <w:szCs w:val="21"/>
          <w:highlight w:val="none"/>
        </w:rPr>
        <w:t>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w:t>
      </w:r>
      <w:r>
        <w:rPr>
          <w:rFonts w:hint="eastAsia" w:ascii="宋体" w:hAnsi="宋体" w:cs="宋体"/>
          <w:b/>
          <w:color w:val="auto"/>
          <w:szCs w:val="21"/>
          <w:highlight w:val="none"/>
          <w:lang w:eastAsia="zh-CN"/>
        </w:rPr>
        <w:t>谈判小组</w:t>
      </w:r>
      <w:r>
        <w:rPr>
          <w:rFonts w:hint="eastAsia" w:ascii="宋体" w:hAnsi="宋体" w:cs="宋体"/>
          <w:b/>
          <w:color w:val="auto"/>
          <w:szCs w:val="21"/>
          <w:highlight w:val="none"/>
        </w:rPr>
        <w:t>作为无效响应处理。如果供应商不能合理说明或者提供的有关证明材料不完整，不能证明其报价合理性的，</w:t>
      </w:r>
      <w:r>
        <w:rPr>
          <w:rFonts w:hint="eastAsia" w:ascii="宋体" w:hAnsi="宋体" w:cs="宋体"/>
          <w:b/>
          <w:color w:val="auto"/>
          <w:szCs w:val="21"/>
          <w:highlight w:val="none"/>
          <w:lang w:eastAsia="zh-CN"/>
        </w:rPr>
        <w:t>谈判小组</w:t>
      </w:r>
      <w:r>
        <w:rPr>
          <w:rFonts w:hint="eastAsia" w:ascii="宋体" w:hAnsi="宋体" w:cs="宋体"/>
          <w:b/>
          <w:color w:val="auto"/>
          <w:szCs w:val="21"/>
          <w:highlight w:val="none"/>
        </w:rPr>
        <w:t>将其作为无效投标处理。供应商书面说明应当签字确认或者加盖公章，否则无效。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（三）评审方法：在质量和服务均能满足谈判文件实质性响应要求的前提下，按最后评审价由低到高排列成交候选供应商顺序，并依照次序确定成交候选供应商。</w:t>
      </w:r>
    </w:p>
    <w:p>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二、评审方法</w:t>
      </w:r>
    </w:p>
    <w:p>
      <w:pPr>
        <w:spacing w:line="360" w:lineRule="exact"/>
        <w:ind w:firstLine="420" w:firstLineChars="200"/>
        <w:rPr>
          <w:color w:val="auto"/>
          <w:szCs w:val="21"/>
          <w:highlight w:val="none"/>
        </w:rPr>
      </w:pPr>
      <w:r>
        <w:rPr>
          <w:rFonts w:hint="eastAsia"/>
          <w:color w:val="auto"/>
          <w:szCs w:val="21"/>
          <w:highlight w:val="none"/>
        </w:rPr>
        <w:t>（一）资格审查</w:t>
      </w:r>
    </w:p>
    <w:p>
      <w:pPr>
        <w:spacing w:line="360" w:lineRule="exact"/>
        <w:ind w:firstLine="420" w:firstLineChars="200"/>
        <w:rPr>
          <w:color w:val="auto"/>
          <w:szCs w:val="21"/>
          <w:highlight w:val="none"/>
        </w:rPr>
      </w:pPr>
      <w:r>
        <w:rPr>
          <w:rFonts w:hint="eastAsia" w:hAnsi="宋体"/>
          <w:color w:val="auto"/>
          <w:szCs w:val="21"/>
          <w:highlight w:val="none"/>
        </w:rPr>
        <w:t>谈判小组</w:t>
      </w:r>
      <w:r>
        <w:rPr>
          <w:rFonts w:hint="eastAsia" w:ascii="宋体" w:hAnsi="宋体"/>
          <w:color w:val="auto"/>
          <w:szCs w:val="21"/>
          <w:highlight w:val="none"/>
        </w:rPr>
        <w:t>依法对供应商的资格进行审查。</w:t>
      </w:r>
    </w:p>
    <w:tbl>
      <w:tblPr>
        <w:tblStyle w:val="36"/>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8"/>
        <w:gridCol w:w="3260"/>
        <w:gridCol w:w="4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9"/>
              <w:spacing w:line="360" w:lineRule="exact"/>
              <w:jc w:val="center"/>
              <w:rPr>
                <w:rFonts w:hAnsi="宋体"/>
                <w:color w:val="auto"/>
                <w:kern w:val="2"/>
                <w:sz w:val="21"/>
                <w:szCs w:val="21"/>
                <w:highlight w:val="none"/>
              </w:rPr>
            </w:pPr>
            <w:r>
              <w:rPr>
                <w:rFonts w:hint="eastAsia" w:hAnsi="宋体"/>
                <w:color w:val="auto"/>
                <w:kern w:val="2"/>
                <w:sz w:val="21"/>
                <w:szCs w:val="21"/>
                <w:highlight w:val="none"/>
              </w:rPr>
              <w:t>序号</w:t>
            </w:r>
          </w:p>
        </w:tc>
        <w:tc>
          <w:tcPr>
            <w:tcW w:w="3828" w:type="dxa"/>
            <w:gridSpan w:val="2"/>
            <w:tcBorders>
              <w:top w:val="single" w:color="auto" w:sz="4" w:space="0"/>
              <w:left w:val="single" w:color="auto" w:sz="4" w:space="0"/>
              <w:bottom w:val="single" w:color="auto" w:sz="4" w:space="0"/>
              <w:right w:val="single" w:color="auto" w:sz="4" w:space="0"/>
            </w:tcBorders>
            <w:vAlign w:val="center"/>
          </w:tcPr>
          <w:p>
            <w:pPr>
              <w:pStyle w:val="19"/>
              <w:spacing w:line="360" w:lineRule="exact"/>
              <w:jc w:val="center"/>
              <w:rPr>
                <w:rFonts w:hAnsi="宋体"/>
                <w:color w:val="auto"/>
                <w:kern w:val="2"/>
                <w:sz w:val="21"/>
                <w:szCs w:val="21"/>
                <w:highlight w:val="none"/>
              </w:rPr>
            </w:pPr>
            <w:r>
              <w:rPr>
                <w:rFonts w:hint="eastAsia" w:hAnsi="宋体"/>
                <w:color w:val="auto"/>
                <w:kern w:val="2"/>
                <w:sz w:val="21"/>
                <w:szCs w:val="21"/>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pPr>
              <w:pStyle w:val="19"/>
              <w:spacing w:line="360" w:lineRule="exact"/>
              <w:jc w:val="center"/>
              <w:rPr>
                <w:rFonts w:hAnsi="宋体"/>
                <w:color w:val="auto"/>
                <w:kern w:val="2"/>
                <w:sz w:val="21"/>
                <w:szCs w:val="21"/>
                <w:highlight w:val="none"/>
              </w:rPr>
            </w:pPr>
            <w:r>
              <w:rPr>
                <w:rFonts w:hint="eastAsia" w:hAnsi="宋体"/>
                <w:color w:val="auto"/>
                <w:kern w:val="2"/>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pPr>
              <w:pStyle w:val="19"/>
              <w:spacing w:line="360" w:lineRule="exact"/>
              <w:jc w:val="center"/>
              <w:rPr>
                <w:rFonts w:hint="eastAsia" w:hAnsi="宋体" w:eastAsia="宋体"/>
                <w:color w:val="auto"/>
                <w:kern w:val="2"/>
                <w:sz w:val="21"/>
                <w:szCs w:val="21"/>
                <w:highlight w:val="none"/>
                <w:lang w:eastAsia="zh-CN"/>
              </w:rPr>
            </w:pPr>
            <w:r>
              <w:rPr>
                <w:rFonts w:hint="eastAsia" w:hAnsi="宋体"/>
                <w:color w:val="auto"/>
                <w:kern w:val="2"/>
                <w:sz w:val="21"/>
                <w:szCs w:val="21"/>
                <w:highlight w:val="none"/>
                <w:lang w:val="en-US" w:eastAsia="zh-CN"/>
              </w:rPr>
              <w:t>1</w:t>
            </w:r>
          </w:p>
        </w:tc>
        <w:tc>
          <w:tcPr>
            <w:tcW w:w="568" w:type="dxa"/>
            <w:vMerge w:val="restart"/>
            <w:tcBorders>
              <w:top w:val="single" w:color="auto" w:sz="4" w:space="0"/>
              <w:left w:val="single" w:color="auto" w:sz="4" w:space="0"/>
              <w:bottom w:val="single" w:color="auto" w:sz="4" w:space="0"/>
              <w:right w:val="single" w:color="auto" w:sz="4" w:space="0"/>
            </w:tcBorders>
            <w:vAlign w:val="center"/>
          </w:tcPr>
          <w:p>
            <w:pPr>
              <w:pStyle w:val="19"/>
              <w:spacing w:line="360" w:lineRule="exact"/>
              <w:jc w:val="center"/>
              <w:rPr>
                <w:rFonts w:hAnsi="宋体"/>
                <w:color w:val="auto"/>
                <w:kern w:val="2"/>
                <w:sz w:val="21"/>
                <w:szCs w:val="21"/>
                <w:highlight w:val="none"/>
              </w:rPr>
            </w:pPr>
            <w:r>
              <w:rPr>
                <w:rFonts w:hint="eastAsia" w:hAnsi="宋体"/>
                <w:color w:val="auto"/>
                <w:kern w:val="2"/>
                <w:sz w:val="21"/>
                <w:szCs w:val="21"/>
                <w:highlight w:val="none"/>
              </w:rPr>
              <w:t>供应商应符合的基本资格条件</w:t>
            </w:r>
          </w:p>
        </w:tc>
        <w:tc>
          <w:tcPr>
            <w:tcW w:w="3260" w:type="dxa"/>
            <w:tcBorders>
              <w:top w:val="single" w:color="auto" w:sz="4" w:space="0"/>
              <w:left w:val="single" w:color="auto" w:sz="4" w:space="0"/>
              <w:bottom w:val="single" w:color="auto" w:sz="4" w:space="0"/>
              <w:right w:val="single" w:color="auto" w:sz="4" w:space="0"/>
            </w:tcBorders>
            <w:vAlign w:val="center"/>
          </w:tcPr>
          <w:p>
            <w:pPr>
              <w:pStyle w:val="19"/>
              <w:spacing w:line="360" w:lineRule="exact"/>
              <w:jc w:val="both"/>
              <w:rPr>
                <w:rFonts w:hAnsi="宋体"/>
                <w:color w:val="auto"/>
                <w:kern w:val="2"/>
                <w:sz w:val="21"/>
                <w:szCs w:val="21"/>
                <w:highlight w:val="none"/>
              </w:rPr>
            </w:pPr>
            <w:r>
              <w:rPr>
                <w:rFonts w:hint="eastAsia" w:hAnsi="宋体"/>
                <w:color w:val="auto"/>
                <w:kern w:val="2"/>
                <w:sz w:val="21"/>
                <w:szCs w:val="21"/>
                <w:highlight w:val="none"/>
              </w:rPr>
              <w:t>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pPr>
              <w:pStyle w:val="19"/>
              <w:spacing w:line="360" w:lineRule="exact"/>
              <w:jc w:val="both"/>
              <w:rPr>
                <w:rFonts w:hAnsi="宋体"/>
                <w:color w:val="auto"/>
                <w:kern w:val="2"/>
                <w:sz w:val="21"/>
                <w:szCs w:val="21"/>
                <w:highlight w:val="none"/>
              </w:rPr>
            </w:pPr>
            <w:r>
              <w:rPr>
                <w:rFonts w:hint="eastAsia" w:hAnsi="宋体"/>
                <w:color w:val="auto"/>
                <w:kern w:val="2"/>
                <w:sz w:val="21"/>
                <w:szCs w:val="21"/>
                <w:highlight w:val="none"/>
              </w:rPr>
              <w:t>1.供应商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pPr>
              <w:pStyle w:val="19"/>
              <w:spacing w:line="360" w:lineRule="exact"/>
              <w:jc w:val="both"/>
              <w:rPr>
                <w:rFonts w:hAnsi="宋体"/>
                <w:color w:val="auto"/>
                <w:kern w:val="2"/>
                <w:sz w:val="21"/>
                <w:szCs w:val="21"/>
                <w:highlight w:val="none"/>
              </w:rPr>
            </w:pPr>
            <w:r>
              <w:rPr>
                <w:rFonts w:hint="eastAsia" w:hAnsi="宋体"/>
                <w:color w:val="auto"/>
                <w:kern w:val="2"/>
                <w:sz w:val="21"/>
                <w:szCs w:val="21"/>
                <w:highlight w:val="none"/>
              </w:rPr>
              <w:t>2.如为分支机构投标的，须提供其总公司“营业执照”副本复印件和总公司对供应商参与本项目投标的授权书原件。</w:t>
            </w:r>
          </w:p>
          <w:p>
            <w:pPr>
              <w:pStyle w:val="19"/>
              <w:spacing w:line="360" w:lineRule="exact"/>
              <w:jc w:val="both"/>
              <w:rPr>
                <w:color w:val="auto"/>
                <w:sz w:val="21"/>
                <w:szCs w:val="21"/>
                <w:highlight w:val="none"/>
              </w:rPr>
            </w:pPr>
            <w:r>
              <w:rPr>
                <w:rFonts w:hint="eastAsia" w:hAnsi="宋体"/>
                <w:color w:val="auto"/>
                <w:kern w:val="2"/>
                <w:sz w:val="21"/>
                <w:szCs w:val="21"/>
                <w:highlight w:val="none"/>
              </w:rPr>
              <w:t>3.提供政府采购供应商资格信用承诺函。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Courier New"/>
                <w:color w:val="auto"/>
                <w:sz w:val="21"/>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Courier New"/>
                <w:color w:val="auto"/>
                <w:sz w:val="21"/>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pPr>
              <w:pStyle w:val="19"/>
              <w:jc w:val="both"/>
              <w:rPr>
                <w:rFonts w:hAnsi="宋体"/>
                <w:color w:val="auto"/>
                <w:kern w:val="2"/>
                <w:sz w:val="21"/>
                <w:szCs w:val="21"/>
                <w:highlight w:val="none"/>
              </w:rPr>
            </w:pPr>
            <w:r>
              <w:rPr>
                <w:rFonts w:hint="eastAsia" w:cs="宋体"/>
                <w:color w:val="auto"/>
                <w:sz w:val="21"/>
                <w:szCs w:val="21"/>
                <w:highlight w:val="none"/>
              </w:rPr>
              <w:t>具有良好的商业信誉和健全的财务会计制度、有依法缴纳税收和社会保障金的良好记录</w:t>
            </w:r>
          </w:p>
        </w:tc>
        <w:tc>
          <w:tcPr>
            <w:tcW w:w="4985" w:type="dxa"/>
            <w:tcBorders>
              <w:top w:val="single" w:color="auto" w:sz="4" w:space="0"/>
              <w:left w:val="single" w:color="auto" w:sz="4" w:space="0"/>
              <w:bottom w:val="single" w:color="auto" w:sz="4" w:space="0"/>
              <w:right w:val="single" w:color="auto" w:sz="4" w:space="0"/>
            </w:tcBorders>
            <w:vAlign w:val="center"/>
          </w:tcPr>
          <w:p>
            <w:pPr>
              <w:pStyle w:val="19"/>
              <w:jc w:val="both"/>
              <w:rPr>
                <w:rFonts w:hAnsi="宋体"/>
                <w:color w:val="auto"/>
                <w:kern w:val="2"/>
                <w:sz w:val="21"/>
                <w:szCs w:val="21"/>
                <w:highlight w:val="none"/>
              </w:rPr>
            </w:pPr>
            <w:r>
              <w:rPr>
                <w:rFonts w:hint="eastAsia" w:cs="宋体"/>
                <w:color w:val="auto"/>
                <w:sz w:val="21"/>
                <w:szCs w:val="21"/>
                <w:highlight w:val="none"/>
              </w:rPr>
              <w:t>政府采购供应商资格信用承诺函(按格式填写)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Courier New"/>
                <w:color w:val="auto"/>
                <w:sz w:val="21"/>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Courier New"/>
                <w:color w:val="auto"/>
                <w:sz w:val="21"/>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pPr>
              <w:pStyle w:val="19"/>
              <w:jc w:val="both"/>
              <w:rPr>
                <w:rFonts w:hAnsi="宋体"/>
                <w:color w:val="auto"/>
                <w:kern w:val="2"/>
                <w:sz w:val="21"/>
                <w:szCs w:val="21"/>
                <w:highlight w:val="none"/>
              </w:rPr>
            </w:pPr>
            <w:r>
              <w:rPr>
                <w:rFonts w:hint="eastAsia" w:cs="宋体"/>
                <w:color w:val="auto"/>
                <w:sz w:val="21"/>
                <w:szCs w:val="21"/>
                <w:highlight w:val="none"/>
              </w:rPr>
              <w:t>具有履行合同所必需的设备和专业技术能力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pPr>
              <w:pStyle w:val="19"/>
              <w:jc w:val="both"/>
              <w:rPr>
                <w:rFonts w:hAnsi="宋体"/>
                <w:color w:val="auto"/>
                <w:sz w:val="21"/>
                <w:szCs w:val="21"/>
                <w:highlight w:val="none"/>
              </w:rPr>
            </w:pPr>
            <w:r>
              <w:rPr>
                <w:rFonts w:hint="eastAsia" w:cs="宋体"/>
                <w:color w:val="auto"/>
                <w:sz w:val="21"/>
                <w:szCs w:val="21"/>
                <w:highlight w:val="none"/>
              </w:rPr>
              <w:t>提供</w:t>
            </w:r>
            <w:r>
              <w:rPr>
                <w:rFonts w:hint="eastAsia" w:cs="宋体"/>
                <w:color w:val="auto"/>
                <w:sz w:val="21"/>
                <w:szCs w:val="21"/>
                <w:highlight w:val="none"/>
                <w:lang w:eastAsia="zh-CN"/>
              </w:rPr>
              <w:t>竞标</w:t>
            </w:r>
            <w:r>
              <w:rPr>
                <w:rFonts w:hint="eastAsia" w:cs="宋体"/>
                <w:color w:val="auto"/>
                <w:sz w:val="21"/>
                <w:szCs w:val="21"/>
                <w:highlight w:val="none"/>
              </w:rPr>
              <w:t>声明书或相关证明材料。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Courier New"/>
                <w:color w:val="auto"/>
                <w:sz w:val="21"/>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Courier New"/>
                <w:color w:val="auto"/>
                <w:sz w:val="21"/>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pPr>
              <w:pStyle w:val="19"/>
              <w:jc w:val="both"/>
              <w:rPr>
                <w:rFonts w:hAnsi="宋体"/>
                <w:color w:val="auto"/>
                <w:kern w:val="2"/>
                <w:sz w:val="21"/>
                <w:szCs w:val="21"/>
                <w:highlight w:val="none"/>
              </w:rPr>
            </w:pPr>
            <w:r>
              <w:rPr>
                <w:rFonts w:hint="eastAsia" w:cs="宋体"/>
                <w:color w:val="auto"/>
                <w:sz w:val="21"/>
                <w:szCs w:val="21"/>
                <w:highlight w:val="none"/>
              </w:rPr>
              <w:t>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pPr>
              <w:pStyle w:val="19"/>
              <w:jc w:val="both"/>
              <w:rPr>
                <w:rFonts w:cs="Courier New"/>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lang w:val="en-US" w:eastAsia="zh-CN"/>
              </w:rPr>
              <w:t>.</w:t>
            </w:r>
            <w:r>
              <w:rPr>
                <w:rFonts w:hint="eastAsia" w:cs="宋体"/>
                <w:color w:val="auto"/>
                <w:sz w:val="21"/>
                <w:szCs w:val="21"/>
                <w:highlight w:val="none"/>
              </w:rPr>
              <w:t>提供参加政府采购活动前三年内在经营活动中没有重大违法记录和不良信用记录的书面声明书。</w:t>
            </w:r>
          </w:p>
          <w:p>
            <w:pPr>
              <w:pStyle w:val="19"/>
              <w:jc w:val="both"/>
              <w:rPr>
                <w:rFonts w:hAnsi="宋体"/>
                <w:color w:val="auto"/>
                <w:kern w:val="2"/>
                <w:sz w:val="21"/>
                <w:szCs w:val="21"/>
                <w:highlight w:val="none"/>
              </w:rPr>
            </w:pPr>
            <w:r>
              <w:rPr>
                <w:rFonts w:hint="eastAsia" w:cs="宋体"/>
                <w:color w:val="auto"/>
                <w:sz w:val="21"/>
                <w:szCs w:val="21"/>
                <w:highlight w:val="none"/>
              </w:rPr>
              <w:t>2</w:t>
            </w:r>
            <w:r>
              <w:rPr>
                <w:rFonts w:hint="eastAsia" w:cs="宋体"/>
                <w:color w:val="auto"/>
                <w:sz w:val="21"/>
                <w:szCs w:val="21"/>
                <w:highlight w:val="none"/>
                <w:lang w:val="en-US" w:eastAsia="zh-CN"/>
              </w:rPr>
              <w:t>.</w:t>
            </w:r>
            <w:r>
              <w:rPr>
                <w:rFonts w:hint="eastAsia" w:cs="宋体"/>
                <w:color w:val="auto"/>
                <w:sz w:val="21"/>
                <w:szCs w:val="21"/>
                <w:highlight w:val="none"/>
              </w:rPr>
              <w:t>在资格审查时，将通过 “信用中国”网站(www.creditchina.gov.cn)、"中国政府采购网"(www.ccgp.gov.cn)等渠道查询</w:t>
            </w:r>
            <w:r>
              <w:rPr>
                <w:rFonts w:hint="eastAsia" w:cs="宋体"/>
                <w:color w:val="auto"/>
                <w:sz w:val="21"/>
                <w:szCs w:val="21"/>
                <w:highlight w:val="none"/>
                <w:lang w:eastAsia="zh-CN"/>
              </w:rPr>
              <w:t>供应商</w:t>
            </w:r>
            <w:r>
              <w:rPr>
                <w:rFonts w:hint="eastAsia" w:cs="宋体"/>
                <w:color w:val="auto"/>
                <w:sz w:val="21"/>
                <w:szCs w:val="21"/>
                <w:highlight w:val="none"/>
              </w:rPr>
              <w:t>信用记录，对列入失信被执行人、重大税收违法案件当事人名单、政府采购严重违法失信行为记录名单的</w:t>
            </w:r>
            <w:r>
              <w:rPr>
                <w:rFonts w:hint="eastAsia" w:cs="宋体"/>
                <w:color w:val="auto"/>
                <w:sz w:val="21"/>
                <w:szCs w:val="21"/>
                <w:highlight w:val="none"/>
                <w:lang w:eastAsia="zh-CN"/>
              </w:rPr>
              <w:t>供应商</w:t>
            </w:r>
            <w:r>
              <w:rPr>
                <w:rFonts w:hint="eastAsia" w:cs="宋体"/>
                <w:color w:val="auto"/>
                <w:sz w:val="21"/>
                <w:szCs w:val="21"/>
                <w:highlight w:val="none"/>
              </w:rPr>
              <w:t>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Courier New"/>
                <w:color w:val="auto"/>
                <w:sz w:val="21"/>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Courier New"/>
                <w:color w:val="auto"/>
                <w:sz w:val="21"/>
                <w:szCs w:val="21"/>
                <w:highlight w:val="none"/>
              </w:rPr>
            </w:pPr>
          </w:p>
        </w:tc>
        <w:tc>
          <w:tcPr>
            <w:tcW w:w="3260" w:type="dxa"/>
            <w:vMerge w:val="restart"/>
            <w:tcBorders>
              <w:top w:val="single" w:color="auto" w:sz="4" w:space="0"/>
              <w:left w:val="single" w:color="auto" w:sz="4" w:space="0"/>
              <w:bottom w:val="single" w:color="auto" w:sz="4" w:space="0"/>
              <w:right w:val="single" w:color="auto" w:sz="4" w:space="0"/>
            </w:tcBorders>
            <w:vAlign w:val="center"/>
          </w:tcPr>
          <w:p>
            <w:pPr>
              <w:pStyle w:val="19"/>
              <w:spacing w:line="360" w:lineRule="exact"/>
              <w:jc w:val="both"/>
              <w:rPr>
                <w:rFonts w:hAnsi="宋体"/>
                <w:color w:val="auto"/>
                <w:kern w:val="2"/>
                <w:sz w:val="21"/>
                <w:szCs w:val="21"/>
                <w:highlight w:val="none"/>
              </w:rPr>
            </w:pPr>
            <w:r>
              <w:rPr>
                <w:rFonts w:hint="eastAsia" w:cs="宋体"/>
                <w:color w:val="auto"/>
                <w:sz w:val="21"/>
                <w:szCs w:val="21"/>
                <w:highlight w:val="none"/>
              </w:rPr>
              <w:t>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pPr>
              <w:pStyle w:val="19"/>
              <w:spacing w:line="360" w:lineRule="exact"/>
              <w:jc w:val="both"/>
              <w:rPr>
                <w:rFonts w:hAnsi="宋体" w:cs="Courier New"/>
                <w:color w:val="auto"/>
                <w:kern w:val="2"/>
                <w:sz w:val="21"/>
                <w:szCs w:val="21"/>
                <w:highlight w:val="none"/>
              </w:rPr>
            </w:pPr>
            <w:r>
              <w:rPr>
                <w:rFonts w:hint="eastAsia" w:hAnsi="宋体"/>
                <w:color w:val="auto"/>
                <w:kern w:val="2"/>
                <w:sz w:val="21"/>
                <w:szCs w:val="21"/>
                <w:highlight w:val="none"/>
              </w:rPr>
              <w:t>1.单位负责人为同一人或者存在直接控股、管理关系的不同供应商，不得参加同一合同项下的政府采购活动。</w:t>
            </w:r>
          </w:p>
          <w:p>
            <w:pPr>
              <w:pStyle w:val="19"/>
              <w:spacing w:line="360" w:lineRule="exact"/>
              <w:jc w:val="both"/>
              <w:rPr>
                <w:rFonts w:hAnsi="宋体"/>
                <w:color w:val="auto"/>
                <w:kern w:val="2"/>
                <w:sz w:val="21"/>
                <w:szCs w:val="21"/>
                <w:highlight w:val="none"/>
              </w:rPr>
            </w:pPr>
            <w:r>
              <w:rPr>
                <w:rFonts w:hint="eastAsia" w:hAnsi="宋体"/>
                <w:color w:val="auto"/>
                <w:kern w:val="2"/>
                <w:sz w:val="21"/>
                <w:szCs w:val="21"/>
                <w:highlight w:val="none"/>
              </w:rPr>
              <w:t>提供供应商直接控股、管理关系信息表。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Courier New"/>
                <w:color w:val="auto"/>
                <w:sz w:val="21"/>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Courier New"/>
                <w:color w:val="auto"/>
                <w:sz w:val="21"/>
                <w:szCs w:val="21"/>
                <w:highlight w:val="none"/>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both"/>
              <w:rPr>
                <w:rFonts w:ascii="宋体" w:hAnsi="宋体" w:cs="Courier New"/>
                <w:color w:val="auto"/>
                <w:sz w:val="21"/>
                <w:szCs w:val="21"/>
                <w:highlight w:val="none"/>
              </w:rPr>
            </w:pPr>
          </w:p>
        </w:tc>
        <w:tc>
          <w:tcPr>
            <w:tcW w:w="4985" w:type="dxa"/>
            <w:tcBorders>
              <w:top w:val="single" w:color="auto" w:sz="4" w:space="0"/>
              <w:left w:val="single" w:color="auto" w:sz="4" w:space="0"/>
              <w:bottom w:val="single" w:color="auto" w:sz="4" w:space="0"/>
              <w:right w:val="single" w:color="auto" w:sz="4" w:space="0"/>
            </w:tcBorders>
            <w:vAlign w:val="center"/>
          </w:tcPr>
          <w:p>
            <w:pPr>
              <w:pStyle w:val="19"/>
              <w:spacing w:line="360" w:lineRule="exact"/>
              <w:jc w:val="both"/>
              <w:rPr>
                <w:rFonts w:hAnsi="宋体" w:cs="Courier New"/>
                <w:color w:val="auto"/>
                <w:kern w:val="2"/>
                <w:sz w:val="21"/>
                <w:szCs w:val="21"/>
                <w:highlight w:val="none"/>
              </w:rPr>
            </w:pPr>
            <w:r>
              <w:rPr>
                <w:rFonts w:hint="eastAsia" w:hAnsi="宋体"/>
                <w:color w:val="auto"/>
                <w:kern w:val="2"/>
                <w:sz w:val="21"/>
                <w:szCs w:val="21"/>
                <w:highlight w:val="none"/>
              </w:rPr>
              <w:t>2.为本项目提供过整体设计、规范编制或者项目管理、监理、检测等服务的供应商，不得再参加本项目上述服务以外的其他采购活动。</w:t>
            </w:r>
          </w:p>
          <w:p>
            <w:pPr>
              <w:pStyle w:val="19"/>
              <w:spacing w:line="360" w:lineRule="exact"/>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提供谈判声明书。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9"/>
              <w:spacing w:line="360" w:lineRule="exact"/>
              <w:jc w:val="center"/>
              <w:rPr>
                <w:rFonts w:hint="eastAsia" w:hAnsi="宋体" w:eastAsia="宋体"/>
                <w:color w:val="auto"/>
                <w:kern w:val="2"/>
                <w:sz w:val="21"/>
                <w:szCs w:val="21"/>
                <w:highlight w:val="none"/>
                <w:lang w:eastAsia="zh-CN"/>
              </w:rPr>
            </w:pPr>
            <w:r>
              <w:rPr>
                <w:rFonts w:hint="eastAsia" w:hAnsi="宋体"/>
                <w:color w:val="auto"/>
                <w:kern w:val="2"/>
                <w:sz w:val="21"/>
                <w:szCs w:val="21"/>
                <w:highlight w:val="none"/>
                <w:lang w:val="en-US" w:eastAsia="zh-CN"/>
              </w:rPr>
              <w:t>2</w:t>
            </w:r>
          </w:p>
        </w:tc>
        <w:tc>
          <w:tcPr>
            <w:tcW w:w="3828" w:type="dxa"/>
            <w:gridSpan w:val="2"/>
            <w:tcBorders>
              <w:top w:val="single" w:color="auto" w:sz="4" w:space="0"/>
              <w:left w:val="single" w:color="auto" w:sz="4" w:space="0"/>
              <w:bottom w:val="single" w:color="auto" w:sz="4" w:space="0"/>
              <w:right w:val="single" w:color="auto" w:sz="4" w:space="0"/>
            </w:tcBorders>
            <w:vAlign w:val="center"/>
          </w:tcPr>
          <w:p>
            <w:pPr>
              <w:pStyle w:val="19"/>
              <w:spacing w:line="360" w:lineRule="exact"/>
              <w:jc w:val="both"/>
              <w:rPr>
                <w:rFonts w:hAnsi="宋体"/>
                <w:color w:val="auto"/>
                <w:kern w:val="2"/>
                <w:sz w:val="21"/>
                <w:szCs w:val="21"/>
                <w:highlight w:val="none"/>
              </w:rPr>
            </w:pPr>
            <w:r>
              <w:rPr>
                <w:rFonts w:hint="eastAsia" w:hAnsi="宋体"/>
                <w:color w:val="auto"/>
                <w:kern w:val="2"/>
                <w:sz w:val="21"/>
                <w:szCs w:val="21"/>
                <w:highlight w:val="none"/>
              </w:rPr>
              <w:t>落实政府采购政策需满足的资格要求</w:t>
            </w:r>
          </w:p>
        </w:tc>
        <w:tc>
          <w:tcPr>
            <w:tcW w:w="4985" w:type="dxa"/>
            <w:tcBorders>
              <w:top w:val="single" w:color="auto" w:sz="4" w:space="0"/>
              <w:left w:val="single" w:color="auto" w:sz="4" w:space="0"/>
              <w:bottom w:val="single" w:color="auto" w:sz="4" w:space="0"/>
              <w:right w:val="single" w:color="auto" w:sz="4" w:space="0"/>
            </w:tcBorders>
            <w:vAlign w:val="center"/>
          </w:tcPr>
          <w:p>
            <w:pPr>
              <w:pStyle w:val="19"/>
              <w:spacing w:line="360" w:lineRule="exact"/>
              <w:jc w:val="both"/>
              <w:rPr>
                <w:rFonts w:hAnsi="宋体"/>
                <w:color w:val="auto"/>
                <w:kern w:val="2"/>
                <w:sz w:val="21"/>
                <w:szCs w:val="21"/>
                <w:highlight w:val="none"/>
              </w:rPr>
            </w:pPr>
            <w:r>
              <w:rPr>
                <w:rFonts w:hint="eastAsia" w:hAnsi="宋体"/>
                <w:color w:val="auto"/>
                <w:kern w:val="2"/>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9"/>
              <w:spacing w:line="360" w:lineRule="exact"/>
              <w:jc w:val="center"/>
              <w:rPr>
                <w:rFonts w:hint="eastAsia" w:hAnsi="宋体" w:eastAsia="宋体"/>
                <w:color w:val="auto"/>
                <w:kern w:val="2"/>
                <w:sz w:val="21"/>
                <w:szCs w:val="21"/>
                <w:highlight w:val="none"/>
                <w:lang w:eastAsia="zh-CN"/>
              </w:rPr>
            </w:pPr>
            <w:r>
              <w:rPr>
                <w:rFonts w:hint="eastAsia" w:hAnsi="宋体"/>
                <w:color w:val="auto"/>
                <w:kern w:val="2"/>
                <w:sz w:val="21"/>
                <w:szCs w:val="21"/>
                <w:highlight w:val="none"/>
                <w:lang w:val="en-US" w:eastAsia="zh-CN"/>
              </w:rPr>
              <w:t>3</w:t>
            </w:r>
          </w:p>
        </w:tc>
        <w:tc>
          <w:tcPr>
            <w:tcW w:w="3828" w:type="dxa"/>
            <w:gridSpan w:val="2"/>
            <w:tcBorders>
              <w:top w:val="single" w:color="auto" w:sz="4" w:space="0"/>
              <w:left w:val="single" w:color="auto" w:sz="4" w:space="0"/>
              <w:bottom w:val="single" w:color="auto" w:sz="4" w:space="0"/>
              <w:right w:val="single" w:color="auto" w:sz="4" w:space="0"/>
            </w:tcBorders>
            <w:vAlign w:val="center"/>
          </w:tcPr>
          <w:p>
            <w:pPr>
              <w:pStyle w:val="19"/>
              <w:spacing w:line="360" w:lineRule="exact"/>
              <w:jc w:val="both"/>
              <w:rPr>
                <w:rFonts w:hAnsi="宋体"/>
                <w:color w:val="auto"/>
                <w:kern w:val="2"/>
                <w:sz w:val="21"/>
                <w:szCs w:val="21"/>
                <w:highlight w:val="none"/>
              </w:rPr>
            </w:pPr>
            <w:r>
              <w:rPr>
                <w:rFonts w:hint="eastAsia" w:hAnsi="宋体"/>
                <w:color w:val="auto"/>
                <w:kern w:val="2"/>
                <w:sz w:val="21"/>
                <w:szCs w:val="21"/>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pPr>
              <w:pStyle w:val="19"/>
              <w:spacing w:line="360" w:lineRule="exact"/>
              <w:jc w:val="both"/>
              <w:rPr>
                <w:rFonts w:hAnsi="宋体"/>
                <w:color w:val="auto"/>
                <w:kern w:val="2"/>
                <w:sz w:val="21"/>
                <w:szCs w:val="21"/>
                <w:highlight w:val="none"/>
              </w:rPr>
            </w:pPr>
            <w:r>
              <w:rPr>
                <w:rFonts w:hint="eastAsia" w:hAnsi="宋体"/>
                <w:color w:val="auto"/>
                <w:kern w:val="2"/>
                <w:sz w:val="21"/>
                <w:szCs w:val="21"/>
                <w:highlight w:val="none"/>
              </w:rPr>
              <w:t>无</w:t>
            </w:r>
          </w:p>
        </w:tc>
      </w:tr>
    </w:tbl>
    <w:p>
      <w:pPr>
        <w:pStyle w:val="19"/>
        <w:spacing w:line="360" w:lineRule="exact"/>
        <w:rPr>
          <w:rFonts w:hAnsi="宋体"/>
          <w:color w:val="auto"/>
          <w:sz w:val="21"/>
          <w:szCs w:val="21"/>
          <w:highlight w:val="none"/>
        </w:rPr>
      </w:pPr>
      <w:r>
        <w:rPr>
          <w:rFonts w:hint="eastAsia" w:hAnsi="宋体"/>
          <w:color w:val="auto"/>
          <w:sz w:val="21"/>
          <w:szCs w:val="21"/>
          <w:highlight w:val="none"/>
        </w:rPr>
        <w:t>（二）符合性审查</w:t>
      </w:r>
    </w:p>
    <w:p>
      <w:pPr>
        <w:pStyle w:val="19"/>
        <w:spacing w:line="360" w:lineRule="exact"/>
        <w:rPr>
          <w:rFonts w:hAnsi="宋体"/>
          <w:color w:val="auto"/>
          <w:sz w:val="21"/>
          <w:szCs w:val="21"/>
          <w:highlight w:val="none"/>
        </w:rPr>
      </w:pPr>
      <w:r>
        <w:rPr>
          <w:rFonts w:hint="eastAsia" w:hAnsi="宋体"/>
          <w:color w:val="auto"/>
          <w:sz w:val="21"/>
          <w:szCs w:val="21"/>
          <w:highlight w:val="none"/>
        </w:rPr>
        <w:t>谈判小组根据竞争性谈判文件要求各供应商响应文件的有效性、完整性、响应性等进行审查，以确定是否对竞争性谈判文件的实质性要求作出响应。</w:t>
      </w:r>
    </w:p>
    <w:tbl>
      <w:tblPr>
        <w:tblStyle w:val="36"/>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03"/>
        <w:gridCol w:w="6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19"/>
              <w:spacing w:line="360" w:lineRule="exact"/>
              <w:jc w:val="center"/>
              <w:rPr>
                <w:rFonts w:hAnsi="宋体"/>
                <w:color w:val="auto"/>
                <w:kern w:val="2"/>
                <w:sz w:val="21"/>
                <w:szCs w:val="21"/>
                <w:highlight w:val="none"/>
              </w:rPr>
            </w:pPr>
            <w:r>
              <w:rPr>
                <w:rFonts w:hint="eastAsia" w:hAnsi="宋体"/>
                <w:color w:val="auto"/>
                <w:kern w:val="2"/>
                <w:sz w:val="21"/>
                <w:szCs w:val="21"/>
                <w:highlight w:val="none"/>
              </w:rPr>
              <w:t>序号</w:t>
            </w:r>
          </w:p>
        </w:tc>
        <w:tc>
          <w:tcPr>
            <w:tcW w:w="2303" w:type="dxa"/>
            <w:tcBorders>
              <w:top w:val="single" w:color="auto" w:sz="4" w:space="0"/>
              <w:left w:val="single" w:color="auto" w:sz="4" w:space="0"/>
              <w:bottom w:val="single" w:color="auto" w:sz="4" w:space="0"/>
              <w:right w:val="single" w:color="auto" w:sz="4" w:space="0"/>
            </w:tcBorders>
            <w:vAlign w:val="center"/>
          </w:tcPr>
          <w:p>
            <w:pPr>
              <w:pStyle w:val="19"/>
              <w:spacing w:line="360" w:lineRule="exact"/>
              <w:jc w:val="center"/>
              <w:rPr>
                <w:rFonts w:hAnsi="宋体"/>
                <w:color w:val="auto"/>
                <w:kern w:val="2"/>
                <w:sz w:val="21"/>
                <w:szCs w:val="21"/>
                <w:highlight w:val="none"/>
              </w:rPr>
            </w:pPr>
            <w:r>
              <w:rPr>
                <w:rFonts w:hint="eastAsia" w:hAnsi="宋体"/>
                <w:color w:val="auto"/>
                <w:kern w:val="2"/>
                <w:sz w:val="21"/>
                <w:szCs w:val="21"/>
                <w:highlight w:val="none"/>
              </w:rPr>
              <w:t>评审因素</w:t>
            </w:r>
          </w:p>
        </w:tc>
        <w:tc>
          <w:tcPr>
            <w:tcW w:w="6666" w:type="dxa"/>
            <w:tcBorders>
              <w:top w:val="single" w:color="auto" w:sz="4" w:space="0"/>
              <w:left w:val="single" w:color="auto" w:sz="4" w:space="0"/>
              <w:bottom w:val="single" w:color="auto" w:sz="4" w:space="0"/>
              <w:right w:val="single" w:color="auto" w:sz="4" w:space="0"/>
            </w:tcBorders>
            <w:vAlign w:val="center"/>
          </w:tcPr>
          <w:p>
            <w:pPr>
              <w:pStyle w:val="19"/>
              <w:spacing w:line="360" w:lineRule="exact"/>
              <w:jc w:val="center"/>
              <w:rPr>
                <w:rFonts w:hAnsi="宋体"/>
                <w:color w:val="auto"/>
                <w:kern w:val="2"/>
                <w:sz w:val="21"/>
                <w:szCs w:val="21"/>
                <w:highlight w:val="none"/>
              </w:rPr>
            </w:pPr>
            <w:r>
              <w:rPr>
                <w:rFonts w:hint="eastAsia" w:hAnsi="宋体"/>
                <w:color w:val="auto"/>
                <w:kern w:val="2"/>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19"/>
              <w:spacing w:line="360" w:lineRule="exact"/>
              <w:jc w:val="center"/>
              <w:rPr>
                <w:rFonts w:hAnsi="宋体"/>
                <w:color w:val="auto"/>
                <w:kern w:val="2"/>
                <w:sz w:val="21"/>
                <w:szCs w:val="21"/>
                <w:highlight w:val="none"/>
              </w:rPr>
            </w:pPr>
            <w:r>
              <w:rPr>
                <w:rFonts w:hint="eastAsia" w:hAnsi="宋体"/>
                <w:color w:val="auto"/>
                <w:kern w:val="2"/>
                <w:sz w:val="21"/>
                <w:szCs w:val="21"/>
                <w:highlight w:val="none"/>
              </w:rPr>
              <w:t>1</w:t>
            </w:r>
          </w:p>
        </w:tc>
        <w:tc>
          <w:tcPr>
            <w:tcW w:w="2303" w:type="dxa"/>
            <w:tcBorders>
              <w:top w:val="single" w:color="auto" w:sz="4" w:space="0"/>
              <w:left w:val="single" w:color="auto" w:sz="4" w:space="0"/>
              <w:bottom w:val="single" w:color="auto" w:sz="4" w:space="0"/>
              <w:right w:val="single" w:color="auto" w:sz="4" w:space="0"/>
            </w:tcBorders>
            <w:vAlign w:val="center"/>
          </w:tcPr>
          <w:p>
            <w:pPr>
              <w:pStyle w:val="19"/>
              <w:spacing w:line="360" w:lineRule="exact"/>
              <w:jc w:val="center"/>
              <w:rPr>
                <w:rFonts w:hAnsi="宋体"/>
                <w:color w:val="auto"/>
                <w:kern w:val="2"/>
                <w:sz w:val="21"/>
                <w:szCs w:val="21"/>
                <w:highlight w:val="none"/>
              </w:rPr>
            </w:pPr>
            <w:r>
              <w:rPr>
                <w:rFonts w:hint="eastAsia" w:hAnsi="宋体"/>
                <w:color w:val="auto"/>
                <w:kern w:val="2"/>
                <w:sz w:val="21"/>
                <w:szCs w:val="21"/>
                <w:highlight w:val="none"/>
              </w:rPr>
              <w:t>商务和技术文件审查</w:t>
            </w:r>
          </w:p>
        </w:tc>
        <w:tc>
          <w:tcPr>
            <w:tcW w:w="666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未按照竞争性谈判文件的规定足额交纳投标保证金的</w:t>
            </w:r>
            <w:r>
              <w:rPr>
                <w:rFonts w:hint="eastAsia" w:ascii="宋体" w:hAnsi="宋体" w:eastAsia="宋体" w:cs="宋体"/>
                <w:bCs/>
                <w:color w:val="auto"/>
                <w:sz w:val="21"/>
                <w:szCs w:val="21"/>
                <w:highlight w:val="none"/>
              </w:rPr>
              <w:t>；</w:t>
            </w:r>
          </w:p>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2.响应文件未按谈判文件要求签署、盖章的；</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3.投标代表人未能出具身份证明或与法定代表人授权委托人身份不符的；</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4.响应文件的实质性内容未使用中文表述、意思表述不明确、前后矛盾或者使用计量单位不符合谈判文件要求的（经</w:t>
            </w:r>
            <w:r>
              <w:rPr>
                <w:rFonts w:hint="eastAsia" w:ascii="宋体" w:hAnsi="宋体" w:cs="宋体"/>
                <w:color w:val="auto"/>
                <w:sz w:val="21"/>
                <w:szCs w:val="21"/>
                <w:highlight w:val="none"/>
                <w:lang w:eastAsia="zh-CN"/>
              </w:rPr>
              <w:t>谈判小组</w:t>
            </w:r>
            <w:r>
              <w:rPr>
                <w:rFonts w:hint="eastAsia" w:ascii="宋体" w:hAnsi="宋体" w:eastAsia="宋体" w:cs="宋体"/>
                <w:color w:val="auto"/>
                <w:sz w:val="21"/>
                <w:szCs w:val="21"/>
                <w:highlight w:val="none"/>
              </w:rPr>
              <w:t>认定并允许其当场更正的笔误除外）</w:t>
            </w:r>
          </w:p>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5.响应文件有效期、服务期或交货期、质保期等商务条款不能满足</w:t>
            </w:r>
            <w:r>
              <w:rPr>
                <w:rFonts w:hint="eastAsia" w:ascii="宋体" w:hAnsi="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要求的；</w:t>
            </w:r>
          </w:p>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6.未实质性响应谈判文件要求或者响应文件有采购人不能接受的附加条件的。</w:t>
            </w:r>
          </w:p>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7.未提供谈判文件中“13.响应文件的组成13.2商务和技术文件”要求必须提供的资料的；</w:t>
            </w:r>
          </w:p>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8.未提供或未如实提供投标货物的技术参数，或者响应文件标明的响应或偏离与事实不符或虚假投标的；</w:t>
            </w:r>
          </w:p>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9.明显不符合</w:t>
            </w:r>
            <w:r>
              <w:rPr>
                <w:rFonts w:hint="eastAsia" w:ascii="宋体" w:hAnsi="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要求的规格型号、质量标准和采购需求的，或者与</w:t>
            </w:r>
            <w:r>
              <w:rPr>
                <w:rFonts w:hint="eastAsia" w:ascii="宋体" w:hAnsi="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中标“▲”的技术指标、主要功能项目发生实质性偏离的；</w:t>
            </w:r>
          </w:p>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10.允许偏离的技术、性能指标或者辅助功能项目发生负偏离</w:t>
            </w:r>
            <w:r>
              <w:rPr>
                <w:rFonts w:hint="eastAsia" w:ascii="宋体" w:hAnsi="宋体" w:cs="宋体"/>
                <w:bCs/>
                <w:color w:val="auto"/>
                <w:sz w:val="21"/>
                <w:szCs w:val="21"/>
                <w:highlight w:val="none"/>
                <w:lang w:val="en-US" w:eastAsia="zh-CN"/>
              </w:rPr>
              <w:t>项数超过规定</w:t>
            </w:r>
            <w:r>
              <w:rPr>
                <w:rFonts w:hint="eastAsia" w:ascii="宋体" w:hAnsi="宋体" w:eastAsia="宋体" w:cs="宋体"/>
                <w:bCs/>
                <w:color w:val="auto"/>
                <w:sz w:val="21"/>
                <w:szCs w:val="21"/>
                <w:highlight w:val="none"/>
              </w:rPr>
              <w:t>的；</w:t>
            </w:r>
          </w:p>
          <w:p>
            <w:pPr>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.技术方案不明确，存在一个或一个以上备选（替代）竞标方案的。</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.属于供应商须知正文7.特别说明第6点情形的；</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法律、法规和竞争性谈判文件规定的其他无效情形。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19"/>
              <w:spacing w:line="360" w:lineRule="exact"/>
              <w:jc w:val="center"/>
              <w:rPr>
                <w:rFonts w:hAnsi="宋体"/>
                <w:color w:val="auto"/>
                <w:kern w:val="2"/>
                <w:sz w:val="21"/>
                <w:szCs w:val="21"/>
                <w:highlight w:val="none"/>
              </w:rPr>
            </w:pPr>
            <w:r>
              <w:rPr>
                <w:rFonts w:hint="eastAsia" w:hAnsi="宋体"/>
                <w:color w:val="auto"/>
                <w:kern w:val="2"/>
                <w:sz w:val="21"/>
                <w:szCs w:val="21"/>
                <w:highlight w:val="none"/>
              </w:rPr>
              <w:t>2</w:t>
            </w:r>
          </w:p>
        </w:tc>
        <w:tc>
          <w:tcPr>
            <w:tcW w:w="2303" w:type="dxa"/>
            <w:tcBorders>
              <w:top w:val="single" w:color="auto" w:sz="4" w:space="0"/>
              <w:left w:val="single" w:color="auto" w:sz="4" w:space="0"/>
              <w:bottom w:val="single" w:color="auto" w:sz="4" w:space="0"/>
              <w:right w:val="single" w:color="auto" w:sz="4" w:space="0"/>
            </w:tcBorders>
            <w:vAlign w:val="center"/>
          </w:tcPr>
          <w:p>
            <w:pPr>
              <w:pStyle w:val="19"/>
              <w:spacing w:line="360" w:lineRule="exact"/>
              <w:jc w:val="center"/>
              <w:rPr>
                <w:rFonts w:hAnsi="宋体"/>
                <w:color w:val="auto"/>
                <w:kern w:val="2"/>
                <w:sz w:val="21"/>
                <w:szCs w:val="21"/>
                <w:highlight w:val="none"/>
              </w:rPr>
            </w:pPr>
            <w:r>
              <w:rPr>
                <w:rFonts w:hint="eastAsia" w:hAnsi="宋体"/>
                <w:color w:val="auto"/>
                <w:kern w:val="2"/>
                <w:sz w:val="21"/>
                <w:szCs w:val="21"/>
                <w:highlight w:val="none"/>
              </w:rPr>
              <w:t>报价文件审查</w:t>
            </w:r>
          </w:p>
        </w:tc>
        <w:tc>
          <w:tcPr>
            <w:tcW w:w="666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1.未提供谈判文件中“13.响应文件的组成13.3报价文件”要求必须提供的资料的；</w:t>
            </w:r>
          </w:p>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2.报价超过</w:t>
            </w:r>
            <w:r>
              <w:rPr>
                <w:rFonts w:hint="eastAsia" w:ascii="宋体" w:hAnsi="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中规定的预算金额或者最高限价的；</w:t>
            </w:r>
          </w:p>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3.未采用人民币报价或者未按照</w:t>
            </w:r>
            <w:r>
              <w:rPr>
                <w:rFonts w:hint="eastAsia" w:ascii="宋体" w:hAnsi="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标明的币种报价的；</w:t>
            </w:r>
          </w:p>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4.竞标报价具有选择性，或者云平台中开标记录表的报价与响应文件承诺的优惠（折扣）价格不一致的；</w:t>
            </w:r>
          </w:p>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5.法律、法规和</w:t>
            </w:r>
            <w:r>
              <w:rPr>
                <w:rFonts w:hint="eastAsia" w:ascii="宋体" w:hAnsi="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规定的其他无效情形。</w:t>
            </w:r>
          </w:p>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6.出现恶意竞争低于成本价的情形。</w:t>
            </w:r>
          </w:p>
          <w:p>
            <w:pPr>
              <w:widowControl/>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7.修正后的报价，</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不确认的。</w:t>
            </w:r>
          </w:p>
        </w:tc>
      </w:tr>
    </w:tbl>
    <w:p>
      <w:pPr>
        <w:spacing w:line="360" w:lineRule="exact"/>
        <w:ind w:firstLine="420" w:firstLineChars="200"/>
        <w:rPr>
          <w:rFonts w:hint="eastAsia" w:ascii="宋体" w:hAnsi="宋体"/>
          <w:color w:val="auto"/>
          <w:szCs w:val="21"/>
          <w:highlight w:val="none"/>
        </w:rPr>
      </w:pPr>
      <w:r>
        <w:rPr>
          <w:rFonts w:hint="eastAsia" w:hAnsi="宋体"/>
          <w:color w:val="auto"/>
          <w:szCs w:val="21"/>
          <w:highlight w:val="none"/>
        </w:rPr>
        <w:t>（三）</w:t>
      </w:r>
      <w:r>
        <w:rPr>
          <w:rFonts w:hint="eastAsia" w:ascii="宋体" w:hAnsi="宋体"/>
          <w:color w:val="auto"/>
          <w:szCs w:val="21"/>
          <w:highlight w:val="none"/>
        </w:rPr>
        <w:t>最后报价政府采购政策性扣除</w:t>
      </w:r>
    </w:p>
    <w:p>
      <w:pPr>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根据上述评审依据对供应商的最后报价给予价格扣除，扣除后的价格为评审价。</w:t>
      </w:r>
    </w:p>
    <w:p>
      <w:pPr>
        <w:spacing w:line="36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三、偏离认定说明</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供应商根据采购需求中技术参数为基准，填写响应表，对于响应表或证明材料与技术参数不符的，按如下规定：</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（2）响应表中响应的内容与证明材料不一致的，以证明材料为准作为评审依据。</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（3）同时出现以上两种情况的，按照（1）-（2）顺序认定。</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（4）响应表与采购需求中技术参数比较有漏项的，如为实质性参数漏项，视为未响应；如为非实质性参数漏项，视为负偏离。</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（5）一项技术参数有多条小项要求的，必须全部响应。如只响应部分参数，视为漏项，按照（4）判定。评审时以每一条技术参数为评审依据。</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（8）对于单边任意参数的要求，例“长度≥50cm”，若响应为50 cm及50cm以上任意一个数值，均视为无偏离；若响应小于50cm，视为负偏离。此类参数无正偏离。</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（9）对于固定参数，响应与采购需求中技术参数一致，视为无偏离，其他均视为负偏离，此类参数无正偏离。</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（10）如采购需求中技术参数有特殊要求与上述说明不一致的，以特殊要求为准。</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4.对投标价格存在一下情况的应进行异常低价情况的审查</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(一)竞标报价低于全部通过符合性审查供应商竞标报价平均值50%的，即竞标报价&lt;全部通过符合性审查供应商竞标报价平均值X50%;</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(二)竞标报价低于通过符合性审查且报价次低供应商竞标报价50%的，即竞标报价&lt;通过符合性审查且报价次低供应商竞标报价x50%;</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(三)竞标报价低于采购项目最高限价45%的，即竞标报价&lt;采购项目最高限价x45%;</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(四)其他谈判小组认为供应商报价过低，有可能影响产品质量或者不能诚信履约的情形。</w:t>
      </w:r>
    </w:p>
    <w:p>
      <w:pPr>
        <w:spacing w:line="360" w:lineRule="exact"/>
        <w:ind w:firstLine="420" w:firstLineChars="200"/>
        <w:rPr>
          <w:color w:val="auto"/>
          <w:highlight w:val="none"/>
        </w:rPr>
      </w:pPr>
      <w:r>
        <w:rPr>
          <w:rFonts w:hint="eastAsia" w:ascii="宋体" w:hAnsi="宋体"/>
          <w:color w:val="auto"/>
          <w:szCs w:val="21"/>
          <w:highlight w:val="none"/>
        </w:rPr>
        <w:t>谈判小组启动异常低价投标(响应)审查后，应当要求相关供应商在评审现场合理的时间内提供书面说明及必要的证明材料，对投标(响应)价格作出解释。书面说明、证明材料主要是项目具体成本测算等与报价合理性相关的说明、材料。如果投标(响应)供应商不提供书面说明、证明材料，或者提供的书面说明、证明材料不能证明其报价合理性的，应当将其作为无效投标(响应)处理。审查相关情况应当在评审报告中记录。</w:t>
      </w:r>
    </w:p>
    <w:p>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四、成交候选供应商推荐原则</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在质量和服务均能满足采购文件实质性响应要求的前提下，按照最后评审价由低到高的顺序提出3名以上成交候选人（</w:t>
      </w:r>
      <w:r>
        <w:rPr>
          <w:rFonts w:hint="eastAsia" w:ascii="宋体" w:hAnsi="宋体"/>
          <w:color w:val="auto"/>
          <w:highlight w:val="none"/>
        </w:rPr>
        <w:t>最后评审报价相同时，</w:t>
      </w:r>
      <w:r>
        <w:rPr>
          <w:rFonts w:hint="eastAsia" w:ascii="宋体" w:hAnsi="宋体" w:cs="宋体"/>
          <w:color w:val="auto"/>
          <w:szCs w:val="21"/>
          <w:highlight w:val="none"/>
        </w:rPr>
        <w:t>依次按节能环保产品累计金额高的优先、</w:t>
      </w:r>
      <w:r>
        <w:rPr>
          <w:rFonts w:hint="eastAsia" w:ascii="宋体" w:hAnsi="宋体" w:cs="宋体"/>
          <w:color w:val="auto"/>
          <w:highlight w:val="none"/>
        </w:rPr>
        <w:t>环境标志产品累计金额高的优先、</w:t>
      </w:r>
      <w:r>
        <w:rPr>
          <w:rFonts w:hint="eastAsia" w:ascii="宋体" w:hAnsi="宋体"/>
          <w:color w:val="auto"/>
          <w:highlight w:val="none"/>
        </w:rPr>
        <w:t>关键技术指标高优先、质量保证期长优先、</w:t>
      </w:r>
      <w:r>
        <w:rPr>
          <w:rFonts w:hint="eastAsia" w:ascii="宋体" w:hAnsi="宋体"/>
          <w:bCs/>
          <w:color w:val="auto"/>
          <w:highlight w:val="none"/>
        </w:rPr>
        <w:t>交货期</w:t>
      </w:r>
      <w:r>
        <w:rPr>
          <w:rFonts w:hint="eastAsia" w:ascii="宋体" w:hAnsi="宋体"/>
          <w:color w:val="auto"/>
          <w:highlight w:val="none"/>
        </w:rPr>
        <w:t>短优先、故障处理时间短优先的顺序排列</w:t>
      </w:r>
      <w:r>
        <w:rPr>
          <w:rFonts w:hint="eastAsia" w:ascii="宋体" w:hAnsi="宋体"/>
          <w:color w:val="auto"/>
          <w:szCs w:val="21"/>
          <w:highlight w:val="none"/>
        </w:rPr>
        <w:t>），并依照次序确定成交候选人。采购人应当确定谈判小组推荐排名第一的成交候选人为成交供应商。排名第一的成交候选人放弃成交、因不可抗力提出不能履行合同，或者采购文件规定应当提交履约保证金而在规定的期限内未能提交的，采购人可以确定排名第二的成交候选人为成交供应商。排名第二的成交候选人因前款规定的同样原因不能签订合同的，采购人可以确定排名第三的成交候选人为成交供应商，其余以此类推，</w:t>
      </w:r>
      <w:r>
        <w:rPr>
          <w:rFonts w:hint="eastAsia" w:ascii="宋体" w:hAnsi="宋体"/>
          <w:color w:val="auto"/>
          <w:highlight w:val="none"/>
          <w:shd w:val="clear" w:color="auto" w:fill="FFFFFF"/>
        </w:rPr>
        <w:t>也可以重新采购。</w:t>
      </w:r>
    </w:p>
    <w:p>
      <w:pPr>
        <w:spacing w:line="360" w:lineRule="exact"/>
        <w:ind w:firstLine="420" w:firstLineChars="200"/>
        <w:rPr>
          <w:rFonts w:ascii="宋体" w:hAnsi="宋体"/>
          <w:color w:val="auto"/>
          <w:szCs w:val="21"/>
          <w:highlight w:val="none"/>
          <w:shd w:val="clear" w:color="auto" w:fill="FFFFFF"/>
        </w:rPr>
      </w:pPr>
    </w:p>
    <w:sectPr>
      <w:pgSz w:w="11906" w:h="16838"/>
      <w:pgMar w:top="1134" w:right="1134" w:bottom="1134" w:left="1134" w:header="720" w:footer="720"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Adobe 黑体 Std R">
    <w:altName w:val="黑体"/>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Adobe 宋体 Std L">
    <w:altName w:val="宋体"/>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roman"/>
    <w:pitch w:val="default"/>
    <w:sig w:usb0="00000000" w:usb1="00000000" w:usb2="00000010" w:usb3="00000000" w:csb0="4002009F" w:csb1="DFD7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7"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EVFKGPTAQAApQMAAA4AAAAAAAAAAQAgAAAAHwEA&#10;AGRycy9lMm9Eb2MueG1sUEsFBgAAAAAGAAYAWQEAAGQ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0ABE3"/>
    <w:multiLevelType w:val="singleLevel"/>
    <w:tmpl w:val="A180ABE3"/>
    <w:lvl w:ilvl="0" w:tentative="0">
      <w:start w:val="1"/>
      <w:numFmt w:val="decimal"/>
      <w:suff w:val="nothing"/>
      <w:lvlText w:val="%1、"/>
      <w:lvlJc w:val="left"/>
    </w:lvl>
  </w:abstractNum>
  <w:abstractNum w:abstractNumId="1">
    <w:nsid w:val="C0041F46"/>
    <w:multiLevelType w:val="singleLevel"/>
    <w:tmpl w:val="C0041F46"/>
    <w:lvl w:ilvl="0" w:tentative="0">
      <w:start w:val="1"/>
      <w:numFmt w:val="decimal"/>
      <w:lvlText w:val="%1."/>
      <w:lvlJc w:val="left"/>
      <w:pPr>
        <w:tabs>
          <w:tab w:val="left" w:pos="312"/>
        </w:tabs>
      </w:pPr>
    </w:lvl>
  </w:abstractNum>
  <w:abstractNum w:abstractNumId="2">
    <w:nsid w:val="2ABA0442"/>
    <w:multiLevelType w:val="singleLevel"/>
    <w:tmpl w:val="2ABA0442"/>
    <w:lvl w:ilvl="0" w:tentative="0">
      <w:start w:val="1"/>
      <w:numFmt w:val="decimal"/>
      <w:suff w:val="nothing"/>
      <w:lvlText w:val="%1．"/>
      <w:lvlJc w:val="left"/>
      <w:pPr>
        <w:ind w:left="0" w:firstLine="400"/>
      </w:pPr>
      <w:rPr>
        <w:rFonts w:hint="default"/>
      </w:rPr>
    </w:lvl>
  </w:abstractNum>
  <w:abstractNum w:abstractNumId="3">
    <w:nsid w:val="7275812E"/>
    <w:multiLevelType w:val="singleLevel"/>
    <w:tmpl w:val="7275812E"/>
    <w:lvl w:ilvl="0" w:tentative="0">
      <w:start w:val="2"/>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MWJiYjEwMGIxMjk5NzM3NTM4Yjk4ZmYxMzYxYmEifQ=="/>
    <w:docVar w:name="KSO_WPS_MARK_KEY" w:val="3024b2f5-adbc-48bb-96c0-c1c61727ca46"/>
  </w:docVars>
  <w:rsids>
    <w:rsidRoot w:val="00172A27"/>
    <w:rsid w:val="00001C0C"/>
    <w:rsid w:val="00022670"/>
    <w:rsid w:val="0003723A"/>
    <w:rsid w:val="000512E4"/>
    <w:rsid w:val="000579D9"/>
    <w:rsid w:val="00063879"/>
    <w:rsid w:val="000741DF"/>
    <w:rsid w:val="0008502C"/>
    <w:rsid w:val="000900B2"/>
    <w:rsid w:val="000A6B6E"/>
    <w:rsid w:val="000A7867"/>
    <w:rsid w:val="000C1BB1"/>
    <w:rsid w:val="000C7BC5"/>
    <w:rsid w:val="000D478D"/>
    <w:rsid w:val="000F0B9A"/>
    <w:rsid w:val="00113126"/>
    <w:rsid w:val="0012327F"/>
    <w:rsid w:val="00126D8E"/>
    <w:rsid w:val="00144DC0"/>
    <w:rsid w:val="00156FB3"/>
    <w:rsid w:val="00160B97"/>
    <w:rsid w:val="00160F33"/>
    <w:rsid w:val="00165BA6"/>
    <w:rsid w:val="00166F27"/>
    <w:rsid w:val="00172A27"/>
    <w:rsid w:val="00177305"/>
    <w:rsid w:val="00192A8D"/>
    <w:rsid w:val="00193D21"/>
    <w:rsid w:val="001947B1"/>
    <w:rsid w:val="00195780"/>
    <w:rsid w:val="001B2C5D"/>
    <w:rsid w:val="001B43A9"/>
    <w:rsid w:val="001C6839"/>
    <w:rsid w:val="001C7C93"/>
    <w:rsid w:val="001D04F0"/>
    <w:rsid w:val="001D562D"/>
    <w:rsid w:val="001E7D79"/>
    <w:rsid w:val="001F0EA1"/>
    <w:rsid w:val="001F2F28"/>
    <w:rsid w:val="00210E1A"/>
    <w:rsid w:val="002156C1"/>
    <w:rsid w:val="002235C2"/>
    <w:rsid w:val="00236732"/>
    <w:rsid w:val="00270805"/>
    <w:rsid w:val="00283B01"/>
    <w:rsid w:val="002911B3"/>
    <w:rsid w:val="0029128D"/>
    <w:rsid w:val="00296208"/>
    <w:rsid w:val="002B06BB"/>
    <w:rsid w:val="002B5F22"/>
    <w:rsid w:val="002C255D"/>
    <w:rsid w:val="002C6529"/>
    <w:rsid w:val="002C7E7D"/>
    <w:rsid w:val="002E2198"/>
    <w:rsid w:val="002E23B9"/>
    <w:rsid w:val="002E29E9"/>
    <w:rsid w:val="002E6188"/>
    <w:rsid w:val="002F4880"/>
    <w:rsid w:val="002F5B70"/>
    <w:rsid w:val="003002EA"/>
    <w:rsid w:val="00307A4F"/>
    <w:rsid w:val="00327617"/>
    <w:rsid w:val="00334998"/>
    <w:rsid w:val="00336EEC"/>
    <w:rsid w:val="00340E75"/>
    <w:rsid w:val="00362A48"/>
    <w:rsid w:val="00375B6D"/>
    <w:rsid w:val="00377EFF"/>
    <w:rsid w:val="00380190"/>
    <w:rsid w:val="003A2BC3"/>
    <w:rsid w:val="003A37F2"/>
    <w:rsid w:val="003B18F8"/>
    <w:rsid w:val="003C712A"/>
    <w:rsid w:val="003D71E0"/>
    <w:rsid w:val="003E71C7"/>
    <w:rsid w:val="003F1C83"/>
    <w:rsid w:val="00406C00"/>
    <w:rsid w:val="00414E67"/>
    <w:rsid w:val="004222E9"/>
    <w:rsid w:val="004236D1"/>
    <w:rsid w:val="00432E43"/>
    <w:rsid w:val="00442028"/>
    <w:rsid w:val="00446764"/>
    <w:rsid w:val="00454E17"/>
    <w:rsid w:val="00457E40"/>
    <w:rsid w:val="00461D08"/>
    <w:rsid w:val="00472C27"/>
    <w:rsid w:val="00477342"/>
    <w:rsid w:val="00493323"/>
    <w:rsid w:val="00494386"/>
    <w:rsid w:val="004A0D7C"/>
    <w:rsid w:val="004C6EEC"/>
    <w:rsid w:val="004E5336"/>
    <w:rsid w:val="004F189C"/>
    <w:rsid w:val="005018AC"/>
    <w:rsid w:val="005105C9"/>
    <w:rsid w:val="00517943"/>
    <w:rsid w:val="00520816"/>
    <w:rsid w:val="00530320"/>
    <w:rsid w:val="0053623D"/>
    <w:rsid w:val="005473FC"/>
    <w:rsid w:val="005562A6"/>
    <w:rsid w:val="0056345E"/>
    <w:rsid w:val="005643F6"/>
    <w:rsid w:val="00566174"/>
    <w:rsid w:val="00572A98"/>
    <w:rsid w:val="00597966"/>
    <w:rsid w:val="00597BA6"/>
    <w:rsid w:val="005A1200"/>
    <w:rsid w:val="005A75F8"/>
    <w:rsid w:val="005B0DE9"/>
    <w:rsid w:val="005C10AE"/>
    <w:rsid w:val="005C5733"/>
    <w:rsid w:val="005F2CA3"/>
    <w:rsid w:val="005F56E9"/>
    <w:rsid w:val="005F7846"/>
    <w:rsid w:val="006003AB"/>
    <w:rsid w:val="006034C8"/>
    <w:rsid w:val="00605A47"/>
    <w:rsid w:val="0061087F"/>
    <w:rsid w:val="00615763"/>
    <w:rsid w:val="0062680C"/>
    <w:rsid w:val="00630A98"/>
    <w:rsid w:val="00635D9F"/>
    <w:rsid w:val="006428BD"/>
    <w:rsid w:val="006603D9"/>
    <w:rsid w:val="0067194D"/>
    <w:rsid w:val="006742B9"/>
    <w:rsid w:val="006744F1"/>
    <w:rsid w:val="00677CE1"/>
    <w:rsid w:val="00682163"/>
    <w:rsid w:val="00683774"/>
    <w:rsid w:val="006A277C"/>
    <w:rsid w:val="006B5B08"/>
    <w:rsid w:val="006C28F1"/>
    <w:rsid w:val="006C300A"/>
    <w:rsid w:val="006C71B4"/>
    <w:rsid w:val="006D3F4B"/>
    <w:rsid w:val="006D40C0"/>
    <w:rsid w:val="006D7D67"/>
    <w:rsid w:val="006E3F62"/>
    <w:rsid w:val="006F3406"/>
    <w:rsid w:val="006F491C"/>
    <w:rsid w:val="006F5EB8"/>
    <w:rsid w:val="006F77C0"/>
    <w:rsid w:val="007264C9"/>
    <w:rsid w:val="00726A1D"/>
    <w:rsid w:val="007272E3"/>
    <w:rsid w:val="00731013"/>
    <w:rsid w:val="007432DC"/>
    <w:rsid w:val="00755CD8"/>
    <w:rsid w:val="007576E0"/>
    <w:rsid w:val="00757FBD"/>
    <w:rsid w:val="00763650"/>
    <w:rsid w:val="007670B5"/>
    <w:rsid w:val="0077135E"/>
    <w:rsid w:val="0077336D"/>
    <w:rsid w:val="0077621B"/>
    <w:rsid w:val="00785449"/>
    <w:rsid w:val="00790913"/>
    <w:rsid w:val="007928E5"/>
    <w:rsid w:val="00797F2C"/>
    <w:rsid w:val="007A2FDF"/>
    <w:rsid w:val="007B229A"/>
    <w:rsid w:val="007C36A6"/>
    <w:rsid w:val="007E3289"/>
    <w:rsid w:val="007E6E69"/>
    <w:rsid w:val="007F3DE5"/>
    <w:rsid w:val="007F42B8"/>
    <w:rsid w:val="008101C0"/>
    <w:rsid w:val="00815AA1"/>
    <w:rsid w:val="00816209"/>
    <w:rsid w:val="00817F98"/>
    <w:rsid w:val="00820504"/>
    <w:rsid w:val="008231EA"/>
    <w:rsid w:val="008301B0"/>
    <w:rsid w:val="0083507D"/>
    <w:rsid w:val="008376B9"/>
    <w:rsid w:val="008537F2"/>
    <w:rsid w:val="00856ABE"/>
    <w:rsid w:val="00862FD0"/>
    <w:rsid w:val="00874355"/>
    <w:rsid w:val="00876E5D"/>
    <w:rsid w:val="00887C9B"/>
    <w:rsid w:val="008A6763"/>
    <w:rsid w:val="008C2FB0"/>
    <w:rsid w:val="008D0C70"/>
    <w:rsid w:val="008F0F4B"/>
    <w:rsid w:val="009017EC"/>
    <w:rsid w:val="00906BBB"/>
    <w:rsid w:val="00913CF6"/>
    <w:rsid w:val="00934FA9"/>
    <w:rsid w:val="00940297"/>
    <w:rsid w:val="00955881"/>
    <w:rsid w:val="009771DC"/>
    <w:rsid w:val="009778FC"/>
    <w:rsid w:val="00977D24"/>
    <w:rsid w:val="00977F5F"/>
    <w:rsid w:val="00987B92"/>
    <w:rsid w:val="00995889"/>
    <w:rsid w:val="0099644D"/>
    <w:rsid w:val="009A0D52"/>
    <w:rsid w:val="009B099B"/>
    <w:rsid w:val="00A03703"/>
    <w:rsid w:val="00A10763"/>
    <w:rsid w:val="00A16749"/>
    <w:rsid w:val="00A1794C"/>
    <w:rsid w:val="00A23A05"/>
    <w:rsid w:val="00A27EBA"/>
    <w:rsid w:val="00A41C89"/>
    <w:rsid w:val="00A541AD"/>
    <w:rsid w:val="00A625CC"/>
    <w:rsid w:val="00A66F5C"/>
    <w:rsid w:val="00A70A0D"/>
    <w:rsid w:val="00A70C5B"/>
    <w:rsid w:val="00A712FE"/>
    <w:rsid w:val="00A74E21"/>
    <w:rsid w:val="00A75BAB"/>
    <w:rsid w:val="00A76AB7"/>
    <w:rsid w:val="00A834D0"/>
    <w:rsid w:val="00A85609"/>
    <w:rsid w:val="00AB40E4"/>
    <w:rsid w:val="00AB55B0"/>
    <w:rsid w:val="00AB5AA9"/>
    <w:rsid w:val="00AC34AB"/>
    <w:rsid w:val="00AC58B3"/>
    <w:rsid w:val="00AD6E5E"/>
    <w:rsid w:val="00AF74BD"/>
    <w:rsid w:val="00B04BC2"/>
    <w:rsid w:val="00B12293"/>
    <w:rsid w:val="00B15CA9"/>
    <w:rsid w:val="00B22C81"/>
    <w:rsid w:val="00B311CF"/>
    <w:rsid w:val="00B35486"/>
    <w:rsid w:val="00B53D0E"/>
    <w:rsid w:val="00B665D8"/>
    <w:rsid w:val="00B73B5C"/>
    <w:rsid w:val="00B874D5"/>
    <w:rsid w:val="00B92DBF"/>
    <w:rsid w:val="00B95A97"/>
    <w:rsid w:val="00BA5BB5"/>
    <w:rsid w:val="00BC549C"/>
    <w:rsid w:val="00BD3AD1"/>
    <w:rsid w:val="00BD717D"/>
    <w:rsid w:val="00BE06A8"/>
    <w:rsid w:val="00BF3D4B"/>
    <w:rsid w:val="00BF5F04"/>
    <w:rsid w:val="00C0438A"/>
    <w:rsid w:val="00C05D51"/>
    <w:rsid w:val="00C127F1"/>
    <w:rsid w:val="00C23820"/>
    <w:rsid w:val="00C24C44"/>
    <w:rsid w:val="00C2631C"/>
    <w:rsid w:val="00C530BA"/>
    <w:rsid w:val="00C65495"/>
    <w:rsid w:val="00C93837"/>
    <w:rsid w:val="00C96D14"/>
    <w:rsid w:val="00CB0307"/>
    <w:rsid w:val="00CD276A"/>
    <w:rsid w:val="00CD3A63"/>
    <w:rsid w:val="00CF0F30"/>
    <w:rsid w:val="00CF65DA"/>
    <w:rsid w:val="00D07CC5"/>
    <w:rsid w:val="00D11898"/>
    <w:rsid w:val="00D13247"/>
    <w:rsid w:val="00D16B34"/>
    <w:rsid w:val="00D25071"/>
    <w:rsid w:val="00D27B60"/>
    <w:rsid w:val="00D478FC"/>
    <w:rsid w:val="00D60994"/>
    <w:rsid w:val="00D61FC6"/>
    <w:rsid w:val="00D66E62"/>
    <w:rsid w:val="00D71CCC"/>
    <w:rsid w:val="00D809EE"/>
    <w:rsid w:val="00D8539F"/>
    <w:rsid w:val="00DA0582"/>
    <w:rsid w:val="00DA32F1"/>
    <w:rsid w:val="00DB23C2"/>
    <w:rsid w:val="00DB6FB3"/>
    <w:rsid w:val="00DF4501"/>
    <w:rsid w:val="00E11B96"/>
    <w:rsid w:val="00E203F8"/>
    <w:rsid w:val="00E3530B"/>
    <w:rsid w:val="00E62857"/>
    <w:rsid w:val="00E66EAC"/>
    <w:rsid w:val="00E72C31"/>
    <w:rsid w:val="00E7552F"/>
    <w:rsid w:val="00E75BF2"/>
    <w:rsid w:val="00E87933"/>
    <w:rsid w:val="00E92733"/>
    <w:rsid w:val="00E94725"/>
    <w:rsid w:val="00EC5CF3"/>
    <w:rsid w:val="00EC6C06"/>
    <w:rsid w:val="00EC7FC7"/>
    <w:rsid w:val="00ED08E5"/>
    <w:rsid w:val="00EE04E7"/>
    <w:rsid w:val="00EF3BC8"/>
    <w:rsid w:val="00F1477F"/>
    <w:rsid w:val="00F14B41"/>
    <w:rsid w:val="00F25B7F"/>
    <w:rsid w:val="00F35134"/>
    <w:rsid w:val="00F4054C"/>
    <w:rsid w:val="00F407FA"/>
    <w:rsid w:val="00F51925"/>
    <w:rsid w:val="00F533D4"/>
    <w:rsid w:val="00F66603"/>
    <w:rsid w:val="00F73F80"/>
    <w:rsid w:val="00F86A39"/>
    <w:rsid w:val="00F87998"/>
    <w:rsid w:val="00F92855"/>
    <w:rsid w:val="00F93296"/>
    <w:rsid w:val="00FA2A7C"/>
    <w:rsid w:val="00FA3168"/>
    <w:rsid w:val="00FB39C9"/>
    <w:rsid w:val="00FC2E4E"/>
    <w:rsid w:val="00FD2274"/>
    <w:rsid w:val="00FE19DD"/>
    <w:rsid w:val="01BC4E02"/>
    <w:rsid w:val="04C6277F"/>
    <w:rsid w:val="054A57DE"/>
    <w:rsid w:val="0895522E"/>
    <w:rsid w:val="094E71DE"/>
    <w:rsid w:val="0A003469"/>
    <w:rsid w:val="0A4C04BA"/>
    <w:rsid w:val="0A887EA1"/>
    <w:rsid w:val="0AAB138C"/>
    <w:rsid w:val="0BD87893"/>
    <w:rsid w:val="0CC44985"/>
    <w:rsid w:val="0CE20369"/>
    <w:rsid w:val="0D037E32"/>
    <w:rsid w:val="0D43158B"/>
    <w:rsid w:val="0D963A2A"/>
    <w:rsid w:val="0DCB6EE9"/>
    <w:rsid w:val="0DDD6D83"/>
    <w:rsid w:val="0E4B7C02"/>
    <w:rsid w:val="0F285631"/>
    <w:rsid w:val="10182972"/>
    <w:rsid w:val="10307B2A"/>
    <w:rsid w:val="10D206F5"/>
    <w:rsid w:val="1149155F"/>
    <w:rsid w:val="11F37062"/>
    <w:rsid w:val="129844CF"/>
    <w:rsid w:val="12CD7662"/>
    <w:rsid w:val="138F019A"/>
    <w:rsid w:val="155D0ED5"/>
    <w:rsid w:val="15BD1974"/>
    <w:rsid w:val="163A7FE7"/>
    <w:rsid w:val="17D80CCE"/>
    <w:rsid w:val="17E94D8E"/>
    <w:rsid w:val="19656357"/>
    <w:rsid w:val="1990554E"/>
    <w:rsid w:val="19A215AC"/>
    <w:rsid w:val="1A741A14"/>
    <w:rsid w:val="1AA42ED1"/>
    <w:rsid w:val="1BD25A4D"/>
    <w:rsid w:val="1C856F63"/>
    <w:rsid w:val="1CD570F7"/>
    <w:rsid w:val="1CD9665B"/>
    <w:rsid w:val="1D04380A"/>
    <w:rsid w:val="1D487DAF"/>
    <w:rsid w:val="1D540E0F"/>
    <w:rsid w:val="1DF40687"/>
    <w:rsid w:val="1DFF0F95"/>
    <w:rsid w:val="1F5A3791"/>
    <w:rsid w:val="1F795C9E"/>
    <w:rsid w:val="1FE47C93"/>
    <w:rsid w:val="206C46C2"/>
    <w:rsid w:val="208C406B"/>
    <w:rsid w:val="20DA4450"/>
    <w:rsid w:val="20F92EC0"/>
    <w:rsid w:val="21D56297"/>
    <w:rsid w:val="22192C67"/>
    <w:rsid w:val="22902419"/>
    <w:rsid w:val="233848B8"/>
    <w:rsid w:val="23D5432C"/>
    <w:rsid w:val="24A36DFA"/>
    <w:rsid w:val="24D34063"/>
    <w:rsid w:val="26306192"/>
    <w:rsid w:val="263A0DBE"/>
    <w:rsid w:val="26F16CF3"/>
    <w:rsid w:val="2716614F"/>
    <w:rsid w:val="27A83C81"/>
    <w:rsid w:val="27B364AA"/>
    <w:rsid w:val="27E1675B"/>
    <w:rsid w:val="27EC1E48"/>
    <w:rsid w:val="283F26BC"/>
    <w:rsid w:val="28B1280D"/>
    <w:rsid w:val="292C33BF"/>
    <w:rsid w:val="29E11C7D"/>
    <w:rsid w:val="2A377AEF"/>
    <w:rsid w:val="2A3C3080"/>
    <w:rsid w:val="2ADB491E"/>
    <w:rsid w:val="2ADC41F2"/>
    <w:rsid w:val="2B2362C5"/>
    <w:rsid w:val="2B343AE4"/>
    <w:rsid w:val="2B6947C0"/>
    <w:rsid w:val="2BE85CB0"/>
    <w:rsid w:val="2BFA1E04"/>
    <w:rsid w:val="2BFC1690"/>
    <w:rsid w:val="2C990E78"/>
    <w:rsid w:val="2CBC367D"/>
    <w:rsid w:val="2D4F0A9A"/>
    <w:rsid w:val="2D603E90"/>
    <w:rsid w:val="306747DB"/>
    <w:rsid w:val="30B96E22"/>
    <w:rsid w:val="314C7616"/>
    <w:rsid w:val="3205221E"/>
    <w:rsid w:val="323B2146"/>
    <w:rsid w:val="325D1ABD"/>
    <w:rsid w:val="32A970B0"/>
    <w:rsid w:val="344258C0"/>
    <w:rsid w:val="34CC740B"/>
    <w:rsid w:val="35325511"/>
    <w:rsid w:val="359B4383"/>
    <w:rsid w:val="36886966"/>
    <w:rsid w:val="37115BB5"/>
    <w:rsid w:val="374E0226"/>
    <w:rsid w:val="377D3CC7"/>
    <w:rsid w:val="385A2DE0"/>
    <w:rsid w:val="38D36DBE"/>
    <w:rsid w:val="393521E9"/>
    <w:rsid w:val="3A1741DD"/>
    <w:rsid w:val="3BB33AD1"/>
    <w:rsid w:val="3CB925E5"/>
    <w:rsid w:val="3CDF21A9"/>
    <w:rsid w:val="3E6B3DB3"/>
    <w:rsid w:val="3E8105A3"/>
    <w:rsid w:val="3EAF2DBD"/>
    <w:rsid w:val="3EF959A7"/>
    <w:rsid w:val="40947657"/>
    <w:rsid w:val="415128B5"/>
    <w:rsid w:val="41636F96"/>
    <w:rsid w:val="41DF489C"/>
    <w:rsid w:val="4229548A"/>
    <w:rsid w:val="42817188"/>
    <w:rsid w:val="42864D18"/>
    <w:rsid w:val="42B0108D"/>
    <w:rsid w:val="430E0E56"/>
    <w:rsid w:val="43EE0EEB"/>
    <w:rsid w:val="43EE526A"/>
    <w:rsid w:val="44F24093"/>
    <w:rsid w:val="45CE5264"/>
    <w:rsid w:val="465D0485"/>
    <w:rsid w:val="48076156"/>
    <w:rsid w:val="4823219D"/>
    <w:rsid w:val="499852D0"/>
    <w:rsid w:val="4A527C06"/>
    <w:rsid w:val="4A9B77CE"/>
    <w:rsid w:val="4AE253FD"/>
    <w:rsid w:val="4B216F3F"/>
    <w:rsid w:val="4B80307C"/>
    <w:rsid w:val="4BB70679"/>
    <w:rsid w:val="4BC00705"/>
    <w:rsid w:val="4C3052CD"/>
    <w:rsid w:val="4C5F6FBD"/>
    <w:rsid w:val="4D743F23"/>
    <w:rsid w:val="4DAA2314"/>
    <w:rsid w:val="4E8C5DAC"/>
    <w:rsid w:val="4F0B72EA"/>
    <w:rsid w:val="4F2965AA"/>
    <w:rsid w:val="4F5240C6"/>
    <w:rsid w:val="4FB0717E"/>
    <w:rsid w:val="50504BB7"/>
    <w:rsid w:val="50FB2D75"/>
    <w:rsid w:val="513424C7"/>
    <w:rsid w:val="51823496"/>
    <w:rsid w:val="51912641"/>
    <w:rsid w:val="5266163F"/>
    <w:rsid w:val="52B52187"/>
    <w:rsid w:val="52E67B99"/>
    <w:rsid w:val="52F1442F"/>
    <w:rsid w:val="5302488E"/>
    <w:rsid w:val="531E5B66"/>
    <w:rsid w:val="53AB0A82"/>
    <w:rsid w:val="53CD194D"/>
    <w:rsid w:val="53D747AB"/>
    <w:rsid w:val="545729B8"/>
    <w:rsid w:val="54B27BEE"/>
    <w:rsid w:val="562724C3"/>
    <w:rsid w:val="56BB0D2A"/>
    <w:rsid w:val="572B4EFC"/>
    <w:rsid w:val="59030A64"/>
    <w:rsid w:val="59A843A8"/>
    <w:rsid w:val="5A0272FA"/>
    <w:rsid w:val="5B790501"/>
    <w:rsid w:val="5B931EE7"/>
    <w:rsid w:val="5BCA630A"/>
    <w:rsid w:val="5C78171D"/>
    <w:rsid w:val="5D3A4FFF"/>
    <w:rsid w:val="5E5E170D"/>
    <w:rsid w:val="5E780936"/>
    <w:rsid w:val="5E9443E0"/>
    <w:rsid w:val="5F2A3060"/>
    <w:rsid w:val="5F976A98"/>
    <w:rsid w:val="609035D2"/>
    <w:rsid w:val="60C969EB"/>
    <w:rsid w:val="616466CE"/>
    <w:rsid w:val="61682B46"/>
    <w:rsid w:val="619E084C"/>
    <w:rsid w:val="637E418A"/>
    <w:rsid w:val="64041AE8"/>
    <w:rsid w:val="646B7DB9"/>
    <w:rsid w:val="64D50816"/>
    <w:rsid w:val="664E0674"/>
    <w:rsid w:val="68693416"/>
    <w:rsid w:val="68893CF7"/>
    <w:rsid w:val="693370F8"/>
    <w:rsid w:val="69801C11"/>
    <w:rsid w:val="699A724E"/>
    <w:rsid w:val="6AB2229E"/>
    <w:rsid w:val="6AD62431"/>
    <w:rsid w:val="6B5E41D4"/>
    <w:rsid w:val="6C0062C3"/>
    <w:rsid w:val="6E00504A"/>
    <w:rsid w:val="6EA63EC8"/>
    <w:rsid w:val="6ED72201"/>
    <w:rsid w:val="6F1352D6"/>
    <w:rsid w:val="70123F1D"/>
    <w:rsid w:val="70C1740A"/>
    <w:rsid w:val="71554DCC"/>
    <w:rsid w:val="715F4A1C"/>
    <w:rsid w:val="71922761"/>
    <w:rsid w:val="72F571CC"/>
    <w:rsid w:val="7372081D"/>
    <w:rsid w:val="73AE6E29"/>
    <w:rsid w:val="73BE0F24"/>
    <w:rsid w:val="73EA30DE"/>
    <w:rsid w:val="74421938"/>
    <w:rsid w:val="749B20E4"/>
    <w:rsid w:val="74A13A9D"/>
    <w:rsid w:val="74A878F0"/>
    <w:rsid w:val="75237C6F"/>
    <w:rsid w:val="75ED4AD2"/>
    <w:rsid w:val="75FA017F"/>
    <w:rsid w:val="76BE5591"/>
    <w:rsid w:val="76E75CCC"/>
    <w:rsid w:val="76EE5236"/>
    <w:rsid w:val="77760FBF"/>
    <w:rsid w:val="777D1F3B"/>
    <w:rsid w:val="783764D9"/>
    <w:rsid w:val="784A620C"/>
    <w:rsid w:val="787F42CC"/>
    <w:rsid w:val="78D2353D"/>
    <w:rsid w:val="792A3948"/>
    <w:rsid w:val="79634226"/>
    <w:rsid w:val="79D264B9"/>
    <w:rsid w:val="7A146AD1"/>
    <w:rsid w:val="7A3F09C1"/>
    <w:rsid w:val="7B314B5C"/>
    <w:rsid w:val="7B576EA1"/>
    <w:rsid w:val="7B7A2964"/>
    <w:rsid w:val="7C0148BF"/>
    <w:rsid w:val="7CA37C99"/>
    <w:rsid w:val="7D1D6F2F"/>
    <w:rsid w:val="7ED3091C"/>
    <w:rsid w:val="7F7C1077"/>
    <w:rsid w:val="EFF7944A"/>
    <w:rsid w:val="FEF77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qFormat="1" w:unhideWhenUsed="0" w:uiPriority="0" w:name="toc 8"/>
    <w:lsdException w:uiPriority="39"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99" w:semiHidden="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
    <w:autoRedefine/>
    <w:qFormat/>
    <w:uiPriority w:val="0"/>
    <w:pPr>
      <w:keepNext/>
      <w:jc w:val="center"/>
      <w:outlineLvl w:val="0"/>
    </w:pPr>
    <w:rPr>
      <w:b/>
      <w:bCs/>
      <w:sz w:val="32"/>
    </w:rPr>
  </w:style>
  <w:style w:type="paragraph" w:styleId="4">
    <w:name w:val="heading 2"/>
    <w:basedOn w:val="1"/>
    <w:next w:val="1"/>
    <w:link w:val="83"/>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qFormat/>
    <w:uiPriority w:val="99"/>
    <w:pPr>
      <w:keepNext/>
      <w:keepLines/>
      <w:spacing w:line="360" w:lineRule="auto"/>
      <w:outlineLvl w:val="2"/>
    </w:pPr>
    <w:rPr>
      <w:rFonts w:eastAsia="黑体"/>
      <w:b/>
      <w:bCs/>
      <w:sz w:val="32"/>
      <w:szCs w:val="32"/>
      <w:lang w:val="zh-CN"/>
    </w:rPr>
  </w:style>
  <w:style w:type="paragraph" w:styleId="6">
    <w:name w:val="heading 4"/>
    <w:basedOn w:val="1"/>
    <w:next w:val="1"/>
    <w:link w:val="52"/>
    <w:qFormat/>
    <w:uiPriority w:val="0"/>
    <w:pPr>
      <w:keepNext/>
      <w:keepLines/>
      <w:spacing w:before="280" w:after="290" w:line="376" w:lineRule="auto"/>
      <w:outlineLvl w:val="3"/>
    </w:pPr>
    <w:rPr>
      <w:rFonts w:ascii="宋体" w:hAnsi="Arial" w:eastAsia="黑体"/>
      <w:b/>
      <w:kern w:val="0"/>
      <w:sz w:val="24"/>
      <w:szCs w:val="20"/>
    </w:rPr>
  </w:style>
  <w:style w:type="paragraph" w:styleId="7">
    <w:name w:val="heading 5"/>
    <w:basedOn w:val="1"/>
    <w:next w:val="8"/>
    <w:link w:val="80"/>
    <w:qFormat/>
    <w:uiPriority w:val="0"/>
    <w:pPr>
      <w:keepNext/>
      <w:keepLines/>
      <w:spacing w:before="280" w:after="290" w:line="376" w:lineRule="auto"/>
      <w:outlineLvl w:val="4"/>
    </w:pPr>
    <w:rPr>
      <w:b/>
      <w:kern w:val="0"/>
      <w:sz w:val="28"/>
      <w:szCs w:val="20"/>
    </w:rPr>
  </w:style>
  <w:style w:type="paragraph" w:styleId="9">
    <w:name w:val="heading 6"/>
    <w:basedOn w:val="1"/>
    <w:next w:val="1"/>
    <w:link w:val="50"/>
    <w:autoRedefine/>
    <w:qFormat/>
    <w:uiPriority w:val="0"/>
    <w:pPr>
      <w:keepNext/>
      <w:keepLines/>
      <w:spacing w:before="240" w:after="64" w:line="320" w:lineRule="auto"/>
      <w:outlineLvl w:val="5"/>
    </w:pPr>
    <w:rPr>
      <w:rFonts w:ascii="Arial" w:hAnsi="Arial" w:eastAsia="黑体"/>
      <w:b/>
      <w:kern w:val="0"/>
      <w:sz w:val="24"/>
      <w:szCs w:val="20"/>
    </w:rPr>
  </w:style>
  <w:style w:type="paragraph" w:styleId="10">
    <w:name w:val="heading 7"/>
    <w:basedOn w:val="1"/>
    <w:next w:val="8"/>
    <w:link w:val="66"/>
    <w:qFormat/>
    <w:uiPriority w:val="0"/>
    <w:pPr>
      <w:keepNext/>
      <w:keepLines/>
      <w:spacing w:before="240" w:after="64" w:line="320" w:lineRule="auto"/>
      <w:outlineLvl w:val="6"/>
    </w:pPr>
    <w:rPr>
      <w:b/>
      <w:kern w:val="0"/>
      <w:sz w:val="24"/>
      <w:szCs w:val="20"/>
    </w:rPr>
  </w:style>
  <w:style w:type="paragraph" w:styleId="11">
    <w:name w:val="heading 8"/>
    <w:basedOn w:val="1"/>
    <w:next w:val="8"/>
    <w:link w:val="57"/>
    <w:autoRedefine/>
    <w:qFormat/>
    <w:uiPriority w:val="0"/>
    <w:pPr>
      <w:keepNext/>
      <w:keepLines/>
      <w:spacing w:before="240" w:after="64" w:line="320" w:lineRule="auto"/>
      <w:outlineLvl w:val="7"/>
    </w:pPr>
    <w:rPr>
      <w:rFonts w:ascii="Arial" w:hAnsi="Arial" w:eastAsia="黑体"/>
      <w:kern w:val="0"/>
      <w:sz w:val="24"/>
      <w:szCs w:val="20"/>
    </w:rPr>
  </w:style>
  <w:style w:type="paragraph" w:styleId="12">
    <w:name w:val="heading 9"/>
    <w:basedOn w:val="1"/>
    <w:next w:val="8"/>
    <w:link w:val="84"/>
    <w:autoRedefine/>
    <w:qFormat/>
    <w:uiPriority w:val="0"/>
    <w:pPr>
      <w:keepNext/>
      <w:keepLines/>
      <w:spacing w:before="240" w:after="64" w:line="320" w:lineRule="auto"/>
      <w:outlineLvl w:val="8"/>
    </w:pPr>
    <w:rPr>
      <w:rFonts w:ascii="Arial" w:hAnsi="Arial" w:eastAsia="黑体"/>
      <w:kern w:val="0"/>
      <w:sz w:val="20"/>
      <w:szCs w:val="20"/>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70"/>
    <w:autoRedefine/>
    <w:qFormat/>
    <w:uiPriority w:val="0"/>
    <w:pPr>
      <w:autoSpaceDE w:val="0"/>
      <w:autoSpaceDN w:val="0"/>
      <w:adjustRightInd w:val="0"/>
      <w:spacing w:after="120"/>
      <w:jc w:val="left"/>
    </w:pPr>
    <w:rPr>
      <w:rFonts w:ascii="宋体"/>
      <w:kern w:val="0"/>
      <w:sz w:val="34"/>
      <w:szCs w:val="20"/>
    </w:rPr>
  </w:style>
  <w:style w:type="paragraph" w:styleId="8">
    <w:name w:val="Normal Indent"/>
    <w:basedOn w:val="1"/>
    <w:link w:val="85"/>
    <w:qFormat/>
    <w:uiPriority w:val="0"/>
    <w:pPr>
      <w:ind w:firstLine="420"/>
    </w:pPr>
    <w:rPr>
      <w:kern w:val="0"/>
      <w:sz w:val="20"/>
      <w:szCs w:val="20"/>
    </w:rPr>
  </w:style>
  <w:style w:type="paragraph" w:styleId="13">
    <w:name w:val="caption"/>
    <w:basedOn w:val="1"/>
    <w:next w:val="1"/>
    <w:semiHidden/>
    <w:unhideWhenUsed/>
    <w:qFormat/>
    <w:uiPriority w:val="0"/>
    <w:pPr>
      <w:spacing w:before="152" w:after="160"/>
    </w:pPr>
    <w:rPr>
      <w:rFonts w:ascii="Arial" w:hAnsi="Arial" w:eastAsia="黑体" w:cs="Arial"/>
      <w:sz w:val="20"/>
      <w:szCs w:val="20"/>
    </w:rPr>
  </w:style>
  <w:style w:type="paragraph" w:styleId="14">
    <w:name w:val="Document Map"/>
    <w:basedOn w:val="1"/>
    <w:link w:val="77"/>
    <w:autoRedefine/>
    <w:semiHidden/>
    <w:qFormat/>
    <w:uiPriority w:val="0"/>
    <w:pPr>
      <w:shd w:val="clear" w:color="auto" w:fill="000080"/>
    </w:pPr>
    <w:rPr>
      <w:kern w:val="0"/>
      <w:sz w:val="20"/>
    </w:rPr>
  </w:style>
  <w:style w:type="paragraph" w:styleId="15">
    <w:name w:val="annotation text"/>
    <w:basedOn w:val="1"/>
    <w:link w:val="56"/>
    <w:autoRedefine/>
    <w:unhideWhenUsed/>
    <w:qFormat/>
    <w:uiPriority w:val="0"/>
    <w:pPr>
      <w:jc w:val="left"/>
    </w:pPr>
  </w:style>
  <w:style w:type="paragraph" w:styleId="16">
    <w:name w:val="Body Text 3"/>
    <w:basedOn w:val="1"/>
    <w:link w:val="118"/>
    <w:autoRedefine/>
    <w:unhideWhenUsed/>
    <w:qFormat/>
    <w:uiPriority w:val="0"/>
    <w:pPr>
      <w:spacing w:after="120"/>
    </w:pPr>
    <w:rPr>
      <w:sz w:val="16"/>
      <w:szCs w:val="16"/>
    </w:rPr>
  </w:style>
  <w:style w:type="paragraph" w:styleId="17">
    <w:name w:val="Body Text Indent"/>
    <w:basedOn w:val="1"/>
    <w:link w:val="75"/>
    <w:autoRedefine/>
    <w:qFormat/>
    <w:uiPriority w:val="0"/>
    <w:pPr>
      <w:spacing w:line="200" w:lineRule="exact"/>
      <w:ind w:firstLine="301"/>
    </w:pPr>
    <w:rPr>
      <w:rFonts w:ascii="宋体" w:hAnsi="Courier New"/>
      <w:spacing w:val="-4"/>
      <w:kern w:val="0"/>
      <w:sz w:val="18"/>
      <w:szCs w:val="20"/>
    </w:rPr>
  </w:style>
  <w:style w:type="paragraph" w:styleId="18">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19">
    <w:name w:val="Plain Text"/>
    <w:basedOn w:val="1"/>
    <w:next w:val="1"/>
    <w:link w:val="65"/>
    <w:autoRedefine/>
    <w:qFormat/>
    <w:uiPriority w:val="0"/>
    <w:rPr>
      <w:rFonts w:ascii="宋体" w:hAnsi="Courier New"/>
      <w:kern w:val="0"/>
      <w:sz w:val="20"/>
      <w:szCs w:val="20"/>
    </w:rPr>
  </w:style>
  <w:style w:type="paragraph" w:styleId="20">
    <w:name w:val="toc 8"/>
    <w:basedOn w:val="1"/>
    <w:next w:val="1"/>
    <w:autoRedefine/>
    <w:semiHidden/>
    <w:qFormat/>
    <w:uiPriority w:val="0"/>
    <w:pPr>
      <w:tabs>
        <w:tab w:val="left" w:pos="358"/>
      </w:tabs>
      <w:ind w:left="2940" w:leftChars="1400"/>
    </w:pPr>
  </w:style>
  <w:style w:type="paragraph" w:styleId="21">
    <w:name w:val="Date"/>
    <w:basedOn w:val="1"/>
    <w:next w:val="1"/>
    <w:link w:val="63"/>
    <w:autoRedefine/>
    <w:qFormat/>
    <w:uiPriority w:val="0"/>
    <w:pPr>
      <w:ind w:left="100" w:leftChars="2500"/>
    </w:pPr>
    <w:rPr>
      <w:spacing w:val="30"/>
      <w:kern w:val="0"/>
      <w:sz w:val="28"/>
    </w:rPr>
  </w:style>
  <w:style w:type="paragraph" w:styleId="22">
    <w:name w:val="Body Text Indent 2"/>
    <w:basedOn w:val="1"/>
    <w:link w:val="62"/>
    <w:autoRedefine/>
    <w:qFormat/>
    <w:uiPriority w:val="0"/>
    <w:pPr>
      <w:spacing w:line="400" w:lineRule="exact"/>
      <w:ind w:firstLine="480"/>
    </w:pPr>
    <w:rPr>
      <w:kern w:val="0"/>
      <w:sz w:val="20"/>
    </w:rPr>
  </w:style>
  <w:style w:type="paragraph" w:styleId="23">
    <w:name w:val="Balloon Text"/>
    <w:basedOn w:val="1"/>
    <w:link w:val="68"/>
    <w:autoRedefine/>
    <w:semiHidden/>
    <w:qFormat/>
    <w:uiPriority w:val="0"/>
    <w:rPr>
      <w:kern w:val="0"/>
      <w:sz w:val="18"/>
      <w:szCs w:val="18"/>
    </w:rPr>
  </w:style>
  <w:style w:type="paragraph" w:styleId="24">
    <w:name w:val="footer"/>
    <w:basedOn w:val="1"/>
    <w:link w:val="69"/>
    <w:autoRedefine/>
    <w:qFormat/>
    <w:uiPriority w:val="99"/>
    <w:pPr>
      <w:tabs>
        <w:tab w:val="center" w:pos="4153"/>
        <w:tab w:val="right" w:pos="8306"/>
      </w:tabs>
      <w:snapToGrid w:val="0"/>
      <w:jc w:val="left"/>
    </w:pPr>
    <w:rPr>
      <w:rFonts w:ascii="宋体" w:hAnsi="Courier New"/>
      <w:kern w:val="0"/>
      <w:sz w:val="18"/>
      <w:szCs w:val="20"/>
    </w:rPr>
  </w:style>
  <w:style w:type="paragraph" w:styleId="25">
    <w:name w:val="envelope return"/>
    <w:basedOn w:val="1"/>
    <w:autoRedefine/>
    <w:qFormat/>
    <w:uiPriority w:val="0"/>
    <w:pPr>
      <w:snapToGrid w:val="0"/>
    </w:pPr>
    <w:rPr>
      <w:rFonts w:ascii="Arial" w:hAnsi="Arial"/>
    </w:rPr>
  </w:style>
  <w:style w:type="paragraph" w:styleId="26">
    <w:name w:val="header"/>
    <w:basedOn w:val="1"/>
    <w:link w:val="59"/>
    <w:autoRedefine/>
    <w:qFormat/>
    <w:uiPriority w:val="0"/>
    <w:pPr>
      <w:pBdr>
        <w:bottom w:val="single" w:color="auto" w:sz="6" w:space="1"/>
      </w:pBdr>
      <w:tabs>
        <w:tab w:val="center" w:pos="4153"/>
        <w:tab w:val="right" w:pos="8306"/>
      </w:tabs>
      <w:snapToGrid w:val="0"/>
      <w:jc w:val="center"/>
    </w:pPr>
    <w:rPr>
      <w:rFonts w:ascii="宋体" w:hAnsi="Courier New"/>
      <w:kern w:val="0"/>
      <w:sz w:val="18"/>
      <w:szCs w:val="20"/>
    </w:rPr>
  </w:style>
  <w:style w:type="paragraph" w:styleId="27">
    <w:name w:val="toc 1"/>
    <w:basedOn w:val="1"/>
    <w:next w:val="1"/>
    <w:autoRedefine/>
    <w:unhideWhenUsed/>
    <w:qFormat/>
    <w:uiPriority w:val="39"/>
    <w:pPr>
      <w:widowControl/>
      <w:spacing w:after="100" w:line="276" w:lineRule="auto"/>
      <w:jc w:val="left"/>
    </w:pPr>
    <w:rPr>
      <w:rFonts w:ascii="Calibri" w:hAnsi="Calibri" w:cs="黑体"/>
      <w:kern w:val="0"/>
      <w:sz w:val="22"/>
      <w:szCs w:val="22"/>
    </w:rPr>
  </w:style>
  <w:style w:type="paragraph" w:styleId="28">
    <w:name w:val="List"/>
    <w:basedOn w:val="1"/>
    <w:autoRedefine/>
    <w:semiHidden/>
    <w:unhideWhenUsed/>
    <w:qFormat/>
    <w:uiPriority w:val="0"/>
    <w:pPr>
      <w:ind w:left="200" w:hanging="200" w:hangingChars="200"/>
    </w:pPr>
    <w:rPr>
      <w:sz w:val="28"/>
    </w:rPr>
  </w:style>
  <w:style w:type="paragraph" w:styleId="29">
    <w:name w:val="Body Text Indent 3"/>
    <w:basedOn w:val="1"/>
    <w:link w:val="81"/>
    <w:autoRedefine/>
    <w:qFormat/>
    <w:uiPriority w:val="0"/>
    <w:pPr>
      <w:spacing w:line="360" w:lineRule="auto"/>
      <w:ind w:firstLine="359" w:firstLineChars="171"/>
    </w:pPr>
    <w:rPr>
      <w:kern w:val="0"/>
      <w:sz w:val="20"/>
    </w:rPr>
  </w:style>
  <w:style w:type="paragraph" w:styleId="30">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1">
    <w:name w:val="HTML Preformatted"/>
    <w:basedOn w:val="1"/>
    <w:link w:val="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2">
    <w:name w:val="Normal (Web)"/>
    <w:basedOn w:val="1"/>
    <w:autoRedefine/>
    <w:qFormat/>
    <w:uiPriority w:val="0"/>
    <w:pPr>
      <w:spacing w:beforeAutospacing="1" w:afterAutospacing="1"/>
      <w:jc w:val="left"/>
    </w:pPr>
    <w:rPr>
      <w:kern w:val="0"/>
      <w:sz w:val="24"/>
    </w:rPr>
  </w:style>
  <w:style w:type="paragraph" w:styleId="33">
    <w:name w:val="index 1"/>
    <w:basedOn w:val="1"/>
    <w:next w:val="1"/>
    <w:autoRedefine/>
    <w:semiHidden/>
    <w:qFormat/>
    <w:uiPriority w:val="0"/>
    <w:pPr>
      <w:spacing w:line="360" w:lineRule="exact"/>
      <w:ind w:firstLine="432" w:firstLineChars="240"/>
    </w:pPr>
    <w:rPr>
      <w:rFonts w:ascii="宋体" w:hAnsi="宋体"/>
      <w:bCs/>
      <w:sz w:val="18"/>
      <w:szCs w:val="18"/>
    </w:rPr>
  </w:style>
  <w:style w:type="paragraph" w:styleId="34">
    <w:name w:val="annotation subject"/>
    <w:basedOn w:val="15"/>
    <w:next w:val="15"/>
    <w:link w:val="115"/>
    <w:autoRedefine/>
    <w:semiHidden/>
    <w:unhideWhenUsed/>
    <w:qFormat/>
    <w:uiPriority w:val="0"/>
    <w:rPr>
      <w:b/>
      <w:bCs/>
    </w:rPr>
  </w:style>
  <w:style w:type="paragraph" w:styleId="35">
    <w:name w:val="Body Text First Indent 2"/>
    <w:basedOn w:val="17"/>
    <w:link w:val="124"/>
    <w:autoRedefine/>
    <w:qFormat/>
    <w:uiPriority w:val="0"/>
    <w:pPr>
      <w:spacing w:after="120" w:line="240" w:lineRule="auto"/>
      <w:ind w:left="420" w:leftChars="200" w:firstLine="420" w:firstLineChars="200"/>
    </w:pPr>
    <w:rPr>
      <w:rFonts w:ascii="Times New Roman" w:hAnsi="Times New Roman"/>
      <w:spacing w:val="0"/>
      <w:kern w:val="2"/>
      <w:sz w:val="21"/>
      <w:szCs w:val="24"/>
    </w:rPr>
  </w:style>
  <w:style w:type="table" w:styleId="37">
    <w:name w:val="Table Grid"/>
    <w:basedOn w:val="36"/>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9">
    <w:name w:val="Strong"/>
    <w:autoRedefine/>
    <w:qFormat/>
    <w:uiPriority w:val="0"/>
    <w:rPr>
      <w:b/>
      <w:bCs/>
    </w:rPr>
  </w:style>
  <w:style w:type="character" w:styleId="40">
    <w:name w:val="page number"/>
    <w:basedOn w:val="38"/>
    <w:autoRedefine/>
    <w:qFormat/>
    <w:uiPriority w:val="0"/>
  </w:style>
  <w:style w:type="character" w:styleId="41">
    <w:name w:val="FollowedHyperlink"/>
    <w:autoRedefine/>
    <w:qFormat/>
    <w:uiPriority w:val="0"/>
    <w:rPr>
      <w:color w:val="800080"/>
      <w:u w:val="single"/>
    </w:rPr>
  </w:style>
  <w:style w:type="character" w:styleId="42">
    <w:name w:val="Emphasis"/>
    <w:autoRedefine/>
    <w:qFormat/>
    <w:uiPriority w:val="0"/>
    <w:rPr>
      <w:color w:val="CC0000"/>
    </w:rPr>
  </w:style>
  <w:style w:type="character" w:styleId="43">
    <w:name w:val="Hyperlink"/>
    <w:autoRedefine/>
    <w:qFormat/>
    <w:uiPriority w:val="99"/>
    <w:rPr>
      <w:color w:val="0000FF"/>
      <w:u w:val="single"/>
    </w:rPr>
  </w:style>
  <w:style w:type="character" w:styleId="44">
    <w:name w:val="annotation reference"/>
    <w:basedOn w:val="38"/>
    <w:autoRedefine/>
    <w:qFormat/>
    <w:uiPriority w:val="0"/>
    <w:rPr>
      <w:sz w:val="21"/>
    </w:rPr>
  </w:style>
  <w:style w:type="character" w:styleId="45">
    <w:name w:val="HTML Sample"/>
    <w:autoRedefine/>
    <w:unhideWhenUsed/>
    <w:qFormat/>
    <w:uiPriority w:val="99"/>
    <w:rPr>
      <w:rFonts w:ascii="Courier New" w:hAnsi="Courier New"/>
    </w:rPr>
  </w:style>
  <w:style w:type="paragraph" w:customStyle="1" w:styleId="4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7">
    <w:name w:val="模板普通正文"/>
    <w:basedOn w:val="17"/>
    <w:autoRedefine/>
    <w:qFormat/>
    <w:uiPriority w:val="0"/>
    <w:pPr>
      <w:spacing w:beforeLines="50" w:after="10"/>
      <w:ind w:firstLine="490" w:firstLineChars="175"/>
      <w:jc w:val="left"/>
    </w:pPr>
  </w:style>
  <w:style w:type="paragraph" w:customStyle="1" w:styleId="48">
    <w:name w:val="NormalIndent"/>
    <w:basedOn w:val="1"/>
    <w:autoRedefine/>
    <w:qFormat/>
    <w:uiPriority w:val="0"/>
    <w:pPr>
      <w:ind w:firstLine="420"/>
    </w:pPr>
    <w:rPr>
      <w:szCs w:val="21"/>
    </w:rPr>
  </w:style>
  <w:style w:type="character" w:customStyle="1" w:styleId="49">
    <w:name w:val="style31"/>
    <w:autoRedefine/>
    <w:qFormat/>
    <w:uiPriority w:val="0"/>
    <w:rPr>
      <w:sz w:val="18"/>
      <w:szCs w:val="18"/>
    </w:rPr>
  </w:style>
  <w:style w:type="character" w:customStyle="1" w:styleId="50">
    <w:name w:val="标题 6 字符"/>
    <w:link w:val="9"/>
    <w:autoRedefine/>
    <w:qFormat/>
    <w:uiPriority w:val="0"/>
    <w:rPr>
      <w:rFonts w:ascii="Arial" w:hAnsi="Arial" w:eastAsia="黑体"/>
      <w:b/>
      <w:sz w:val="24"/>
    </w:rPr>
  </w:style>
  <w:style w:type="character" w:customStyle="1" w:styleId="51">
    <w:name w:val="apple-style-span"/>
    <w:basedOn w:val="38"/>
    <w:autoRedefine/>
    <w:qFormat/>
    <w:uiPriority w:val="0"/>
  </w:style>
  <w:style w:type="character" w:customStyle="1" w:styleId="52">
    <w:name w:val="标题 4 字符"/>
    <w:link w:val="6"/>
    <w:autoRedefine/>
    <w:qFormat/>
    <w:uiPriority w:val="0"/>
    <w:rPr>
      <w:rFonts w:ascii="宋体" w:hAnsi="Arial" w:eastAsia="黑体"/>
      <w:b/>
      <w:sz w:val="24"/>
    </w:rPr>
  </w:style>
  <w:style w:type="character" w:customStyle="1" w:styleId="53">
    <w:name w:val="Char Char2"/>
    <w:autoRedefine/>
    <w:semiHidden/>
    <w:qFormat/>
    <w:uiPriority w:val="0"/>
    <w:rPr>
      <w:rFonts w:ascii="宋体" w:hAnsi="Courier New" w:eastAsia="宋体"/>
      <w:spacing w:val="-4"/>
      <w:kern w:val="2"/>
      <w:sz w:val="18"/>
      <w:lang w:val="en-US" w:eastAsia="zh-CN" w:bidi="ar-SA"/>
    </w:rPr>
  </w:style>
  <w:style w:type="character" w:customStyle="1" w:styleId="54">
    <w:name w:val="font11"/>
    <w:autoRedefine/>
    <w:qFormat/>
    <w:uiPriority w:val="0"/>
    <w:rPr>
      <w:rFonts w:hint="default" w:ascii="Tahoma" w:hAnsi="Tahoma" w:cs="Tahoma"/>
      <w:color w:val="000000"/>
      <w:sz w:val="22"/>
      <w:szCs w:val="22"/>
      <w:u w:val="none"/>
    </w:rPr>
  </w:style>
  <w:style w:type="character" w:customStyle="1" w:styleId="55">
    <w:name w:val="普通文字 Char Char1"/>
    <w:autoRedefine/>
    <w:semiHidden/>
    <w:qFormat/>
    <w:uiPriority w:val="0"/>
    <w:rPr>
      <w:rFonts w:ascii="宋体" w:hAnsi="Courier New" w:eastAsia="宋体"/>
      <w:kern w:val="2"/>
      <w:sz w:val="21"/>
      <w:lang w:val="en-US" w:eastAsia="zh-CN" w:bidi="ar-SA"/>
    </w:rPr>
  </w:style>
  <w:style w:type="character" w:customStyle="1" w:styleId="56">
    <w:name w:val="批注文字 字符"/>
    <w:link w:val="15"/>
    <w:autoRedefine/>
    <w:qFormat/>
    <w:uiPriority w:val="0"/>
    <w:rPr>
      <w:rFonts w:eastAsia="宋体"/>
      <w:kern w:val="2"/>
      <w:sz w:val="21"/>
      <w:szCs w:val="24"/>
      <w:lang w:val="en-US" w:eastAsia="zh-CN" w:bidi="ar-SA"/>
    </w:rPr>
  </w:style>
  <w:style w:type="character" w:customStyle="1" w:styleId="57">
    <w:name w:val="标题 8 字符"/>
    <w:link w:val="11"/>
    <w:autoRedefine/>
    <w:qFormat/>
    <w:uiPriority w:val="0"/>
    <w:rPr>
      <w:rFonts w:ascii="Arial" w:hAnsi="Arial" w:eastAsia="黑体"/>
      <w:sz w:val="24"/>
    </w:rPr>
  </w:style>
  <w:style w:type="character" w:customStyle="1" w:styleId="58">
    <w:name w:val="font31"/>
    <w:autoRedefine/>
    <w:qFormat/>
    <w:uiPriority w:val="0"/>
    <w:rPr>
      <w:rFonts w:hint="eastAsia" w:ascii="宋体" w:hAnsi="宋体" w:eastAsia="宋体"/>
      <w:color w:val="000000"/>
      <w:sz w:val="22"/>
      <w:szCs w:val="22"/>
      <w:u w:val="none"/>
    </w:rPr>
  </w:style>
  <w:style w:type="character" w:customStyle="1" w:styleId="59">
    <w:name w:val="页眉 字符"/>
    <w:link w:val="26"/>
    <w:autoRedefine/>
    <w:qFormat/>
    <w:uiPriority w:val="0"/>
    <w:rPr>
      <w:rFonts w:ascii="宋体" w:hAnsi="Courier New" w:eastAsia="宋体" w:cs="Times New Roman"/>
      <w:sz w:val="18"/>
      <w:szCs w:val="20"/>
    </w:rPr>
  </w:style>
  <w:style w:type="character" w:customStyle="1" w:styleId="60">
    <w:name w:val="纯文本 Char"/>
    <w:autoRedefine/>
    <w:qFormat/>
    <w:uiPriority w:val="0"/>
    <w:rPr>
      <w:rFonts w:ascii="宋体" w:hAnsi="Courier New" w:eastAsia="宋体" w:cs="Courier New"/>
      <w:szCs w:val="21"/>
    </w:rPr>
  </w:style>
  <w:style w:type="character" w:customStyle="1" w:styleId="61">
    <w:name w:val="style54"/>
    <w:basedOn w:val="38"/>
    <w:autoRedefine/>
    <w:qFormat/>
    <w:uiPriority w:val="0"/>
  </w:style>
  <w:style w:type="character" w:customStyle="1" w:styleId="62">
    <w:name w:val="正文文本缩进 2 字符"/>
    <w:link w:val="22"/>
    <w:autoRedefine/>
    <w:qFormat/>
    <w:uiPriority w:val="0"/>
    <w:rPr>
      <w:rFonts w:ascii="Times New Roman" w:hAnsi="Times New Roman" w:eastAsia="宋体" w:cs="Times New Roman"/>
      <w:szCs w:val="24"/>
    </w:rPr>
  </w:style>
  <w:style w:type="character" w:customStyle="1" w:styleId="63">
    <w:name w:val="日期 字符"/>
    <w:link w:val="21"/>
    <w:autoRedefine/>
    <w:qFormat/>
    <w:uiPriority w:val="0"/>
    <w:rPr>
      <w:rFonts w:ascii="Times New Roman" w:hAnsi="Times New Roman" w:eastAsia="宋体" w:cs="Times New Roman"/>
      <w:spacing w:val="30"/>
      <w:sz w:val="28"/>
      <w:szCs w:val="24"/>
    </w:rPr>
  </w:style>
  <w:style w:type="character" w:customStyle="1" w:styleId="64">
    <w:name w:val="font01"/>
    <w:autoRedefine/>
    <w:qFormat/>
    <w:uiPriority w:val="0"/>
    <w:rPr>
      <w:rFonts w:hint="eastAsia" w:ascii="宋体" w:hAnsi="宋体" w:eastAsia="宋体"/>
      <w:color w:val="000000"/>
      <w:sz w:val="22"/>
      <w:szCs w:val="22"/>
      <w:u w:val="none"/>
    </w:rPr>
  </w:style>
  <w:style w:type="character" w:customStyle="1" w:styleId="65">
    <w:name w:val="纯文本 字符"/>
    <w:link w:val="19"/>
    <w:autoRedefine/>
    <w:qFormat/>
    <w:uiPriority w:val="0"/>
    <w:rPr>
      <w:rFonts w:ascii="宋体" w:hAnsi="Courier New" w:eastAsia="宋体" w:cs="Times New Roman"/>
      <w:szCs w:val="20"/>
    </w:rPr>
  </w:style>
  <w:style w:type="character" w:customStyle="1" w:styleId="66">
    <w:name w:val="标题 7 字符"/>
    <w:link w:val="10"/>
    <w:autoRedefine/>
    <w:qFormat/>
    <w:uiPriority w:val="0"/>
    <w:rPr>
      <w:b/>
      <w:sz w:val="24"/>
    </w:rPr>
  </w:style>
  <w:style w:type="character" w:customStyle="1" w:styleId="67">
    <w:name w:val="1051"/>
    <w:autoRedefine/>
    <w:qFormat/>
    <w:uiPriority w:val="0"/>
    <w:rPr>
      <w:sz w:val="21"/>
      <w:szCs w:val="21"/>
    </w:rPr>
  </w:style>
  <w:style w:type="character" w:customStyle="1" w:styleId="68">
    <w:name w:val="批注框文本 字符"/>
    <w:link w:val="23"/>
    <w:autoRedefine/>
    <w:semiHidden/>
    <w:qFormat/>
    <w:uiPriority w:val="0"/>
    <w:rPr>
      <w:rFonts w:ascii="Times New Roman" w:hAnsi="Times New Roman" w:eastAsia="宋体" w:cs="Times New Roman"/>
      <w:sz w:val="18"/>
      <w:szCs w:val="18"/>
    </w:rPr>
  </w:style>
  <w:style w:type="character" w:customStyle="1" w:styleId="69">
    <w:name w:val="页脚 字符"/>
    <w:link w:val="24"/>
    <w:autoRedefine/>
    <w:qFormat/>
    <w:uiPriority w:val="99"/>
    <w:rPr>
      <w:rFonts w:ascii="宋体" w:hAnsi="Courier New" w:eastAsia="宋体" w:cs="Times New Roman"/>
      <w:sz w:val="18"/>
      <w:szCs w:val="20"/>
    </w:rPr>
  </w:style>
  <w:style w:type="character" w:customStyle="1" w:styleId="70">
    <w:name w:val="正文文本 字符"/>
    <w:link w:val="2"/>
    <w:autoRedefine/>
    <w:qFormat/>
    <w:uiPriority w:val="0"/>
    <w:rPr>
      <w:rFonts w:ascii="宋体" w:hAnsi="Times New Roman" w:eastAsia="宋体" w:cs="Times New Roman"/>
      <w:kern w:val="0"/>
      <w:sz w:val="34"/>
      <w:szCs w:val="20"/>
    </w:rPr>
  </w:style>
  <w:style w:type="character" w:customStyle="1" w:styleId="71">
    <w:name w:val="标准文本 Char"/>
    <w:link w:val="72"/>
    <w:autoRedefine/>
    <w:qFormat/>
    <w:uiPriority w:val="0"/>
    <w:rPr>
      <w:rFonts w:cs="宋体"/>
      <w:kern w:val="2"/>
      <w:sz w:val="24"/>
    </w:rPr>
  </w:style>
  <w:style w:type="paragraph" w:customStyle="1" w:styleId="72">
    <w:name w:val="标准文本"/>
    <w:basedOn w:val="1"/>
    <w:link w:val="71"/>
    <w:autoRedefine/>
    <w:qFormat/>
    <w:uiPriority w:val="0"/>
    <w:pPr>
      <w:spacing w:line="360" w:lineRule="auto"/>
      <w:ind w:firstLine="480" w:firstLineChars="200"/>
    </w:pPr>
    <w:rPr>
      <w:sz w:val="24"/>
      <w:szCs w:val="20"/>
    </w:rPr>
  </w:style>
  <w:style w:type="character" w:customStyle="1" w:styleId="73">
    <w:name w:val="font41"/>
    <w:autoRedefine/>
    <w:qFormat/>
    <w:uiPriority w:val="0"/>
    <w:rPr>
      <w:rFonts w:hint="eastAsia" w:ascii="宋体" w:hAnsi="宋体" w:eastAsia="宋体"/>
      <w:b/>
      <w:bCs/>
      <w:color w:val="000000"/>
      <w:sz w:val="22"/>
      <w:szCs w:val="22"/>
      <w:u w:val="none"/>
    </w:rPr>
  </w:style>
  <w:style w:type="character" w:customStyle="1" w:styleId="74">
    <w:name w:val="unnamed21"/>
    <w:basedOn w:val="38"/>
    <w:autoRedefine/>
    <w:qFormat/>
    <w:uiPriority w:val="0"/>
  </w:style>
  <w:style w:type="character" w:customStyle="1" w:styleId="75">
    <w:name w:val="正文文本缩进 字符"/>
    <w:link w:val="17"/>
    <w:autoRedefine/>
    <w:qFormat/>
    <w:uiPriority w:val="0"/>
    <w:rPr>
      <w:rFonts w:ascii="宋体" w:hAnsi="Courier New" w:eastAsia="宋体" w:cs="Times New Roman"/>
      <w:spacing w:val="-4"/>
      <w:sz w:val="18"/>
      <w:szCs w:val="20"/>
    </w:rPr>
  </w:style>
  <w:style w:type="character" w:customStyle="1" w:styleId="76">
    <w:name w:val="style51"/>
    <w:basedOn w:val="38"/>
    <w:autoRedefine/>
    <w:qFormat/>
    <w:uiPriority w:val="0"/>
  </w:style>
  <w:style w:type="character" w:customStyle="1" w:styleId="77">
    <w:name w:val="文档结构图 字符"/>
    <w:link w:val="14"/>
    <w:autoRedefine/>
    <w:semiHidden/>
    <w:qFormat/>
    <w:uiPriority w:val="0"/>
    <w:rPr>
      <w:rFonts w:ascii="Times New Roman" w:hAnsi="Times New Roman" w:eastAsia="宋体" w:cs="Times New Roman"/>
      <w:szCs w:val="24"/>
      <w:shd w:val="clear" w:color="auto" w:fill="000080"/>
    </w:rPr>
  </w:style>
  <w:style w:type="character" w:customStyle="1" w:styleId="78">
    <w:name w:val="纯文本 Char Char Char"/>
    <w:autoRedefine/>
    <w:qFormat/>
    <w:uiPriority w:val="0"/>
    <w:rPr>
      <w:rFonts w:ascii="宋体" w:hAnsi="Courier New" w:eastAsia="宋体" w:cs="Courier New"/>
      <w:kern w:val="2"/>
      <w:sz w:val="21"/>
      <w:szCs w:val="21"/>
      <w:lang w:val="en-US" w:eastAsia="zh-CN" w:bidi="ar-SA"/>
    </w:rPr>
  </w:style>
  <w:style w:type="character" w:customStyle="1" w:styleId="79">
    <w:name w:val="标题 1 字符"/>
    <w:link w:val="3"/>
    <w:autoRedefine/>
    <w:qFormat/>
    <w:uiPriority w:val="0"/>
    <w:rPr>
      <w:b/>
      <w:bCs/>
      <w:kern w:val="2"/>
      <w:sz w:val="32"/>
      <w:szCs w:val="24"/>
    </w:rPr>
  </w:style>
  <w:style w:type="character" w:customStyle="1" w:styleId="80">
    <w:name w:val="标题 5 字符"/>
    <w:link w:val="7"/>
    <w:autoRedefine/>
    <w:qFormat/>
    <w:uiPriority w:val="0"/>
    <w:rPr>
      <w:b/>
      <w:sz w:val="28"/>
    </w:rPr>
  </w:style>
  <w:style w:type="character" w:customStyle="1" w:styleId="81">
    <w:name w:val="正文文本缩进 3 字符"/>
    <w:link w:val="29"/>
    <w:autoRedefine/>
    <w:qFormat/>
    <w:uiPriority w:val="0"/>
    <w:rPr>
      <w:rFonts w:ascii="Times New Roman" w:hAnsi="Times New Roman" w:eastAsia="宋体" w:cs="Times New Roman"/>
      <w:szCs w:val="24"/>
    </w:rPr>
  </w:style>
  <w:style w:type="character" w:customStyle="1" w:styleId="82">
    <w:name w:val="HTML 预设格式 字符"/>
    <w:link w:val="31"/>
    <w:autoRedefine/>
    <w:qFormat/>
    <w:uiPriority w:val="0"/>
    <w:rPr>
      <w:rFonts w:ascii="黑体" w:hAnsi="Courier New" w:eastAsia="黑体" w:cs="Courier New"/>
      <w:kern w:val="0"/>
      <w:sz w:val="20"/>
      <w:szCs w:val="20"/>
    </w:rPr>
  </w:style>
  <w:style w:type="character" w:customStyle="1" w:styleId="83">
    <w:name w:val="标题 2 字符"/>
    <w:link w:val="4"/>
    <w:autoRedefine/>
    <w:qFormat/>
    <w:uiPriority w:val="0"/>
    <w:rPr>
      <w:rFonts w:ascii="Arial" w:hAnsi="Arial" w:eastAsia="黑体" w:cs="Times New Roman"/>
      <w:b/>
      <w:bCs/>
      <w:sz w:val="32"/>
      <w:szCs w:val="32"/>
    </w:rPr>
  </w:style>
  <w:style w:type="character" w:customStyle="1" w:styleId="84">
    <w:name w:val="标题 9 字符"/>
    <w:link w:val="12"/>
    <w:autoRedefine/>
    <w:qFormat/>
    <w:uiPriority w:val="0"/>
    <w:rPr>
      <w:rFonts w:ascii="Arial" w:hAnsi="Arial" w:eastAsia="黑体"/>
    </w:rPr>
  </w:style>
  <w:style w:type="character" w:customStyle="1" w:styleId="85">
    <w:name w:val="正文缩进 字符"/>
    <w:link w:val="8"/>
    <w:autoRedefine/>
    <w:qFormat/>
    <w:locked/>
    <w:uiPriority w:val="0"/>
    <w:rPr>
      <w:rFonts w:ascii="Times New Roman" w:hAnsi="Times New Roman" w:eastAsia="宋体" w:cs="Times New Roman"/>
      <w:szCs w:val="20"/>
    </w:rPr>
  </w:style>
  <w:style w:type="paragraph" w:customStyle="1" w:styleId="86">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87">
    <w:name w:val="Table Paragraph"/>
    <w:basedOn w:val="1"/>
    <w:autoRedefine/>
    <w:qFormat/>
    <w:uiPriority w:val="1"/>
    <w:pPr>
      <w:ind w:left="100" w:right="-10"/>
      <w:jc w:val="left"/>
    </w:pPr>
    <w:rPr>
      <w:rFonts w:ascii="宋体" w:hAnsi="宋体" w:cs="宋体"/>
      <w:kern w:val="0"/>
      <w:sz w:val="22"/>
      <w:szCs w:val="22"/>
      <w:lang w:eastAsia="en-US"/>
    </w:rPr>
  </w:style>
  <w:style w:type="paragraph" w:customStyle="1" w:styleId="88">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styleId="89">
    <w:name w:val="List Paragraph"/>
    <w:basedOn w:val="1"/>
    <w:autoRedefine/>
    <w:qFormat/>
    <w:uiPriority w:val="99"/>
    <w:pPr>
      <w:ind w:firstLine="420" w:firstLineChars="200"/>
    </w:pPr>
    <w:rPr>
      <w:rFonts w:ascii="Calibri" w:hAnsi="Calibri"/>
      <w:szCs w:val="22"/>
    </w:rPr>
  </w:style>
  <w:style w:type="paragraph" w:customStyle="1" w:styleId="90">
    <w:name w:val="Char"/>
    <w:basedOn w:val="14"/>
    <w:autoRedefine/>
    <w:qFormat/>
    <w:uiPriority w:val="0"/>
    <w:rPr>
      <w:rFonts w:ascii="Tahoma" w:hAnsi="Tahoma"/>
      <w:sz w:val="24"/>
    </w:rPr>
  </w:style>
  <w:style w:type="paragraph" w:customStyle="1" w:styleId="9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2">
    <w:name w:val="p15"/>
    <w:basedOn w:val="1"/>
    <w:autoRedefine/>
    <w:qFormat/>
    <w:uiPriority w:val="0"/>
    <w:pPr>
      <w:widowControl/>
    </w:pPr>
    <w:rPr>
      <w:rFonts w:ascii="宋体" w:hAnsi="宋体" w:cs="宋体"/>
      <w:kern w:val="0"/>
      <w:szCs w:val="21"/>
    </w:rPr>
  </w:style>
  <w:style w:type="paragraph" w:customStyle="1" w:styleId="93">
    <w:name w:val="样式3"/>
    <w:basedOn w:val="2"/>
    <w:autoRedefine/>
    <w:qFormat/>
    <w:uiPriority w:val="0"/>
    <w:pPr>
      <w:adjustRightInd/>
      <w:spacing w:line="360" w:lineRule="auto"/>
      <w:jc w:val="both"/>
    </w:pPr>
    <w:rPr>
      <w:kern w:val="2"/>
      <w:sz w:val="21"/>
      <w:szCs w:val="24"/>
    </w:rPr>
  </w:style>
  <w:style w:type="paragraph" w:customStyle="1" w:styleId="94">
    <w:name w:val="Char Char Char Char Char Char Char"/>
    <w:basedOn w:val="1"/>
    <w:autoRedefine/>
    <w:qFormat/>
    <w:uiPriority w:val="0"/>
  </w:style>
  <w:style w:type="paragraph" w:customStyle="1" w:styleId="95">
    <w:name w:val="Char Char Char Char"/>
    <w:basedOn w:val="14"/>
    <w:autoRedefine/>
    <w:qFormat/>
    <w:uiPriority w:val="0"/>
    <w:rPr>
      <w:rFonts w:ascii="Tahoma" w:hAnsi="Tahoma"/>
      <w:sz w:val="24"/>
    </w:rPr>
  </w:style>
  <w:style w:type="paragraph" w:customStyle="1" w:styleId="96">
    <w:name w:val="样式1"/>
    <w:basedOn w:val="1"/>
    <w:autoRedefine/>
    <w:qFormat/>
    <w:uiPriority w:val="0"/>
  </w:style>
  <w:style w:type="paragraph" w:customStyle="1" w:styleId="97">
    <w:name w:val="列出段落1"/>
    <w:basedOn w:val="1"/>
    <w:autoRedefine/>
    <w:qFormat/>
    <w:uiPriority w:val="34"/>
    <w:pPr>
      <w:ind w:firstLine="420" w:firstLineChars="200"/>
    </w:pPr>
  </w:style>
  <w:style w:type="paragraph" w:customStyle="1" w:styleId="98">
    <w:name w:val="TOC 标题1"/>
    <w:basedOn w:val="3"/>
    <w:next w:val="1"/>
    <w:autoRedefine/>
    <w:unhideWhenUsed/>
    <w:qFormat/>
    <w:uiPriority w:val="39"/>
    <w:pPr>
      <w:keepLines/>
      <w:widowControl/>
      <w:spacing w:before="480" w:line="276" w:lineRule="auto"/>
      <w:jc w:val="left"/>
      <w:outlineLvl w:val="9"/>
    </w:pPr>
    <w:rPr>
      <w:rFonts w:ascii="Cambria" w:hAnsi="Cambria" w:cs="黑体"/>
      <w:color w:val="365F90"/>
      <w:kern w:val="0"/>
      <w:sz w:val="28"/>
      <w:szCs w:val="28"/>
    </w:rPr>
  </w:style>
  <w:style w:type="paragraph" w:customStyle="1" w:styleId="99">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0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1">
    <w:name w:val="Char Char Char Char Char Char1 Char1"/>
    <w:basedOn w:val="1"/>
    <w:autoRedefine/>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102">
    <w:name w:val="默认段落字体 Para Char Char Char Char Char Char Char Char Char1 Char Char Char Char"/>
    <w:basedOn w:val="1"/>
    <w:autoRedefine/>
    <w:qFormat/>
    <w:uiPriority w:val="0"/>
    <w:rPr>
      <w:rFonts w:ascii="Tahoma" w:hAnsi="Tahoma"/>
      <w:sz w:val="24"/>
      <w:szCs w:val="20"/>
    </w:rPr>
  </w:style>
  <w:style w:type="paragraph" w:customStyle="1" w:styleId="103">
    <w:name w:val="Char1"/>
    <w:basedOn w:val="14"/>
    <w:autoRedefine/>
    <w:qFormat/>
    <w:uiPriority w:val="0"/>
    <w:pPr>
      <w:widowControl/>
      <w:ind w:firstLine="454"/>
      <w:jc w:val="left"/>
    </w:pPr>
    <w:rPr>
      <w:rFonts w:ascii="Tahoma" w:hAnsi="Tahoma" w:cs="宋体"/>
      <w:sz w:val="24"/>
      <w:szCs w:val="20"/>
    </w:rPr>
  </w:style>
  <w:style w:type="paragraph" w:customStyle="1" w:styleId="104">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05">
    <w:name w:val="p0"/>
    <w:basedOn w:val="1"/>
    <w:autoRedefine/>
    <w:qFormat/>
    <w:uiPriority w:val="0"/>
    <w:pPr>
      <w:widowControl/>
    </w:pPr>
    <w:rPr>
      <w:kern w:val="0"/>
      <w:szCs w:val="21"/>
    </w:rPr>
  </w:style>
  <w:style w:type="paragraph" w:customStyle="1" w:styleId="106">
    <w:name w:val="xl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107">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lang w:val="en-US" w:eastAsia="zh-CN" w:bidi="ar-SA"/>
    </w:rPr>
  </w:style>
  <w:style w:type="paragraph" w:customStyle="1" w:styleId="108">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109">
    <w:name w:val="xl31"/>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10">
    <w:name w:val="zxz5"/>
    <w:next w:val="1"/>
    <w:autoRedefine/>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11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2">
    <w:name w:val="列出段落2"/>
    <w:basedOn w:val="1"/>
    <w:autoRedefine/>
    <w:unhideWhenUsed/>
    <w:qFormat/>
    <w:uiPriority w:val="34"/>
    <w:pPr>
      <w:ind w:firstLine="420" w:firstLineChars="200"/>
    </w:pPr>
    <w:rPr>
      <w:szCs w:val="20"/>
    </w:rPr>
  </w:style>
  <w:style w:type="paragraph" w:customStyle="1" w:styleId="113">
    <w:name w:val="_Style 5"/>
    <w:basedOn w:val="1"/>
    <w:autoRedefine/>
    <w:qFormat/>
    <w:uiPriority w:val="34"/>
    <w:pPr>
      <w:spacing w:line="360" w:lineRule="auto"/>
      <w:ind w:firstLine="420" w:firstLineChars="200"/>
    </w:pPr>
    <w:rPr>
      <w:rFonts w:ascii="Calibri" w:hAnsi="Calibri"/>
      <w:szCs w:val="22"/>
    </w:rPr>
  </w:style>
  <w:style w:type="paragraph" w:customStyle="1" w:styleId="114">
    <w:name w:val="_Style 1"/>
    <w:basedOn w:val="1"/>
    <w:autoRedefine/>
    <w:qFormat/>
    <w:uiPriority w:val="34"/>
    <w:pPr>
      <w:spacing w:line="360" w:lineRule="auto"/>
      <w:ind w:firstLine="420" w:firstLineChars="200"/>
    </w:pPr>
    <w:rPr>
      <w:rFonts w:ascii="Calibri" w:hAnsi="Calibri"/>
      <w:szCs w:val="22"/>
    </w:rPr>
  </w:style>
  <w:style w:type="character" w:customStyle="1" w:styleId="115">
    <w:name w:val="批注主题 字符"/>
    <w:basedOn w:val="56"/>
    <w:link w:val="34"/>
    <w:autoRedefine/>
    <w:semiHidden/>
    <w:qFormat/>
    <w:uiPriority w:val="0"/>
    <w:rPr>
      <w:rFonts w:eastAsia="宋体"/>
      <w:b/>
      <w:bCs/>
      <w:kern w:val="2"/>
      <w:sz w:val="21"/>
      <w:szCs w:val="24"/>
      <w:lang w:val="en-US" w:eastAsia="zh-CN" w:bidi="ar-SA"/>
    </w:rPr>
  </w:style>
  <w:style w:type="paragraph" w:customStyle="1" w:styleId="116">
    <w:name w:val="正文段"/>
    <w:basedOn w:val="1"/>
    <w:autoRedefine/>
    <w:qFormat/>
    <w:uiPriority w:val="0"/>
    <w:pPr>
      <w:widowControl/>
      <w:snapToGrid w:val="0"/>
      <w:spacing w:afterLines="50"/>
      <w:ind w:firstLine="200" w:firstLineChars="200"/>
    </w:pPr>
    <w:rPr>
      <w:kern w:val="0"/>
      <w:sz w:val="24"/>
      <w:szCs w:val="20"/>
    </w:rPr>
  </w:style>
  <w:style w:type="character" w:customStyle="1" w:styleId="117">
    <w:name w:val="批注文字 Char1"/>
    <w:basedOn w:val="38"/>
    <w:autoRedefine/>
    <w:semiHidden/>
    <w:qFormat/>
    <w:locked/>
    <w:uiPriority w:val="0"/>
    <w:rPr>
      <w:kern w:val="2"/>
      <w:sz w:val="21"/>
      <w:szCs w:val="24"/>
    </w:rPr>
  </w:style>
  <w:style w:type="character" w:customStyle="1" w:styleId="118">
    <w:name w:val="正文文本 3 字符"/>
    <w:basedOn w:val="38"/>
    <w:link w:val="16"/>
    <w:autoRedefine/>
    <w:semiHidden/>
    <w:qFormat/>
    <w:uiPriority w:val="0"/>
    <w:rPr>
      <w:kern w:val="2"/>
      <w:sz w:val="16"/>
      <w:szCs w:val="16"/>
    </w:rPr>
  </w:style>
  <w:style w:type="paragraph" w:customStyle="1" w:styleId="119">
    <w:name w:val="正文1"/>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0">
    <w:name w:val="项目符号A Char"/>
    <w:link w:val="121"/>
    <w:autoRedefine/>
    <w:qFormat/>
    <w:uiPriority w:val="0"/>
    <w:rPr>
      <w:rFonts w:ascii="仿宋_GB2312" w:hAnsi="Arial" w:eastAsia="仿宋_GB2312"/>
      <w:spacing w:val="-4"/>
      <w:kern w:val="2"/>
      <w:sz w:val="24"/>
      <w:szCs w:val="24"/>
    </w:rPr>
  </w:style>
  <w:style w:type="paragraph" w:customStyle="1" w:styleId="121">
    <w:name w:val="项目符号A"/>
    <w:basedOn w:val="1"/>
    <w:link w:val="120"/>
    <w:autoRedefine/>
    <w:qFormat/>
    <w:uiPriority w:val="0"/>
    <w:pPr>
      <w:tabs>
        <w:tab w:val="left" w:pos="1021"/>
      </w:tabs>
      <w:spacing w:line="400" w:lineRule="exact"/>
      <w:ind w:firstLine="465"/>
    </w:pPr>
    <w:rPr>
      <w:rFonts w:ascii="仿宋_GB2312" w:hAnsi="Arial" w:eastAsia="仿宋_GB2312"/>
      <w:spacing w:val="-4"/>
      <w:sz w:val="24"/>
    </w:rPr>
  </w:style>
  <w:style w:type="character" w:customStyle="1" w:styleId="122">
    <w:name w:val="article11"/>
    <w:autoRedefine/>
    <w:qFormat/>
    <w:uiPriority w:val="0"/>
    <w:rPr>
      <w:color w:val="000000"/>
      <w:sz w:val="23"/>
      <w:szCs w:val="23"/>
    </w:rPr>
  </w:style>
  <w:style w:type="character" w:customStyle="1" w:styleId="123">
    <w:name w:val="case31"/>
    <w:autoRedefine/>
    <w:qFormat/>
    <w:uiPriority w:val="0"/>
    <w:rPr>
      <w:rFonts w:hint="default"/>
      <w:sz w:val="21"/>
      <w:szCs w:val="21"/>
    </w:rPr>
  </w:style>
  <w:style w:type="character" w:customStyle="1" w:styleId="124">
    <w:name w:val="正文文本首行缩进 2 字符"/>
    <w:basedOn w:val="75"/>
    <w:link w:val="35"/>
    <w:autoRedefine/>
    <w:qFormat/>
    <w:uiPriority w:val="0"/>
    <w:rPr>
      <w:rFonts w:ascii="宋体" w:hAnsi="Courier New" w:eastAsia="宋体" w:cs="Times New Roman"/>
      <w:spacing w:val="-4"/>
      <w:kern w:val="2"/>
      <w:sz w:val="21"/>
      <w:szCs w:val="24"/>
    </w:rPr>
  </w:style>
  <w:style w:type="character" w:customStyle="1" w:styleId="125">
    <w:name w:val="Char Char20"/>
    <w:autoRedefine/>
    <w:qFormat/>
    <w:locked/>
    <w:uiPriority w:val="0"/>
    <w:rPr>
      <w:rFonts w:eastAsia="宋体"/>
      <w:b/>
      <w:bCs/>
      <w:kern w:val="44"/>
      <w:sz w:val="44"/>
      <w:szCs w:val="44"/>
      <w:lang w:bidi="ar-SA"/>
    </w:rPr>
  </w:style>
  <w:style w:type="paragraph" w:customStyle="1" w:styleId="126">
    <w:name w:val="正文_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28">
    <w:name w:val="标题 1_0"/>
    <w:basedOn w:val="129"/>
    <w:next w:val="129"/>
    <w:autoRedefine/>
    <w:qFormat/>
    <w:uiPriority w:val="99"/>
    <w:pPr>
      <w:keepNext/>
      <w:keepLines/>
      <w:spacing w:line="360" w:lineRule="auto"/>
      <w:outlineLvl w:val="0"/>
    </w:pPr>
    <w:rPr>
      <w:rFonts w:ascii="Times New Roman" w:hAnsi="Times New Roman" w:eastAsia="黑体"/>
      <w:b/>
      <w:bCs/>
      <w:kern w:val="44"/>
      <w:sz w:val="44"/>
      <w:szCs w:val="44"/>
      <w:lang w:val="zh-CN"/>
    </w:rPr>
  </w:style>
  <w:style w:type="paragraph" w:customStyle="1" w:styleId="129">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正文_3_0"/>
    <w:basedOn w:val="131"/>
    <w:autoRedefine/>
    <w:qFormat/>
    <w:uiPriority w:val="0"/>
    <w:rPr>
      <w:rFonts w:ascii="Calibri" w:hAnsi="Calibri"/>
    </w:rPr>
  </w:style>
  <w:style w:type="paragraph" w:customStyle="1" w:styleId="131">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标题 1_1"/>
    <w:basedOn w:val="133"/>
    <w:next w:val="130"/>
    <w:autoRedefine/>
    <w:qFormat/>
    <w:uiPriority w:val="99"/>
    <w:pPr>
      <w:keepNext/>
      <w:keepLines/>
      <w:spacing w:before="340" w:after="330" w:line="578" w:lineRule="auto"/>
      <w:outlineLvl w:val="0"/>
    </w:pPr>
    <w:rPr>
      <w:rFonts w:eastAsia="黑体"/>
      <w:b/>
      <w:bCs/>
      <w:kern w:val="44"/>
      <w:sz w:val="32"/>
      <w:szCs w:val="44"/>
    </w:rPr>
  </w:style>
  <w:style w:type="paragraph" w:customStyle="1" w:styleId="133">
    <w:name w:val="正文_8"/>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4">
    <w:name w:val="普通(网站)_0"/>
    <w:basedOn w:val="135"/>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35">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纯文本_0"/>
    <w:basedOn w:val="135"/>
    <w:next w:val="137"/>
    <w:autoRedefine/>
    <w:qFormat/>
    <w:uiPriority w:val="0"/>
    <w:rPr>
      <w:rFonts w:ascii="宋体" w:hAnsi="Courier New"/>
      <w:szCs w:val="20"/>
    </w:rPr>
  </w:style>
  <w:style w:type="paragraph" w:customStyle="1" w:styleId="137">
    <w:name w:val="标题 4_2"/>
    <w:basedOn w:val="135"/>
    <w:next w:val="135"/>
    <w:autoRedefine/>
    <w:qFormat/>
    <w:uiPriority w:val="99"/>
    <w:pPr>
      <w:keepNext/>
      <w:keepLines/>
      <w:spacing w:before="280" w:after="290" w:line="376" w:lineRule="auto"/>
      <w:outlineLvl w:val="3"/>
    </w:pPr>
    <w:rPr>
      <w:rFonts w:ascii="Arial" w:hAnsi="Arial" w:eastAsia="黑体"/>
      <w:b/>
      <w:bCs/>
      <w:sz w:val="28"/>
      <w:szCs w:val="28"/>
    </w:rPr>
  </w:style>
  <w:style w:type="paragraph" w:customStyle="1" w:styleId="138">
    <w:name w:val="列出段落_0"/>
    <w:basedOn w:val="135"/>
    <w:autoRedefine/>
    <w:qFormat/>
    <w:uiPriority w:val="34"/>
    <w:pPr>
      <w:ind w:firstLine="420" w:firstLineChars="200"/>
    </w:pPr>
  </w:style>
  <w:style w:type="paragraph" w:customStyle="1" w:styleId="139">
    <w:name w:val="Table Text"/>
    <w:basedOn w:val="1"/>
    <w:autoRedefine/>
    <w:semiHidden/>
    <w:qFormat/>
    <w:uiPriority w:val="0"/>
    <w:rPr>
      <w:rFonts w:ascii="宋体" w:hAnsi="宋体" w:cs="宋体"/>
      <w:sz w:val="27"/>
      <w:szCs w:val="27"/>
      <w:lang w:eastAsia="en-US"/>
    </w:rPr>
  </w:style>
  <w:style w:type="table" w:customStyle="1" w:styleId="14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50555</Words>
  <Characters>54272</Characters>
  <Lines>565</Lines>
  <Paragraphs>159</Paragraphs>
  <TotalTime>1</TotalTime>
  <ScaleCrop>false</ScaleCrop>
  <LinksUpToDate>false</LinksUpToDate>
  <CharactersWithSpaces>57681</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2024-07-02T05:49:00Z</dcterms:created>
  <dc:creator>liwenjie</dc:creator>
  <cp:lastModifiedBy>pp</cp:lastModifiedBy>
  <cp:lastPrinted>2024-07-12T21:14:00Z</cp:lastPrinted>
  <dcterms:modified xsi:type="dcterms:W3CDTF">2026-02-14T06:09:07Z</dcterms:modified>
  <dc:title>–</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936DBF39BAE747FBA78CEA9B8EFCB546_13</vt:lpwstr>
  </property>
  <property fmtid="{D5CDD505-2E9C-101B-9397-08002B2CF9AE}" pid="4" name="KSOTemplateDocerSaveRecord">
    <vt:lpwstr>eyJoZGlkIjoiYTg1Y2MwZGRhZmQwZjIxMGZiMjk1NjRlZDFmOTJkYmEiLCJ1c2VySWQiOiIxMTY4MjE0NTgzIn0=</vt:lpwstr>
  </property>
</Properties>
</file>