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49A0">
      <w:pPr>
        <w:spacing w:line="360" w:lineRule="auto"/>
        <w:jc w:val="center"/>
        <w:rPr>
          <w:rFonts w:hint="eastAsia" w:ascii="方正小标宋简体" w:hAnsi="方正小标宋简体" w:eastAsia="方正小标宋简体" w:cs="方正小标宋简体"/>
          <w:b/>
          <w:color w:val="auto"/>
          <w:spacing w:val="20"/>
          <w:sz w:val="56"/>
          <w:szCs w:val="56"/>
          <w:highlight w:val="none"/>
          <w:lang w:eastAsia="zh-CN"/>
        </w:rPr>
      </w:pPr>
      <w:bookmarkStart w:id="537" w:name="_GoBack"/>
      <w:bookmarkEnd w:id="537"/>
      <w:r>
        <w:rPr>
          <w:rFonts w:hint="eastAsia" w:ascii="方正小标宋简体" w:hAnsi="方正小标宋简体" w:eastAsia="方正小标宋简体" w:cs="方正小标宋简体"/>
          <w:b/>
          <w:color w:val="auto"/>
          <w:spacing w:val="20"/>
          <w:sz w:val="56"/>
          <w:szCs w:val="56"/>
          <w:highlight w:val="none"/>
          <w:lang w:eastAsia="zh-CN"/>
        </w:rPr>
        <w:drawing>
          <wp:anchor distT="0" distB="0" distL="114300" distR="114300" simplePos="0" relativeHeight="251659264" behindDoc="0" locked="0" layoutInCell="1" allowOverlap="1">
            <wp:simplePos x="0" y="0"/>
            <wp:positionH relativeFrom="column">
              <wp:posOffset>-335280</wp:posOffset>
            </wp:positionH>
            <wp:positionV relativeFrom="paragraph">
              <wp:posOffset>-633730</wp:posOffset>
            </wp:positionV>
            <wp:extent cx="7105650" cy="10149840"/>
            <wp:effectExtent l="0" t="0" r="0" b="3810"/>
            <wp:wrapNone/>
            <wp:docPr id="1" name="图片 1" descr="2640e261-49d0-454e-8d39-e21bd3248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40e261-49d0-454e-8d39-e21bd3248b78"/>
                    <pic:cNvPicPr>
                      <a:picLocks noChangeAspect="1"/>
                    </pic:cNvPicPr>
                  </pic:nvPicPr>
                  <pic:blipFill>
                    <a:blip r:embed="rId11"/>
                    <a:stretch>
                      <a:fillRect/>
                    </a:stretch>
                  </pic:blipFill>
                  <pic:spPr>
                    <a:xfrm>
                      <a:off x="0" y="0"/>
                      <a:ext cx="7105650" cy="10149840"/>
                    </a:xfrm>
                    <a:prstGeom prst="rect">
                      <a:avLst/>
                    </a:prstGeom>
                  </pic:spPr>
                </pic:pic>
              </a:graphicData>
            </a:graphic>
          </wp:anchor>
        </w:drawing>
      </w:r>
      <w:r>
        <w:rPr>
          <w:rFonts w:hint="eastAsia" w:ascii="方正小标宋简体" w:hAnsi="方正小标宋简体" w:eastAsia="方正小标宋简体" w:cs="方正小标宋简体"/>
          <w:b/>
          <w:color w:val="auto"/>
          <w:spacing w:val="20"/>
          <w:sz w:val="56"/>
          <w:szCs w:val="56"/>
          <w:highlight w:val="none"/>
          <w:lang w:eastAsia="zh-CN"/>
        </w:rPr>
        <w:t>广西御发咨询有限公司</w:t>
      </w:r>
    </w:p>
    <w:p w14:paraId="7B96D576">
      <w:pPr>
        <w:pStyle w:val="35"/>
        <w:rPr>
          <w:rFonts w:hint="eastAsia" w:ascii="方正小标宋简体" w:hAnsi="方正小标宋简体" w:eastAsia="方正小标宋简体" w:cs="方正小标宋简体"/>
          <w:b/>
          <w:color w:val="auto"/>
          <w:spacing w:val="20"/>
          <w:sz w:val="56"/>
          <w:szCs w:val="56"/>
          <w:highlight w:val="none"/>
        </w:rPr>
      </w:pPr>
    </w:p>
    <w:p w14:paraId="534D1399">
      <w:pPr>
        <w:pStyle w:val="35"/>
        <w:rPr>
          <w:rFonts w:hint="eastAsia" w:ascii="方正小标宋简体" w:hAnsi="方正小标宋简体" w:eastAsia="方正小标宋简体" w:cs="方正小标宋简体"/>
          <w:b/>
          <w:color w:val="auto"/>
          <w:spacing w:val="20"/>
          <w:sz w:val="56"/>
          <w:szCs w:val="56"/>
          <w:highlight w:val="none"/>
        </w:rPr>
      </w:pPr>
    </w:p>
    <w:p w14:paraId="40C19FA8">
      <w:pPr>
        <w:snapToGrid w:val="0"/>
        <w:spacing w:before="120" w:beforeLines="50" w:line="360" w:lineRule="auto"/>
        <w:jc w:val="center"/>
        <w:rPr>
          <w:rFonts w:hint="eastAsia" w:ascii="华文新魏" w:hAnsi="宋体" w:eastAsia="华文新魏"/>
          <w:color w:val="auto"/>
          <w:sz w:val="120"/>
          <w:szCs w:val="120"/>
          <w:highlight w:val="none"/>
        </w:rPr>
      </w:pPr>
      <w:r>
        <w:rPr>
          <w:rFonts w:hint="eastAsia" w:ascii="宋体" w:hAnsi="宋体"/>
          <w:b/>
          <w:color w:val="auto"/>
          <w:sz w:val="72"/>
          <w:szCs w:val="72"/>
          <w:highlight w:val="none"/>
        </w:rPr>
        <w:t>竞争性磋商文件</w:t>
      </w:r>
    </w:p>
    <w:p w14:paraId="33812167">
      <w:pPr>
        <w:snapToGrid w:val="0"/>
        <w:spacing w:line="360" w:lineRule="auto"/>
        <w:rPr>
          <w:rFonts w:hint="eastAsia" w:ascii="仿宋_GB2312" w:hAnsi="宋体" w:eastAsia="仿宋_GB2312"/>
          <w:color w:val="auto"/>
          <w:sz w:val="30"/>
          <w:szCs w:val="72"/>
          <w:highlight w:val="none"/>
        </w:rPr>
      </w:pPr>
    </w:p>
    <w:p w14:paraId="25E1B346">
      <w:pPr>
        <w:pStyle w:val="17"/>
        <w:wordWrap w:val="0"/>
        <w:snapToGrid w:val="0"/>
        <w:spacing w:line="700" w:lineRule="exact"/>
        <w:ind w:left="2745" w:leftChars="600" w:hanging="1485" w:hangingChars="493"/>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项目名称：</w:t>
      </w:r>
      <w:r>
        <w:rPr>
          <w:rFonts w:hint="eastAsia" w:ascii="仿宋_GB2312" w:hAnsi="宋体" w:eastAsia="仿宋_GB2312"/>
          <w:b/>
          <w:bCs/>
          <w:color w:val="auto"/>
          <w:sz w:val="30"/>
          <w:szCs w:val="30"/>
          <w:highlight w:val="none"/>
          <w:lang w:eastAsia="zh-CN"/>
        </w:rPr>
        <w:t>广西北流市罗江(白马河)整治工程(二期)施工监理服务（重）</w:t>
      </w:r>
    </w:p>
    <w:p w14:paraId="0D551566">
      <w:pPr>
        <w:pStyle w:val="17"/>
        <w:wordWrap w:val="0"/>
        <w:snapToGrid w:val="0"/>
        <w:spacing w:line="700" w:lineRule="exact"/>
        <w:ind w:left="2745" w:leftChars="600" w:hanging="1485" w:hangingChars="493"/>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项目编号：</w:t>
      </w:r>
      <w:r>
        <w:rPr>
          <w:rFonts w:hint="eastAsia" w:ascii="仿宋_GB2312" w:hAnsi="宋体" w:eastAsia="仿宋_GB2312"/>
          <w:b/>
          <w:bCs/>
          <w:color w:val="auto"/>
          <w:sz w:val="30"/>
          <w:szCs w:val="30"/>
          <w:highlight w:val="none"/>
          <w:lang w:eastAsia="zh-CN"/>
        </w:rPr>
        <w:t>YLZC2026-C3-810042-YFZX</w:t>
      </w:r>
    </w:p>
    <w:p w14:paraId="2CF9ABBD">
      <w:pPr>
        <w:pStyle w:val="6"/>
        <w:numPr>
          <w:ilvl w:val="0"/>
          <w:numId w:val="0"/>
        </w:numPr>
        <w:tabs>
          <w:tab w:val="left" w:pos="360"/>
        </w:tabs>
        <w:rPr>
          <w:rFonts w:hint="eastAsia"/>
          <w:color w:val="auto"/>
          <w:highlight w:val="none"/>
        </w:rPr>
      </w:pPr>
    </w:p>
    <w:p w14:paraId="698B340E">
      <w:pPr>
        <w:pStyle w:val="17"/>
        <w:wordWrap w:val="0"/>
        <w:snapToGrid w:val="0"/>
        <w:spacing w:line="700" w:lineRule="exact"/>
        <w:rPr>
          <w:rFonts w:hint="eastAsia" w:ascii="仿宋_GB2312" w:hAnsi="宋体" w:eastAsia="仿宋_GB2312"/>
          <w:b/>
          <w:bCs/>
          <w:color w:val="auto"/>
          <w:sz w:val="30"/>
          <w:szCs w:val="30"/>
          <w:highlight w:val="none"/>
        </w:rPr>
      </w:pPr>
    </w:p>
    <w:p w14:paraId="3FE91F4D">
      <w:pPr>
        <w:pStyle w:val="17"/>
        <w:wordWrap w:val="0"/>
        <w:snapToGrid w:val="0"/>
        <w:spacing w:line="700" w:lineRule="exact"/>
        <w:ind w:firstLine="1807" w:firstLineChars="6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w:t>
      </w:r>
      <w:r>
        <w:rPr>
          <w:rFonts w:ascii="仿宋_GB2312" w:hAnsi="宋体" w:eastAsia="仿宋_GB2312"/>
          <w:b/>
          <w:bCs/>
          <w:color w:val="auto"/>
          <w:sz w:val="30"/>
          <w:szCs w:val="30"/>
          <w:highlight w:val="none"/>
        </w:rPr>
        <w:t xml:space="preserve"> </w:t>
      </w:r>
      <w:r>
        <w:rPr>
          <w:rFonts w:hint="eastAsia" w:ascii="仿宋_GB2312" w:hAnsi="宋体" w:eastAsia="仿宋_GB2312"/>
          <w:b/>
          <w:bCs/>
          <w:color w:val="auto"/>
          <w:sz w:val="30"/>
          <w:szCs w:val="30"/>
          <w:highlight w:val="none"/>
        </w:rPr>
        <w:t>购</w:t>
      </w:r>
      <w:r>
        <w:rPr>
          <w:rFonts w:ascii="仿宋_GB2312" w:hAnsi="宋体" w:eastAsia="仿宋_GB2312"/>
          <w:b/>
          <w:bCs/>
          <w:color w:val="auto"/>
          <w:sz w:val="30"/>
          <w:szCs w:val="30"/>
          <w:highlight w:val="none"/>
        </w:rPr>
        <w:t xml:space="preserve"> </w:t>
      </w:r>
      <w:r>
        <w:rPr>
          <w:rFonts w:hint="eastAsia" w:ascii="仿宋_GB2312" w:hAnsi="宋体" w:eastAsia="仿宋_GB2312"/>
          <w:b/>
          <w:bCs/>
          <w:color w:val="auto"/>
          <w:sz w:val="30"/>
          <w:szCs w:val="30"/>
          <w:highlight w:val="none"/>
        </w:rPr>
        <w:t>人：</w:t>
      </w:r>
      <w:r>
        <w:rPr>
          <w:rFonts w:hint="eastAsia" w:ascii="仿宋_GB2312" w:hAnsi="宋体" w:eastAsia="仿宋_GB2312"/>
          <w:b/>
          <w:bCs/>
          <w:color w:val="auto"/>
          <w:sz w:val="30"/>
          <w:szCs w:val="30"/>
          <w:highlight w:val="none"/>
          <w:lang w:eastAsia="zh-CN"/>
        </w:rPr>
        <w:t>北流市水利工程管理站</w:t>
      </w:r>
    </w:p>
    <w:p w14:paraId="1D808AA4">
      <w:pPr>
        <w:pStyle w:val="17"/>
        <w:wordWrap w:val="0"/>
        <w:snapToGrid w:val="0"/>
        <w:spacing w:line="700" w:lineRule="exact"/>
        <w:ind w:firstLine="1807" w:firstLineChars="6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采购代理机构：</w:t>
      </w:r>
      <w:r>
        <w:rPr>
          <w:rFonts w:hint="eastAsia" w:ascii="仿宋_GB2312" w:hAnsi="宋体" w:eastAsia="仿宋_GB2312"/>
          <w:b/>
          <w:bCs/>
          <w:color w:val="auto"/>
          <w:sz w:val="30"/>
          <w:szCs w:val="30"/>
          <w:highlight w:val="none"/>
          <w:lang w:eastAsia="zh-CN"/>
        </w:rPr>
        <w:t>广西御发咨询有限公司</w:t>
      </w:r>
    </w:p>
    <w:p w14:paraId="3993EAF6">
      <w:pPr>
        <w:pStyle w:val="6"/>
        <w:numPr>
          <w:ilvl w:val="0"/>
          <w:numId w:val="0"/>
        </w:numPr>
        <w:tabs>
          <w:tab w:val="left" w:pos="360"/>
        </w:tabs>
        <w:ind w:firstLine="1121" w:firstLineChars="400"/>
        <w:rPr>
          <w:rFonts w:hint="eastAsia"/>
          <w:color w:val="auto"/>
          <w:highlight w:val="none"/>
        </w:rPr>
      </w:pPr>
    </w:p>
    <w:p w14:paraId="6882989E">
      <w:pPr>
        <w:pStyle w:val="17"/>
        <w:wordWrap w:val="0"/>
        <w:snapToGrid w:val="0"/>
        <w:spacing w:line="700" w:lineRule="exact"/>
        <w:ind w:firstLine="1125" w:firstLineChars="393"/>
        <w:rPr>
          <w:rFonts w:hint="eastAsia" w:ascii="仿宋_GB2312" w:hAnsi="宋体" w:eastAsia="仿宋_GB2312"/>
          <w:b/>
          <w:bCs/>
          <w:color w:val="auto"/>
          <w:w w:val="95"/>
          <w:sz w:val="30"/>
          <w:szCs w:val="30"/>
          <w:highlight w:val="none"/>
        </w:rPr>
      </w:pPr>
    </w:p>
    <w:p w14:paraId="7BCCBC05">
      <w:pPr>
        <w:pStyle w:val="17"/>
        <w:wordWrap w:val="0"/>
        <w:snapToGrid w:val="0"/>
        <w:spacing w:line="700" w:lineRule="exact"/>
        <w:jc w:val="center"/>
        <w:rPr>
          <w:rFonts w:ascii="仿宋_GB2312" w:eastAsia="仿宋_GB2312"/>
          <w:color w:val="auto"/>
          <w:szCs w:val="20"/>
          <w:highlight w:val="none"/>
        </w:rPr>
      </w:pP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p>
    <w:p w14:paraId="7907EA24">
      <w:pPr>
        <w:spacing w:line="360" w:lineRule="auto"/>
        <w:jc w:val="center"/>
        <w:rPr>
          <w:rFonts w:ascii="宋体" w:hAnsi="宋体"/>
          <w:b/>
          <w:color w:val="auto"/>
          <w:sz w:val="44"/>
          <w:szCs w:val="44"/>
          <w:highlight w:val="none"/>
        </w:rPr>
        <w:sectPr>
          <w:headerReference r:id="rId3" w:type="default"/>
          <w:footerReference r:id="rId4" w:type="default"/>
          <w:pgSz w:w="11906" w:h="16838"/>
          <w:pgMar w:top="1440" w:right="846" w:bottom="1440" w:left="760" w:header="851" w:footer="992" w:gutter="0"/>
          <w:pgNumType w:start="1"/>
          <w:cols w:space="425" w:num="1"/>
          <w:docGrid w:type="lines" w:linePitch="312" w:charSpace="0"/>
        </w:sectPr>
      </w:pPr>
    </w:p>
    <w:p w14:paraId="5E679B44">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39D8F6C1">
      <w:pPr>
        <w:spacing w:line="400" w:lineRule="exact"/>
        <w:jc w:val="center"/>
        <w:rPr>
          <w:rFonts w:ascii="宋体" w:hAnsi="宋体"/>
          <w:b/>
          <w:color w:val="auto"/>
          <w:sz w:val="44"/>
          <w:szCs w:val="44"/>
          <w:highlight w:val="none"/>
        </w:rPr>
      </w:pPr>
    </w:p>
    <w:p w14:paraId="0D31594A">
      <w:pPr>
        <w:pStyle w:val="22"/>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33"/>
          <w:rFonts w:hint="eastAsia" w:ascii="宋体" w:hAnsi="宋体"/>
          <w:b/>
          <w:color w:val="auto"/>
          <w:sz w:val="24"/>
          <w:highlight w:val="none"/>
        </w:rPr>
        <w:t>第一章</w:t>
      </w:r>
      <w:r>
        <w:rPr>
          <w:rStyle w:val="33"/>
          <w:rFonts w:ascii="宋体" w:hAnsi="宋体"/>
          <w:b/>
          <w:color w:val="auto"/>
          <w:sz w:val="24"/>
          <w:highlight w:val="none"/>
        </w:rPr>
        <w:t xml:space="preserve"> </w:t>
      </w:r>
      <w:r>
        <w:rPr>
          <w:rStyle w:val="33"/>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7805E577">
      <w:pPr>
        <w:pStyle w:val="22"/>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33"/>
          <w:rFonts w:hint="eastAsia" w:ascii="宋体" w:hAnsi="宋体"/>
          <w:b/>
          <w:color w:val="auto"/>
          <w:sz w:val="24"/>
          <w:highlight w:val="none"/>
        </w:rPr>
        <w:t>第二章</w:t>
      </w:r>
      <w:r>
        <w:rPr>
          <w:rStyle w:val="33"/>
          <w:rFonts w:ascii="宋体" w:hAnsi="宋体"/>
          <w:b/>
          <w:color w:val="auto"/>
          <w:sz w:val="24"/>
          <w:highlight w:val="none"/>
        </w:rPr>
        <w:t xml:space="preserve"> </w:t>
      </w:r>
      <w:r>
        <w:rPr>
          <w:rStyle w:val="33"/>
          <w:rFonts w:hint="eastAsia" w:ascii="宋体" w:hAnsi="宋体"/>
          <w:b/>
          <w:color w:val="auto"/>
          <w:sz w:val="24"/>
          <w:highlight w:val="none"/>
        </w:rPr>
        <w:t>供应</w:t>
      </w:r>
      <w:bookmarkStart w:id="0" w:name="_Hlt82161237"/>
      <w:r>
        <w:rPr>
          <w:rStyle w:val="33"/>
          <w:rFonts w:hint="eastAsia" w:ascii="宋体" w:hAnsi="宋体"/>
          <w:b/>
          <w:color w:val="auto"/>
          <w:sz w:val="24"/>
          <w:highlight w:val="none"/>
        </w:rPr>
        <w:t>商</w:t>
      </w:r>
      <w:bookmarkEnd w:id="0"/>
      <w:r>
        <w:rPr>
          <w:rStyle w:val="33"/>
          <w:rFonts w:hint="eastAsia" w:ascii="宋体" w:hAnsi="宋体"/>
          <w:b/>
          <w:color w:val="auto"/>
          <w:sz w:val="24"/>
          <w:highlight w:val="none"/>
        </w:rPr>
        <w:t>须</w:t>
      </w:r>
      <w:bookmarkStart w:id="1" w:name="_Hlt110447617"/>
      <w:bookmarkStart w:id="2" w:name="_Hlt110447618"/>
      <w:r>
        <w:rPr>
          <w:rStyle w:val="33"/>
          <w:rFonts w:hint="eastAsia" w:ascii="宋体" w:hAnsi="宋体"/>
          <w:b/>
          <w:color w:val="auto"/>
          <w:sz w:val="24"/>
          <w:highlight w:val="none"/>
        </w:rPr>
        <w:t>知</w:t>
      </w:r>
      <w:bookmarkEnd w:id="1"/>
      <w:bookmarkEnd w:id="2"/>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174F179D">
      <w:pPr>
        <w:pStyle w:val="22"/>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33"/>
          <w:rFonts w:hint="eastAsia" w:ascii="宋体" w:hAnsi="宋体"/>
          <w:b/>
          <w:color w:val="auto"/>
          <w:sz w:val="24"/>
          <w:highlight w:val="none"/>
        </w:rPr>
        <w:t>第三章</w:t>
      </w:r>
      <w:r>
        <w:rPr>
          <w:rStyle w:val="33"/>
          <w:rFonts w:ascii="宋体" w:hAnsi="宋体"/>
          <w:b/>
          <w:color w:val="auto"/>
          <w:sz w:val="24"/>
          <w:highlight w:val="none"/>
        </w:rPr>
        <w:t xml:space="preserve"> </w:t>
      </w:r>
      <w:r>
        <w:rPr>
          <w:rStyle w:val="33"/>
          <w:rFonts w:hint="eastAsia" w:ascii="宋体" w:hAnsi="宋体"/>
          <w:b/>
          <w:color w:val="auto"/>
          <w:sz w:val="24"/>
          <w:highlight w:val="none"/>
        </w:rPr>
        <w:t>采购需</w:t>
      </w:r>
      <w:bookmarkStart w:id="3" w:name="_Hlt82166940"/>
      <w:r>
        <w:rPr>
          <w:rStyle w:val="33"/>
          <w:rFonts w:hint="eastAsia" w:ascii="宋体" w:hAnsi="宋体"/>
          <w:b/>
          <w:color w:val="auto"/>
          <w:sz w:val="24"/>
          <w:highlight w:val="none"/>
        </w:rPr>
        <w:t>求</w:t>
      </w:r>
      <w:bookmarkEnd w:id="3"/>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23</w:t>
      </w:r>
      <w:r>
        <w:rPr>
          <w:rFonts w:ascii="宋体" w:hAnsi="宋体"/>
          <w:b/>
          <w:color w:val="auto"/>
          <w:sz w:val="24"/>
          <w:highlight w:val="none"/>
        </w:rPr>
        <w:fldChar w:fldCharType="end"/>
      </w:r>
      <w:r>
        <w:rPr>
          <w:rFonts w:ascii="宋体" w:hAnsi="宋体"/>
          <w:b/>
          <w:color w:val="auto"/>
          <w:sz w:val="24"/>
          <w:highlight w:val="none"/>
        </w:rPr>
        <w:fldChar w:fldCharType="end"/>
      </w:r>
    </w:p>
    <w:p w14:paraId="19947CF0">
      <w:pPr>
        <w:pStyle w:val="22"/>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33"/>
          <w:rFonts w:hint="eastAsia" w:ascii="宋体" w:hAnsi="宋体"/>
          <w:b/>
          <w:color w:val="auto"/>
          <w:sz w:val="24"/>
          <w:highlight w:val="none"/>
        </w:rPr>
        <w:t>第四章</w:t>
      </w:r>
      <w:r>
        <w:rPr>
          <w:rStyle w:val="33"/>
          <w:rFonts w:ascii="宋体" w:hAnsi="宋体"/>
          <w:b/>
          <w:color w:val="auto"/>
          <w:sz w:val="24"/>
          <w:highlight w:val="none"/>
        </w:rPr>
        <w:t xml:space="preserve"> </w:t>
      </w:r>
      <w:r>
        <w:rPr>
          <w:rStyle w:val="33"/>
          <w:rFonts w:hint="eastAsia" w:ascii="宋体" w:hAnsi="宋体"/>
          <w:b/>
          <w:color w:val="auto"/>
          <w:sz w:val="24"/>
          <w:highlight w:val="none"/>
        </w:rPr>
        <w:t>评审程序、</w:t>
      </w:r>
      <w:bookmarkStart w:id="4" w:name="_Hlt82166000"/>
      <w:r>
        <w:rPr>
          <w:rStyle w:val="33"/>
          <w:rFonts w:hint="eastAsia" w:ascii="宋体" w:hAnsi="宋体"/>
          <w:b/>
          <w:color w:val="auto"/>
          <w:sz w:val="24"/>
          <w:highlight w:val="none"/>
        </w:rPr>
        <w:t>评</w:t>
      </w:r>
      <w:bookmarkEnd w:id="4"/>
      <w:r>
        <w:rPr>
          <w:rStyle w:val="33"/>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- 26 -</w:t>
      </w:r>
      <w:r>
        <w:rPr>
          <w:rFonts w:ascii="宋体" w:hAnsi="宋体"/>
          <w:b/>
          <w:color w:val="auto"/>
          <w:sz w:val="24"/>
          <w:highlight w:val="none"/>
        </w:rPr>
        <w:fldChar w:fldCharType="end"/>
      </w:r>
      <w:r>
        <w:rPr>
          <w:rFonts w:ascii="宋体" w:hAnsi="宋体"/>
          <w:b/>
          <w:color w:val="auto"/>
          <w:sz w:val="24"/>
          <w:highlight w:val="none"/>
        </w:rPr>
        <w:fldChar w:fldCharType="end"/>
      </w:r>
    </w:p>
    <w:p w14:paraId="5D5ECA75">
      <w:pPr>
        <w:pStyle w:val="22"/>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33"/>
          <w:rFonts w:hint="eastAsia" w:ascii="宋体" w:hAnsi="宋体"/>
          <w:b/>
          <w:color w:val="auto"/>
          <w:sz w:val="24"/>
          <w:highlight w:val="none"/>
        </w:rPr>
        <w:t>第五章</w:t>
      </w:r>
      <w:r>
        <w:rPr>
          <w:rStyle w:val="33"/>
          <w:rFonts w:ascii="宋体" w:hAnsi="宋体"/>
          <w:b/>
          <w:color w:val="auto"/>
          <w:sz w:val="24"/>
          <w:highlight w:val="none"/>
        </w:rPr>
        <w:t xml:space="preserve"> </w:t>
      </w:r>
      <w:r>
        <w:rPr>
          <w:rStyle w:val="33"/>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- 35 -</w:t>
      </w:r>
      <w:r>
        <w:rPr>
          <w:rFonts w:ascii="宋体" w:hAnsi="宋体"/>
          <w:b/>
          <w:color w:val="auto"/>
          <w:sz w:val="24"/>
          <w:highlight w:val="none"/>
        </w:rPr>
        <w:fldChar w:fldCharType="end"/>
      </w:r>
      <w:r>
        <w:rPr>
          <w:rFonts w:ascii="宋体" w:hAnsi="宋体"/>
          <w:b/>
          <w:color w:val="auto"/>
          <w:sz w:val="24"/>
          <w:highlight w:val="none"/>
        </w:rPr>
        <w:fldChar w:fldCharType="end"/>
      </w:r>
    </w:p>
    <w:p w14:paraId="099E12E5">
      <w:pPr>
        <w:pStyle w:val="22"/>
        <w:tabs>
          <w:tab w:val="right" w:leader="dot" w:pos="8869"/>
        </w:tabs>
        <w:snapToGrid w:val="0"/>
        <w:spacing w:line="500" w:lineRule="atLeast"/>
        <w:rPr>
          <w:rFonts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33"/>
          <w:rFonts w:hint="eastAsia" w:ascii="宋体" w:hAnsi="宋体"/>
          <w:b/>
          <w:color w:val="auto"/>
          <w:sz w:val="24"/>
          <w:highlight w:val="none"/>
        </w:rPr>
        <w:t>第六章</w:t>
      </w:r>
      <w:r>
        <w:rPr>
          <w:rStyle w:val="33"/>
          <w:rFonts w:ascii="宋体" w:hAnsi="宋体"/>
          <w:b/>
          <w:color w:val="auto"/>
          <w:sz w:val="24"/>
          <w:highlight w:val="none"/>
        </w:rPr>
        <w:t xml:space="preserve"> </w:t>
      </w:r>
      <w:r>
        <w:rPr>
          <w:rStyle w:val="33"/>
          <w:rFonts w:hint="eastAsia" w:ascii="宋体" w:hAnsi="宋体"/>
          <w:b/>
          <w:color w:val="auto"/>
          <w:sz w:val="24"/>
          <w:highlight w:val="none"/>
        </w:rPr>
        <w:t>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- 65 -</w:t>
      </w:r>
      <w:r>
        <w:rPr>
          <w:rFonts w:ascii="宋体" w:hAnsi="宋体"/>
          <w:b/>
          <w:color w:val="auto"/>
          <w:sz w:val="24"/>
          <w:highlight w:val="none"/>
        </w:rPr>
        <w:fldChar w:fldCharType="end"/>
      </w:r>
      <w:r>
        <w:rPr>
          <w:rFonts w:ascii="宋体" w:hAnsi="宋体"/>
          <w:b/>
          <w:color w:val="auto"/>
          <w:sz w:val="24"/>
          <w:highlight w:val="none"/>
        </w:rPr>
        <w:fldChar w:fldCharType="end"/>
      </w:r>
    </w:p>
    <w:p w14:paraId="3431420C">
      <w:pPr>
        <w:pStyle w:val="23"/>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7A2B2A5E">
      <w:pPr>
        <w:spacing w:line="400" w:lineRule="exact"/>
        <w:jc w:val="left"/>
        <w:rPr>
          <w:rFonts w:ascii="宋体" w:hAnsi="宋体"/>
          <w:b/>
          <w:color w:val="auto"/>
          <w:sz w:val="32"/>
          <w:szCs w:val="32"/>
          <w:highlight w:val="none"/>
        </w:rPr>
      </w:pPr>
    </w:p>
    <w:p w14:paraId="465EA9BA">
      <w:pPr>
        <w:spacing w:line="400" w:lineRule="exact"/>
        <w:jc w:val="center"/>
        <w:rPr>
          <w:rFonts w:ascii="宋体" w:hAnsi="宋体"/>
          <w:b/>
          <w:color w:val="auto"/>
          <w:sz w:val="32"/>
          <w:szCs w:val="32"/>
          <w:highlight w:val="none"/>
        </w:rPr>
      </w:pPr>
    </w:p>
    <w:p w14:paraId="6C90985F">
      <w:pPr>
        <w:spacing w:line="400" w:lineRule="exact"/>
        <w:jc w:val="center"/>
        <w:rPr>
          <w:rFonts w:ascii="宋体" w:hAnsi="宋体"/>
          <w:b/>
          <w:color w:val="auto"/>
          <w:sz w:val="32"/>
          <w:szCs w:val="32"/>
          <w:highlight w:val="none"/>
        </w:rPr>
      </w:pPr>
    </w:p>
    <w:p w14:paraId="28F38446">
      <w:pPr>
        <w:spacing w:line="400" w:lineRule="exact"/>
        <w:jc w:val="center"/>
        <w:rPr>
          <w:rFonts w:ascii="宋体" w:hAnsi="宋体"/>
          <w:b/>
          <w:color w:val="auto"/>
          <w:sz w:val="32"/>
          <w:szCs w:val="32"/>
          <w:highlight w:val="none"/>
        </w:rPr>
      </w:pPr>
    </w:p>
    <w:p w14:paraId="55DE76F1">
      <w:pPr>
        <w:spacing w:line="400" w:lineRule="exact"/>
        <w:jc w:val="center"/>
        <w:rPr>
          <w:rFonts w:ascii="宋体" w:hAnsi="宋体"/>
          <w:b/>
          <w:color w:val="auto"/>
          <w:sz w:val="32"/>
          <w:szCs w:val="32"/>
          <w:highlight w:val="none"/>
        </w:rPr>
      </w:pPr>
    </w:p>
    <w:p w14:paraId="4D29DE29">
      <w:pPr>
        <w:spacing w:line="400" w:lineRule="exact"/>
        <w:rPr>
          <w:rFonts w:ascii="宋体" w:hAnsi="宋体"/>
          <w:b/>
          <w:color w:val="auto"/>
          <w:sz w:val="32"/>
          <w:szCs w:val="32"/>
          <w:highlight w:val="none"/>
        </w:rPr>
        <w:sectPr>
          <w:footerReference r:id="rId5" w:type="default"/>
          <w:pgSz w:w="11906" w:h="16838"/>
          <w:pgMar w:top="1440" w:right="846" w:bottom="1440" w:left="760" w:header="851" w:footer="992" w:gutter="0"/>
          <w:pgNumType w:start="1"/>
          <w:cols w:space="425" w:num="1"/>
          <w:docGrid w:type="lines" w:linePitch="312" w:charSpace="0"/>
        </w:sectPr>
      </w:pPr>
    </w:p>
    <w:p w14:paraId="3CCCC235">
      <w:pPr>
        <w:pStyle w:val="3"/>
        <w:jc w:val="center"/>
        <w:rPr>
          <w:color w:val="auto"/>
          <w:highlight w:val="none"/>
        </w:rPr>
      </w:pPr>
      <w:bookmarkStart w:id="5" w:name="_Toc74323456"/>
      <w:r>
        <w:rPr>
          <w:rFonts w:hint="eastAsia"/>
          <w:color w:val="auto"/>
          <w:highlight w:val="none"/>
        </w:rPr>
        <w:t>第一章 竞争性磋商公告</w:t>
      </w:r>
      <w:bookmarkEnd w:id="5"/>
    </w:p>
    <w:p w14:paraId="0EA3FBFB">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5B047D27">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highlight w:val="none"/>
        </w:rPr>
      </w:pPr>
      <w:bookmarkStart w:id="6" w:name="_Hlk37430271"/>
      <w:r>
        <w:rPr>
          <w:rFonts w:hint="eastAsia" w:ascii="宋体" w:hAnsi="宋体"/>
          <w:color w:val="auto"/>
          <w:szCs w:val="21"/>
          <w:highlight w:val="none"/>
        </w:rPr>
        <w:t>项目概况</w:t>
      </w:r>
    </w:p>
    <w:p w14:paraId="145BE4A1">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广西北流市罗江(白马河)整治工程(二期)施工监理服务（重）</w:t>
      </w:r>
      <w:r>
        <w:rPr>
          <w:rFonts w:hint="eastAsia" w:ascii="宋体" w:hAnsi="宋体"/>
          <w:color w:val="auto"/>
          <w:szCs w:val="21"/>
          <w:highlight w:val="none"/>
        </w:rPr>
        <w:t xml:space="preserve"> 采购项目的潜在供应商应在“广西政府采购云”平台（https://www.gcy.zfcg.gxzf.gov.cn）获取竞争性磋商文件，并于</w:t>
      </w:r>
      <w:r>
        <w:rPr>
          <w:rFonts w:hint="eastAsia" w:ascii="宋体" w:hAnsi="宋体"/>
          <w:color w:val="auto"/>
          <w:szCs w:val="21"/>
          <w:highlight w:val="none"/>
          <w:u w:val="single"/>
          <w:lang w:eastAsia="zh-CN"/>
        </w:rPr>
        <w:t>2026年4月7日09时00分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北京时间）前提交</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3B5D65A5">
      <w:pPr>
        <w:spacing w:line="400" w:lineRule="exact"/>
        <w:ind w:firstLine="354" w:firstLineChars="147"/>
        <w:rPr>
          <w:rFonts w:ascii="黑体" w:hAnsi="黑体" w:eastAsia="黑体"/>
          <w:b/>
          <w:color w:val="auto"/>
          <w:sz w:val="24"/>
          <w:highlight w:val="none"/>
        </w:rPr>
      </w:pPr>
      <w:bookmarkStart w:id="7" w:name="_Toc28359089"/>
      <w:bookmarkStart w:id="8" w:name="_Toc44229878"/>
      <w:bookmarkStart w:id="9" w:name="_Toc71365905"/>
      <w:bookmarkStart w:id="10" w:name="_Toc35393629"/>
      <w:bookmarkStart w:id="11" w:name="_Toc28359012"/>
      <w:bookmarkStart w:id="12" w:name="_Toc35393798"/>
      <w:r>
        <w:rPr>
          <w:rFonts w:hint="eastAsia" w:ascii="黑体" w:hAnsi="黑体" w:eastAsia="黑体"/>
          <w:b/>
          <w:color w:val="auto"/>
          <w:sz w:val="24"/>
          <w:highlight w:val="none"/>
        </w:rPr>
        <w:t>一、项目基本情况</w:t>
      </w:r>
      <w:bookmarkEnd w:id="7"/>
      <w:bookmarkEnd w:id="8"/>
      <w:bookmarkEnd w:id="9"/>
      <w:bookmarkEnd w:id="10"/>
      <w:bookmarkEnd w:id="11"/>
      <w:bookmarkEnd w:id="12"/>
    </w:p>
    <w:p w14:paraId="41C6C70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YLZC2026-C3-810042-YFZX</w:t>
      </w:r>
    </w:p>
    <w:p w14:paraId="589D44C2">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广西北流市罗江(白马河)整治工程(二期)施工监理服务（重）</w:t>
      </w:r>
    </w:p>
    <w:p w14:paraId="6790BCA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4E62B6E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w:t>
      </w:r>
      <w:bookmarkStart w:id="13" w:name="OLE_LINK8"/>
      <w:bookmarkStart w:id="14" w:name="OLE_LINK1"/>
      <w:r>
        <w:rPr>
          <w:rFonts w:hint="eastAsia" w:ascii="宋体" w:hAnsi="宋体"/>
          <w:color w:val="auto"/>
          <w:szCs w:val="21"/>
          <w:highlight w:val="none"/>
        </w:rPr>
        <w:t>715300.00</w:t>
      </w:r>
      <w:bookmarkEnd w:id="13"/>
      <w:r>
        <w:rPr>
          <w:rFonts w:hint="eastAsia" w:ascii="宋体" w:hAnsi="宋体"/>
          <w:color w:val="auto"/>
          <w:szCs w:val="21"/>
          <w:highlight w:val="none"/>
          <w:lang w:val="en-US" w:eastAsia="zh-CN"/>
        </w:rPr>
        <w:t>元</w:t>
      </w:r>
      <w:bookmarkEnd w:id="14"/>
    </w:p>
    <w:p w14:paraId="2B5920A6">
      <w:pPr>
        <w:spacing w:line="400" w:lineRule="exact"/>
        <w:ind w:firstLine="420" w:firstLineChars="200"/>
        <w:rPr>
          <w:rFonts w:ascii="宋体" w:hAnsi="宋体"/>
          <w:iCs/>
          <w:color w:val="auto"/>
          <w:szCs w:val="21"/>
          <w:highlight w:val="none"/>
          <w:u w:val="single"/>
        </w:rPr>
      </w:pPr>
      <w:r>
        <w:rPr>
          <w:rFonts w:hint="eastAsia" w:ascii="宋体" w:hAnsi="宋体"/>
          <w:color w:val="auto"/>
          <w:szCs w:val="21"/>
          <w:highlight w:val="none"/>
        </w:rPr>
        <w:t>最高限价（元）：</w:t>
      </w:r>
      <w:r>
        <w:rPr>
          <w:rFonts w:hint="eastAsia" w:ascii="宋体" w:hAnsi="宋体"/>
          <w:iCs/>
          <w:color w:val="auto"/>
          <w:szCs w:val="21"/>
          <w:highlight w:val="none"/>
          <w:u w:val="single"/>
        </w:rPr>
        <w:t>/</w:t>
      </w:r>
    </w:p>
    <w:p w14:paraId="672CC95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8"/>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3"/>
        <w:gridCol w:w="2728"/>
        <w:gridCol w:w="1036"/>
        <w:gridCol w:w="4034"/>
      </w:tblGrid>
      <w:tr w14:paraId="05E8C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83" w:type="dxa"/>
            <w:tcBorders>
              <w:top w:val="single" w:color="auto" w:sz="4" w:space="0"/>
              <w:left w:val="single" w:color="auto" w:sz="4" w:space="0"/>
              <w:bottom w:val="single" w:color="auto" w:sz="4" w:space="0"/>
              <w:right w:val="single" w:color="auto" w:sz="4" w:space="0"/>
            </w:tcBorders>
            <w:vAlign w:val="center"/>
          </w:tcPr>
          <w:p w14:paraId="3518680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728" w:type="dxa"/>
            <w:tcBorders>
              <w:top w:val="single" w:color="auto" w:sz="4" w:space="0"/>
              <w:left w:val="single" w:color="auto" w:sz="4" w:space="0"/>
              <w:bottom w:val="single" w:color="auto" w:sz="4" w:space="0"/>
              <w:right w:val="single" w:color="auto" w:sz="4" w:space="0"/>
            </w:tcBorders>
            <w:vAlign w:val="center"/>
          </w:tcPr>
          <w:p w14:paraId="1B04051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036" w:type="dxa"/>
            <w:tcBorders>
              <w:top w:val="single" w:color="auto" w:sz="4" w:space="0"/>
              <w:left w:val="single" w:color="auto" w:sz="4" w:space="0"/>
              <w:bottom w:val="single" w:color="auto" w:sz="4" w:space="0"/>
              <w:right w:val="single" w:color="auto" w:sz="4" w:space="0"/>
            </w:tcBorders>
            <w:vAlign w:val="center"/>
          </w:tcPr>
          <w:p w14:paraId="4F56098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2C3A79D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4034" w:type="dxa"/>
            <w:tcBorders>
              <w:top w:val="single" w:color="auto" w:sz="4" w:space="0"/>
              <w:left w:val="single" w:color="auto" w:sz="4" w:space="0"/>
              <w:bottom w:val="single" w:color="auto" w:sz="4" w:space="0"/>
              <w:right w:val="single" w:color="auto" w:sz="4" w:space="0"/>
            </w:tcBorders>
            <w:vAlign w:val="center"/>
          </w:tcPr>
          <w:p w14:paraId="0FAB7BC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CE51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83" w:type="dxa"/>
            <w:tcBorders>
              <w:top w:val="single" w:color="auto" w:sz="4" w:space="0"/>
              <w:left w:val="single" w:color="auto" w:sz="4" w:space="0"/>
              <w:bottom w:val="single" w:color="auto" w:sz="4" w:space="0"/>
              <w:right w:val="single" w:color="auto" w:sz="4" w:space="0"/>
            </w:tcBorders>
            <w:vAlign w:val="center"/>
          </w:tcPr>
          <w:p w14:paraId="238655F8">
            <w:pPr>
              <w:snapToGrid w:val="0"/>
              <w:spacing w:line="360" w:lineRule="auto"/>
              <w:jc w:val="center"/>
              <w:rPr>
                <w:rFonts w:ascii="宋体" w:hAnsi="宋体"/>
                <w:color w:val="auto"/>
                <w:szCs w:val="21"/>
                <w:highlight w:val="none"/>
              </w:rPr>
            </w:pPr>
            <w:r>
              <w:rPr>
                <w:rFonts w:ascii="宋体" w:hAnsi="宋体"/>
                <w:color w:val="auto"/>
                <w:szCs w:val="21"/>
                <w:highlight w:val="none"/>
              </w:rPr>
              <w:t>1</w:t>
            </w:r>
          </w:p>
        </w:tc>
        <w:tc>
          <w:tcPr>
            <w:tcW w:w="2728" w:type="dxa"/>
            <w:tcBorders>
              <w:top w:val="single" w:color="auto" w:sz="4" w:space="0"/>
              <w:left w:val="single" w:color="auto" w:sz="4" w:space="0"/>
              <w:bottom w:val="single" w:color="auto" w:sz="4" w:space="0"/>
              <w:right w:val="single" w:color="auto" w:sz="4" w:space="0"/>
            </w:tcBorders>
            <w:vAlign w:val="center"/>
          </w:tcPr>
          <w:p w14:paraId="686B1201">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广西北流市罗江(白马河)整治工程(二期)施工监理服务（重）</w:t>
            </w:r>
          </w:p>
        </w:tc>
        <w:tc>
          <w:tcPr>
            <w:tcW w:w="1036" w:type="dxa"/>
            <w:tcBorders>
              <w:top w:val="single" w:color="auto" w:sz="4" w:space="0"/>
              <w:left w:val="single" w:color="auto" w:sz="4" w:space="0"/>
              <w:bottom w:val="single" w:color="auto" w:sz="4" w:space="0"/>
              <w:right w:val="single" w:color="auto" w:sz="4" w:space="0"/>
            </w:tcBorders>
            <w:vAlign w:val="center"/>
          </w:tcPr>
          <w:p w14:paraId="63216ADF">
            <w:pPr>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1项</w:t>
            </w:r>
          </w:p>
        </w:tc>
        <w:tc>
          <w:tcPr>
            <w:tcW w:w="4034" w:type="dxa"/>
            <w:tcBorders>
              <w:top w:val="single" w:color="auto" w:sz="4" w:space="0"/>
              <w:left w:val="single" w:color="auto" w:sz="4" w:space="0"/>
              <w:bottom w:val="single" w:color="auto" w:sz="4" w:space="0"/>
              <w:right w:val="single" w:color="auto" w:sz="4" w:space="0"/>
            </w:tcBorders>
            <w:vAlign w:val="center"/>
          </w:tcPr>
          <w:p w14:paraId="443B80B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广西北流市罗江(白马河)整治工程(二期)施工监理服务（重）</w:t>
            </w:r>
            <w:r>
              <w:rPr>
                <w:rFonts w:hint="eastAsia" w:ascii="宋体" w:hAnsi="宋体" w:cs="宋体"/>
                <w:color w:val="auto"/>
                <w:szCs w:val="21"/>
                <w:highlight w:val="none"/>
              </w:rPr>
              <w:t>，具体详见采购需求。</w:t>
            </w:r>
          </w:p>
        </w:tc>
      </w:tr>
    </w:tbl>
    <w:p w14:paraId="5B825739">
      <w:pPr>
        <w:snapToGrid w:val="0"/>
        <w:spacing w:line="360" w:lineRule="auto"/>
        <w:ind w:firstLine="420" w:firstLineChars="200"/>
        <w:rPr>
          <w:rFonts w:ascii="宋体" w:hAnsi="宋体"/>
          <w:color w:val="auto"/>
          <w:szCs w:val="21"/>
          <w:highlight w:val="none"/>
        </w:rPr>
      </w:pPr>
    </w:p>
    <w:p w14:paraId="60A2863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bookmarkStart w:id="15" w:name="OLE_LINK6"/>
      <w:r>
        <w:rPr>
          <w:rFonts w:hint="eastAsia" w:ascii="宋体" w:hAnsi="宋体"/>
          <w:color w:val="auto"/>
          <w:szCs w:val="21"/>
          <w:highlight w:val="none"/>
          <w:lang w:eastAsia="zh-CN"/>
        </w:rPr>
        <w:t>从签订委托监理合同之日始至工程通过竣工验收止</w:t>
      </w:r>
      <w:r>
        <w:rPr>
          <w:rFonts w:hint="eastAsia" w:ascii="宋体" w:hAnsi="宋体"/>
          <w:color w:val="auto"/>
          <w:szCs w:val="21"/>
          <w:highlight w:val="none"/>
        </w:rPr>
        <w:t>。</w:t>
      </w:r>
      <w:bookmarkEnd w:id="15"/>
    </w:p>
    <w:p w14:paraId="106D09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本项目（否）接受联合体。</w:t>
      </w:r>
    </w:p>
    <w:p w14:paraId="3AE9399F">
      <w:pPr>
        <w:spacing w:line="400" w:lineRule="exact"/>
        <w:ind w:firstLine="354" w:firstLineChars="147"/>
        <w:rPr>
          <w:rFonts w:ascii="黑体" w:hAnsi="黑体" w:eastAsia="黑体"/>
          <w:b/>
          <w:color w:val="auto"/>
          <w:sz w:val="24"/>
          <w:highlight w:val="none"/>
        </w:rPr>
      </w:pPr>
      <w:bookmarkStart w:id="16" w:name="_Toc28359013"/>
      <w:bookmarkStart w:id="17" w:name="_Toc44229879"/>
      <w:bookmarkStart w:id="18" w:name="_Toc35393799"/>
      <w:bookmarkStart w:id="19" w:name="_Toc71365906"/>
      <w:bookmarkStart w:id="20" w:name="_Toc28359090"/>
      <w:bookmarkStart w:id="21" w:name="_Toc35393630"/>
      <w:r>
        <w:rPr>
          <w:rFonts w:hint="eastAsia" w:ascii="黑体" w:hAnsi="黑体" w:eastAsia="黑体"/>
          <w:b/>
          <w:color w:val="auto"/>
          <w:sz w:val="24"/>
          <w:highlight w:val="none"/>
        </w:rPr>
        <w:t>二、申请人的资格条件：</w:t>
      </w:r>
      <w:bookmarkEnd w:id="16"/>
      <w:bookmarkEnd w:id="17"/>
      <w:bookmarkEnd w:id="18"/>
      <w:bookmarkEnd w:id="19"/>
      <w:bookmarkEnd w:id="20"/>
      <w:bookmarkEnd w:id="21"/>
    </w:p>
    <w:p w14:paraId="453B8C86">
      <w:pPr>
        <w:spacing w:line="400" w:lineRule="exact"/>
        <w:ind w:firstLine="420" w:firstLineChars="200"/>
        <w:rPr>
          <w:rFonts w:ascii="宋体" w:hAnsi="宋体"/>
          <w:color w:val="auto"/>
          <w:szCs w:val="21"/>
          <w:highlight w:val="none"/>
        </w:rPr>
      </w:pPr>
      <w:bookmarkStart w:id="22" w:name="_Toc28359091"/>
      <w:bookmarkStart w:id="23" w:name="_Toc28359014"/>
      <w:bookmarkStart w:id="24" w:name="_Toc44229880"/>
      <w:bookmarkStart w:id="25" w:name="_Toc35393800"/>
      <w:bookmarkStart w:id="26" w:name="_Toc35393631"/>
      <w:r>
        <w:rPr>
          <w:rFonts w:hint="eastAsia" w:ascii="宋体" w:hAnsi="宋体"/>
          <w:color w:val="auto"/>
          <w:szCs w:val="21"/>
          <w:highlight w:val="none"/>
        </w:rPr>
        <w:t>1.满足《中华人民共和国政府采购法》第二十二条规定。</w:t>
      </w:r>
    </w:p>
    <w:p w14:paraId="66F45ECD">
      <w:pPr>
        <w:wordWrap w:val="0"/>
        <w:spacing w:line="42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color w:val="auto"/>
          <w:szCs w:val="21"/>
          <w:highlight w:val="none"/>
        </w:rPr>
        <w:t>本项目属于专门面向中小企业采购的项目，供应商应为中小微企业或监狱企业或残疾人福利性单位</w:t>
      </w:r>
      <w:r>
        <w:rPr>
          <w:rFonts w:hint="eastAsia" w:ascii="宋体" w:hAnsi="宋体"/>
          <w:color w:val="auto"/>
          <w:szCs w:val="21"/>
          <w:highlight w:val="none"/>
        </w:rPr>
        <w:t>。</w:t>
      </w:r>
    </w:p>
    <w:p w14:paraId="59202B22">
      <w:pPr>
        <w:wordWrap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bookmarkStart w:id="27" w:name="OLE_LINK7"/>
    </w:p>
    <w:p w14:paraId="6C9E08BA">
      <w:pPr>
        <w:wordWrap w:val="0"/>
        <w:spacing w:line="42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3.1供应商具备相关部门颁发的水利工程施工监理乙级或以上资质。</w:t>
      </w:r>
    </w:p>
    <w:p w14:paraId="1E7FA79E">
      <w:pPr>
        <w:spacing w:line="440" w:lineRule="exact"/>
        <w:ind w:firstLine="630" w:firstLineChars="300"/>
        <w:rPr>
          <w:rFonts w:ascii="宋体" w:hAnsi="宋体"/>
          <w:color w:val="auto"/>
          <w:szCs w:val="21"/>
          <w:highlight w:val="none"/>
        </w:rPr>
      </w:pPr>
      <w:r>
        <w:rPr>
          <w:rFonts w:hint="eastAsia" w:ascii="宋体" w:hAnsi="宋体"/>
          <w:color w:val="auto"/>
          <w:szCs w:val="21"/>
          <w:highlight w:val="none"/>
        </w:rPr>
        <w:t>3.2供应商</w:t>
      </w:r>
      <w:r>
        <w:rPr>
          <w:rFonts w:ascii="宋体" w:hAnsi="宋体"/>
          <w:color w:val="auto"/>
          <w:szCs w:val="21"/>
          <w:highlight w:val="none"/>
        </w:rPr>
        <w:t>拟派的总监理工程师须具备国家注册监理工程师职业资格证（注册专业为水利水电工程）</w:t>
      </w:r>
      <w:r>
        <w:rPr>
          <w:rFonts w:hint="eastAsia" w:ascii="宋体" w:hAnsi="宋体"/>
          <w:color w:val="auto"/>
          <w:szCs w:val="21"/>
          <w:highlight w:val="none"/>
        </w:rPr>
        <w:t>或</w:t>
      </w:r>
      <w:r>
        <w:rPr>
          <w:rFonts w:ascii="宋体" w:hAnsi="宋体"/>
          <w:color w:val="auto"/>
          <w:szCs w:val="21"/>
          <w:highlight w:val="none"/>
        </w:rPr>
        <w:t>持有</w:t>
      </w:r>
      <w:r>
        <w:rPr>
          <w:rFonts w:hint="eastAsia" w:ascii="宋体" w:hAnsi="宋体"/>
          <w:color w:val="auto"/>
          <w:szCs w:val="21"/>
          <w:highlight w:val="none"/>
        </w:rPr>
        <w:t>水利部</w:t>
      </w:r>
      <w:r>
        <w:rPr>
          <w:rFonts w:ascii="宋体" w:hAnsi="宋体"/>
          <w:color w:val="auto"/>
          <w:szCs w:val="21"/>
          <w:highlight w:val="none"/>
        </w:rPr>
        <w:t>批准颁发的</w:t>
      </w:r>
      <w:r>
        <w:rPr>
          <w:rFonts w:hint="eastAsia" w:ascii="宋体" w:hAnsi="宋体"/>
          <w:color w:val="auto"/>
          <w:szCs w:val="21"/>
          <w:highlight w:val="none"/>
        </w:rPr>
        <w:t>中华人民共和国监理工程师注册证书（注册专业为水利工程施工监理）或</w:t>
      </w:r>
      <w:r>
        <w:rPr>
          <w:rFonts w:ascii="宋体" w:hAnsi="宋体"/>
          <w:color w:val="auto"/>
          <w:szCs w:val="21"/>
          <w:highlight w:val="none"/>
        </w:rPr>
        <w:t>持有中国水利工程协会批准颁发的全国水利工程建设监理工程师资格证书</w:t>
      </w:r>
      <w:r>
        <w:rPr>
          <w:rFonts w:hint="eastAsia" w:ascii="宋体" w:hAnsi="宋体"/>
          <w:color w:val="auto"/>
          <w:szCs w:val="21"/>
          <w:highlight w:val="none"/>
        </w:rPr>
        <w:t>（</w:t>
      </w:r>
      <w:r>
        <w:rPr>
          <w:rFonts w:ascii="宋体" w:hAnsi="宋体"/>
          <w:color w:val="auto"/>
          <w:szCs w:val="21"/>
          <w:highlight w:val="none"/>
        </w:rPr>
        <w:t>监理专业为水工建筑</w:t>
      </w:r>
      <w:r>
        <w:rPr>
          <w:rFonts w:hint="eastAsia" w:ascii="宋体" w:hAnsi="宋体"/>
          <w:color w:val="auto"/>
          <w:szCs w:val="21"/>
          <w:highlight w:val="none"/>
        </w:rPr>
        <w:t>），</w:t>
      </w:r>
      <w:r>
        <w:rPr>
          <w:rFonts w:hint="eastAsia" w:ascii="新宋体" w:hAnsi="新宋体" w:eastAsia="新宋体"/>
          <w:color w:val="auto"/>
          <w:szCs w:val="21"/>
          <w:highlight w:val="none"/>
        </w:rPr>
        <w:t>且具有中级或以上技术职称</w:t>
      </w:r>
      <w:r>
        <w:rPr>
          <w:rFonts w:hint="eastAsia" w:ascii="宋体" w:hAnsi="宋体"/>
          <w:color w:val="auto"/>
          <w:szCs w:val="21"/>
          <w:highlight w:val="none"/>
        </w:rPr>
        <w:t>。</w:t>
      </w:r>
    </w:p>
    <w:p w14:paraId="606D9912">
      <w:pPr>
        <w:wordWrap w:val="0"/>
        <w:spacing w:line="420" w:lineRule="exact"/>
        <w:ind w:firstLine="840" w:firstLineChars="400"/>
        <w:rPr>
          <w:rFonts w:ascii="宋体" w:hAnsi="宋体" w:cs="宋体"/>
          <w:color w:val="auto"/>
          <w:szCs w:val="21"/>
          <w:highlight w:val="none"/>
          <w:u w:val="single"/>
        </w:rPr>
      </w:pPr>
    </w:p>
    <w:bookmarkEnd w:id="27"/>
    <w:p w14:paraId="613F78C0">
      <w:pPr>
        <w:spacing w:line="400" w:lineRule="exact"/>
        <w:ind w:firstLine="354" w:firstLineChars="147"/>
        <w:rPr>
          <w:rFonts w:ascii="黑体" w:hAnsi="黑体" w:eastAsia="黑体"/>
          <w:b/>
          <w:color w:val="auto"/>
          <w:sz w:val="24"/>
          <w:highlight w:val="none"/>
        </w:rPr>
      </w:pPr>
      <w:bookmarkStart w:id="28" w:name="_Toc71365907"/>
      <w:r>
        <w:rPr>
          <w:rFonts w:hint="eastAsia" w:ascii="黑体" w:hAnsi="黑体" w:eastAsia="黑体"/>
          <w:b/>
          <w:color w:val="auto"/>
          <w:sz w:val="24"/>
          <w:highlight w:val="none"/>
        </w:rPr>
        <w:t>三、获取竞争性磋商文件</w:t>
      </w:r>
      <w:bookmarkEnd w:id="22"/>
      <w:bookmarkEnd w:id="23"/>
      <w:bookmarkEnd w:id="24"/>
      <w:bookmarkEnd w:id="25"/>
      <w:bookmarkEnd w:id="26"/>
      <w:bookmarkEnd w:id="28"/>
    </w:p>
    <w:p w14:paraId="71C36E0E">
      <w:pPr>
        <w:spacing w:line="400" w:lineRule="exact"/>
        <w:ind w:firstLine="420" w:firstLineChars="200"/>
        <w:rPr>
          <w:rFonts w:ascii="宋体" w:hAnsi="宋体" w:cs="宋体"/>
          <w:bCs/>
          <w:color w:val="auto"/>
          <w:kern w:val="0"/>
          <w:szCs w:val="21"/>
          <w:highlight w:val="none"/>
        </w:rPr>
      </w:pPr>
      <w:bookmarkStart w:id="29" w:name="_Toc44229881"/>
      <w:bookmarkStart w:id="30" w:name="_Toc28359092"/>
      <w:bookmarkStart w:id="31" w:name="_Toc35393801"/>
      <w:bookmarkStart w:id="32" w:name="_Toc28359015"/>
      <w:bookmarkStart w:id="33" w:name="_Toc35393632"/>
      <w:r>
        <w:rPr>
          <w:rFonts w:hint="eastAsia" w:ascii="宋体" w:hAnsi="宋体" w:cs="宋体"/>
          <w:bCs/>
          <w:color w:val="auto"/>
          <w:kern w:val="0"/>
          <w:szCs w:val="21"/>
          <w:highlight w:val="none"/>
        </w:rPr>
        <w:t>时间：</w:t>
      </w:r>
      <w:r>
        <w:rPr>
          <w:rFonts w:hint="eastAsia" w:ascii="宋体" w:hAnsi="宋体"/>
          <w:bCs/>
          <w:color w:val="auto"/>
          <w:szCs w:val="21"/>
          <w:highlight w:val="none"/>
          <w:u w:val="single"/>
          <w:lang w:eastAsia="zh-CN"/>
        </w:rPr>
        <w:t>2026年3月27日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lang w:eastAsia="zh-CN"/>
        </w:rPr>
        <w:t>2026年4月3日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，下午</w:t>
      </w:r>
      <w:r>
        <w:rPr>
          <w:rFonts w:ascii="宋体" w:hAnsi="宋体" w:cs="宋体"/>
          <w:bCs/>
          <w:color w:val="auto"/>
          <w:kern w:val="0"/>
          <w:szCs w:val="21"/>
          <w:highlight w:val="none"/>
          <w:u w:val="single"/>
        </w:rPr>
        <w:t>15:00</w:t>
      </w:r>
      <w:r>
        <w:rPr>
          <w:rFonts w:hint="eastAsia" w:ascii="宋体" w:hAnsi="宋体" w:cs="宋体"/>
          <w:bCs/>
          <w:color w:val="auto"/>
          <w:kern w:val="0"/>
          <w:szCs w:val="21"/>
          <w:highlight w:val="none"/>
        </w:rPr>
        <w:t>至</w:t>
      </w:r>
      <w:r>
        <w:rPr>
          <w:rFonts w:ascii="宋体" w:hAnsi="宋体" w:cs="宋体"/>
          <w:bCs/>
          <w:color w:val="auto"/>
          <w:kern w:val="0"/>
          <w:szCs w:val="21"/>
          <w:highlight w:val="none"/>
          <w:u w:val="single"/>
        </w:rPr>
        <w:t>1</w:t>
      </w:r>
      <w:r>
        <w:rPr>
          <w:rFonts w:hint="eastAsia" w:ascii="宋体" w:hAnsi="宋体" w:cs="宋体"/>
          <w:bCs/>
          <w:color w:val="auto"/>
          <w:kern w:val="0"/>
          <w:szCs w:val="21"/>
          <w:highlight w:val="none"/>
          <w:u w:val="single"/>
        </w:rPr>
        <w:t>8</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0303240B">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11665F46">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zcy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37A22E87">
      <w:pPr>
        <w:spacing w:line="4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bCs/>
          <w:i w:val="0"/>
          <w:color w:val="auto"/>
          <w:kern w:val="0"/>
          <w:szCs w:val="21"/>
          <w:highlight w:val="none"/>
          <w:u w:val="single"/>
        </w:rPr>
        <w:t>0</w:t>
      </w:r>
      <w:r>
        <w:rPr>
          <w:rFonts w:hint="eastAsia" w:ascii="宋体" w:hAnsi="宋体" w:cs="宋体"/>
          <w:bCs/>
          <w:color w:val="auto"/>
          <w:kern w:val="0"/>
          <w:szCs w:val="21"/>
          <w:highlight w:val="none"/>
        </w:rPr>
        <w:t>元</w:t>
      </w:r>
    </w:p>
    <w:p w14:paraId="69439AD4">
      <w:pPr>
        <w:spacing w:line="400" w:lineRule="exact"/>
        <w:ind w:firstLine="354" w:firstLineChars="147"/>
        <w:rPr>
          <w:rFonts w:ascii="黑体" w:hAnsi="黑体" w:eastAsia="黑体"/>
          <w:b/>
          <w:color w:val="auto"/>
          <w:sz w:val="24"/>
          <w:highlight w:val="none"/>
        </w:rPr>
      </w:pPr>
      <w:bookmarkStart w:id="34" w:name="_Toc71365908"/>
      <w:r>
        <w:rPr>
          <w:rFonts w:hint="eastAsia" w:ascii="黑体" w:hAnsi="黑体" w:eastAsia="黑体"/>
          <w:b/>
          <w:color w:val="auto"/>
          <w:sz w:val="24"/>
          <w:highlight w:val="none"/>
        </w:rPr>
        <w:t>四、响应文件提交</w:t>
      </w:r>
      <w:bookmarkEnd w:id="29"/>
      <w:bookmarkEnd w:id="30"/>
      <w:bookmarkEnd w:id="31"/>
      <w:bookmarkEnd w:id="32"/>
      <w:bookmarkEnd w:id="33"/>
      <w:bookmarkEnd w:id="34"/>
    </w:p>
    <w:p w14:paraId="1AEB3AC9">
      <w:pPr>
        <w:spacing w:line="400" w:lineRule="exact"/>
        <w:ind w:firstLine="420" w:firstLineChars="200"/>
        <w:rPr>
          <w:rFonts w:ascii="宋体" w:hAnsi="宋体" w:cs="宋体"/>
          <w:color w:val="auto"/>
          <w:szCs w:val="21"/>
          <w:highlight w:val="none"/>
          <w:u w:val="single"/>
        </w:rPr>
      </w:pPr>
      <w:bookmarkStart w:id="35" w:name="_Toc28359016"/>
      <w:bookmarkStart w:id="36" w:name="_Toc28359093"/>
      <w:bookmarkStart w:id="37" w:name="_Toc35393633"/>
      <w:bookmarkStart w:id="38" w:name="_Toc44229882"/>
      <w:bookmarkStart w:id="39" w:name="_Toc35393802"/>
      <w:r>
        <w:rPr>
          <w:rFonts w:hint="eastAsia" w:ascii="宋体" w:hAnsi="宋体"/>
          <w:color w:val="auto"/>
          <w:szCs w:val="21"/>
          <w:highlight w:val="none"/>
        </w:rPr>
        <w:t>截止时间：</w:t>
      </w:r>
      <w:r>
        <w:rPr>
          <w:rFonts w:hint="eastAsia" w:ascii="宋体" w:hAnsi="宋体"/>
          <w:color w:val="auto"/>
          <w:szCs w:val="21"/>
          <w:highlight w:val="none"/>
          <w:u w:val="single"/>
          <w:lang w:eastAsia="zh-CN"/>
        </w:rPr>
        <w:t>2026年4月7日09时00分</w:t>
      </w:r>
      <w:r>
        <w:rPr>
          <w:rFonts w:hint="eastAsia" w:ascii="宋体" w:hAnsi="宋体"/>
          <w:bCs/>
          <w:color w:val="auto"/>
          <w:szCs w:val="21"/>
          <w:highlight w:val="none"/>
        </w:rPr>
        <w:t>（北京时间）</w:t>
      </w:r>
    </w:p>
    <w:p w14:paraId="2170497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0C311BA0">
      <w:pPr>
        <w:spacing w:line="400" w:lineRule="exact"/>
        <w:ind w:firstLine="354" w:firstLineChars="147"/>
        <w:rPr>
          <w:rFonts w:ascii="黑体" w:hAnsi="黑体" w:eastAsia="黑体"/>
          <w:b/>
          <w:color w:val="auto"/>
          <w:sz w:val="24"/>
          <w:highlight w:val="none"/>
        </w:rPr>
      </w:pPr>
      <w:bookmarkStart w:id="40" w:name="_Toc71365909"/>
      <w:r>
        <w:rPr>
          <w:rFonts w:hint="eastAsia" w:ascii="黑体" w:hAnsi="黑体" w:eastAsia="黑体"/>
          <w:b/>
          <w:color w:val="auto"/>
          <w:sz w:val="24"/>
          <w:highlight w:val="none"/>
        </w:rPr>
        <w:t>五、开启</w:t>
      </w:r>
      <w:bookmarkEnd w:id="35"/>
      <w:bookmarkEnd w:id="36"/>
      <w:bookmarkEnd w:id="37"/>
      <w:bookmarkEnd w:id="38"/>
      <w:bookmarkEnd w:id="39"/>
      <w:bookmarkEnd w:id="40"/>
    </w:p>
    <w:p w14:paraId="35BEB118">
      <w:pPr>
        <w:spacing w:line="40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lang w:eastAsia="zh-CN"/>
        </w:rPr>
        <w:t>2026年4月7日09时00分</w:t>
      </w:r>
      <w:r>
        <w:rPr>
          <w:rFonts w:hint="eastAsia" w:ascii="宋体" w:hAnsi="宋体"/>
          <w:bCs/>
          <w:color w:val="auto"/>
          <w:szCs w:val="21"/>
          <w:highlight w:val="none"/>
        </w:rPr>
        <w:t>（北京时间）</w:t>
      </w:r>
    </w:p>
    <w:p w14:paraId="3F5C3421">
      <w:pPr>
        <w:spacing w:line="40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6408267">
      <w:pPr>
        <w:spacing w:line="400" w:lineRule="exact"/>
        <w:ind w:firstLine="354" w:firstLineChars="147"/>
        <w:rPr>
          <w:rFonts w:ascii="黑体" w:hAnsi="黑体" w:eastAsia="黑体"/>
          <w:b/>
          <w:color w:val="auto"/>
          <w:sz w:val="24"/>
          <w:highlight w:val="none"/>
        </w:rPr>
      </w:pPr>
      <w:bookmarkStart w:id="41" w:name="_Toc71365910"/>
      <w:bookmarkStart w:id="42" w:name="_Toc35393634"/>
      <w:bookmarkStart w:id="43" w:name="_Toc44229883"/>
      <w:bookmarkStart w:id="44" w:name="_Toc35393803"/>
      <w:bookmarkStart w:id="45" w:name="_Toc28359017"/>
      <w:bookmarkStart w:id="46" w:name="_Toc28359094"/>
      <w:r>
        <w:rPr>
          <w:rFonts w:hint="eastAsia" w:ascii="黑体" w:hAnsi="黑体" w:eastAsia="黑体"/>
          <w:b/>
          <w:color w:val="auto"/>
          <w:sz w:val="24"/>
          <w:highlight w:val="none"/>
        </w:rPr>
        <w:t>六、公告期限</w:t>
      </w:r>
      <w:bookmarkEnd w:id="41"/>
      <w:bookmarkEnd w:id="42"/>
      <w:bookmarkEnd w:id="43"/>
      <w:bookmarkEnd w:id="44"/>
      <w:bookmarkEnd w:id="45"/>
      <w:bookmarkEnd w:id="46"/>
    </w:p>
    <w:p w14:paraId="4BB723A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7D07BBE4">
      <w:pPr>
        <w:spacing w:line="400" w:lineRule="exact"/>
        <w:ind w:firstLine="354" w:firstLineChars="147"/>
        <w:rPr>
          <w:rFonts w:ascii="黑体" w:hAnsi="黑体" w:eastAsia="黑体"/>
          <w:b/>
          <w:color w:val="auto"/>
          <w:sz w:val="24"/>
          <w:highlight w:val="none"/>
        </w:rPr>
      </w:pPr>
      <w:bookmarkStart w:id="47" w:name="_Toc35393635"/>
      <w:bookmarkStart w:id="48" w:name="_Toc35393804"/>
      <w:bookmarkStart w:id="49" w:name="_Toc71365911"/>
      <w:bookmarkStart w:id="50" w:name="_Toc44229884"/>
      <w:r>
        <w:rPr>
          <w:rFonts w:hint="eastAsia" w:ascii="黑体" w:hAnsi="黑体" w:eastAsia="黑体"/>
          <w:b/>
          <w:color w:val="auto"/>
          <w:sz w:val="24"/>
          <w:highlight w:val="none"/>
        </w:rPr>
        <w:t>七、其他补充事宜</w:t>
      </w:r>
      <w:bookmarkEnd w:id="47"/>
      <w:bookmarkEnd w:id="48"/>
      <w:bookmarkEnd w:id="49"/>
      <w:bookmarkEnd w:id="50"/>
    </w:p>
    <w:p w14:paraId="4CAB091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45C361B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中国政府采购网（www.ccgp.gov.cn）、广西壮族自治区政府采购网（http://zfcg.gxzf.gov.cn/）、全国公共资源交易平台（广西·玉林）（ggzy.yulin.gov.cn）。</w:t>
      </w:r>
    </w:p>
    <w:p w14:paraId="3A3DCC3D">
      <w:pPr>
        <w:widowControl/>
        <w:spacing w:line="400" w:lineRule="exact"/>
        <w:ind w:firstLine="420" w:firstLineChars="200"/>
        <w:jc w:val="left"/>
        <w:rPr>
          <w:rFonts w:ascii="宋体" w:hAnsi="宋体"/>
          <w:color w:val="auto"/>
          <w:szCs w:val="21"/>
          <w:highlight w:val="none"/>
        </w:rPr>
      </w:pPr>
      <w:bookmarkStart w:id="51" w:name="_Toc35393805"/>
      <w:bookmarkStart w:id="52" w:name="_Toc44229885"/>
      <w:bookmarkStart w:id="53" w:name="_Toc35393636"/>
      <w:bookmarkStart w:id="54" w:name="_Toc28359095"/>
      <w:bookmarkStart w:id="55" w:name="_Toc28359018"/>
      <w:r>
        <w:rPr>
          <w:rFonts w:hint="eastAsia" w:ascii="宋体" w:hAnsi="宋体" w:cs="宋体"/>
          <w:color w:val="auto"/>
          <w:kern w:val="0"/>
          <w:szCs w:val="21"/>
          <w:highlight w:val="none"/>
        </w:rPr>
        <w:t>2.供应商</w:t>
      </w:r>
      <w:r>
        <w:rPr>
          <w:rFonts w:hint="eastAsia" w:ascii="宋体" w:hAnsi="宋体"/>
          <w:color w:val="auto"/>
          <w:szCs w:val="21"/>
          <w:highlight w:val="none"/>
        </w:rPr>
        <w:t>竞标注意事项</w:t>
      </w:r>
    </w:p>
    <w:p w14:paraId="57C63311">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zcy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供应商登录“广西政府采购云”平台，依次进入“服务中心-项目采购-操作流程-电子招竞标-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291DBBAA">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如在操作过程中遇到问题或者需要技术支持，请致电广西政府采购云客服热线：95763</w:t>
      </w:r>
      <w:r>
        <w:rPr>
          <w:rFonts w:hint="eastAsia" w:ascii="宋体" w:hAnsi="宋体"/>
          <w:color w:val="auto"/>
          <w:szCs w:val="21"/>
          <w:highlight w:val="none"/>
        </w:rPr>
        <w:t>）。</w:t>
      </w:r>
    </w:p>
    <w:p w14:paraId="6367A9F9">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E214325">
      <w:pPr>
        <w:widowControl/>
        <w:spacing w:line="400" w:lineRule="exact"/>
        <w:ind w:firstLine="420" w:firstLineChars="20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A1BE594">
      <w:pPr>
        <w:numPr>
          <w:ilvl w:val="0"/>
          <w:numId w:val="2"/>
        </w:num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供应商需要在具备有摄像头及语音功能且互联网网络状况良好的电脑登录“广西政府采购云”平台远程开标大厅参与本次磋商，否则后果自负。</w:t>
      </w:r>
    </w:p>
    <w:p w14:paraId="634E6784">
      <w:pPr>
        <w:pStyle w:val="2"/>
        <w:rPr>
          <w:color w:val="auto"/>
          <w:highlight w:val="none"/>
        </w:rPr>
      </w:pPr>
      <w:r>
        <w:rPr>
          <w:rFonts w:hint="eastAsia" w:ascii="宋体" w:hAnsi="宋体" w:cs="宋体"/>
          <w:color w:val="auto"/>
          <w:kern w:val="0"/>
          <w:szCs w:val="21"/>
          <w:highlight w:val="none"/>
        </w:rPr>
        <w:t xml:space="preserve">     3.评审方式：本项目为远程异地全流程电子评标。</w:t>
      </w:r>
    </w:p>
    <w:p w14:paraId="5F68BA1E">
      <w:pPr>
        <w:spacing w:line="40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1"/>
      <w:bookmarkEnd w:id="52"/>
      <w:bookmarkEnd w:id="53"/>
      <w:bookmarkEnd w:id="54"/>
      <w:bookmarkEnd w:id="55"/>
    </w:p>
    <w:p w14:paraId="38A31B4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10924A55">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北流市水利工程管理站</w:t>
      </w:r>
    </w:p>
    <w:p w14:paraId="66C1F6B5">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北流市龙桥路0006号</w:t>
      </w:r>
    </w:p>
    <w:p w14:paraId="3B06238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项目联系人：欧阳燊</w:t>
      </w:r>
    </w:p>
    <w:p w14:paraId="2981030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项目联系方式：0775-6226881</w:t>
      </w:r>
    </w:p>
    <w:p w14:paraId="4145BB9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08AC30A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广西御发咨询有限公司</w:t>
      </w:r>
      <w:r>
        <w:rPr>
          <w:rFonts w:hint="eastAsia" w:ascii="宋体" w:hAnsi="宋体" w:cs="宋体"/>
          <w:color w:val="auto"/>
          <w:kern w:val="0"/>
          <w:szCs w:val="21"/>
          <w:highlight w:val="none"/>
        </w:rPr>
        <w:t>　</w:t>
      </w:r>
    </w:p>
    <w:p w14:paraId="531611E6">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北流市莲石路27号</w:t>
      </w:r>
    </w:p>
    <w:p w14:paraId="60928B58">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0775-6529266</w:t>
      </w:r>
    </w:p>
    <w:p w14:paraId="2063C11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3214B21C">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梁工</w:t>
      </w:r>
    </w:p>
    <w:p w14:paraId="2DA6B0FE">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电　　话：</w:t>
      </w:r>
      <w:r>
        <w:rPr>
          <w:rFonts w:hint="eastAsia" w:ascii="宋体" w:hAnsi="宋体" w:cs="宋体"/>
          <w:color w:val="auto"/>
          <w:kern w:val="0"/>
          <w:szCs w:val="21"/>
          <w:highlight w:val="none"/>
          <w:lang w:eastAsia="zh-CN"/>
        </w:rPr>
        <w:t>0775-6529266</w:t>
      </w:r>
    </w:p>
    <w:p w14:paraId="4169A23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 监督管理部门：</w:t>
      </w:r>
    </w:p>
    <w:p w14:paraId="0BF0C47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    称：北流市财政局</w:t>
      </w:r>
    </w:p>
    <w:p w14:paraId="2B81902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联系电话：0775-6235685</w:t>
      </w:r>
    </w:p>
    <w:p w14:paraId="24DE62A7">
      <w:pPr>
        <w:spacing w:line="400" w:lineRule="exact"/>
        <w:ind w:firstLine="420" w:firstLineChars="200"/>
        <w:rPr>
          <w:rFonts w:ascii="宋体" w:hAnsi="宋体" w:cs="宋体"/>
          <w:color w:val="auto"/>
          <w:kern w:val="0"/>
          <w:szCs w:val="21"/>
          <w:highlight w:val="none"/>
        </w:rPr>
      </w:pPr>
    </w:p>
    <w:p w14:paraId="67C7E618">
      <w:pPr>
        <w:spacing w:line="400" w:lineRule="exact"/>
        <w:ind w:firstLine="567" w:firstLineChars="27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广西御发咨询有限公司</w:t>
      </w:r>
    </w:p>
    <w:p w14:paraId="24B89431">
      <w:pPr>
        <w:spacing w:line="40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2026年3月27日</w:t>
      </w:r>
    </w:p>
    <w:p w14:paraId="72C58FA5">
      <w:pPr>
        <w:rPr>
          <w:rFonts w:ascii="宋体" w:hAnsi="宋体"/>
          <w:color w:val="auto"/>
          <w:szCs w:val="21"/>
          <w:highlight w:val="none"/>
          <w:u w:val="single"/>
        </w:rPr>
      </w:pPr>
    </w:p>
    <w:p w14:paraId="64ED08E8">
      <w:pPr>
        <w:pStyle w:val="20"/>
        <w:rPr>
          <w:color w:val="auto"/>
          <w:highlight w:val="none"/>
        </w:rPr>
      </w:pPr>
    </w:p>
    <w:bookmarkEnd w:id="6"/>
    <w:p w14:paraId="635ADE7E">
      <w:pPr>
        <w:rPr>
          <w:color w:val="auto"/>
          <w:highlight w:val="none"/>
        </w:rPr>
      </w:pPr>
      <w:bookmarkStart w:id="56" w:name="_Toc74323457"/>
    </w:p>
    <w:p w14:paraId="467C9115">
      <w:pPr>
        <w:pStyle w:val="2"/>
        <w:rPr>
          <w:color w:val="auto"/>
          <w:highlight w:val="none"/>
        </w:rPr>
      </w:pPr>
    </w:p>
    <w:p w14:paraId="2CE147A8">
      <w:pPr>
        <w:pStyle w:val="16"/>
        <w:rPr>
          <w:color w:val="auto"/>
          <w:highlight w:val="none"/>
        </w:rPr>
      </w:pPr>
    </w:p>
    <w:p w14:paraId="5EB01DBF">
      <w:pPr>
        <w:rPr>
          <w:color w:val="auto"/>
          <w:highlight w:val="none"/>
        </w:rPr>
      </w:pPr>
    </w:p>
    <w:p w14:paraId="43466F38">
      <w:pPr>
        <w:pStyle w:val="2"/>
        <w:rPr>
          <w:color w:val="auto"/>
          <w:highlight w:val="none"/>
        </w:rPr>
      </w:pPr>
    </w:p>
    <w:p w14:paraId="0D59B663">
      <w:pPr>
        <w:pStyle w:val="3"/>
        <w:jc w:val="center"/>
        <w:rPr>
          <w:color w:val="auto"/>
          <w:highlight w:val="none"/>
        </w:rPr>
      </w:pPr>
      <w:r>
        <w:rPr>
          <w:rFonts w:hint="eastAsia"/>
          <w:color w:val="auto"/>
          <w:highlight w:val="none"/>
        </w:rPr>
        <w:t>第二章 供应商须知</w:t>
      </w:r>
      <w:bookmarkEnd w:id="56"/>
    </w:p>
    <w:p w14:paraId="4659F311">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1CF4DB2D">
      <w:pPr>
        <w:spacing w:line="400" w:lineRule="exact"/>
        <w:jc w:val="center"/>
        <w:rPr>
          <w:rFonts w:ascii="宋体" w:hAnsi="宋体"/>
          <w:b/>
          <w:color w:val="auto"/>
          <w:sz w:val="32"/>
          <w:szCs w:val="32"/>
          <w:highlight w:val="none"/>
        </w:rPr>
      </w:pPr>
    </w:p>
    <w:tbl>
      <w:tblPr>
        <w:tblStyle w:val="28"/>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D61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5B008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2CAAADE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3CEB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15F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0A6329EF">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3DECFCF5">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2897BC97">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EB4C232">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8E0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F4AB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19A82C07">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75060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4632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2842659B">
            <w:pPr>
              <w:spacing w:line="360" w:lineRule="auto"/>
              <w:rPr>
                <w:rFonts w:ascii="宋体" w:hAnsi="宋体" w:cs="宋体"/>
                <w:color w:val="auto"/>
                <w:szCs w:val="21"/>
                <w:highlight w:val="none"/>
              </w:rPr>
            </w:pPr>
            <w:r>
              <w:rPr>
                <w:rFonts w:hint="eastAsia" w:ascii="宋体" w:hAnsi="宋体"/>
                <w:color w:val="auto"/>
                <w:szCs w:val="21"/>
                <w:highlight w:val="none"/>
              </w:rPr>
              <w:t>联合体竞标要求如下：无。</w:t>
            </w:r>
          </w:p>
        </w:tc>
      </w:tr>
      <w:tr w14:paraId="510F9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82A0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5B8D1F16">
            <w:pPr>
              <w:pStyle w:val="12"/>
              <w:spacing w:line="360" w:lineRule="auto"/>
              <w:rPr>
                <w:rFonts w:ascii="宋体" w:hAnsi="宋体"/>
                <w:color w:val="auto"/>
                <w:szCs w:val="21"/>
                <w:highlight w:val="none"/>
              </w:rPr>
            </w:pPr>
            <w:r>
              <w:rPr>
                <w:rFonts w:hint="eastAsia" w:ascii="宋体" w:hAnsi="宋体"/>
                <w:color w:val="auto"/>
                <w:szCs w:val="21"/>
                <w:highlight w:val="none"/>
              </w:rPr>
              <w:t>不允许分包</w:t>
            </w:r>
          </w:p>
        </w:tc>
      </w:tr>
      <w:tr w14:paraId="31BB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F4FA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406B898D">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A4C9384">
            <w:pPr>
              <w:pStyle w:val="12"/>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EE4EEB">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月内连续</w:t>
            </w:r>
            <w:r>
              <w:rPr>
                <w:rFonts w:hint="eastAsia" w:ascii="宋体" w:hAnsi="宋体" w:cs="宋体"/>
                <w:color w:val="auto"/>
                <w:szCs w:val="21"/>
                <w:highlight w:val="none"/>
                <w:u w:val="single"/>
              </w:rPr>
              <w:t>三</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81AC07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月内连续</w:t>
            </w:r>
            <w:r>
              <w:rPr>
                <w:rFonts w:hint="eastAsia" w:ascii="宋体" w:hAnsi="宋体" w:cs="宋体"/>
                <w:color w:val="auto"/>
                <w:szCs w:val="21"/>
                <w:highlight w:val="none"/>
                <w:u w:val="single"/>
              </w:rPr>
              <w:t>三</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AF3FFE">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color w:val="auto"/>
                <w:szCs w:val="21"/>
                <w:highlight w:val="none"/>
                <w:u w:val="single"/>
              </w:rPr>
              <w:t>202</w:t>
            </w:r>
            <w:r>
              <w:rPr>
                <w:rFonts w:hint="eastAsia"/>
                <w:color w:val="auto"/>
                <w:szCs w:val="21"/>
                <w:highlight w:val="none"/>
                <w:u w:val="single"/>
                <w:lang w:val="en-US" w:eastAsia="zh-CN"/>
              </w:rPr>
              <w:t>4</w:t>
            </w:r>
            <w:r>
              <w:rPr>
                <w:rFonts w:hint="eastAsia"/>
                <w:color w:val="auto"/>
                <w:szCs w:val="21"/>
                <w:highlight w:val="none"/>
                <w:u w:val="single"/>
              </w:rPr>
              <w:t>年度或202</w:t>
            </w:r>
            <w:r>
              <w:rPr>
                <w:rFonts w:hint="eastAsia"/>
                <w:color w:val="auto"/>
                <w:szCs w:val="21"/>
                <w:highlight w:val="none"/>
                <w:u w:val="single"/>
                <w:lang w:val="en-US" w:eastAsia="zh-CN"/>
              </w:rPr>
              <w:t>5</w:t>
            </w:r>
            <w:r>
              <w:rPr>
                <w:rFonts w:hint="eastAsia"/>
                <w:color w:val="auto"/>
                <w:szCs w:val="21"/>
                <w:highlight w:val="none"/>
              </w:rPr>
              <w:t>年度财务报表复印件，或者银行出具的资信证明，或者中国人民银行征信中心出具的信用报告；供应商属于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w:t>
            </w:r>
            <w:r>
              <w:rPr>
                <w:rFonts w:hint="eastAsia"/>
                <w:color w:val="auto"/>
                <w:highlight w:val="none"/>
              </w:rPr>
              <w:t>资信证明应在有效期内，未注明有效期的，银行出具时间至响应文件提交截止时间不超过一年</w:t>
            </w:r>
            <w:r>
              <w:rPr>
                <w:rFonts w:hint="eastAsia"/>
                <w:color w:val="auto"/>
                <w:szCs w:val="21"/>
                <w:highlight w:val="none"/>
              </w:rPr>
              <w:t>）</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4D0C612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D4AD65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9687E0">
            <w:pPr>
              <w:snapToGrid w:val="0"/>
              <w:spacing w:line="360" w:lineRule="auto"/>
              <w:jc w:val="left"/>
              <w:rPr>
                <w:color w:val="auto"/>
                <w:highlight w:val="none"/>
              </w:rPr>
            </w:pPr>
            <w:r>
              <w:rPr>
                <w:rFonts w:hint="eastAsia"/>
                <w:color w:val="auto"/>
                <w:highlight w:val="none"/>
              </w:rPr>
              <w:t>7.特定资格：</w:t>
            </w:r>
          </w:p>
          <w:p w14:paraId="1ACD6EAC">
            <w:pPr>
              <w:spacing w:line="360" w:lineRule="auto"/>
              <w:ind w:firstLine="420" w:firstLineChars="200"/>
              <w:contextualSpacing/>
              <w:jc w:val="left"/>
              <w:rPr>
                <w:color w:val="auto"/>
                <w:szCs w:val="21"/>
                <w:highlight w:val="none"/>
              </w:rPr>
            </w:pPr>
            <w:r>
              <w:rPr>
                <w:rFonts w:hint="eastAsia" w:ascii="宋体" w:hAnsi="宋体"/>
                <w:color w:val="auto"/>
                <w:szCs w:val="21"/>
                <w:highlight w:val="none"/>
              </w:rPr>
              <w:t>7.1供应商</w:t>
            </w:r>
            <w:r>
              <w:rPr>
                <w:rFonts w:hint="eastAsia"/>
                <w:color w:val="auto"/>
                <w:szCs w:val="21"/>
                <w:highlight w:val="none"/>
              </w:rPr>
              <w:t>具备相关部门颁发的水利工程施工监理乙级或以上资质。</w:t>
            </w:r>
          </w:p>
          <w:p w14:paraId="48D1B1CD">
            <w:pPr>
              <w:spacing w:line="360" w:lineRule="auto"/>
              <w:ind w:firstLine="420" w:firstLineChars="200"/>
              <w:contextualSpacing/>
              <w:jc w:val="left"/>
              <w:rPr>
                <w:color w:val="auto"/>
                <w:szCs w:val="21"/>
                <w:highlight w:val="none"/>
              </w:rPr>
            </w:pPr>
            <w:r>
              <w:rPr>
                <w:rFonts w:hint="eastAsia"/>
                <w:color w:val="auto"/>
                <w:szCs w:val="21"/>
                <w:highlight w:val="none"/>
              </w:rPr>
              <w:t>7.2供应商拟派的总监理工程师须具备国家注册监理工程师职业资格证（注册专业为水利水电工程）或持有水利部批准颁发的中华人民共和国监理工程师注册证书（注册专业为水利工程施工监理）或持有中国水利工程协会批准颁发的全国水利工程建设监理工程师资格证书（监理专业为水工建筑），且具有中级或以上技术职称。</w:t>
            </w:r>
          </w:p>
          <w:p w14:paraId="78DAEFCA">
            <w:pPr>
              <w:spacing w:line="360" w:lineRule="auto"/>
              <w:ind w:firstLine="0" w:firstLineChars="0"/>
              <w:contextualSpacing/>
              <w:jc w:val="left"/>
              <w:rPr>
                <w:rFonts w:ascii="宋体" w:hAnsi="宋体" w:cs="宋体"/>
                <w:color w:val="auto"/>
                <w:szCs w:val="21"/>
                <w:highlight w:val="none"/>
              </w:rPr>
            </w:pPr>
            <w:r>
              <w:rPr>
                <w:rFonts w:hint="eastAsia"/>
                <w:color w:val="auto"/>
                <w:szCs w:val="21"/>
                <w:highlight w:val="none"/>
              </w:rPr>
              <w:t>8.供应商为中小微企业或者监狱企业或者残疾人福利性单位的资格证明材料[供应商为中小微企业的应提供《中小企业声明函》；供应商为残疾人福利性单位的应提供《残疾人福利性单位声明函》；供应商为监狱企业的应当提供由省级以上监狱管理局、戒毒管理局（含新疆生产建设兵团）出具的属于监狱企业的证明文件]（声明函格式后附）（必须提供，否则，按无效投标处理）。</w:t>
            </w:r>
          </w:p>
          <w:p w14:paraId="656A13B0">
            <w:pPr>
              <w:snapToGrid w:val="0"/>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3D2FD21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1378D6AA">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1EB3C7BC">
            <w:pPr>
              <w:pStyle w:val="12"/>
              <w:spacing w:line="360" w:lineRule="auto"/>
              <w:ind w:firstLine="420" w:firstLineChars="200"/>
              <w:rPr>
                <w:rFonts w:ascii="宋体" w:hAnsi="宋体"/>
                <w:b/>
                <w:bCs/>
                <w:color w:val="auto"/>
                <w:szCs w:val="21"/>
                <w:highlight w:val="none"/>
              </w:rPr>
            </w:pPr>
            <w:r>
              <w:rPr>
                <w:color w:val="auto"/>
                <w:highlight w:val="none"/>
              </w:rPr>
              <w:t>2.</w:t>
            </w:r>
            <w:r>
              <w:rPr>
                <w:rFonts w:hint="eastAsia" w:ascii="宋体" w:hAnsi="宋体"/>
                <w:b/>
                <w:bCs/>
                <w:color w:val="auto"/>
                <w:szCs w:val="21"/>
                <w:highlight w:val="none"/>
              </w:rPr>
              <w:t>分公司参加竞标的，应当取得总公司授权或出具总公司的有关文件（或制度等）能够证明总公司授权其独立开展业务的证明。</w:t>
            </w:r>
          </w:p>
        </w:tc>
      </w:tr>
      <w:tr w14:paraId="73803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B61C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916F14B">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52C795A4">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44A4BA">
            <w:pPr>
              <w:spacing w:line="360" w:lineRule="auto"/>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4F3B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3261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47AFB91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18156DBF">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489E9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2DE3F1">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F1B36C9">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D936A0">
            <w:pPr>
              <w:spacing w:line="360" w:lineRule="auto"/>
              <w:rPr>
                <w:rFonts w:ascii="宋体" w:hAnsi="宋体" w:cs="宋体"/>
                <w:color w:val="auto"/>
                <w:szCs w:val="21"/>
                <w:highlight w:val="none"/>
              </w:rPr>
            </w:pPr>
            <w:r>
              <w:rPr>
                <w:rFonts w:hint="eastAsia" w:ascii="宋体" w:hAnsi="宋体" w:cs="宋体"/>
                <w:color w:val="auto"/>
                <w:szCs w:val="21"/>
                <w:highlight w:val="none"/>
              </w:rPr>
              <w:t>5.项目实施方案（格式自拟）【内容包括但不局限于评分标准所包含的内容】；（</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AFFEF6">
            <w:pPr>
              <w:spacing w:line="360" w:lineRule="auto"/>
              <w:rPr>
                <w:rFonts w:ascii="宋体" w:hAnsi="宋体" w:cs="宋体"/>
                <w:color w:val="auto"/>
                <w:szCs w:val="21"/>
                <w:highlight w:val="none"/>
              </w:rPr>
            </w:pPr>
            <w:r>
              <w:rPr>
                <w:rFonts w:hint="eastAsia" w:ascii="宋体" w:hAnsi="宋体" w:cs="宋体"/>
                <w:color w:val="auto"/>
                <w:szCs w:val="21"/>
                <w:highlight w:val="none"/>
              </w:rPr>
              <w:t>6.技术要求偏离表（格式后附）；</w:t>
            </w:r>
            <w:bookmarkStart w:id="57" w:name="OLE_LINK5"/>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57"/>
          <w:p w14:paraId="7FA3ECA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7.项目实施人员一览表（格式自拟）； </w:t>
            </w:r>
          </w:p>
          <w:p w14:paraId="7DCE3080">
            <w:pPr>
              <w:spacing w:line="360" w:lineRule="auto"/>
              <w:rPr>
                <w:rFonts w:ascii="宋体" w:hAnsi="宋体" w:cs="宋体"/>
                <w:color w:val="auto"/>
                <w:szCs w:val="21"/>
                <w:highlight w:val="none"/>
              </w:rPr>
            </w:pPr>
            <w:r>
              <w:rPr>
                <w:rFonts w:hint="eastAsia" w:ascii="宋体" w:hAnsi="宋体" w:cs="宋体"/>
                <w:color w:val="auto"/>
                <w:szCs w:val="21"/>
                <w:highlight w:val="none"/>
              </w:rPr>
              <w:t>8.对应采购需求的技术要求、商务要求提供的其他文件资料（格式自拟）；</w:t>
            </w:r>
          </w:p>
          <w:p w14:paraId="4B4039B7">
            <w:pPr>
              <w:spacing w:line="360" w:lineRule="auto"/>
              <w:rPr>
                <w:rFonts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087C9FF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6966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C145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593CA5B">
            <w:pPr>
              <w:snapToGrid w:val="0"/>
              <w:spacing w:line="360" w:lineRule="auto"/>
              <w:jc w:val="left"/>
              <w:rPr>
                <w:rFonts w:ascii="宋体" w:hAnsi="宋体" w:cs="宋体"/>
                <w:color w:val="auto"/>
                <w:szCs w:val="21"/>
                <w:highlight w:val="none"/>
              </w:rPr>
            </w:pPr>
            <w:r>
              <w:rPr>
                <w:rFonts w:hint="eastAsia" w:ascii="宋体" w:hAnsi="宋体"/>
                <w:color w:val="auto"/>
                <w:szCs w:val="21"/>
                <w:highlight w:val="none"/>
              </w:rPr>
              <w:t>竞标报价:供应商可就所磋商项目全部内容作完整唯一报价，漏项报价的或有选择的或有条件的报价。其磋商报价将视为无效报价要求:本项目报价是履行合同的最终价格,</w:t>
            </w:r>
            <w:r>
              <w:rPr>
                <w:rFonts w:hint="eastAsia" w:ascii="宋体" w:hAnsi="宋体" w:cs="宋体"/>
                <w:color w:val="auto"/>
                <w:szCs w:val="21"/>
                <w:highlight w:val="none"/>
              </w:rPr>
              <w:t>即满足全部采购需求所应提供的服务的价格；包括竞标服务的成本、技术服务、培训、税费等所有费用。</w:t>
            </w:r>
            <w:r>
              <w:rPr>
                <w:rFonts w:hint="eastAsia" w:ascii="宋体" w:hAnsi="宋体"/>
                <w:color w:val="auto"/>
                <w:szCs w:val="21"/>
                <w:highlight w:val="none"/>
              </w:rPr>
              <w:t>。</w:t>
            </w:r>
          </w:p>
        </w:tc>
      </w:tr>
      <w:tr w14:paraId="1323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2698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11A7CF5C">
            <w:pPr>
              <w:pStyle w:val="10"/>
              <w:tabs>
                <w:tab w:val="left" w:pos="720"/>
                <w:tab w:val="left" w:pos="840"/>
              </w:tabs>
              <w:snapToGrid w:val="0"/>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120</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tc>
      </w:tr>
      <w:tr w14:paraId="62A5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E196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69177F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tc>
      </w:tr>
      <w:tr w14:paraId="5274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2517E4">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4112B9CE">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D496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871E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4632D6E0">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698456D3">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C7F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E720B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632DEB8F">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人及以上。</w:t>
            </w:r>
          </w:p>
        </w:tc>
      </w:tr>
      <w:tr w14:paraId="6369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FC0B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76FC74C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C69997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 xml:space="preserve">30 </w:t>
            </w:r>
            <w:r>
              <w:rPr>
                <w:rFonts w:ascii="宋体" w:hAnsi="宋体"/>
                <w:color w:val="auto"/>
                <w:highlight w:val="none"/>
                <w:u w:val="single"/>
              </w:rPr>
              <w:t xml:space="preserve"> </w:t>
            </w:r>
            <w:r>
              <w:rPr>
                <w:rFonts w:hint="eastAsia" w:ascii="宋体" w:hAnsi="宋体"/>
                <w:color w:val="auto"/>
                <w:highlight w:val="none"/>
              </w:rPr>
              <w:t>分钟</w:t>
            </w:r>
          </w:p>
        </w:tc>
      </w:tr>
      <w:tr w14:paraId="7DC67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91AB5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0ADCDD5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63E03B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31A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99C40B">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5BBDAB1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olor w:val="auto"/>
                <w:szCs w:val="21"/>
                <w:highlight w:val="none"/>
              </w:rPr>
              <w:t>本项目不收取履约保证金。</w:t>
            </w:r>
          </w:p>
        </w:tc>
      </w:tr>
      <w:tr w14:paraId="0605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238E1E">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2AC7254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6203ED2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5B4E1EA">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958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D6D8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300064D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FE228DF">
            <w:pPr>
              <w:pStyle w:val="17"/>
              <w:snapToGrid w:val="0"/>
              <w:spacing w:line="360" w:lineRule="auto"/>
              <w:rPr>
                <w:rFonts w:hint="eastAsia" w:hAnsi="宋体" w:eastAsia="宋体" w:cs="宋体"/>
                <w:color w:val="auto"/>
                <w:kern w:val="2"/>
                <w:sz w:val="21"/>
                <w:highlight w:val="none"/>
                <w:lang w:eastAsia="zh-CN"/>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lang w:eastAsia="zh-CN"/>
              </w:rPr>
              <w:t>广西御发咨询有限公司</w:t>
            </w:r>
            <w:r>
              <w:rPr>
                <w:rFonts w:hint="eastAsia" w:hAnsi="宋体" w:cs="宋体"/>
                <w:color w:val="auto"/>
                <w:kern w:val="2"/>
                <w:sz w:val="21"/>
                <w:highlight w:val="none"/>
              </w:rPr>
              <w:t>招标部门，联系电话：</w:t>
            </w:r>
            <w:r>
              <w:rPr>
                <w:rFonts w:hint="eastAsia" w:hAnsi="宋体" w:cs="宋体"/>
                <w:color w:val="auto"/>
                <w:kern w:val="2"/>
                <w:sz w:val="21"/>
                <w:highlight w:val="none"/>
                <w:lang w:eastAsia="zh-CN"/>
              </w:rPr>
              <w:t>0775-6529266</w:t>
            </w:r>
            <w:r>
              <w:rPr>
                <w:rFonts w:hint="eastAsia" w:hAnsi="宋体" w:cs="宋体"/>
                <w:color w:val="auto"/>
                <w:kern w:val="2"/>
                <w:sz w:val="21"/>
                <w:highlight w:val="none"/>
              </w:rPr>
              <w:t>，通讯地址：</w:t>
            </w:r>
            <w:r>
              <w:rPr>
                <w:rFonts w:hint="eastAsia" w:hAnsi="宋体" w:cs="宋体"/>
                <w:color w:val="auto"/>
                <w:kern w:val="2"/>
                <w:sz w:val="21"/>
                <w:highlight w:val="none"/>
                <w:lang w:eastAsia="zh-CN"/>
              </w:rPr>
              <w:t>北流市莲石路27号</w:t>
            </w:r>
          </w:p>
          <w:p w14:paraId="7062DA27">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业务时间：工作日每天上午8时00分到12时00分，下午3时00分到6时00分。</w:t>
            </w:r>
          </w:p>
        </w:tc>
      </w:tr>
      <w:tr w14:paraId="5387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DB86E">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6AEABEAF">
            <w:pPr>
              <w:pStyle w:val="17"/>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71F6A97F">
            <w:pPr>
              <w:pStyle w:val="17"/>
              <w:snapToGrid w:val="0"/>
              <w:spacing w:line="360" w:lineRule="auto"/>
              <w:rPr>
                <w:rFonts w:hAnsi="宋体" w:cs="宋体"/>
                <w:color w:val="auto"/>
                <w:sz w:val="21"/>
                <w:highlight w:val="none"/>
              </w:rPr>
            </w:pPr>
            <w:r>
              <w:rPr>
                <w:rFonts w:hint="eastAsia" w:hAnsi="宋体" w:cs="宋体"/>
                <w:color w:val="auto"/>
                <w:sz w:val="21"/>
                <w:highlight w:val="none"/>
              </w:rPr>
              <w:t>本项目代理服务费由成交供应商领取成交通知书前，一次性向采购代理机构支付。</w:t>
            </w:r>
          </w:p>
          <w:p w14:paraId="7E352D5B">
            <w:pPr>
              <w:pStyle w:val="17"/>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6838E52B">
            <w:pPr>
              <w:pStyle w:val="17"/>
              <w:snapToGrid w:val="0"/>
              <w:spacing w:line="360" w:lineRule="auto"/>
              <w:rPr>
                <w:rFonts w:hAnsi="宋体" w:cs="宋体"/>
                <w:color w:val="auto"/>
                <w:sz w:val="21"/>
                <w:highlight w:val="none"/>
              </w:rPr>
            </w:pPr>
            <w:r>
              <w:rPr>
                <w:rFonts w:hint="eastAsia" w:hAnsi="宋体" w:cs="宋体"/>
                <w:color w:val="auto"/>
                <w:sz w:val="21"/>
                <w:highlight w:val="none"/>
              </w:rPr>
              <w:t>采购代理收费：按以下方式计算（成交价100万元内部分，按 1.5% 计算，成交价100万～500万内，按0.8%计算，按差额定率累进法计算后即为代理服务费）。</w:t>
            </w:r>
          </w:p>
          <w:p w14:paraId="0986678A">
            <w:pPr>
              <w:pStyle w:val="17"/>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217F6D65">
            <w:pPr>
              <w:pStyle w:val="17"/>
              <w:snapToGrid w:val="0"/>
              <w:spacing w:line="360" w:lineRule="auto"/>
              <w:rPr>
                <w:rFonts w:hAnsi="宋体" w:cs="宋体"/>
                <w:color w:val="auto"/>
                <w:sz w:val="21"/>
                <w:highlight w:val="none"/>
              </w:rPr>
            </w:pPr>
            <w:r>
              <w:rPr>
                <w:rFonts w:hint="eastAsia" w:hAnsi="宋体" w:cs="宋体"/>
                <w:color w:val="auto"/>
                <w:sz w:val="21"/>
                <w:highlight w:val="none"/>
              </w:rPr>
              <w:t>开户名称：</w:t>
            </w:r>
            <w:r>
              <w:rPr>
                <w:rFonts w:hint="eastAsia" w:hAnsi="宋体" w:cs="宋体"/>
                <w:color w:val="auto"/>
                <w:kern w:val="2"/>
                <w:sz w:val="21"/>
                <w:highlight w:val="none"/>
                <w:lang w:eastAsia="zh-CN"/>
              </w:rPr>
              <w:t>广西御发咨询有限公司</w:t>
            </w:r>
          </w:p>
          <w:p w14:paraId="236AF1BB">
            <w:pPr>
              <w:pStyle w:val="17"/>
              <w:snapToGrid w:val="0"/>
              <w:spacing w:line="360" w:lineRule="auto"/>
              <w:rPr>
                <w:rFonts w:hAnsi="宋体" w:cs="宋体"/>
                <w:color w:val="auto"/>
                <w:sz w:val="21"/>
                <w:highlight w:val="none"/>
              </w:rPr>
            </w:pPr>
            <w:r>
              <w:rPr>
                <w:rFonts w:hint="eastAsia" w:hAnsi="宋体" w:cs="宋体"/>
                <w:color w:val="auto"/>
                <w:sz w:val="21"/>
                <w:highlight w:val="none"/>
              </w:rPr>
              <w:t>开户银行：北流市农村信用合作联社营业部</w:t>
            </w:r>
          </w:p>
          <w:p w14:paraId="37F1124D">
            <w:pPr>
              <w:pStyle w:val="17"/>
              <w:snapToGrid w:val="0"/>
              <w:spacing w:line="360" w:lineRule="auto"/>
              <w:rPr>
                <w:rFonts w:hAnsi="宋体" w:cs="宋体"/>
                <w:color w:val="auto"/>
                <w:sz w:val="21"/>
                <w:highlight w:val="none"/>
              </w:rPr>
            </w:pPr>
            <w:r>
              <w:rPr>
                <w:rFonts w:hint="eastAsia" w:hAnsi="宋体" w:cs="宋体"/>
                <w:color w:val="auto"/>
                <w:sz w:val="21"/>
                <w:highlight w:val="none"/>
              </w:rPr>
              <w:t>银行账号：5482120101155813036</w:t>
            </w:r>
          </w:p>
        </w:tc>
      </w:tr>
      <w:tr w14:paraId="1227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F1A5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7912" w:type="dxa"/>
            <w:vAlign w:val="center"/>
          </w:tcPr>
          <w:p w14:paraId="101FE409">
            <w:pPr>
              <w:pStyle w:val="17"/>
              <w:snapToGrid w:val="0"/>
              <w:spacing w:line="360" w:lineRule="auto"/>
              <w:rPr>
                <w:rFonts w:hAnsi="宋体" w:cs="宋体"/>
                <w:color w:val="auto"/>
                <w:sz w:val="21"/>
                <w:highlight w:val="none"/>
              </w:rPr>
            </w:pPr>
            <w:r>
              <w:rPr>
                <w:rFonts w:hint="eastAsia" w:hAnsi="宋体" w:cs="宋体"/>
                <w:color w:val="auto"/>
                <w:sz w:val="21"/>
                <w:highlight w:val="none"/>
              </w:rPr>
              <w:t>本采购项目采购，现明确以下内容：</w:t>
            </w:r>
          </w:p>
          <w:p w14:paraId="3A061A54">
            <w:pPr>
              <w:pStyle w:val="17"/>
              <w:snapToGrid w:val="0"/>
              <w:spacing w:line="360" w:lineRule="auto"/>
              <w:rPr>
                <w:rFonts w:hAnsi="宋体" w:cs="宋体"/>
                <w:color w:val="auto"/>
                <w:sz w:val="21"/>
                <w:highlight w:val="none"/>
              </w:rPr>
            </w:pPr>
            <w:r>
              <w:rPr>
                <w:rFonts w:hint="eastAsia" w:hAnsi="宋体" w:cs="宋体"/>
                <w:color w:val="auto"/>
                <w:sz w:val="21"/>
                <w:highlight w:val="none"/>
              </w:rPr>
              <w:t>本采购项目涉及中小企业采购，现明确以下内容：</w:t>
            </w:r>
          </w:p>
          <w:p w14:paraId="4BCE2340">
            <w:pPr>
              <w:pStyle w:val="17"/>
              <w:snapToGrid w:val="0"/>
              <w:spacing w:line="360" w:lineRule="auto"/>
              <w:rPr>
                <w:rFonts w:hAnsi="宋体" w:cs="宋体"/>
                <w:color w:val="auto"/>
                <w:sz w:val="21"/>
                <w:highlight w:val="none"/>
              </w:rPr>
            </w:pPr>
            <w:r>
              <w:rPr>
                <w:rFonts w:hint="eastAsia" w:hAnsi="宋体" w:cs="宋体"/>
                <w:color w:val="auto"/>
                <w:sz w:val="21"/>
                <w:highlight w:val="none"/>
              </w:rPr>
              <w:t>1.本项目属于专门面向中小企业采购的项目，供应商应为中小微企业或监狱企业或残疾人福利性单位，相关标的详见本竞争性谈判文件“第三章《采购需求》”；</w:t>
            </w:r>
          </w:p>
          <w:p w14:paraId="76779560">
            <w:pPr>
              <w:pStyle w:val="17"/>
              <w:snapToGrid w:val="0"/>
              <w:spacing w:line="360" w:lineRule="auto"/>
              <w:rPr>
                <w:rFonts w:hAnsi="宋体" w:cs="宋体"/>
                <w:color w:val="auto"/>
                <w:sz w:val="21"/>
                <w:highlight w:val="none"/>
              </w:rPr>
            </w:pPr>
            <w:r>
              <w:rPr>
                <w:rFonts w:hint="eastAsia" w:hAnsi="宋体" w:cs="宋体"/>
                <w:color w:val="auto"/>
                <w:sz w:val="21"/>
                <w:highlight w:val="none"/>
              </w:rPr>
              <w:t>2.中小企业预留预算金额：人民币柒拾壹万伍仟叁佰元整（¥</w:t>
            </w:r>
            <w:r>
              <w:rPr>
                <w:rFonts w:hint="eastAsia" w:ascii="宋体" w:hAnsi="宋体"/>
                <w:color w:val="auto"/>
                <w:szCs w:val="21"/>
                <w:highlight w:val="none"/>
              </w:rPr>
              <w:t>715300.00</w:t>
            </w:r>
            <w:r>
              <w:rPr>
                <w:rFonts w:hint="eastAsia" w:hAnsi="宋体" w:cs="宋体"/>
                <w:color w:val="auto"/>
                <w:sz w:val="21"/>
                <w:highlight w:val="none"/>
              </w:rPr>
              <w:t>；中小企业预留份额：100%；</w:t>
            </w:r>
          </w:p>
          <w:p w14:paraId="51EBC0A6">
            <w:pPr>
              <w:pStyle w:val="17"/>
              <w:snapToGrid w:val="0"/>
              <w:spacing w:line="360" w:lineRule="auto"/>
              <w:rPr>
                <w:rFonts w:hAnsi="宋体" w:cs="宋体"/>
                <w:color w:val="auto"/>
                <w:sz w:val="21"/>
                <w:highlight w:val="none"/>
              </w:rPr>
            </w:pPr>
            <w:r>
              <w:rPr>
                <w:rFonts w:hint="eastAsia" w:hAnsi="宋体" w:cs="宋体"/>
                <w:color w:val="auto"/>
                <w:sz w:val="21"/>
                <w:highlight w:val="none"/>
              </w:rPr>
              <w:t>3.本项目不接受联合体，不允许分包；</w:t>
            </w:r>
          </w:p>
          <w:p w14:paraId="70E8BCA1">
            <w:pPr>
              <w:pStyle w:val="17"/>
              <w:snapToGrid w:val="0"/>
              <w:spacing w:line="360" w:lineRule="auto"/>
              <w:rPr>
                <w:rFonts w:hAnsi="宋体" w:cs="宋体"/>
                <w:color w:val="auto"/>
                <w:sz w:val="21"/>
                <w:highlight w:val="none"/>
              </w:rPr>
            </w:pPr>
            <w:r>
              <w:rPr>
                <w:rFonts w:hint="eastAsia" w:hAnsi="宋体" w:cs="宋体"/>
                <w:color w:val="auto"/>
                <w:sz w:val="21"/>
                <w:highlight w:val="none"/>
              </w:rPr>
              <w:t>4.本项目属于专门面向中小企业采购的项目，不再进行价格扣除及用扣除后的价格参加评审；</w:t>
            </w:r>
          </w:p>
          <w:p w14:paraId="04EE5B71">
            <w:pPr>
              <w:pStyle w:val="17"/>
              <w:snapToGrid w:val="0"/>
              <w:spacing w:line="360" w:lineRule="auto"/>
              <w:rPr>
                <w:rFonts w:hAnsi="宋体" w:cs="宋体"/>
                <w:color w:val="auto"/>
                <w:sz w:val="21"/>
                <w:highlight w:val="none"/>
              </w:rPr>
            </w:pPr>
            <w:r>
              <w:rPr>
                <w:rFonts w:hint="eastAsia" w:hAnsi="宋体" w:cs="宋体"/>
                <w:color w:val="auto"/>
                <w:sz w:val="21"/>
                <w:highlight w:val="none"/>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46AF1E1D">
            <w:pPr>
              <w:pStyle w:val="17"/>
              <w:snapToGrid w:val="0"/>
              <w:spacing w:line="360" w:lineRule="auto"/>
              <w:rPr>
                <w:rFonts w:hAnsi="宋体" w:cs="宋体"/>
                <w:color w:val="auto"/>
                <w:sz w:val="21"/>
                <w:highlight w:val="none"/>
              </w:rPr>
            </w:pPr>
            <w:r>
              <w:rPr>
                <w:rFonts w:hint="eastAsia" w:hAnsi="宋体" w:cs="宋体"/>
                <w:color w:val="auto"/>
                <w:sz w:val="21"/>
                <w:highlight w:val="none"/>
              </w:rPr>
              <w:t>6.本项目采购标的对应的中小企业划分标准所属行业为：</w:t>
            </w:r>
            <w:r>
              <w:rPr>
                <w:rFonts w:hint="eastAsia" w:hAnsi="宋体" w:cs="宋体"/>
                <w:color w:val="auto"/>
                <w:sz w:val="21"/>
                <w:highlight w:val="none"/>
                <w:u w:val="single"/>
              </w:rPr>
              <w:t xml:space="preserve">其他未列明行业 </w:t>
            </w:r>
            <w:r>
              <w:rPr>
                <w:rFonts w:hint="eastAsia" w:hAnsi="宋体" w:cs="宋体"/>
                <w:color w:val="auto"/>
                <w:sz w:val="21"/>
                <w:highlight w:val="none"/>
              </w:rPr>
              <w:t>。</w:t>
            </w:r>
          </w:p>
          <w:p w14:paraId="503E151E">
            <w:pPr>
              <w:pStyle w:val="17"/>
              <w:snapToGrid w:val="0"/>
              <w:spacing w:line="360" w:lineRule="auto"/>
              <w:rPr>
                <w:rFonts w:hAnsi="宋体" w:cs="宋体"/>
                <w:color w:val="auto"/>
                <w:sz w:val="21"/>
                <w:highlight w:val="none"/>
              </w:rPr>
            </w:pPr>
            <w:r>
              <w:rPr>
                <w:rFonts w:hint="eastAsia" w:hAnsi="宋体" w:cs="宋体"/>
                <w:color w:val="auto"/>
                <w:sz w:val="21"/>
                <w:highlight w:val="none"/>
              </w:rPr>
              <w:t>7.广西壮族自治区财政厅关于在政府采购活动中推广使用电子保函的通知；</w:t>
            </w:r>
          </w:p>
          <w:p w14:paraId="6F19E0D4">
            <w:pPr>
              <w:pStyle w:val="17"/>
              <w:snapToGrid w:val="0"/>
              <w:spacing w:line="360" w:lineRule="auto"/>
              <w:rPr>
                <w:color w:val="auto"/>
                <w:highlight w:val="none"/>
              </w:rPr>
            </w:pPr>
            <w:r>
              <w:rPr>
                <w:rFonts w:hint="eastAsia" w:hAnsi="宋体" w:cs="宋体"/>
                <w:color w:val="auto"/>
                <w:sz w:val="21"/>
                <w:highlight w:val="none"/>
              </w:rPr>
              <w:t>8.广西线上“政采贷”政策告知函。</w:t>
            </w:r>
          </w:p>
        </w:tc>
      </w:tr>
      <w:tr w14:paraId="136F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5018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4A5D9DD0">
            <w:pPr>
              <w:pStyle w:val="17"/>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磋商文件</w:t>
            </w:r>
            <w:r>
              <w:rPr>
                <w:rFonts w:hAnsi="宋体" w:cs="宋体"/>
                <w:color w:val="auto"/>
                <w:sz w:val="21"/>
                <w:highlight w:val="none"/>
              </w:rPr>
              <w:t>的各个组成文件应互为解释，互为说明；除</w:t>
            </w:r>
            <w:r>
              <w:rPr>
                <w:rFonts w:hint="eastAsia" w:hAnsi="宋体" w:cs="宋体"/>
                <w:color w:val="auto"/>
                <w:sz w:val="21"/>
                <w:highlight w:val="none"/>
              </w:rPr>
              <w:t>磋商文件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竞争性磋商</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评审程序、评审方法和评审标准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磋商文件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54DC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980D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1E28F733">
            <w:pPr>
              <w:pStyle w:val="17"/>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竞标专用章、业务专用章及银行的转账章、现金收讫章、现金付讫章等其他形式印章均不能代替公章。</w:t>
            </w:r>
          </w:p>
          <w:p w14:paraId="567FF821">
            <w:pPr>
              <w:pStyle w:val="17"/>
              <w:snapToGrid w:val="0"/>
              <w:spacing w:line="360" w:lineRule="auto"/>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113EFB44">
            <w:pPr>
              <w:pStyle w:val="17"/>
              <w:snapToGrid w:val="0"/>
              <w:spacing w:line="360" w:lineRule="auto"/>
              <w:rPr>
                <w:rFonts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71645D69">
            <w:pPr>
              <w:pStyle w:val="17"/>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606895B">
            <w:pPr>
              <w:pStyle w:val="17"/>
              <w:snapToGrid w:val="0"/>
              <w:spacing w:line="360" w:lineRule="auto"/>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39CC2EE8">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7679B46">
      <w:pPr>
        <w:spacing w:line="400" w:lineRule="exact"/>
        <w:jc w:val="center"/>
        <w:rPr>
          <w:rFonts w:ascii="宋体" w:hAnsi="宋体"/>
          <w:b/>
          <w:color w:val="auto"/>
          <w:sz w:val="32"/>
          <w:szCs w:val="32"/>
          <w:highlight w:val="none"/>
        </w:rPr>
      </w:pPr>
    </w:p>
    <w:p w14:paraId="0A399EB4">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3C62EFC1">
      <w:pPr>
        <w:spacing w:line="400" w:lineRule="exact"/>
        <w:rPr>
          <w:rFonts w:ascii="宋体" w:hAnsi="宋体"/>
          <w:color w:val="auto"/>
          <w:szCs w:val="21"/>
          <w:highlight w:val="none"/>
        </w:rPr>
      </w:pPr>
    </w:p>
    <w:p w14:paraId="3DE4136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CDC23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31DEB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8D1B7D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39F69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700F001">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637C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E4D357D">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480D3A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4CF209A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868AC2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5013E8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03EFCC2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596D13C0">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1C9866A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1A2B05B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5123636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63B780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6BD4A5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6A4BA0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94B699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D580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093E7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48A28BE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76FFD351">
      <w:pPr>
        <w:pStyle w:val="8"/>
        <w:keepNext w:val="0"/>
        <w:keepLines w:val="0"/>
        <w:spacing w:before="0" w:after="0" w:line="360" w:lineRule="auto"/>
        <w:ind w:left="420" w:leftChars="200"/>
        <w:rPr>
          <w:rFonts w:ascii="宋体" w:hAnsi="宋体"/>
          <w:b w:val="0"/>
          <w:color w:val="auto"/>
          <w:sz w:val="21"/>
          <w:szCs w:val="21"/>
          <w:highlight w:val="none"/>
        </w:rPr>
      </w:pPr>
      <w:bookmarkStart w:id="58" w:name="_Toc254970532"/>
      <w:bookmarkStart w:id="59" w:name="_Toc254970673"/>
      <w:r>
        <w:rPr>
          <w:rFonts w:hint="eastAsia" w:ascii="宋体" w:hAnsi="宋体"/>
          <w:b w:val="0"/>
          <w:color w:val="auto"/>
          <w:sz w:val="21"/>
          <w:szCs w:val="21"/>
          <w:highlight w:val="none"/>
        </w:rPr>
        <w:t>6.1本项目不允许转包。</w:t>
      </w:r>
    </w:p>
    <w:p w14:paraId="212FC197">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1E531B6">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D4B70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8"/>
      <w:bookmarkEnd w:id="59"/>
    </w:p>
    <w:p w14:paraId="66161862">
      <w:pPr>
        <w:spacing w:line="360" w:lineRule="auto"/>
        <w:ind w:firstLine="420" w:firstLineChars="200"/>
        <w:rPr>
          <w:rFonts w:ascii="宋体" w:hAnsi="宋体" w:cs="宋体"/>
          <w:color w:val="auto"/>
          <w:szCs w:val="21"/>
          <w:highlight w:val="none"/>
        </w:rPr>
      </w:pPr>
      <w:bookmarkStart w:id="60" w:name="_8.1提供相同品牌产品且通过资格审查、符合性审查的不同投标人参加同一合"/>
      <w:bookmarkEnd w:id="60"/>
      <w:r>
        <w:rPr>
          <w:rFonts w:hint="eastAsia" w:ascii="宋体" w:hAnsi="宋体" w:cs="宋体"/>
          <w:color w:val="auto"/>
          <w:szCs w:val="21"/>
          <w:highlight w:val="none"/>
        </w:rPr>
        <w:t>7.</w:t>
      </w:r>
      <w:r>
        <w:rPr>
          <w:rFonts w:ascii="宋体" w:hAnsi="宋体" w:cs="宋体"/>
          <w:color w:val="auto"/>
          <w:szCs w:val="21"/>
          <w:highlight w:val="none"/>
        </w:rPr>
        <w:t>1</w:t>
      </w:r>
      <w:bookmarkStart w:id="6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1"/>
    <w:p w14:paraId="57FB40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243499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3DACD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A24A0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3784B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9069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F0D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896D7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9845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2B3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3A9FC7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8AC0B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6067E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C8EED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8638B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7376CA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21BFB6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5ADA78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3C858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DFD1A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562AE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55BB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C3DCF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92882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95EDF19">
      <w:pPr>
        <w:spacing w:line="360" w:lineRule="auto"/>
        <w:ind w:firstLine="420" w:firstLineChars="200"/>
        <w:rPr>
          <w:rFonts w:ascii="宋体" w:hAnsi="宋体" w:cs="宋体"/>
          <w:color w:val="auto"/>
          <w:szCs w:val="21"/>
          <w:highlight w:val="none"/>
        </w:rPr>
      </w:pPr>
    </w:p>
    <w:p w14:paraId="369768D4">
      <w:pPr>
        <w:spacing w:line="360" w:lineRule="auto"/>
        <w:ind w:left="1" w:firstLine="417" w:firstLineChars="199"/>
        <w:jc w:val="center"/>
        <w:rPr>
          <w:rFonts w:ascii="宋体" w:hAnsi="宋体"/>
          <w:color w:val="auto"/>
          <w:highlight w:val="none"/>
        </w:rPr>
      </w:pPr>
      <w:bookmarkStart w:id="62" w:name="_Toc254970534"/>
      <w:bookmarkStart w:id="63" w:name="_Toc254970675"/>
    </w:p>
    <w:p w14:paraId="5A38863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2"/>
      <w:bookmarkEnd w:id="63"/>
    </w:p>
    <w:p w14:paraId="7C6A8EF4">
      <w:pPr>
        <w:spacing w:line="360" w:lineRule="auto"/>
        <w:rPr>
          <w:rFonts w:ascii="宋体" w:hAnsi="宋体"/>
          <w:color w:val="auto"/>
          <w:szCs w:val="21"/>
          <w:highlight w:val="none"/>
        </w:rPr>
      </w:pPr>
    </w:p>
    <w:p w14:paraId="7AD044B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FCD69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0DFECD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7F4E44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3E0E75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46D3CE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0E23CB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38E8ED4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AB7E3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8A4513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2A942E85">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44E82650">
      <w:pPr>
        <w:spacing w:line="360" w:lineRule="auto"/>
        <w:rPr>
          <w:rFonts w:ascii="宋体" w:hAnsi="宋体"/>
          <w:color w:val="auto"/>
          <w:szCs w:val="21"/>
          <w:highlight w:val="none"/>
        </w:rPr>
      </w:pPr>
    </w:p>
    <w:p w14:paraId="79761328">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1FF33089">
      <w:pPr>
        <w:spacing w:line="360" w:lineRule="auto"/>
        <w:rPr>
          <w:rFonts w:ascii="宋体" w:hAnsi="宋体"/>
          <w:color w:val="auto"/>
          <w:szCs w:val="21"/>
          <w:highlight w:val="none"/>
        </w:rPr>
      </w:pPr>
    </w:p>
    <w:p w14:paraId="476F80D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18222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FF762E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EEC21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338485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4D335664">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D5A47BC">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54F270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30D208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FEC214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753B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0E8BF2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3EDC67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69E643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B77A90F">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3E91CC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375BC6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C16C0C3">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0B3322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2D2570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71D67B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4"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4"/>
    <w:p w14:paraId="06AB0BB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46534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E02E3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BBE4F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CF52FD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49D3098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1527167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00ABC63F">
      <w:pPr>
        <w:spacing w:line="360" w:lineRule="auto"/>
        <w:ind w:firstLine="420" w:firstLineChars="200"/>
        <w:rPr>
          <w:rFonts w:ascii="宋体" w:hAnsi="宋体" w:cs="宋体"/>
          <w:color w:val="auto"/>
          <w:szCs w:val="21"/>
          <w:highlight w:val="none"/>
        </w:rPr>
      </w:pPr>
      <w:bookmarkStart w:id="65"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65"/>
      <w:r>
        <w:rPr>
          <w:rFonts w:hint="eastAsia" w:ascii="宋体" w:hAnsi="宋体" w:cs="宋体"/>
          <w:color w:val="auto"/>
          <w:szCs w:val="21"/>
          <w:highlight w:val="none"/>
        </w:rPr>
        <w:t xml:space="preserve"> </w:t>
      </w:r>
    </w:p>
    <w:p w14:paraId="65C3EE6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2794100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314BE6D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4D7F075">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3BBB038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ED712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7E6D72C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5ECD6F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4A18F07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287EE8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596F13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CC19F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52587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3F2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1F13373">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17D0E14A">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电子备份响应文件是指通过“广西政府采购云电子竞标客户端”在线编制生成且后缀名为“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1219B84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2E32A04">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67A316B3">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71A3550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9A50428">
      <w:pPr>
        <w:snapToGrid w:val="0"/>
        <w:spacing w:line="360" w:lineRule="auto"/>
        <w:ind w:firstLine="420"/>
        <w:jc w:val="left"/>
        <w:rPr>
          <w:rFonts w:ascii="宋体" w:hAnsi="宋体"/>
          <w:color w:val="auto"/>
          <w:szCs w:val="21"/>
          <w:highlight w:val="none"/>
        </w:rPr>
      </w:pPr>
      <w:bookmarkStart w:id="66" w:name="_Toc254970684"/>
      <w:bookmarkStart w:id="67"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登陆</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“电子竞标文件制作与投送教程”）</w:t>
      </w:r>
    </w:p>
    <w:bookmarkEnd w:id="66"/>
    <w:bookmarkEnd w:id="67"/>
    <w:p w14:paraId="440033C5">
      <w:pPr>
        <w:pStyle w:val="72"/>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136532E">
      <w:pPr>
        <w:spacing w:line="360" w:lineRule="auto"/>
        <w:ind w:firstLine="482" w:firstLineChars="200"/>
        <w:rPr>
          <w:rFonts w:ascii="黑体" w:hAnsi="黑体" w:eastAsia="黑体" w:cs="宋体"/>
          <w:b/>
          <w:bCs/>
          <w:color w:val="auto"/>
          <w:sz w:val="24"/>
          <w:highlight w:val="none"/>
        </w:rPr>
      </w:pPr>
      <w:bookmarkStart w:id="68" w:name="_Hlk45702405"/>
      <w:r>
        <w:rPr>
          <w:rFonts w:hint="eastAsia" w:ascii="黑体" w:hAnsi="黑体" w:eastAsia="黑体" w:cs="宋体"/>
          <w:b/>
          <w:bCs/>
          <w:color w:val="auto"/>
          <w:sz w:val="24"/>
          <w:highlight w:val="none"/>
        </w:rPr>
        <w:t>22.响应文件的退回</w:t>
      </w:r>
    </w:p>
    <w:p w14:paraId="2988E4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430C8E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39EBD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8"/>
    <w:p w14:paraId="283D4E36">
      <w:pPr>
        <w:spacing w:line="360" w:lineRule="auto"/>
        <w:rPr>
          <w:rFonts w:ascii="宋体" w:hAnsi="宋体"/>
          <w:color w:val="auto"/>
          <w:szCs w:val="21"/>
          <w:highlight w:val="none"/>
        </w:rPr>
      </w:pPr>
    </w:p>
    <w:p w14:paraId="42ABB2DB">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052F37DA">
      <w:pPr>
        <w:spacing w:line="360" w:lineRule="auto"/>
        <w:ind w:left="420" w:firstLine="420"/>
        <w:rPr>
          <w:rFonts w:ascii="宋体" w:hAnsi="宋体"/>
          <w:color w:val="auto"/>
          <w:szCs w:val="21"/>
          <w:highlight w:val="none"/>
        </w:rPr>
      </w:pPr>
    </w:p>
    <w:p w14:paraId="3D01BF4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18C78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9002E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BD464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6B4BAD7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1A61FEA9">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072DC80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A157A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6624D3A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2A2A7F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2A0CCC2F">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5E219A6">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C8048B6">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1C129407">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4548D637">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5C6E9DED">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7219BF79">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7EEF5053">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8F3F3F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594230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8E1E6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11B7CA6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5BEB0723">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60289C7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54A7E73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2F1FD26">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31A389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4C4C05CC">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2464FB90">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011B055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DB6452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187619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AF1634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EF7DCE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653AAA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CB23B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2600DBE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4131FA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6C649F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D9218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DF76E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B0A4C9D">
      <w:pPr>
        <w:pStyle w:val="7"/>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0087B2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rPr>
        <w:t>接收质疑函的方式、联系部门、联系电话和通讯地址等信息</w:t>
      </w:r>
      <w:r>
        <w:rPr>
          <w:rFonts w:hint="eastAsia" w:ascii="宋体" w:hAnsi="宋体" w:cs="Arial"/>
          <w:color w:val="auto"/>
          <w:highlight w:val="none"/>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99DC7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735AC6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78B87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85B5B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C7BC4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79E9ED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570CD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EC44D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0FF0BD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5D215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B59E9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B899B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8E121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ADEAC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4BD3F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692C0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4821826">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B39E7C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6479BA01">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37B167C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7A5D1605">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6ACB7F94">
      <w:pPr>
        <w:pStyle w:val="17"/>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5849B495">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E47C6FC">
      <w:pPr>
        <w:pStyle w:val="17"/>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A9CBB46">
      <w:pPr>
        <w:pStyle w:val="17"/>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3E6EC73">
      <w:pPr>
        <w:pStyle w:val="17"/>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BAA2E9C">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17EECF2">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341BB90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33.4广西壮族自治区财政厅关于在政府采购活动中推广使用电子保函的通知。</w:t>
      </w:r>
    </w:p>
    <w:p w14:paraId="2745B85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33.5广西线上“政采贷”政策告知函。</w:t>
      </w:r>
    </w:p>
    <w:p w14:paraId="3E15E164">
      <w:pPr>
        <w:spacing w:line="580" w:lineRule="exact"/>
        <w:jc w:val="center"/>
        <w:rPr>
          <w:rFonts w:ascii="宋体" w:hAnsi="宋体" w:cs="宋体"/>
          <w:color w:val="auto"/>
          <w:sz w:val="32"/>
          <w:szCs w:val="32"/>
          <w:highlight w:val="none"/>
        </w:rPr>
      </w:pPr>
    </w:p>
    <w:p w14:paraId="4F98A8AD">
      <w:pPr>
        <w:spacing w:line="580" w:lineRule="exact"/>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政府采购电子保函</w:t>
      </w:r>
    </w:p>
    <w:p w14:paraId="7BF9DA7D">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各供应商：</w:t>
      </w:r>
    </w:p>
    <w:p w14:paraId="14F1D09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3E5C2ED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为贯彻落实《财政部 工业和信息化部关于印发〈政府采购促进中小企业发展管理办法〉的通知》（财库〔2020〕46号）和财政部《关于进一步加大政府采购支持中小企业力度的通知》（财库〔2022〕19号）等文件精神，通过引入信用担保，为中小企业参与政府采购活动提供便利，切实减轻企业负担，进一步优化政府采购营商环境，在前期试点基础上，决定在全区深入推广使用政府采购电子保函业务，现将有关事宜通知如下：</w:t>
      </w:r>
    </w:p>
    <w:p w14:paraId="0296621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一、政府采购电子保函适用范围</w:t>
      </w:r>
    </w:p>
    <w:p w14:paraId="4962F9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政府采购活动中推广使用电子保函替代现金保证金是优化营商环境的重要举措，采购人不得拒收供应商以保函形式提交的竞标保证金、履约保证金和预付款，政府采购电子保函与银行转账等方式缴纳的保证金具有同等法律效力。采购人向供应商支付预付款时，可要求供应商提供等额预付款保函。</w:t>
      </w:r>
    </w:p>
    <w:p w14:paraId="14643022">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
        </w:rPr>
        <w:t>二、积极推广使用政府采购电子保函</w:t>
      </w:r>
    </w:p>
    <w:p w14:paraId="7704708D">
      <w:pPr>
        <w:pStyle w:val="20"/>
        <w:spacing w:line="400" w:lineRule="exact"/>
        <w:rPr>
          <w:color w:val="auto"/>
          <w:highlight w:val="none"/>
        </w:rPr>
      </w:pPr>
    </w:p>
    <w:p w14:paraId="6A7A79A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政府采购电子保函包括政府采购领域的竞标保证金保函、履约保证金保函及预付款保函。</w:t>
      </w:r>
    </w:p>
    <w:p w14:paraId="58CE0C98">
      <w:pPr>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竞标保证金保函。</w:t>
      </w:r>
      <w:r>
        <w:rPr>
          <w:rFonts w:hint="eastAsia" w:ascii="宋体" w:hAnsi="宋体" w:cs="宋体"/>
          <w:color w:val="auto"/>
          <w:szCs w:val="21"/>
          <w:highlight w:val="none"/>
        </w:rPr>
        <w:t>指政府采购活动中，为防止竞标人无故撤销竞标文件或中标后无正当理由不签订合同，采购人或代理机构要求竞标人在递交竞标文件时一并递交的担保机构出具的电子担保凭证。</w:t>
      </w:r>
    </w:p>
    <w:p w14:paraId="2AC7C5A0">
      <w:pPr>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履约保证金保函。</w:t>
      </w:r>
      <w:r>
        <w:rPr>
          <w:rFonts w:hint="eastAsia" w:ascii="宋体" w:hAnsi="宋体" w:cs="宋体"/>
          <w:color w:val="auto"/>
          <w:szCs w:val="21"/>
          <w:highlight w:val="none"/>
        </w:rPr>
        <w:t>指项目履约过程中，为防止中标供应商不按照合同约定或法律的规定履行义务，采购人要求投保人提供担保机构出具的履约保证承诺电子担保凭证。</w:t>
      </w:r>
    </w:p>
    <w:p w14:paraId="5F0CE024">
      <w:pPr>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预付款保函。</w:t>
      </w:r>
      <w:r>
        <w:rPr>
          <w:rFonts w:hint="eastAsia" w:ascii="宋体" w:hAnsi="宋体" w:cs="宋体"/>
          <w:color w:val="auto"/>
          <w:szCs w:val="21"/>
          <w:highlight w:val="none"/>
        </w:rPr>
        <w:t>指采购人支付预付款后，为防止中标供应商不按照合同约定或法律的规定履行义务，采购人要求中标供应商提供担保机构出具的承担返还预付款的电子担保凭证。</w:t>
      </w:r>
    </w:p>
    <w:p w14:paraId="00E7D3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利用全区政府采购“一张网”优势，依托“广西政府采购金融服务平台”（https://jinrong.zcygov.cn/finance/gx），供应商可通过在线方式完成保函申请、递交、验收和索赔等全流程电子化操作，进一步提升政府采购融资便利度。</w:t>
      </w:r>
    </w:p>
    <w:p w14:paraId="4BBE52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电子保函有关业务操作流程和手册可从“广西政府采购金融服务平台”查阅下载，供应商在电子保函的申请、使用、查看应用过程中遇到问题可咨询技术支撑方：400-903-9583。</w:t>
      </w:r>
    </w:p>
    <w:p w14:paraId="1DB167D0">
      <w:pPr>
        <w:rPr>
          <w:color w:val="auto"/>
          <w:highlight w:val="none"/>
        </w:rPr>
      </w:pPr>
    </w:p>
    <w:p w14:paraId="4AA183A4">
      <w:pPr>
        <w:pStyle w:val="17"/>
        <w:spacing w:line="360" w:lineRule="auto"/>
        <w:ind w:firstLine="402" w:firstLineChars="200"/>
        <w:textAlignment w:val="center"/>
        <w:rPr>
          <w:rFonts w:hAnsi="宋体"/>
          <w:b/>
          <w:color w:val="auto"/>
          <w:highlight w:val="none"/>
        </w:rPr>
      </w:pPr>
    </w:p>
    <w:p w14:paraId="5CD3E1BC">
      <w:pPr>
        <w:pStyle w:val="17"/>
        <w:spacing w:line="360" w:lineRule="auto"/>
        <w:ind w:firstLine="402" w:firstLineChars="200"/>
        <w:textAlignment w:val="center"/>
        <w:rPr>
          <w:rFonts w:hAnsi="宋体"/>
          <w:b/>
          <w:color w:val="auto"/>
          <w:highlight w:val="none"/>
        </w:rPr>
      </w:pPr>
    </w:p>
    <w:p w14:paraId="71BD7A6C">
      <w:pPr>
        <w:pStyle w:val="17"/>
        <w:spacing w:line="360" w:lineRule="auto"/>
        <w:ind w:firstLine="402" w:firstLineChars="200"/>
        <w:textAlignment w:val="center"/>
        <w:rPr>
          <w:rFonts w:hAnsi="宋体"/>
          <w:b/>
          <w:color w:val="auto"/>
          <w:highlight w:val="none"/>
        </w:rPr>
      </w:pPr>
    </w:p>
    <w:p w14:paraId="57F93445">
      <w:pPr>
        <w:pStyle w:val="17"/>
        <w:spacing w:line="360" w:lineRule="auto"/>
        <w:ind w:firstLine="402" w:firstLineChars="200"/>
        <w:textAlignment w:val="center"/>
        <w:rPr>
          <w:rFonts w:hAnsi="宋体"/>
          <w:b/>
          <w:color w:val="auto"/>
          <w:highlight w:val="none"/>
        </w:rPr>
      </w:pPr>
    </w:p>
    <w:p w14:paraId="2F2384A1">
      <w:pPr>
        <w:pStyle w:val="17"/>
        <w:spacing w:line="360" w:lineRule="auto"/>
        <w:ind w:firstLine="402" w:firstLineChars="200"/>
        <w:textAlignment w:val="center"/>
        <w:rPr>
          <w:rFonts w:hAnsi="宋体"/>
          <w:b/>
          <w:color w:val="auto"/>
          <w:highlight w:val="none"/>
        </w:rPr>
      </w:pPr>
    </w:p>
    <w:p w14:paraId="6B1FB185">
      <w:pPr>
        <w:spacing w:line="580" w:lineRule="exact"/>
        <w:jc w:val="center"/>
        <w:rPr>
          <w:rFonts w:ascii="方正小标宋_GBK" w:eastAsia="方正小标宋_GBK"/>
          <w:color w:val="auto"/>
          <w:sz w:val="44"/>
          <w:szCs w:val="44"/>
          <w:highlight w:val="none"/>
        </w:rPr>
      </w:pPr>
    </w:p>
    <w:p w14:paraId="5DA7B6FF">
      <w:pPr>
        <w:spacing w:line="580" w:lineRule="exact"/>
        <w:jc w:val="center"/>
        <w:rPr>
          <w:rFonts w:ascii="方正小标宋_GBK" w:eastAsia="方正小标宋_GBK"/>
          <w:color w:val="auto"/>
          <w:sz w:val="44"/>
          <w:szCs w:val="44"/>
          <w:highlight w:val="none"/>
        </w:rPr>
      </w:pPr>
    </w:p>
    <w:p w14:paraId="541BE54D">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64BD64DA">
      <w:pPr>
        <w:spacing w:line="580" w:lineRule="exact"/>
        <w:ind w:firstLine="420" w:firstLineChars="200"/>
        <w:rPr>
          <w:color w:val="auto"/>
          <w:szCs w:val="32"/>
          <w:highlight w:val="none"/>
        </w:rPr>
      </w:pPr>
    </w:p>
    <w:p w14:paraId="2CAB297D">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470735B9">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4E08F63B">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sz w:val="21"/>
          <w:szCs w:val="21"/>
          <w:highlight w:val="none"/>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广西壮族自治区财政厅关于推广线上“政采贷”融资模式的通知》（南宁银发〔2021〕258号），按照双方自愿的原则提供便捷、优惠的贷款服务。</w:t>
      </w:r>
    </w:p>
    <w:p w14:paraId="58939435">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sz w:val="21"/>
          <w:szCs w:val="21"/>
          <w:highlight w:val="none"/>
        </w:rPr>
        <w:t>银行业金融机构</w:t>
      </w:r>
      <w:r>
        <w:rPr>
          <w:rFonts w:hint="eastAsia" w:ascii="宋体" w:hAnsi="宋体" w:cs="宋体"/>
          <w:color w:val="auto"/>
          <w:szCs w:val="21"/>
          <w:highlight w:val="none"/>
        </w:rPr>
        <w:t>联系方式，可在中征应收账款融资服务平台查询（网址：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"https://www.crcrfsp.com/" </w:instrText>
      </w:r>
      <w:r>
        <w:rPr>
          <w:rFonts w:hint="eastAsia" w:ascii="宋体" w:hAnsi="宋体" w:cs="宋体"/>
          <w:color w:val="auto"/>
          <w:szCs w:val="21"/>
          <w:highlight w:val="none"/>
        </w:rPr>
        <w:fldChar w:fldCharType="separate"/>
      </w:r>
      <w:r>
        <w:rPr>
          <w:rStyle w:val="32"/>
          <w:rFonts w:hint="eastAsia" w:ascii="宋体" w:hAnsi="宋体" w:cs="宋体"/>
          <w:color w:val="auto"/>
          <w:szCs w:val="21"/>
          <w:highlight w:val="none"/>
        </w:rPr>
        <w:t>https://www.crcrfsp.com/</w:t>
      </w:r>
      <w:r>
        <w:rPr>
          <w:rStyle w:val="32"/>
          <w:rFonts w:hint="eastAsia" w:ascii="宋体" w:hAnsi="宋体" w:cs="宋体"/>
          <w:color w:val="auto"/>
          <w:szCs w:val="21"/>
          <w:highlight w:val="none"/>
        </w:rPr>
        <w:fldChar w:fldCharType="end"/>
      </w:r>
      <w:r>
        <w:rPr>
          <w:rFonts w:hint="eastAsia" w:ascii="宋体" w:hAnsi="宋体" w:cs="宋体"/>
          <w:color w:val="auto"/>
          <w:szCs w:val="21"/>
          <w:highlight w:val="none"/>
        </w:rPr>
        <w:t>，客服电话：400-009-0001）。</w:t>
      </w:r>
    </w:p>
    <w:p w14:paraId="3645AAFB">
      <w:pPr>
        <w:widowControl/>
        <w:ind w:firstLine="420" w:firstLineChars="200"/>
        <w:rPr>
          <w:rFonts w:hint="eastAsia" w:ascii="宋体" w:hAnsi="宋体" w:cs="宋体"/>
          <w:color w:val="auto"/>
          <w:szCs w:val="21"/>
          <w:highlight w:val="none"/>
        </w:rPr>
      </w:pPr>
    </w:p>
    <w:p w14:paraId="017000D9">
      <w:pPr>
        <w:pStyle w:val="17"/>
        <w:spacing w:line="360" w:lineRule="auto"/>
        <w:textAlignment w:val="center"/>
        <w:rPr>
          <w:rFonts w:hAnsi="宋体"/>
          <w:b/>
          <w:color w:val="auto"/>
          <w:highlight w:val="none"/>
        </w:rPr>
      </w:pPr>
    </w:p>
    <w:p w14:paraId="7768851F">
      <w:pPr>
        <w:rPr>
          <w:rFonts w:hAnsi="宋体"/>
          <w:b/>
          <w:color w:val="auto"/>
          <w:highlight w:val="none"/>
        </w:rPr>
      </w:pPr>
    </w:p>
    <w:p w14:paraId="19B856DC">
      <w:pPr>
        <w:rPr>
          <w:rFonts w:hAnsi="宋体"/>
          <w:b/>
          <w:color w:val="auto"/>
          <w:highlight w:val="none"/>
        </w:rPr>
      </w:pPr>
    </w:p>
    <w:p w14:paraId="7994B76D">
      <w:pPr>
        <w:rPr>
          <w:rFonts w:hAnsi="宋体"/>
          <w:b/>
          <w:color w:val="auto"/>
          <w:highlight w:val="none"/>
        </w:rPr>
      </w:pPr>
    </w:p>
    <w:p w14:paraId="32AD9E94">
      <w:pPr>
        <w:rPr>
          <w:rFonts w:hAnsi="宋体"/>
          <w:b/>
          <w:color w:val="auto"/>
          <w:highlight w:val="none"/>
        </w:rPr>
      </w:pPr>
    </w:p>
    <w:p w14:paraId="0E838CE5">
      <w:pPr>
        <w:rPr>
          <w:rFonts w:hAnsi="宋体"/>
          <w:b/>
          <w:color w:val="auto"/>
          <w:highlight w:val="none"/>
        </w:rPr>
      </w:pPr>
    </w:p>
    <w:p w14:paraId="1F30F476">
      <w:pPr>
        <w:rPr>
          <w:rFonts w:hAnsi="宋体"/>
          <w:b/>
          <w:color w:val="auto"/>
          <w:highlight w:val="none"/>
        </w:rPr>
      </w:pPr>
    </w:p>
    <w:p w14:paraId="74F1A5EE">
      <w:pPr>
        <w:rPr>
          <w:rFonts w:hAnsi="宋体"/>
          <w:b/>
          <w:color w:val="auto"/>
          <w:highlight w:val="none"/>
        </w:rPr>
      </w:pPr>
    </w:p>
    <w:p w14:paraId="47D43966">
      <w:pPr>
        <w:rPr>
          <w:rFonts w:hAnsi="宋体"/>
          <w:b/>
          <w:color w:val="auto"/>
          <w:highlight w:val="none"/>
        </w:rPr>
      </w:pPr>
    </w:p>
    <w:p w14:paraId="2663F87A">
      <w:pPr>
        <w:rPr>
          <w:rFonts w:hAnsi="宋体"/>
          <w:b/>
          <w:color w:val="auto"/>
          <w:highlight w:val="none"/>
        </w:rPr>
      </w:pPr>
    </w:p>
    <w:p w14:paraId="58E1C1B1">
      <w:pPr>
        <w:rPr>
          <w:rFonts w:hAnsi="宋体"/>
          <w:b/>
          <w:color w:val="auto"/>
          <w:highlight w:val="none"/>
        </w:rPr>
      </w:pPr>
    </w:p>
    <w:p w14:paraId="6DD86DFA">
      <w:pPr>
        <w:rPr>
          <w:rFonts w:hAnsi="宋体"/>
          <w:b/>
          <w:color w:val="auto"/>
          <w:highlight w:val="none"/>
        </w:rPr>
      </w:pPr>
    </w:p>
    <w:p w14:paraId="42661775">
      <w:pPr>
        <w:rPr>
          <w:rFonts w:hAnsi="宋体"/>
          <w:b/>
          <w:color w:val="auto"/>
          <w:highlight w:val="none"/>
        </w:rPr>
      </w:pPr>
    </w:p>
    <w:p w14:paraId="5686AC0F">
      <w:pPr>
        <w:rPr>
          <w:rFonts w:hAnsi="宋体"/>
          <w:b/>
          <w:color w:val="auto"/>
          <w:highlight w:val="none"/>
        </w:rPr>
      </w:pPr>
    </w:p>
    <w:p w14:paraId="3B28BF66">
      <w:pPr>
        <w:rPr>
          <w:rFonts w:hAnsi="宋体"/>
          <w:b/>
          <w:color w:val="auto"/>
          <w:highlight w:val="none"/>
        </w:rPr>
      </w:pPr>
    </w:p>
    <w:p w14:paraId="31C091EA">
      <w:pPr>
        <w:rPr>
          <w:rFonts w:hAnsi="宋体"/>
          <w:b/>
          <w:color w:val="auto"/>
          <w:highlight w:val="none"/>
        </w:rPr>
      </w:pPr>
    </w:p>
    <w:p w14:paraId="1D14D250">
      <w:pPr>
        <w:rPr>
          <w:rFonts w:hAnsi="宋体"/>
          <w:b/>
          <w:color w:val="auto"/>
          <w:highlight w:val="none"/>
        </w:rPr>
      </w:pPr>
    </w:p>
    <w:p w14:paraId="3E27C646">
      <w:pPr>
        <w:rPr>
          <w:rFonts w:hAnsi="宋体"/>
          <w:b/>
          <w:color w:val="auto"/>
          <w:highlight w:val="none"/>
        </w:rPr>
      </w:pPr>
    </w:p>
    <w:p w14:paraId="551F2E99">
      <w:pPr>
        <w:pStyle w:val="3"/>
        <w:jc w:val="center"/>
        <w:rPr>
          <w:color w:val="auto"/>
          <w:highlight w:val="none"/>
        </w:rPr>
      </w:pPr>
      <w:bookmarkStart w:id="69" w:name="_Toc74323458"/>
    </w:p>
    <w:p w14:paraId="1088BF82">
      <w:pPr>
        <w:pStyle w:val="3"/>
        <w:jc w:val="center"/>
        <w:rPr>
          <w:color w:val="auto"/>
          <w:highlight w:val="none"/>
        </w:rPr>
      </w:pPr>
      <w:r>
        <w:rPr>
          <w:rFonts w:hint="eastAsia"/>
          <w:color w:val="auto"/>
          <w:highlight w:val="none"/>
        </w:rPr>
        <w:t>第三章 采购需求</w:t>
      </w:r>
      <w:bookmarkEnd w:id="69"/>
    </w:p>
    <w:p w14:paraId="12FC5858">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0155C7B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44BA4288">
      <w:pPr>
        <w:spacing w:line="360" w:lineRule="auto"/>
        <w:jc w:val="left"/>
        <w:rPr>
          <w:rFonts w:ascii="宋体" w:hAnsi="宋体"/>
          <w:color w:val="auto"/>
          <w:highlight w:val="none"/>
        </w:rPr>
      </w:pPr>
      <w:r>
        <w:rPr>
          <w:rFonts w:hint="eastAsia" w:ascii="宋体" w:hAnsi="宋体"/>
          <w:color w:val="auto"/>
          <w:highlight w:val="none"/>
        </w:rPr>
        <w:t>1. 为落实政府采购政策需满足的要求</w:t>
      </w:r>
    </w:p>
    <w:p w14:paraId="232013BB">
      <w:pPr>
        <w:spacing w:line="360" w:lineRule="auto"/>
        <w:jc w:val="left"/>
        <w:rPr>
          <w:rFonts w:ascii="宋体" w:hAnsi="宋体"/>
          <w:color w:val="auto"/>
          <w:highlight w:val="none"/>
        </w:rPr>
      </w:pPr>
      <w:r>
        <w:rPr>
          <w:rFonts w:hint="eastAsia" w:ascii="宋体" w:hAnsi="宋体"/>
          <w:color w:val="auto"/>
          <w:highlight w:val="none"/>
        </w:rPr>
        <w:t>（1）本竞争性磋商采购文件所称中小企业必须符合《政府采购促进中小企业发展管理办法》（财库〔2020〕46号）的规定。</w:t>
      </w:r>
    </w:p>
    <w:p w14:paraId="03C96210">
      <w:pPr>
        <w:spacing w:line="360" w:lineRule="auto"/>
        <w:jc w:val="left"/>
        <w:rPr>
          <w:rFonts w:ascii="宋体" w:hAnsi="宋体"/>
          <w:color w:val="auto"/>
          <w:highlight w:val="none"/>
        </w:rPr>
      </w:pPr>
      <w:r>
        <w:rPr>
          <w:rFonts w:hint="eastAsia" w:ascii="宋体" w:hAnsi="宋体"/>
          <w:color w:val="auto"/>
          <w:highlight w:val="none"/>
        </w:rPr>
        <w:t>2. “实质性要求”是指采购需求中带“▲”的条款或者不能负偏离的条款或者已经指明不满足按响应文件按无效处理的条款。</w:t>
      </w:r>
    </w:p>
    <w:p w14:paraId="5623753E">
      <w:pPr>
        <w:tabs>
          <w:tab w:val="left" w:pos="180"/>
          <w:tab w:val="left" w:pos="1620"/>
        </w:tabs>
        <w:spacing w:line="360" w:lineRule="auto"/>
        <w:jc w:val="left"/>
        <w:rPr>
          <w:rFonts w:ascii="宋体" w:hAnsi="宋体" w:cs="宋体"/>
          <w:color w:val="auto"/>
          <w:szCs w:val="21"/>
          <w:highlight w:val="none"/>
        </w:rPr>
      </w:pPr>
      <w:r>
        <w:rPr>
          <w:rFonts w:ascii="宋体" w:hAnsi="宋体"/>
          <w:color w:val="auto"/>
          <w:highlight w:val="none"/>
        </w:rPr>
        <w:t>3</w:t>
      </w:r>
      <w:r>
        <w:rPr>
          <w:rFonts w:hint="eastAsia" w:ascii="宋体" w:hAnsi="宋体"/>
          <w:color w:val="auto"/>
          <w:highlight w:val="none"/>
        </w:rPr>
        <w:t>.供应商必须自行为其竞标产品侵犯他人的知识产权或者专利成果的行为承担相应</w:t>
      </w:r>
      <w:r>
        <w:rPr>
          <w:rFonts w:hint="default" w:ascii="宋体" w:hAnsi="宋体" w:cs="宋体"/>
          <w:color w:val="auto"/>
          <w:szCs w:val="21"/>
          <w:highlight w:val="none"/>
        </w:rPr>
        <w:t>法律责任。</w:t>
      </w:r>
    </w:p>
    <w:tbl>
      <w:tblPr>
        <w:tblStyle w:val="28"/>
        <w:tblpPr w:leftFromText="180" w:rightFromText="180" w:vertAnchor="text" w:horzAnchor="page" w:tblpX="1276" w:tblpY="401"/>
        <w:tblOverlap w:val="never"/>
        <w:tblW w:w="97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1326"/>
        <w:gridCol w:w="501"/>
        <w:gridCol w:w="399"/>
        <w:gridCol w:w="795"/>
        <w:gridCol w:w="5254"/>
        <w:gridCol w:w="861"/>
      </w:tblGrid>
      <w:tr w14:paraId="3279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73" w:type="dxa"/>
            <w:vAlign w:val="center"/>
          </w:tcPr>
          <w:p w14:paraId="146500F6">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序号</w:t>
            </w:r>
          </w:p>
        </w:tc>
        <w:tc>
          <w:tcPr>
            <w:tcW w:w="1326" w:type="dxa"/>
            <w:vAlign w:val="center"/>
          </w:tcPr>
          <w:p w14:paraId="31E9F1EF">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标的的名称</w:t>
            </w:r>
          </w:p>
        </w:tc>
        <w:tc>
          <w:tcPr>
            <w:tcW w:w="900" w:type="dxa"/>
            <w:gridSpan w:val="2"/>
          </w:tcPr>
          <w:p w14:paraId="24DA59FC">
            <w:pPr>
              <w:tabs>
                <w:tab w:val="left" w:pos="180"/>
                <w:tab w:val="left" w:pos="1620"/>
              </w:tabs>
              <w:spacing w:line="360" w:lineRule="auto"/>
              <w:jc w:val="left"/>
              <w:rPr>
                <w:rFonts w:ascii="宋体" w:hAnsi="宋体" w:cs="宋体"/>
                <w:color w:val="auto"/>
                <w:szCs w:val="21"/>
                <w:highlight w:val="none"/>
              </w:rPr>
            </w:pPr>
          </w:p>
          <w:p w14:paraId="31505B94">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数量及</w:t>
            </w:r>
          </w:p>
          <w:p w14:paraId="2CBF3020">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单位</w:t>
            </w:r>
          </w:p>
        </w:tc>
        <w:tc>
          <w:tcPr>
            <w:tcW w:w="795" w:type="dxa"/>
            <w:vAlign w:val="center"/>
          </w:tcPr>
          <w:p w14:paraId="43D5E4E6">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所属行业</w:t>
            </w:r>
          </w:p>
        </w:tc>
        <w:tc>
          <w:tcPr>
            <w:tcW w:w="5254" w:type="dxa"/>
            <w:vAlign w:val="center"/>
          </w:tcPr>
          <w:p w14:paraId="26E8B097">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技术要求</w:t>
            </w:r>
          </w:p>
        </w:tc>
        <w:tc>
          <w:tcPr>
            <w:tcW w:w="861" w:type="dxa"/>
            <w:vAlign w:val="center"/>
          </w:tcPr>
          <w:p w14:paraId="35DD07D1">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预算金额（万元）</w:t>
            </w:r>
          </w:p>
        </w:tc>
      </w:tr>
      <w:tr w14:paraId="00369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573" w:type="dxa"/>
            <w:vAlign w:val="center"/>
          </w:tcPr>
          <w:p w14:paraId="13E44ED0">
            <w:pPr>
              <w:tabs>
                <w:tab w:val="left" w:pos="180"/>
                <w:tab w:val="left" w:pos="1620"/>
              </w:tabs>
              <w:spacing w:line="360" w:lineRule="auto"/>
              <w:rPr>
                <w:rFonts w:ascii="宋体" w:hAnsi="宋体" w:cs="宋体"/>
                <w:color w:val="auto"/>
                <w:szCs w:val="21"/>
                <w:highlight w:val="none"/>
              </w:rPr>
            </w:pPr>
            <w:r>
              <w:rPr>
                <w:rFonts w:hint="default" w:ascii="宋体" w:hAnsi="宋体" w:cs="宋体"/>
                <w:color w:val="auto"/>
                <w:kern w:val="2"/>
                <w:sz w:val="21"/>
                <w:szCs w:val="21"/>
                <w:highlight w:val="none"/>
              </w:rPr>
              <w:t>1</w:t>
            </w:r>
          </w:p>
        </w:tc>
        <w:tc>
          <w:tcPr>
            <w:tcW w:w="1326" w:type="dxa"/>
            <w:vAlign w:val="center"/>
          </w:tcPr>
          <w:p w14:paraId="1B0B3DF7">
            <w:pPr>
              <w:tabs>
                <w:tab w:val="left" w:pos="180"/>
                <w:tab w:val="left" w:pos="1620"/>
              </w:tabs>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广西北流市罗江(白马河)整治工程(二期)施工监理服务（重）</w:t>
            </w:r>
          </w:p>
        </w:tc>
        <w:tc>
          <w:tcPr>
            <w:tcW w:w="900" w:type="dxa"/>
            <w:gridSpan w:val="2"/>
            <w:vAlign w:val="center"/>
          </w:tcPr>
          <w:p w14:paraId="52D708D7">
            <w:pPr>
              <w:tabs>
                <w:tab w:val="left" w:pos="180"/>
                <w:tab w:val="left" w:pos="1620"/>
              </w:tabs>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1项</w:t>
            </w:r>
          </w:p>
        </w:tc>
        <w:tc>
          <w:tcPr>
            <w:tcW w:w="795" w:type="dxa"/>
            <w:vAlign w:val="center"/>
          </w:tcPr>
          <w:p w14:paraId="0F85AC6C">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5254" w:type="dxa"/>
            <w:vAlign w:val="center"/>
          </w:tcPr>
          <w:p w14:paraId="50E619E3">
            <w:pPr>
              <w:tabs>
                <w:tab w:val="left" w:pos="180"/>
                <w:tab w:val="left" w:pos="1620"/>
              </w:tabs>
              <w:spacing w:line="360" w:lineRule="auto"/>
              <w:jc w:val="left"/>
              <w:rPr>
                <w:rFonts w:ascii="宋体" w:hAnsi="宋体" w:cs="宋体"/>
                <w:color w:val="auto"/>
                <w:szCs w:val="21"/>
                <w:highlight w:val="none"/>
              </w:rPr>
            </w:pPr>
            <w:r>
              <w:rPr>
                <w:rFonts w:hint="default" w:ascii="宋体" w:hAnsi="宋体" w:cs="宋体"/>
                <w:color w:val="auto"/>
                <w:szCs w:val="21"/>
                <w:highlight w:val="none"/>
              </w:rPr>
              <w:t>一、项目概况</w:t>
            </w:r>
          </w:p>
          <w:p w14:paraId="0B4D9378">
            <w:pPr>
              <w:widowControl/>
              <w:tabs>
                <w:tab w:val="left" w:pos="180"/>
                <w:tab w:val="left" w:pos="1620"/>
              </w:tabs>
              <w:spacing w:line="360" w:lineRule="auto"/>
              <w:ind w:firstLine="420" w:firstLineChars="20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en-US" w:eastAsia="zh-CN"/>
              </w:rPr>
              <w:t>本项目为</w:t>
            </w:r>
            <w:r>
              <w:rPr>
                <w:rFonts w:hint="eastAsia" w:ascii="宋体" w:hAnsi="宋体" w:cs="宋体"/>
                <w:color w:val="auto"/>
                <w:kern w:val="0"/>
                <w:szCs w:val="21"/>
                <w:highlight w:val="none"/>
                <w:lang w:eastAsia="zh-CN"/>
              </w:rPr>
              <w:t>广西北流市罗江(白马河)整治工程(二期)施工监理服务（重）。</w:t>
            </w:r>
            <w:r>
              <w:rPr>
                <w:rFonts w:hint="eastAsia" w:ascii="宋体" w:hAnsi="宋体" w:cs="宋体"/>
                <w:color w:val="auto"/>
                <w:kern w:val="0"/>
                <w:szCs w:val="21"/>
                <w:highlight w:val="none"/>
                <w:lang w:val="en-US" w:eastAsia="zh-CN"/>
              </w:rPr>
              <w:t>服务内容为</w:t>
            </w:r>
            <w:r>
              <w:rPr>
                <w:rFonts w:hint="eastAsia" w:ascii="宋体" w:hAnsi="宋体" w:eastAsia="宋体" w:cs="宋体"/>
                <w:color w:val="auto"/>
                <w:kern w:val="0"/>
                <w:sz w:val="21"/>
                <w:szCs w:val="21"/>
                <w:highlight w:val="none"/>
                <w:lang w:val="en-US" w:eastAsia="zh-CN" w:bidi="ar"/>
              </w:rPr>
              <w:t>广西北流市罗江（白马河）整治工程（二期）白马镇富贵桥下游至大伦镇平田垌河段</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大伦镇平田垌至下坡脚河段</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白马镇金头村河段、平山村河段</w:t>
            </w:r>
            <w:r>
              <w:rPr>
                <w:rFonts w:hint="eastAsia" w:ascii="宋体" w:hAnsi="宋体" w:cs="宋体"/>
                <w:color w:val="auto"/>
                <w:kern w:val="0"/>
                <w:sz w:val="21"/>
                <w:szCs w:val="21"/>
                <w:highlight w:val="none"/>
                <w:lang w:val="en-US" w:eastAsia="zh-CN" w:bidi="ar"/>
              </w:rPr>
              <w:t>四</w:t>
            </w:r>
            <w:r>
              <w:rPr>
                <w:rFonts w:hint="eastAsia" w:ascii="宋体" w:hAnsi="宋体" w:cs="宋体"/>
                <w:color w:val="auto"/>
                <w:kern w:val="0"/>
                <w:szCs w:val="21"/>
                <w:highlight w:val="none"/>
                <w:lang w:val="en-US" w:eastAsia="zh-CN"/>
              </w:rPr>
              <w:t>个河段工程的监理服务。工程施工主要内容为新建护岸、排水涵管、下河步级，具体见相关资料。</w:t>
            </w:r>
          </w:p>
          <w:p w14:paraId="7A32F821">
            <w:pPr>
              <w:widowControl/>
              <w:tabs>
                <w:tab w:val="left" w:pos="180"/>
                <w:tab w:val="left" w:pos="1620"/>
              </w:tabs>
              <w:spacing w:line="360" w:lineRule="auto"/>
              <w:jc w:val="left"/>
              <w:rPr>
                <w:rFonts w:ascii="宋体" w:hAnsi="宋体" w:cs="宋体"/>
                <w:color w:val="auto"/>
                <w:kern w:val="2"/>
                <w:szCs w:val="21"/>
                <w:highlight w:val="none"/>
                <w:lang w:bidi="ar"/>
              </w:rPr>
            </w:pPr>
            <w:r>
              <w:rPr>
                <w:rFonts w:hint="default" w:ascii="宋体" w:hAnsi="宋体" w:cs="宋体"/>
                <w:color w:val="auto"/>
                <w:kern w:val="2"/>
                <w:szCs w:val="21"/>
                <w:highlight w:val="none"/>
                <w:lang w:bidi="ar"/>
              </w:rPr>
              <w:t>二、监理服务要求：</w:t>
            </w:r>
          </w:p>
          <w:p w14:paraId="775020F0">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1、目标要求：工程投资控制在合同价格以内，工程质量控制达到合格标准，工程进度控制在合同工期之内。</w:t>
            </w:r>
          </w:p>
          <w:p w14:paraId="0D8FB7C3">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、本项目不提供监理办公设施，</w:t>
            </w:r>
            <w:r>
              <w:rPr>
                <w:rFonts w:hint="eastAsia" w:ascii="宋体" w:hAnsi="宋体" w:cs="宋体"/>
                <w:color w:val="auto"/>
                <w:szCs w:val="21"/>
                <w:highlight w:val="none"/>
              </w:rPr>
              <w:t>投标人</w:t>
            </w:r>
            <w:r>
              <w:rPr>
                <w:rFonts w:ascii="宋体" w:hAnsi="宋体" w:cs="宋体"/>
                <w:color w:val="auto"/>
                <w:szCs w:val="21"/>
                <w:highlight w:val="none"/>
              </w:rPr>
              <w:t>可将相关费用综合考虑在</w:t>
            </w:r>
            <w:r>
              <w:rPr>
                <w:rFonts w:hint="eastAsia" w:ascii="宋体" w:hAnsi="宋体" w:cs="宋体"/>
                <w:color w:val="auto"/>
                <w:szCs w:val="21"/>
                <w:highlight w:val="none"/>
              </w:rPr>
              <w:t>投标报价</w:t>
            </w:r>
            <w:r>
              <w:rPr>
                <w:rFonts w:ascii="宋体" w:hAnsi="宋体" w:cs="宋体"/>
                <w:color w:val="auto"/>
                <w:szCs w:val="21"/>
                <w:highlight w:val="none"/>
              </w:rPr>
              <w:t>中。</w:t>
            </w:r>
          </w:p>
          <w:p w14:paraId="21FA65B6">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二 、委托监理工作范围： </w:t>
            </w:r>
          </w:p>
          <w:p w14:paraId="765214E8">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1、协助委托人与</w:t>
            </w:r>
            <w:r>
              <w:rPr>
                <w:rFonts w:hint="eastAsia" w:ascii="宋体" w:hAnsi="宋体" w:cs="宋体"/>
                <w:color w:val="auto"/>
                <w:szCs w:val="21"/>
                <w:highlight w:val="none"/>
              </w:rPr>
              <w:t>施工</w:t>
            </w:r>
            <w:r>
              <w:rPr>
                <w:rFonts w:ascii="宋体" w:hAnsi="宋体" w:cs="宋体"/>
                <w:color w:val="auto"/>
                <w:szCs w:val="21"/>
                <w:highlight w:val="none"/>
              </w:rPr>
              <w:t>中标单位签订</w:t>
            </w:r>
            <w:r>
              <w:rPr>
                <w:rFonts w:hint="eastAsia" w:ascii="宋体" w:hAnsi="宋体" w:cs="宋体"/>
                <w:color w:val="auto"/>
                <w:szCs w:val="21"/>
                <w:highlight w:val="none"/>
              </w:rPr>
              <w:t>本项目的</w:t>
            </w:r>
            <w:r>
              <w:rPr>
                <w:rFonts w:ascii="宋体" w:hAnsi="宋体" w:cs="宋体"/>
                <w:color w:val="auto"/>
                <w:szCs w:val="21"/>
                <w:highlight w:val="none"/>
              </w:rPr>
              <w:t xml:space="preserve">工程施工合同。 </w:t>
            </w:r>
          </w:p>
          <w:p w14:paraId="07A2E6FE">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2、制定施工总体规划，审查承包人提交的施工组织设计、施工技术方案和施工进度计划，提出意见。 </w:t>
            </w:r>
          </w:p>
          <w:p w14:paraId="4DB9A664">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3、组织工程设计交底和图纸会审。 </w:t>
            </w:r>
          </w:p>
          <w:p w14:paraId="3D1BBF81">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4、审查承包人提供的建筑材料、设备清单以及工程使用的材料、构件、设备的规格和质量。 </w:t>
            </w:r>
          </w:p>
          <w:p w14:paraId="50669DBF">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5、检查施工技术措施和安全措施。 </w:t>
            </w:r>
          </w:p>
          <w:p w14:paraId="753224B1">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6、主持协调业主或设计单位或施工单位或监理单位本身提出的设计变更。 </w:t>
            </w:r>
          </w:p>
          <w:p w14:paraId="57CA7F6C">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7、监督管理工程施工合同的履行，主持协商合同条款的变更。 </w:t>
            </w:r>
          </w:p>
          <w:p w14:paraId="14B05C20">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8、监督、检查工程质量和施工进度，隐蔽工程检查并签证。 </w:t>
            </w:r>
          </w:p>
          <w:p w14:paraId="6CF63234">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9、核查完成的工程量，验收分部、分项工程，并根据施工进度和施工质量，由总监理工程师签署工程款支付证书。 </w:t>
            </w:r>
          </w:p>
          <w:p w14:paraId="1B16692C">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10、参加业主组织的工程竣工验收，签署监理意见，审查竣工资料和结算。 </w:t>
            </w:r>
          </w:p>
          <w:p w14:paraId="26DF1300">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11、整理工程监理有关档案资料，并提交委托人。 </w:t>
            </w:r>
          </w:p>
          <w:p w14:paraId="57D6376C">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三、委托监理内容和工作要求： </w:t>
            </w:r>
          </w:p>
          <w:p w14:paraId="09238097">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（1）、根据业主要求，对施工图范围内包含的所有工程建设实行施工阶段监理；协助办理工程各项工作。 </w:t>
            </w:r>
          </w:p>
          <w:p w14:paraId="0B0B7DF4">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（2）、工程质量要求: 除有特殊要求外，按合格工程要求实施监理。 </w:t>
            </w:r>
          </w:p>
          <w:p w14:paraId="30F37EEF">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（3）、参与并审查与施工单位签订的合同等文件。 </w:t>
            </w:r>
          </w:p>
          <w:p w14:paraId="6E8E1B6C">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（4）、对施工图纸进行会审及审查施工组织设计和施工方案。 </w:t>
            </w:r>
          </w:p>
          <w:p w14:paraId="09BEE3E5">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（5）、监督施工单位严格按合同、国家现行的技术规范、标准以及设计图纸的要求进行施工和安装，坚持旁站监理。 </w:t>
            </w:r>
          </w:p>
          <w:p w14:paraId="7580E339">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（6）、审查、检验主要建筑材料和主要设备订货的数量质量及性能是否合乎和达到设计要求。 </w:t>
            </w:r>
          </w:p>
          <w:p w14:paraId="2B78D2AF">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（7）、组织有关单位对施工中出现的质量事故进行分析和处理。 </w:t>
            </w:r>
          </w:p>
          <w:p w14:paraId="72911AF7">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（8）、审查施工单位的工程进度计划，督促施工单位严格按进度施工，保证工程如期完成。 </w:t>
            </w:r>
          </w:p>
          <w:p w14:paraId="1F6F4237">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（9）、审查工程价款，核签工程款拨付凭证，监督工程开支，严格控制、审核因工程变更需要增加的工程投资，做好工程竣工结算的审查工作，为业主把好投资控制关。 </w:t>
            </w:r>
          </w:p>
          <w:p w14:paraId="20113EF1">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 xml:space="preserve">（10）、审查施工单位提出的文明施工、安全防护措施方案，并监督其实施。发现施工中存在不安全因素要及时反映给业主和施工单位，把好安全、文明生产关。 </w:t>
            </w:r>
          </w:p>
          <w:p w14:paraId="1CD4E896">
            <w:pPr>
              <w:tabs>
                <w:tab w:val="left" w:pos="180"/>
                <w:tab w:val="left" w:pos="1620"/>
              </w:tabs>
              <w:spacing w:line="360" w:lineRule="auto"/>
              <w:rPr>
                <w:rFonts w:ascii="宋体" w:hAnsi="宋体" w:cs="宋体"/>
                <w:color w:val="auto"/>
                <w:szCs w:val="21"/>
                <w:highlight w:val="none"/>
              </w:rPr>
            </w:pPr>
            <w:r>
              <w:rPr>
                <w:rFonts w:ascii="宋体" w:hAnsi="宋体" w:cs="宋体"/>
                <w:color w:val="auto"/>
                <w:szCs w:val="21"/>
                <w:highlight w:val="none"/>
              </w:rPr>
              <w:t>（11）、业主临时交代与本工程监理有关的事项。</w:t>
            </w:r>
          </w:p>
        </w:tc>
        <w:tc>
          <w:tcPr>
            <w:tcW w:w="861" w:type="dxa"/>
            <w:vAlign w:val="center"/>
          </w:tcPr>
          <w:p w14:paraId="59538F03">
            <w:pPr>
              <w:tabs>
                <w:tab w:val="left" w:pos="180"/>
                <w:tab w:val="left" w:pos="1620"/>
              </w:tabs>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kern w:val="2"/>
                <w:sz w:val="21"/>
                <w:szCs w:val="21"/>
                <w:highlight w:val="none"/>
                <w:lang w:eastAsia="zh-CN"/>
              </w:rPr>
              <w:t>71.53</w:t>
            </w:r>
          </w:p>
        </w:tc>
      </w:tr>
      <w:tr w14:paraId="55C48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9" w:type="dxa"/>
            <w:gridSpan w:val="7"/>
            <w:tcBorders>
              <w:top w:val="single" w:color="auto" w:sz="4" w:space="0"/>
              <w:left w:val="single" w:color="auto" w:sz="4" w:space="0"/>
              <w:bottom w:val="single" w:color="auto" w:sz="4" w:space="0"/>
              <w:right w:val="single" w:color="auto" w:sz="4" w:space="0"/>
            </w:tcBorders>
          </w:tcPr>
          <w:p w14:paraId="301C71F3">
            <w:pPr>
              <w:spacing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一、商务要求</w:t>
            </w:r>
          </w:p>
        </w:tc>
      </w:tr>
      <w:tr w14:paraId="3B1F4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00" w:type="dxa"/>
            <w:gridSpan w:val="3"/>
            <w:tcBorders>
              <w:top w:val="single" w:color="auto" w:sz="4" w:space="0"/>
              <w:left w:val="single" w:color="auto" w:sz="4" w:space="0"/>
              <w:bottom w:val="single" w:color="auto" w:sz="4" w:space="0"/>
              <w:right w:val="single" w:color="auto" w:sz="4" w:space="0"/>
            </w:tcBorders>
            <w:vAlign w:val="center"/>
          </w:tcPr>
          <w:p w14:paraId="12044718">
            <w:pPr>
              <w:spacing w:line="400" w:lineRule="exact"/>
              <w:jc w:val="center"/>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合同履约期限和地点</w:t>
            </w:r>
          </w:p>
        </w:tc>
        <w:tc>
          <w:tcPr>
            <w:tcW w:w="7309" w:type="dxa"/>
            <w:gridSpan w:val="4"/>
            <w:tcBorders>
              <w:top w:val="single" w:color="auto" w:sz="4" w:space="0"/>
              <w:left w:val="single" w:color="auto" w:sz="4" w:space="0"/>
              <w:bottom w:val="single" w:color="auto" w:sz="4" w:space="0"/>
              <w:right w:val="single" w:color="auto" w:sz="4" w:space="0"/>
            </w:tcBorders>
            <w:vAlign w:val="center"/>
          </w:tcPr>
          <w:p w14:paraId="1BFC7E1A">
            <w:pPr>
              <w:spacing w:line="400" w:lineRule="exact"/>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1、合同履约期限：</w:t>
            </w:r>
            <w:r>
              <w:rPr>
                <w:rFonts w:hint="eastAsia" w:ascii="宋体" w:hAnsi="宋体" w:cs="宋体"/>
                <w:bCs/>
                <w:color w:val="auto"/>
                <w:kern w:val="0"/>
                <w:szCs w:val="21"/>
                <w:highlight w:val="none"/>
                <w:lang w:eastAsia="zh-CN" w:bidi="ar"/>
              </w:rPr>
              <w:t>从签订委托监理合同之日始至工程通过竣工验收止</w:t>
            </w:r>
            <w:r>
              <w:rPr>
                <w:rFonts w:hint="eastAsia" w:ascii="宋体" w:hAnsi="宋体" w:cs="宋体"/>
                <w:bCs/>
                <w:color w:val="auto"/>
                <w:kern w:val="0"/>
                <w:szCs w:val="21"/>
                <w:highlight w:val="none"/>
                <w:lang w:bidi="ar"/>
              </w:rPr>
              <w:t>。</w:t>
            </w:r>
          </w:p>
          <w:p w14:paraId="53ABCDE6">
            <w:pPr>
              <w:spacing w:line="400" w:lineRule="exact"/>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2、交货地点：广西北流市采购人指定地点。</w:t>
            </w:r>
          </w:p>
        </w:tc>
      </w:tr>
      <w:tr w14:paraId="619C5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2400" w:type="dxa"/>
            <w:gridSpan w:val="3"/>
            <w:tcBorders>
              <w:top w:val="single" w:color="auto" w:sz="4" w:space="0"/>
              <w:left w:val="single" w:color="auto" w:sz="4" w:space="0"/>
              <w:bottom w:val="single" w:color="auto" w:sz="4" w:space="0"/>
              <w:right w:val="single" w:color="auto" w:sz="4" w:space="0"/>
            </w:tcBorders>
            <w:vAlign w:val="center"/>
          </w:tcPr>
          <w:p w14:paraId="4E0706A2">
            <w:pPr>
              <w:spacing w:line="400" w:lineRule="exact"/>
              <w:jc w:val="center"/>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签订合同时限</w:t>
            </w:r>
          </w:p>
        </w:tc>
        <w:tc>
          <w:tcPr>
            <w:tcW w:w="7309" w:type="dxa"/>
            <w:gridSpan w:val="4"/>
            <w:tcBorders>
              <w:top w:val="single" w:color="auto" w:sz="4" w:space="0"/>
              <w:left w:val="single" w:color="auto" w:sz="4" w:space="0"/>
              <w:bottom w:val="single" w:color="auto" w:sz="4" w:space="0"/>
              <w:right w:val="single" w:color="auto" w:sz="4" w:space="0"/>
            </w:tcBorders>
            <w:vAlign w:val="center"/>
          </w:tcPr>
          <w:p w14:paraId="6BCE8021">
            <w:pPr>
              <w:spacing w:line="400" w:lineRule="exact"/>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自成交通知书发出之日起25个工作日内。</w:t>
            </w:r>
          </w:p>
        </w:tc>
      </w:tr>
      <w:tr w14:paraId="0C620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2400" w:type="dxa"/>
            <w:gridSpan w:val="3"/>
            <w:tcBorders>
              <w:top w:val="single" w:color="auto" w:sz="4" w:space="0"/>
              <w:left w:val="single" w:color="auto" w:sz="4" w:space="0"/>
              <w:bottom w:val="single" w:color="auto" w:sz="4" w:space="0"/>
              <w:right w:val="single" w:color="auto" w:sz="4" w:space="0"/>
            </w:tcBorders>
            <w:vAlign w:val="center"/>
          </w:tcPr>
          <w:p w14:paraId="6C84669B">
            <w:pPr>
              <w:spacing w:line="400" w:lineRule="exact"/>
              <w:jc w:val="center"/>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付款条件</w:t>
            </w:r>
          </w:p>
        </w:tc>
        <w:tc>
          <w:tcPr>
            <w:tcW w:w="7309" w:type="dxa"/>
            <w:gridSpan w:val="4"/>
            <w:tcBorders>
              <w:top w:val="single" w:color="auto" w:sz="4" w:space="0"/>
              <w:left w:val="single" w:color="auto" w:sz="4" w:space="0"/>
              <w:bottom w:val="single" w:color="auto" w:sz="4" w:space="0"/>
              <w:right w:val="single" w:color="auto" w:sz="4" w:space="0"/>
            </w:tcBorders>
            <w:vAlign w:val="center"/>
          </w:tcPr>
          <w:p w14:paraId="58C8F5F8">
            <w:pPr>
              <w:numPr>
                <w:ilvl w:val="0"/>
                <w:numId w:val="3"/>
              </w:numPr>
              <w:spacing w:line="400" w:lineRule="exact"/>
              <w:ind w:firstLine="420" w:firstLineChars="200"/>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本工程监理费预付款为：合同总价款30%，签订合同后15个工作日内支付。</w:t>
            </w:r>
          </w:p>
          <w:p w14:paraId="0CCB5C36">
            <w:pPr>
              <w:numPr>
                <w:ilvl w:val="0"/>
                <w:numId w:val="3"/>
              </w:numPr>
              <w:spacing w:line="400" w:lineRule="exact"/>
              <w:ind w:firstLine="420" w:firstLineChars="200"/>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每个付款周期按实际完成工程量支付工程进度款。付至总合同金额的95%止暂停支付(含预付款)。</w:t>
            </w:r>
          </w:p>
          <w:p w14:paraId="1DA66031">
            <w:pPr>
              <w:numPr>
                <w:ilvl w:val="-1"/>
                <w:numId w:val="0"/>
              </w:numPr>
              <w:spacing w:line="400" w:lineRule="exact"/>
              <w:ind w:firstLine="420" w:firstLineChars="200"/>
              <w:rPr>
                <w:rFonts w:hint="eastAsia" w:ascii="宋体" w:hAnsi="宋体" w:eastAsia="宋体" w:cs="宋体"/>
                <w:bCs/>
                <w:color w:val="auto"/>
                <w:kern w:val="0"/>
                <w:szCs w:val="21"/>
                <w:highlight w:val="none"/>
                <w:lang w:eastAsia="zh-CN" w:bidi="ar"/>
              </w:rPr>
            </w:pPr>
            <w:r>
              <w:rPr>
                <w:rFonts w:hint="eastAsia" w:ascii="宋体" w:hAnsi="宋体" w:cs="宋体"/>
                <w:bCs/>
                <w:color w:val="auto"/>
                <w:kern w:val="0"/>
                <w:szCs w:val="21"/>
                <w:highlight w:val="none"/>
                <w:lang w:bidi="ar"/>
              </w:rPr>
              <w:t>3、在工程竣工验收合后，支付至合同金额的100%</w:t>
            </w:r>
            <w:r>
              <w:rPr>
                <w:rFonts w:hint="eastAsia" w:ascii="宋体" w:hAnsi="宋体" w:cs="宋体"/>
                <w:bCs/>
                <w:color w:val="auto"/>
                <w:kern w:val="0"/>
                <w:szCs w:val="21"/>
                <w:highlight w:val="none"/>
                <w:lang w:eastAsia="zh-CN" w:bidi="ar"/>
              </w:rPr>
              <w:t>。</w:t>
            </w:r>
          </w:p>
          <w:p w14:paraId="5F1BD193">
            <w:pPr>
              <w:numPr>
                <w:ilvl w:val="-1"/>
                <w:numId w:val="0"/>
              </w:numPr>
              <w:spacing w:line="400" w:lineRule="exact"/>
              <w:ind w:firstLine="210" w:firstLineChars="100"/>
              <w:rPr>
                <w:rFonts w:ascii="宋体" w:hAnsi="宋体" w:cs="宋体"/>
                <w:bCs/>
                <w:color w:val="auto"/>
                <w:kern w:val="0"/>
                <w:szCs w:val="21"/>
                <w:highlight w:val="none"/>
                <w:lang w:bidi="ar"/>
              </w:rPr>
            </w:pPr>
            <w:r>
              <w:rPr>
                <w:rFonts w:hint="eastAsia" w:ascii="宋体" w:hAnsi="宋体" w:cs="宋体"/>
                <w:bCs/>
                <w:color w:val="auto"/>
                <w:kern w:val="0"/>
                <w:szCs w:val="21"/>
                <w:highlight w:val="none"/>
                <w:lang w:eastAsia="zh-CN" w:bidi="ar"/>
              </w:rPr>
              <w:t>注：</w:t>
            </w:r>
            <w:r>
              <w:rPr>
                <w:rFonts w:hint="eastAsia" w:ascii="宋体" w:hAnsi="宋体" w:cs="宋体"/>
                <w:bCs/>
                <w:color w:val="auto"/>
                <w:kern w:val="0"/>
                <w:szCs w:val="21"/>
                <w:highlight w:val="none"/>
                <w:lang w:bidi="ar"/>
              </w:rPr>
              <w:t>双方同意用转帐支付报酬，每次转帐时，监理人均应提供相应数额的正式税务发票。</w:t>
            </w:r>
          </w:p>
        </w:tc>
      </w:tr>
      <w:tr w14:paraId="73D4F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00" w:type="dxa"/>
            <w:gridSpan w:val="3"/>
            <w:tcBorders>
              <w:top w:val="single" w:color="auto" w:sz="4" w:space="0"/>
              <w:left w:val="single" w:color="auto" w:sz="4" w:space="0"/>
              <w:bottom w:val="single" w:color="auto" w:sz="4" w:space="0"/>
              <w:right w:val="single" w:color="auto" w:sz="4" w:space="0"/>
            </w:tcBorders>
            <w:vAlign w:val="center"/>
          </w:tcPr>
          <w:p w14:paraId="0E930689">
            <w:pPr>
              <w:spacing w:line="400" w:lineRule="exact"/>
              <w:ind w:firstLine="630" w:firstLineChars="300"/>
              <w:rPr>
                <w:color w:val="auto"/>
                <w:sz w:val="22"/>
                <w:szCs w:val="22"/>
                <w:highlight w:val="none"/>
              </w:rPr>
            </w:pPr>
            <w:r>
              <w:rPr>
                <w:rFonts w:hint="eastAsia"/>
                <w:color w:val="auto"/>
                <w:highlight w:val="none"/>
              </w:rPr>
              <w:t>投标报价要求</w:t>
            </w:r>
          </w:p>
        </w:tc>
        <w:tc>
          <w:tcPr>
            <w:tcW w:w="7309" w:type="dxa"/>
            <w:gridSpan w:val="4"/>
            <w:tcBorders>
              <w:top w:val="single" w:color="auto" w:sz="4" w:space="0"/>
              <w:left w:val="single" w:color="auto" w:sz="4" w:space="0"/>
              <w:bottom w:val="single" w:color="auto" w:sz="4" w:space="0"/>
              <w:right w:val="single" w:color="auto" w:sz="4" w:space="0"/>
            </w:tcBorders>
            <w:vAlign w:val="center"/>
          </w:tcPr>
          <w:p w14:paraId="78FFFEA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70" w:name="OLE_LINK4"/>
            <w:bookmarkStart w:id="71" w:name="OLE_LINK2"/>
            <w:bookmarkStart w:id="72" w:name="OLE_LINK3"/>
            <w:r>
              <w:rPr>
                <w:rFonts w:hint="eastAsia" w:ascii="宋体" w:hAnsi="宋体" w:cs="宋体"/>
                <w:color w:val="auto"/>
                <w:szCs w:val="21"/>
                <w:highlight w:val="none"/>
                <w:lang w:eastAsia="zh-CN"/>
              </w:rPr>
              <w:t>本项目</w:t>
            </w:r>
            <w:bookmarkEnd w:id="70"/>
            <w:r>
              <w:rPr>
                <w:rFonts w:hint="eastAsia" w:ascii="宋体" w:hAnsi="宋体" w:cs="宋体"/>
                <w:color w:val="auto"/>
                <w:szCs w:val="21"/>
                <w:highlight w:val="none"/>
                <w:lang w:eastAsia="zh-CN"/>
              </w:rPr>
              <w:t>最终</w:t>
            </w:r>
            <w:r>
              <w:rPr>
                <w:rFonts w:hint="eastAsia" w:ascii="宋体" w:hAnsi="宋体" w:cs="宋体"/>
                <w:color w:val="auto"/>
                <w:szCs w:val="21"/>
                <w:highlight w:val="none"/>
              </w:rPr>
              <w:t>服务的价格（包含提供本次服务范围的人员的工资、交通差旅、餐饮住宿，福利、税金、利润、设施设备检测等），在合同实施期间，采购人将不予支付没有列入的项目费用，并认为此项目的费用已包括在价格中；</w:t>
            </w:r>
            <w:bookmarkEnd w:id="71"/>
            <w:bookmarkEnd w:id="72"/>
          </w:p>
          <w:p w14:paraId="7B95333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（2）必要的保险费用和各项税金；</w:t>
            </w:r>
          </w:p>
          <w:p w14:paraId="07FDD75F">
            <w:pPr>
              <w:spacing w:line="400" w:lineRule="exact"/>
              <w:ind w:firstLine="420" w:firstLineChars="200"/>
              <w:rPr>
                <w:color w:val="auto"/>
                <w:highlight w:val="none"/>
              </w:rPr>
            </w:pPr>
            <w:r>
              <w:rPr>
                <w:rFonts w:hint="eastAsia" w:ascii="宋体" w:hAnsi="宋体" w:cs="宋体"/>
                <w:color w:val="auto"/>
                <w:szCs w:val="21"/>
                <w:highlight w:val="none"/>
              </w:rPr>
              <w:t>（3）其他：服务实施项目工作期间如出现人员人身、财产安全事故、损失等由成交人全部负责，采购人不负任何责任。</w:t>
            </w:r>
          </w:p>
        </w:tc>
      </w:tr>
    </w:tbl>
    <w:p w14:paraId="6876178D">
      <w:pPr>
        <w:spacing w:line="520" w:lineRule="exact"/>
        <w:ind w:firstLine="640" w:firstLineChars="200"/>
        <w:rPr>
          <w:rFonts w:ascii="仿宋_GB2312" w:eastAsia="仿宋_GB2312"/>
          <w:color w:val="auto"/>
          <w:sz w:val="32"/>
          <w:szCs w:val="32"/>
          <w:highlight w:val="none"/>
        </w:rPr>
        <w:sectPr>
          <w:headerReference r:id="rId6" w:type="default"/>
          <w:footerReference r:id="rId7" w:type="default"/>
          <w:pgSz w:w="11906" w:h="16838"/>
          <w:pgMar w:top="987" w:right="1259" w:bottom="567" w:left="1207" w:header="851" w:footer="992" w:gutter="0"/>
          <w:cols w:space="720" w:num="1"/>
          <w:docGrid w:type="lines" w:linePitch="312" w:charSpace="0"/>
        </w:sectPr>
      </w:pPr>
    </w:p>
    <w:p w14:paraId="72B60471">
      <w:pPr>
        <w:pStyle w:val="3"/>
        <w:jc w:val="center"/>
        <w:rPr>
          <w:color w:val="auto"/>
          <w:highlight w:val="none"/>
        </w:rPr>
      </w:pPr>
      <w:bookmarkStart w:id="73" w:name="_Toc74323459"/>
      <w:r>
        <w:rPr>
          <w:rFonts w:hint="eastAsia"/>
          <w:color w:val="auto"/>
          <w:highlight w:val="none"/>
        </w:rPr>
        <w:t>第四章  评审程序、评审方法和评审标准</w:t>
      </w:r>
      <w:bookmarkEnd w:id="73"/>
    </w:p>
    <w:p w14:paraId="1882BA74">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2B7C9C0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28345FB5">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D3659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03A1A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5E5A038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4C62D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3BA2DD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2BCC4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7CB15D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611ADA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C9427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3C1B92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5C6DBC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1C332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704387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6144980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2F867BE0">
      <w:pPr>
        <w:spacing w:line="360" w:lineRule="auto"/>
        <w:ind w:firstLine="420" w:firstLineChars="200"/>
        <w:rPr>
          <w:rFonts w:ascii="宋体" w:hAnsi="宋体" w:cs="宋体"/>
          <w:color w:val="auto"/>
          <w:szCs w:val="21"/>
          <w:highlight w:val="none"/>
        </w:rPr>
      </w:pPr>
      <w:bookmarkStart w:id="74"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4"/>
    <w:p w14:paraId="7026CAE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F91FDC">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94BF8E3">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E401FEE">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3C343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7C800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6F5F0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B744A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C684A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3075AE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C9CF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6D37B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384F4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8BD87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BCAD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0B630C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43147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666639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7EBDF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BE268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67515A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69B836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34E488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1）技术要求允许负偏离的条款数超过“供应商须知前附表”规定项数；</w:t>
      </w:r>
    </w:p>
    <w:p w14:paraId="5CF843A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6CE323D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5"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5"/>
    </w:p>
    <w:p w14:paraId="6311B55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3098E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竞争性磋商文件明确不允许分包，响应文件拟分包的；</w:t>
      </w:r>
    </w:p>
    <w:p w14:paraId="323C136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4BF50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780AF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6AF1CD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334D74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5BCD1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779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6" w:name="_Hlk42596405"/>
      <w:r>
        <w:rPr>
          <w:rFonts w:hint="eastAsia" w:ascii="宋体" w:hAnsi="宋体" w:cs="宋体"/>
          <w:color w:val="auto"/>
          <w:szCs w:val="21"/>
          <w:highlight w:val="none"/>
        </w:rPr>
        <w:t>竞标报价（包含首次报价、最后报价）</w:t>
      </w:r>
      <w:bookmarkEnd w:id="76"/>
      <w:bookmarkStart w:id="77" w:name="_Hlk42596276"/>
      <w:r>
        <w:rPr>
          <w:rFonts w:hint="eastAsia" w:ascii="宋体" w:hAnsi="宋体" w:cs="宋体"/>
          <w:color w:val="auto"/>
          <w:szCs w:val="21"/>
          <w:highlight w:val="none"/>
        </w:rPr>
        <w:t>超过磋商文件分项采购预算金额或者最高限价的</w:t>
      </w:r>
      <w:bookmarkEnd w:id="77"/>
      <w:r>
        <w:rPr>
          <w:rFonts w:hint="eastAsia" w:ascii="宋体" w:hAnsi="宋体" w:cs="宋体"/>
          <w:color w:val="auto"/>
          <w:szCs w:val="21"/>
          <w:highlight w:val="none"/>
        </w:rPr>
        <w:t>（如本项目公布了最高限价）；</w:t>
      </w:r>
    </w:p>
    <w:p w14:paraId="4035C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F8691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2F1D8EB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FD737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40B1E9B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50AD9FB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52FB8F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76F18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546E25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2572740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609CF34A">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371B77A3">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386C9D6">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5C9197F">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8BF4D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供应商的最后报价如有改变，必须按采购文件“最后报价表格式”要求在“广西政府采购云”平台以附件形式提交，不得以总价下浮的方式做报价，按无效响应处理。除本章第4.3条外，提交最后报价的供应商不得少于3家，否则必须重新采购。</w:t>
      </w:r>
    </w:p>
    <w:p w14:paraId="2A0359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5AFB9B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6D6BF12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37E06BC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06E9E29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157A956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0FA27DB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261D28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FAA9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3BA4D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439133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D6231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5B8E1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56E8463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1F7C4C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48721C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A25820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15EC4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A0CCE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9A957D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最终成交供应商的成交金额等于最后报价（如有修正，以确认修正后的最后报价为准）。</w:t>
      </w:r>
    </w:p>
    <w:p w14:paraId="0B170883">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08007604">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15CB8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3C8C879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8"/>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068"/>
        <w:gridCol w:w="5901"/>
      </w:tblGrid>
      <w:tr w14:paraId="1EA4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7D88CEBC">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280" w:type="dxa"/>
            <w:vAlign w:val="center"/>
          </w:tcPr>
          <w:p w14:paraId="52FE730F">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709" w:type="dxa"/>
            <w:vAlign w:val="center"/>
          </w:tcPr>
          <w:p w14:paraId="754C96A2">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6969" w:type="dxa"/>
            <w:gridSpan w:val="2"/>
            <w:vAlign w:val="center"/>
          </w:tcPr>
          <w:p w14:paraId="4812F74D">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076B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741F272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280" w:type="dxa"/>
            <w:vAlign w:val="center"/>
          </w:tcPr>
          <w:p w14:paraId="707E3164">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投标报价</w:t>
            </w:r>
          </w:p>
        </w:tc>
        <w:tc>
          <w:tcPr>
            <w:tcW w:w="709" w:type="dxa"/>
            <w:vAlign w:val="center"/>
          </w:tcPr>
          <w:p w14:paraId="11ABEF5E">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20</w:t>
            </w:r>
            <w:r>
              <w:rPr>
                <w:rFonts w:hint="eastAsia" w:ascii="宋体" w:hAnsi="宋体"/>
                <w:b/>
                <w:color w:val="auto"/>
                <w:szCs w:val="21"/>
                <w:highlight w:val="none"/>
              </w:rPr>
              <w:t>分</w:t>
            </w:r>
          </w:p>
        </w:tc>
        <w:tc>
          <w:tcPr>
            <w:tcW w:w="6969" w:type="dxa"/>
            <w:gridSpan w:val="2"/>
            <w:vAlign w:val="center"/>
          </w:tcPr>
          <w:p w14:paraId="281BFBA1">
            <w:pPr>
              <w:spacing w:line="380" w:lineRule="exact"/>
              <w:ind w:firstLine="420" w:firstLineChars="200"/>
              <w:rPr>
                <w:rFonts w:ascii="宋体" w:hAnsi="宋体" w:cs="宋体"/>
                <w:color w:val="auto"/>
                <w:kern w:val="0"/>
                <w:szCs w:val="21"/>
                <w:highlight w:val="none"/>
                <w:lang w:bidi="ar"/>
              </w:rPr>
            </w:pPr>
            <w:r>
              <w:rPr>
                <w:rFonts w:hint="eastAsia" w:ascii="宋体" w:hAnsi="宋体" w:cs="宋体"/>
                <w:bCs/>
                <w:color w:val="auto"/>
                <w:szCs w:val="21"/>
                <w:highlight w:val="none"/>
              </w:rPr>
              <w:t>本项目为专门面向中小企业采购的项目，按照《政府采购促进中小企业发展管理办法》（财库〔2020〕46号）的规定，不再对供应商的最后报价进行政策性扣除。</w:t>
            </w:r>
          </w:p>
          <w:p w14:paraId="6021E7A1">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（1）评审价为供应商的最后报价进行政策性扣除后的价格，评审价只是作为评审时使用。最终成交供应商的成交金额等于最后报价（如有修正，以确认修正后的最后报价为准）。</w:t>
            </w:r>
          </w:p>
          <w:p w14:paraId="024B71A1">
            <w:pPr>
              <w:widowControl/>
              <w:spacing w:line="380" w:lineRule="exact"/>
              <w:ind w:firstLine="420" w:firstLineChars="200"/>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（2）以进入比较与评价环节的最低的评审价为基准价，基准价得分为</w:t>
            </w:r>
            <w:r>
              <w:rPr>
                <w:rStyle w:val="83"/>
                <w:rFonts w:hint="eastAsia"/>
                <w:color w:val="auto"/>
                <w:sz w:val="21"/>
                <w:szCs w:val="21"/>
                <w:highlight w:val="none"/>
                <w:lang w:val="en-US" w:eastAsia="zh-CN" w:bidi="ar"/>
              </w:rPr>
              <w:t>20</w:t>
            </w:r>
            <w:r>
              <w:rPr>
                <w:rStyle w:val="83"/>
                <w:rFonts w:hint="default"/>
                <w:color w:val="auto"/>
                <w:sz w:val="21"/>
                <w:szCs w:val="21"/>
                <w:highlight w:val="none"/>
                <w:lang w:bidi="ar"/>
              </w:rPr>
              <w:t>分</w:t>
            </w:r>
            <w:r>
              <w:rPr>
                <w:rStyle w:val="84"/>
                <w:rFonts w:hint="default"/>
                <w:color w:val="auto"/>
                <w:sz w:val="21"/>
                <w:szCs w:val="21"/>
                <w:highlight w:val="none"/>
                <w:lang w:bidi="ar"/>
              </w:rPr>
              <w:t>。</w:t>
            </w:r>
          </w:p>
          <w:p w14:paraId="07DBB896">
            <w:pPr>
              <w:widowControl/>
              <w:spacing w:line="380" w:lineRule="exact"/>
              <w:ind w:firstLine="420" w:firstLineChars="200"/>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（3）价格分计算公式：</w:t>
            </w:r>
          </w:p>
          <w:p w14:paraId="31677FAA">
            <w:pPr>
              <w:pStyle w:val="17"/>
              <w:spacing w:line="420" w:lineRule="exact"/>
              <w:outlineLvl w:val="0"/>
              <w:rPr>
                <w:rFonts w:hAnsi="宋体" w:cs="Courier New"/>
                <w:bCs/>
                <w:color w:val="auto"/>
                <w:kern w:val="2"/>
                <w:sz w:val="21"/>
                <w:highlight w:val="none"/>
              </w:rPr>
            </w:pPr>
            <w:r>
              <w:rPr>
                <w:rFonts w:hint="eastAsia" w:hAnsi="宋体" w:cs="宋体"/>
                <w:color w:val="auto"/>
                <w:highlight w:val="none"/>
                <w:lang w:bidi="ar"/>
              </w:rPr>
              <w:t>报价得分</w:t>
            </w:r>
            <w:r>
              <w:rPr>
                <w:color w:val="auto"/>
                <w:highlight w:val="none"/>
                <w:lang w:bidi="ar"/>
              </w:rPr>
              <w:t>=</w:t>
            </w:r>
            <w:r>
              <w:rPr>
                <w:rStyle w:val="84"/>
                <w:rFonts w:hint="default"/>
                <w:color w:val="auto"/>
                <w:sz w:val="21"/>
                <w:szCs w:val="21"/>
                <w:highlight w:val="none"/>
                <w:lang w:bidi="ar"/>
              </w:rPr>
              <w:t>（基准价</w:t>
            </w:r>
            <w:r>
              <w:rPr>
                <w:color w:val="auto"/>
                <w:highlight w:val="none"/>
                <w:lang w:bidi="ar"/>
              </w:rPr>
              <w:t>/</w:t>
            </w:r>
            <w:r>
              <w:rPr>
                <w:rStyle w:val="84"/>
                <w:rFonts w:hint="default"/>
                <w:color w:val="auto"/>
                <w:sz w:val="21"/>
                <w:szCs w:val="21"/>
                <w:highlight w:val="none"/>
                <w:lang w:bidi="ar"/>
              </w:rPr>
              <w:t>最后报价）×</w:t>
            </w:r>
            <w:r>
              <w:rPr>
                <w:rStyle w:val="85"/>
                <w:rFonts w:hint="eastAsia"/>
                <w:color w:val="auto"/>
                <w:sz w:val="21"/>
                <w:szCs w:val="21"/>
                <w:highlight w:val="none"/>
                <w:lang w:val="en-US" w:eastAsia="zh-CN" w:bidi="ar"/>
              </w:rPr>
              <w:t>20</w:t>
            </w:r>
            <w:r>
              <w:rPr>
                <w:rStyle w:val="83"/>
                <w:rFonts w:hint="default"/>
                <w:color w:val="auto"/>
                <w:sz w:val="21"/>
                <w:szCs w:val="21"/>
                <w:highlight w:val="none"/>
                <w:lang w:bidi="ar"/>
              </w:rPr>
              <w:t>分</w:t>
            </w:r>
          </w:p>
        </w:tc>
      </w:tr>
      <w:tr w14:paraId="1EDD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318F752F">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280" w:type="dxa"/>
            <w:vMerge w:val="restart"/>
            <w:vAlign w:val="center"/>
          </w:tcPr>
          <w:p w14:paraId="18C293EF">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技术分</w:t>
            </w:r>
          </w:p>
        </w:tc>
        <w:tc>
          <w:tcPr>
            <w:tcW w:w="709" w:type="dxa"/>
            <w:vMerge w:val="restart"/>
            <w:vAlign w:val="center"/>
          </w:tcPr>
          <w:p w14:paraId="172ABED4">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68</w:t>
            </w:r>
            <w:r>
              <w:rPr>
                <w:rFonts w:hint="eastAsia" w:ascii="宋体" w:hAnsi="宋体"/>
                <w:b/>
                <w:color w:val="auto"/>
                <w:szCs w:val="21"/>
                <w:highlight w:val="none"/>
              </w:rPr>
              <w:t>分</w:t>
            </w:r>
          </w:p>
        </w:tc>
        <w:tc>
          <w:tcPr>
            <w:tcW w:w="1068" w:type="dxa"/>
            <w:vAlign w:val="center"/>
          </w:tcPr>
          <w:p w14:paraId="75E6EB6F">
            <w:pPr>
              <w:spacing w:line="360" w:lineRule="auto"/>
              <w:rPr>
                <w:rFonts w:hAnsi="宋体" w:cs="宋体"/>
                <w:b/>
                <w:color w:val="auto"/>
                <w:szCs w:val="21"/>
                <w:highlight w:val="none"/>
              </w:rPr>
            </w:pPr>
            <w:r>
              <w:rPr>
                <w:rFonts w:hint="eastAsia" w:hAnsi="宋体" w:cs="宋体"/>
                <w:b/>
                <w:color w:val="auto"/>
                <w:szCs w:val="21"/>
                <w:highlight w:val="none"/>
              </w:rPr>
              <w:t>监理工作大纲分（满分</w:t>
            </w:r>
            <w:r>
              <w:rPr>
                <w:rFonts w:hint="eastAsia" w:hAnsi="宋体" w:cs="宋体"/>
                <w:b/>
                <w:color w:val="auto"/>
                <w:szCs w:val="21"/>
                <w:highlight w:val="none"/>
                <w:lang w:val="en-US" w:eastAsia="zh-CN"/>
              </w:rPr>
              <w:t>60</w:t>
            </w:r>
            <w:r>
              <w:rPr>
                <w:rFonts w:hint="eastAsia" w:hAnsi="宋体" w:cs="宋体"/>
                <w:b/>
                <w:color w:val="auto"/>
                <w:szCs w:val="21"/>
                <w:highlight w:val="none"/>
              </w:rPr>
              <w:t>分）</w:t>
            </w:r>
          </w:p>
        </w:tc>
        <w:tc>
          <w:tcPr>
            <w:tcW w:w="5901" w:type="dxa"/>
            <w:vAlign w:val="center"/>
          </w:tcPr>
          <w:p w14:paraId="5BCBA19B">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（1）工程特点、难点分析及监理对策（满分</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w:t>
            </w:r>
          </w:p>
          <w:p w14:paraId="58A7F53F">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一档（</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 xml:space="preserve">分）：对本工程监理任务特点阐述明确， 难点分析全面且对监理任务的难点有独特见解的并提出相应的合理解决方案的； </w:t>
            </w:r>
          </w:p>
          <w:p w14:paraId="2A865ADF">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二档（</w:t>
            </w:r>
            <w:r>
              <w:rPr>
                <w:rFonts w:hint="eastAsia" w:ascii="宋体" w:hAnsi="宋体" w:cs="宋体"/>
                <w:color w:val="auto"/>
                <w:kern w:val="0"/>
                <w:sz w:val="18"/>
                <w:szCs w:val="18"/>
                <w:highlight w:val="none"/>
                <w:lang w:val="en-US" w:eastAsia="zh-CN" w:bidi="ar"/>
              </w:rPr>
              <w:t>7</w:t>
            </w:r>
            <w:r>
              <w:rPr>
                <w:rFonts w:hint="eastAsia" w:ascii="宋体" w:hAnsi="宋体" w:cs="宋体"/>
                <w:color w:val="auto"/>
                <w:kern w:val="0"/>
                <w:szCs w:val="21"/>
                <w:highlight w:val="none"/>
                <w:lang w:bidi="ar"/>
              </w:rPr>
              <w:t xml:space="preserve">分）：对本工程监理任务特点、难点分析及监理对策阐述合理的； </w:t>
            </w:r>
          </w:p>
          <w:p w14:paraId="3ECA9338">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三档（</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分）：对本工程监理任务特点、难点分析及监理对策阐述基本可行的；</w:t>
            </w:r>
          </w:p>
          <w:p w14:paraId="06E415BF">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四档（0分）：对本工程监理任务特点、难点分析及监理对策不符合采购需要求。</w:t>
            </w:r>
          </w:p>
          <w:p w14:paraId="62482992">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（2）质量控制重点及监理措施（满分</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w:t>
            </w:r>
          </w:p>
          <w:p w14:paraId="29178939">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一档（</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 xml:space="preserve">分）：对本工程施工监理质量控制重点阐述全面且对本工程施工质量重点提出了对应详细的监理措施，有效的满足监理任务需求及工程质量要求的； </w:t>
            </w:r>
          </w:p>
          <w:p w14:paraId="30AC6018">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二档（</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 xml:space="preserve">分）：对本工程施工监理质量控制重点阐述基本可行且对本工程施工质量重点提出了可行的监理措施，满足监理任务需求及工程质量要求的； </w:t>
            </w:r>
          </w:p>
          <w:p w14:paraId="0D094D7B">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三档（</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 xml:space="preserve"> 分）：对本工程施工监理质量控制重点阐述基本可行且对本工程施工质量重点提出了可行的监理措施，基本满足监理任务需求及工程质量要求的；</w:t>
            </w:r>
          </w:p>
          <w:p w14:paraId="09E895AC">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四档（0分）：对本工程施工监理质量控制重点及监理措施不符合采购需求和不切实际。</w:t>
            </w:r>
          </w:p>
          <w:p w14:paraId="5FA89B0C">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（3）进度控制重点及监理措施（满分</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w:t>
            </w:r>
          </w:p>
          <w:p w14:paraId="71FC57C3">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一档（</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 xml:space="preserve">分）：对本工程施工进度控制重点阐述全面、详细的， 且针对本工程施工进度控制重点提出了具体、可行的监理措施，能有效的保证工期或缩短工期的； </w:t>
            </w:r>
          </w:p>
          <w:p w14:paraId="3C3A5882">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二档（</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 xml:space="preserve">分）：对本工程施工进度控制重点阐述可行的，且针对本工程施工进度控制重点提出可行的监理措施； </w:t>
            </w:r>
          </w:p>
          <w:p w14:paraId="402ECF9D">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三档（</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 xml:space="preserve">分）：对本工程施工进度控制重点阐述基本可行的，且针 </w:t>
            </w:r>
          </w:p>
          <w:p w14:paraId="40C47F6F">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对本工程施工进度控制重点提出基本可行的监理措施；</w:t>
            </w:r>
          </w:p>
          <w:p w14:paraId="1A5752A3">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四档（0分）：对本工程施工监理进度控制重点及监理措施不符合采购需求和不切实际。</w:t>
            </w:r>
          </w:p>
          <w:p w14:paraId="4F2991D3">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（4）造价控制重点及监理措施（满分</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w:t>
            </w:r>
          </w:p>
          <w:p w14:paraId="6392ECC7">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一档（</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分）：投资控制重点分析到位明确；风险预测与防范对策有效可行；能抓住工程费用最易超支的环节，明确投资控制重点；控制措施与手段健全；能兼顾工期与质量目标，落实</w:t>
            </w:r>
            <w:r>
              <w:rPr>
                <w:rFonts w:hint="eastAsia" w:ascii="宋体" w:hAnsi="宋体" w:cs="宋体"/>
                <w:color w:val="auto"/>
                <w:kern w:val="0"/>
                <w:szCs w:val="21"/>
                <w:highlight w:val="none"/>
                <w:lang w:eastAsia="zh-CN" w:bidi="ar"/>
              </w:rPr>
              <w:t>采购</w:t>
            </w:r>
            <w:r>
              <w:rPr>
                <w:rFonts w:hint="eastAsia" w:ascii="宋体" w:hAnsi="宋体" w:cs="宋体"/>
                <w:color w:val="auto"/>
                <w:kern w:val="0"/>
                <w:szCs w:val="21"/>
                <w:highlight w:val="none"/>
                <w:lang w:bidi="ar"/>
              </w:rPr>
              <w:t>人确定的资金流量；能提出有效的合理化建议，降低工程投资。</w:t>
            </w:r>
          </w:p>
          <w:p w14:paraId="36C16E4D">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二档（</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分）：投资控制重点分析基本到位；风险预测与防范对策可行；能抓住工程费用最易超支的环节，明确投资控制重点；控制措施与手段健全。</w:t>
            </w:r>
          </w:p>
          <w:p w14:paraId="2A58181F">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三档（</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分）：有投资控制重点分析；风险预测与防范对策；监理措施基本可行。</w:t>
            </w:r>
          </w:p>
          <w:p w14:paraId="29618C1C">
            <w:pPr>
              <w:widowControl/>
              <w:spacing w:line="380" w:lineRule="exact"/>
              <w:ind w:firstLine="420" w:firstLineChars="200"/>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四档（0分）：对本工程施工监理投资控制重点及监理措施不符合采购需求和不切实际。</w:t>
            </w:r>
          </w:p>
          <w:p w14:paraId="22A2D720">
            <w:pPr>
              <w:spacing w:line="380" w:lineRule="exact"/>
              <w:ind w:firstLine="42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）监理工作协调（满分</w:t>
            </w:r>
            <w:r>
              <w:rPr>
                <w:rFonts w:hint="eastAsia"/>
                <w:color w:val="auto"/>
                <w:highlight w:val="none"/>
                <w:lang w:val="en-US" w:eastAsia="zh-CN"/>
              </w:rPr>
              <w:t>10</w:t>
            </w:r>
            <w:r>
              <w:rPr>
                <w:rFonts w:hint="eastAsia"/>
                <w:color w:val="auto"/>
                <w:highlight w:val="none"/>
              </w:rPr>
              <w:t>分）</w:t>
            </w:r>
          </w:p>
          <w:p w14:paraId="375BBDB7">
            <w:pPr>
              <w:spacing w:line="380" w:lineRule="exact"/>
              <w:ind w:firstLine="420"/>
              <w:rPr>
                <w:color w:val="auto"/>
                <w:highlight w:val="none"/>
              </w:rPr>
            </w:pPr>
            <w:r>
              <w:rPr>
                <w:rFonts w:hint="eastAsia"/>
                <w:color w:val="auto"/>
                <w:highlight w:val="none"/>
              </w:rPr>
              <w:t>一档（</w:t>
            </w:r>
            <w:r>
              <w:rPr>
                <w:rFonts w:hint="eastAsia"/>
                <w:color w:val="auto"/>
                <w:highlight w:val="none"/>
                <w:lang w:val="en-US" w:eastAsia="zh-CN"/>
              </w:rPr>
              <w:t>10</w:t>
            </w:r>
            <w:r>
              <w:rPr>
                <w:rFonts w:hint="eastAsia"/>
                <w:color w:val="auto"/>
                <w:highlight w:val="none"/>
              </w:rPr>
              <w:t>分）：保证施工安全的监理控制措施体系基本健全；安全事故控制措施全面，有一定的可行性及针对性；能有针对工程特点、难点防范及化解安全事故的发生。</w:t>
            </w:r>
          </w:p>
          <w:p w14:paraId="68A61789">
            <w:pPr>
              <w:spacing w:line="380" w:lineRule="exact"/>
              <w:ind w:firstLine="420"/>
              <w:rPr>
                <w:color w:val="auto"/>
                <w:highlight w:val="none"/>
              </w:rPr>
            </w:pPr>
            <w:r>
              <w:rPr>
                <w:rFonts w:hint="eastAsia"/>
                <w:color w:val="auto"/>
                <w:highlight w:val="none"/>
              </w:rPr>
              <w:t>二档（</w:t>
            </w:r>
            <w:r>
              <w:rPr>
                <w:rFonts w:hint="eastAsia"/>
                <w:color w:val="auto"/>
                <w:highlight w:val="none"/>
                <w:lang w:val="en-US" w:eastAsia="zh-CN"/>
              </w:rPr>
              <w:t>7</w:t>
            </w:r>
            <w:r>
              <w:rPr>
                <w:rFonts w:hint="eastAsia"/>
                <w:color w:val="auto"/>
                <w:highlight w:val="none"/>
              </w:rPr>
              <w:t>分）：能针对项目提出明确的协调参加各方的措施，措施基本全面，监理工作基本合理协调的。</w:t>
            </w:r>
          </w:p>
          <w:p w14:paraId="52195796">
            <w:pPr>
              <w:spacing w:line="380" w:lineRule="exact"/>
              <w:ind w:firstLine="420"/>
              <w:rPr>
                <w:rFonts w:hint="eastAsia"/>
                <w:color w:val="auto"/>
                <w:highlight w:val="none"/>
              </w:rPr>
            </w:pPr>
            <w:r>
              <w:rPr>
                <w:rFonts w:hint="eastAsia"/>
                <w:color w:val="auto"/>
                <w:highlight w:val="none"/>
                <w:lang w:val="en-US" w:eastAsia="zh-CN"/>
              </w:rPr>
              <w:t>三</w:t>
            </w:r>
            <w:r>
              <w:rPr>
                <w:rFonts w:hint="eastAsia"/>
                <w:color w:val="auto"/>
                <w:highlight w:val="none"/>
              </w:rPr>
              <w:t>档（</w:t>
            </w:r>
            <w:r>
              <w:rPr>
                <w:rFonts w:hint="eastAsia"/>
                <w:color w:val="auto"/>
                <w:highlight w:val="none"/>
                <w:lang w:val="en-US" w:eastAsia="zh-CN"/>
              </w:rPr>
              <w:t>3</w:t>
            </w:r>
            <w:r>
              <w:rPr>
                <w:rFonts w:hint="eastAsia"/>
                <w:color w:val="auto"/>
                <w:highlight w:val="none"/>
              </w:rPr>
              <w:t>分）：能针对项目提出明确的协调参加各方的措施，措施基本全面的。</w:t>
            </w:r>
          </w:p>
          <w:p w14:paraId="3616F4DC">
            <w:pPr>
              <w:spacing w:line="380" w:lineRule="exact"/>
              <w:ind w:firstLine="420"/>
              <w:rPr>
                <w:color w:val="auto"/>
                <w:highlight w:val="none"/>
              </w:rPr>
            </w:pPr>
            <w:r>
              <w:rPr>
                <w:rFonts w:hint="eastAsia"/>
                <w:color w:val="auto"/>
                <w:highlight w:val="none"/>
                <w:lang w:val="en-US" w:eastAsia="zh-CN"/>
              </w:rPr>
              <w:t>四</w:t>
            </w:r>
            <w:r>
              <w:rPr>
                <w:rFonts w:hint="eastAsia"/>
                <w:color w:val="auto"/>
                <w:highlight w:val="none"/>
              </w:rPr>
              <w:t>档（0分）：监理工作协调内容不符合采购需求和不切实际。</w:t>
            </w:r>
          </w:p>
          <w:p w14:paraId="4F5C789C">
            <w:pPr>
              <w:spacing w:line="380" w:lineRule="exact"/>
              <w:ind w:firstLine="42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）履行安全职责措施（满分</w:t>
            </w:r>
            <w:r>
              <w:rPr>
                <w:rFonts w:hint="eastAsia"/>
                <w:color w:val="auto"/>
                <w:highlight w:val="none"/>
                <w:lang w:val="en-US" w:eastAsia="zh-CN"/>
              </w:rPr>
              <w:t>10</w:t>
            </w:r>
            <w:r>
              <w:rPr>
                <w:rFonts w:hint="eastAsia"/>
                <w:color w:val="auto"/>
                <w:highlight w:val="none"/>
              </w:rPr>
              <w:t>分）</w:t>
            </w:r>
          </w:p>
          <w:p w14:paraId="7B44DA41">
            <w:pPr>
              <w:spacing w:line="380" w:lineRule="exact"/>
              <w:ind w:firstLine="420"/>
              <w:rPr>
                <w:color w:val="auto"/>
                <w:highlight w:val="none"/>
              </w:rPr>
            </w:pPr>
            <w:r>
              <w:rPr>
                <w:rFonts w:hint="eastAsia"/>
                <w:color w:val="auto"/>
                <w:highlight w:val="none"/>
              </w:rPr>
              <w:t>一档（</w:t>
            </w:r>
            <w:r>
              <w:rPr>
                <w:rFonts w:hint="eastAsia"/>
                <w:color w:val="auto"/>
                <w:highlight w:val="none"/>
                <w:lang w:val="en-US" w:eastAsia="zh-CN"/>
              </w:rPr>
              <w:t>10</w:t>
            </w:r>
            <w:r>
              <w:rPr>
                <w:rFonts w:hint="eastAsia"/>
                <w:color w:val="auto"/>
                <w:highlight w:val="none"/>
              </w:rPr>
              <w:t>分）：保证施工安全的监理控制措施体系健全、可靠；安全事故控制措施得力；能有针对工程特点、难点防范及化解安全事故的发生，措施得力。</w:t>
            </w:r>
          </w:p>
          <w:p w14:paraId="15F2394B">
            <w:pPr>
              <w:spacing w:line="380" w:lineRule="exact"/>
              <w:ind w:firstLine="420"/>
              <w:rPr>
                <w:rFonts w:hint="eastAsia"/>
                <w:color w:val="auto"/>
                <w:highlight w:val="none"/>
              </w:rPr>
            </w:pPr>
            <w:r>
              <w:rPr>
                <w:rFonts w:hint="eastAsia"/>
                <w:color w:val="auto"/>
                <w:highlight w:val="none"/>
              </w:rPr>
              <w:t>二档（</w:t>
            </w:r>
            <w:r>
              <w:rPr>
                <w:rFonts w:hint="eastAsia"/>
                <w:color w:val="auto"/>
                <w:highlight w:val="none"/>
                <w:lang w:val="en-US" w:eastAsia="zh-CN"/>
              </w:rPr>
              <w:t>7</w:t>
            </w:r>
            <w:r>
              <w:rPr>
                <w:rFonts w:hint="eastAsia"/>
                <w:color w:val="auto"/>
                <w:highlight w:val="none"/>
              </w:rPr>
              <w:t>分）：监理控制措施体系基本健全、可靠；安全事故控制措施可行性高，能有效防范及化解安全事故的发生，措施得力。</w:t>
            </w:r>
          </w:p>
          <w:p w14:paraId="7E18324A">
            <w:pPr>
              <w:spacing w:line="380" w:lineRule="exact"/>
              <w:ind w:firstLine="420"/>
              <w:rPr>
                <w:color w:val="auto"/>
                <w:highlight w:val="none"/>
              </w:rPr>
            </w:pPr>
            <w:r>
              <w:rPr>
                <w:rFonts w:hint="eastAsia"/>
                <w:color w:val="auto"/>
                <w:highlight w:val="none"/>
                <w:lang w:val="en-US" w:eastAsia="zh-CN"/>
              </w:rPr>
              <w:t>三</w:t>
            </w:r>
            <w:r>
              <w:rPr>
                <w:rFonts w:hint="eastAsia"/>
                <w:color w:val="auto"/>
                <w:highlight w:val="none"/>
              </w:rPr>
              <w:t>档（</w:t>
            </w:r>
            <w:r>
              <w:rPr>
                <w:rFonts w:hint="eastAsia"/>
                <w:color w:val="auto"/>
                <w:highlight w:val="none"/>
                <w:lang w:val="en-US" w:eastAsia="zh-CN"/>
              </w:rPr>
              <w:t>3</w:t>
            </w:r>
            <w:r>
              <w:rPr>
                <w:rFonts w:hint="eastAsia"/>
                <w:color w:val="auto"/>
                <w:highlight w:val="none"/>
              </w:rPr>
              <w:t>分）：监理控制措施体系基本健全、可靠；安全事故控制措施可行性高。</w:t>
            </w:r>
          </w:p>
          <w:p w14:paraId="4D461878">
            <w:pPr>
              <w:spacing w:line="360" w:lineRule="auto"/>
              <w:ind w:firstLine="420" w:firstLineChars="200"/>
              <w:rPr>
                <w:rFonts w:hAnsi="宋体" w:cs="宋体"/>
                <w:bCs/>
                <w:color w:val="auto"/>
                <w:szCs w:val="21"/>
                <w:highlight w:val="none"/>
              </w:rPr>
            </w:pPr>
            <w:r>
              <w:rPr>
                <w:rFonts w:hint="eastAsia"/>
                <w:color w:val="auto"/>
                <w:highlight w:val="none"/>
                <w:lang w:val="en-US" w:eastAsia="zh-CN"/>
              </w:rPr>
              <w:t>四</w:t>
            </w:r>
            <w:r>
              <w:rPr>
                <w:rFonts w:hint="eastAsia"/>
                <w:color w:val="auto"/>
                <w:highlight w:val="none"/>
              </w:rPr>
              <w:t>档（0分）：响应文件未提供或提供的不符合要求的。</w:t>
            </w:r>
          </w:p>
        </w:tc>
      </w:tr>
      <w:tr w14:paraId="12CD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387FDFAD">
            <w:pPr>
              <w:adjustRightInd w:val="0"/>
              <w:spacing w:line="360" w:lineRule="auto"/>
              <w:jc w:val="center"/>
              <w:textAlignment w:val="baseline"/>
              <w:rPr>
                <w:rFonts w:ascii="宋体" w:hAnsi="宋体"/>
                <w:b/>
                <w:color w:val="auto"/>
                <w:szCs w:val="21"/>
                <w:highlight w:val="none"/>
              </w:rPr>
            </w:pPr>
          </w:p>
        </w:tc>
        <w:tc>
          <w:tcPr>
            <w:tcW w:w="1280" w:type="dxa"/>
            <w:vMerge w:val="continue"/>
            <w:vAlign w:val="center"/>
          </w:tcPr>
          <w:p w14:paraId="45494905">
            <w:pPr>
              <w:adjustRightInd w:val="0"/>
              <w:spacing w:line="360" w:lineRule="auto"/>
              <w:jc w:val="center"/>
              <w:textAlignment w:val="baseline"/>
              <w:rPr>
                <w:rFonts w:ascii="宋体" w:hAnsi="宋体"/>
                <w:b/>
                <w:color w:val="auto"/>
                <w:szCs w:val="21"/>
                <w:highlight w:val="none"/>
              </w:rPr>
            </w:pPr>
          </w:p>
        </w:tc>
        <w:tc>
          <w:tcPr>
            <w:tcW w:w="709" w:type="dxa"/>
            <w:vMerge w:val="continue"/>
            <w:vAlign w:val="center"/>
          </w:tcPr>
          <w:p w14:paraId="3A6B8853">
            <w:pPr>
              <w:adjustRightInd w:val="0"/>
              <w:spacing w:line="360" w:lineRule="auto"/>
              <w:jc w:val="center"/>
              <w:textAlignment w:val="baseline"/>
              <w:rPr>
                <w:rFonts w:ascii="宋体" w:hAnsi="宋体"/>
                <w:b/>
                <w:color w:val="auto"/>
                <w:szCs w:val="21"/>
                <w:highlight w:val="none"/>
              </w:rPr>
            </w:pPr>
          </w:p>
        </w:tc>
        <w:tc>
          <w:tcPr>
            <w:tcW w:w="1068" w:type="dxa"/>
            <w:vAlign w:val="center"/>
          </w:tcPr>
          <w:p w14:paraId="7B311031">
            <w:pPr>
              <w:spacing w:line="360" w:lineRule="auto"/>
              <w:rPr>
                <w:rFonts w:hAnsi="宋体" w:cs="宋体"/>
                <w:b/>
                <w:color w:val="auto"/>
                <w:szCs w:val="21"/>
                <w:highlight w:val="none"/>
              </w:rPr>
            </w:pPr>
            <w:r>
              <w:rPr>
                <w:rFonts w:hAnsi="宋体" w:cs="宋体"/>
                <w:b/>
                <w:color w:val="auto"/>
                <w:szCs w:val="21"/>
                <w:highlight w:val="none"/>
              </w:rPr>
              <w:t>拟投入人员分</w:t>
            </w:r>
            <w:r>
              <w:rPr>
                <w:rFonts w:hint="eastAsia" w:hAnsi="宋体" w:cs="宋体"/>
                <w:b/>
                <w:color w:val="auto"/>
                <w:szCs w:val="21"/>
                <w:highlight w:val="none"/>
              </w:rPr>
              <w:t>（满分</w:t>
            </w:r>
            <w:r>
              <w:rPr>
                <w:rFonts w:hint="eastAsia" w:hAnsi="宋体" w:cs="宋体"/>
                <w:b/>
                <w:color w:val="auto"/>
                <w:szCs w:val="21"/>
                <w:highlight w:val="none"/>
                <w:lang w:val="en-US" w:eastAsia="zh-CN"/>
              </w:rPr>
              <w:t>8</w:t>
            </w:r>
            <w:r>
              <w:rPr>
                <w:rFonts w:hint="eastAsia" w:hAnsi="宋体" w:cs="宋体"/>
                <w:b/>
                <w:color w:val="auto"/>
                <w:szCs w:val="21"/>
                <w:highlight w:val="none"/>
              </w:rPr>
              <w:t>分）</w:t>
            </w:r>
          </w:p>
        </w:tc>
        <w:tc>
          <w:tcPr>
            <w:tcW w:w="5901" w:type="dxa"/>
            <w:vAlign w:val="center"/>
          </w:tcPr>
          <w:p w14:paraId="01003497">
            <w:pPr>
              <w:widowControl/>
              <w:numPr>
                <w:ilvl w:val="0"/>
                <w:numId w:val="4"/>
              </w:numPr>
              <w:autoSpaceDE w:val="0"/>
              <w:spacing w:line="348" w:lineRule="auto"/>
              <w:ind w:firstLine="422"/>
              <w:rPr>
                <w:rFonts w:ascii="宋体" w:hAnsi="宋体" w:cs="宋体"/>
                <w:bCs/>
                <w:color w:val="auto"/>
                <w:kern w:val="0"/>
                <w:szCs w:val="21"/>
                <w:highlight w:val="none"/>
              </w:rPr>
            </w:pPr>
            <w:r>
              <w:rPr>
                <w:rFonts w:ascii="宋体" w:hAnsi="宋体" w:cs="宋体"/>
                <w:color w:val="auto"/>
                <w:highlight w:val="none"/>
              </w:rPr>
              <w:t xml:space="preserve">拟投入专业监理工程师（除总监理工程师外）人数不少于 </w:t>
            </w:r>
            <w:r>
              <w:rPr>
                <w:rFonts w:hint="eastAsia" w:ascii="宋体" w:hAnsi="宋体" w:cs="宋体"/>
                <w:color w:val="auto"/>
                <w:highlight w:val="none"/>
                <w:lang w:val="en-US" w:eastAsia="zh-CN"/>
              </w:rPr>
              <w:t>2</w:t>
            </w:r>
            <w:r>
              <w:rPr>
                <w:rFonts w:ascii="宋体" w:hAnsi="宋体" w:cs="宋体"/>
                <w:color w:val="auto"/>
                <w:highlight w:val="none"/>
              </w:rPr>
              <w:t xml:space="preserve"> 人，</w:t>
            </w:r>
            <w:r>
              <w:rPr>
                <w:rFonts w:hint="eastAsia" w:ascii="宋体" w:hAnsi="宋体" w:cs="宋体"/>
                <w:bCs/>
                <w:color w:val="auto"/>
                <w:kern w:val="0"/>
                <w:szCs w:val="21"/>
                <w:highlight w:val="none"/>
              </w:rPr>
              <w:t>必须持</w:t>
            </w:r>
            <w:r>
              <w:rPr>
                <w:rFonts w:hint="default" w:ascii="宋体" w:hAnsi="宋体" w:eastAsia="宋体" w:cs="Times New Roman"/>
                <w:bCs w:val="0"/>
                <w:color w:val="auto"/>
                <w:kern w:val="2"/>
                <w:szCs w:val="21"/>
                <w:highlight w:val="none"/>
              </w:rPr>
              <w:t>有</w:t>
            </w:r>
            <w:r>
              <w:rPr>
                <w:rFonts w:ascii="宋体" w:hAnsi="宋体" w:eastAsia="宋体" w:cs="Times New Roman"/>
                <w:color w:val="auto"/>
                <w:szCs w:val="21"/>
                <w:highlight w:val="none"/>
              </w:rPr>
              <w:t>国家</w:t>
            </w:r>
            <w:r>
              <w:rPr>
                <w:rFonts w:ascii="宋体" w:hAnsi="宋体"/>
                <w:color w:val="auto"/>
                <w:szCs w:val="21"/>
                <w:highlight w:val="none"/>
              </w:rPr>
              <w:t>注册监理工程师职业资格证（注册专业为水利水电工程）</w:t>
            </w:r>
            <w:r>
              <w:rPr>
                <w:rFonts w:hint="eastAsia" w:ascii="宋体" w:hAnsi="宋体"/>
                <w:color w:val="auto"/>
                <w:szCs w:val="21"/>
                <w:highlight w:val="none"/>
              </w:rPr>
              <w:t>或</w:t>
            </w:r>
            <w:r>
              <w:rPr>
                <w:rFonts w:ascii="宋体" w:hAnsi="宋体"/>
                <w:color w:val="auto"/>
                <w:szCs w:val="21"/>
                <w:highlight w:val="none"/>
              </w:rPr>
              <w:t>持有</w:t>
            </w:r>
            <w:r>
              <w:rPr>
                <w:rFonts w:hint="eastAsia" w:ascii="宋体" w:hAnsi="宋体"/>
                <w:color w:val="auto"/>
                <w:szCs w:val="21"/>
                <w:highlight w:val="none"/>
              </w:rPr>
              <w:t>水利部</w:t>
            </w:r>
            <w:r>
              <w:rPr>
                <w:rFonts w:ascii="宋体" w:hAnsi="宋体"/>
                <w:color w:val="auto"/>
                <w:szCs w:val="21"/>
                <w:highlight w:val="none"/>
              </w:rPr>
              <w:t>批准颁发的</w:t>
            </w:r>
            <w:r>
              <w:rPr>
                <w:rFonts w:hint="eastAsia" w:ascii="宋体" w:hAnsi="宋体"/>
                <w:color w:val="auto"/>
                <w:szCs w:val="21"/>
                <w:highlight w:val="none"/>
              </w:rPr>
              <w:t>中华人民共和国监理工程师注册证书（注册专业为水利工程施工监理）或</w:t>
            </w:r>
            <w:r>
              <w:rPr>
                <w:rFonts w:ascii="宋体" w:hAnsi="宋体"/>
                <w:color w:val="auto"/>
                <w:szCs w:val="21"/>
                <w:highlight w:val="none"/>
              </w:rPr>
              <w:t>持有中国水利工程协会批准颁发的</w:t>
            </w:r>
            <w:r>
              <w:rPr>
                <w:rFonts w:hint="eastAsia" w:ascii="宋体" w:hAnsi="宋体"/>
                <w:color w:val="auto"/>
                <w:szCs w:val="21"/>
                <w:highlight w:val="none"/>
              </w:rPr>
              <w:t>水利工程建设监理员培训合格证书</w:t>
            </w:r>
            <w:r>
              <w:rPr>
                <w:rFonts w:hint="eastAsia" w:ascii="宋体" w:hAnsi="宋体" w:cs="宋体"/>
                <w:color w:val="auto"/>
                <w:highlight w:val="none"/>
              </w:rPr>
              <w:t>，</w:t>
            </w:r>
            <w:r>
              <w:rPr>
                <w:rFonts w:ascii="宋体" w:hAnsi="宋体" w:cs="宋体"/>
                <w:color w:val="auto"/>
                <w:highlight w:val="none"/>
              </w:rPr>
              <w:t>每人得</w:t>
            </w:r>
            <w:r>
              <w:rPr>
                <w:rFonts w:hint="eastAsia" w:ascii="宋体" w:hAnsi="宋体" w:cs="宋体"/>
                <w:color w:val="auto"/>
                <w:highlight w:val="none"/>
                <w:lang w:val="en-US" w:eastAsia="zh-CN"/>
              </w:rPr>
              <w:t>4</w:t>
            </w:r>
            <w:r>
              <w:rPr>
                <w:rFonts w:ascii="宋体" w:hAnsi="宋体" w:cs="宋体"/>
                <w:color w:val="auto"/>
                <w:highlight w:val="none"/>
              </w:rPr>
              <w:t>分，</w:t>
            </w:r>
            <w:r>
              <w:rPr>
                <w:rFonts w:hint="eastAsia" w:ascii="宋体" w:hAnsi="宋体" w:cs="宋体"/>
                <w:color w:val="auto"/>
                <w:szCs w:val="21"/>
                <w:highlight w:val="none"/>
                <w:shd w:val="clear" w:color="auto" w:fill="FFFFFF"/>
              </w:rPr>
              <w:t>本项</w:t>
            </w:r>
            <w:r>
              <w:rPr>
                <w:rFonts w:ascii="宋体" w:hAnsi="宋体" w:cs="宋体"/>
                <w:color w:val="auto"/>
                <w:highlight w:val="none"/>
              </w:rPr>
              <w:t>满分</w:t>
            </w:r>
            <w:r>
              <w:rPr>
                <w:rFonts w:hint="eastAsia" w:ascii="宋体" w:hAnsi="宋体" w:cs="宋体"/>
                <w:color w:val="auto"/>
                <w:highlight w:val="none"/>
              </w:rPr>
              <w:t>8</w:t>
            </w:r>
            <w:r>
              <w:rPr>
                <w:rFonts w:ascii="宋体" w:hAnsi="宋体" w:cs="宋体"/>
                <w:color w:val="auto"/>
                <w:highlight w:val="none"/>
              </w:rPr>
              <w:t>分。</w:t>
            </w:r>
          </w:p>
          <w:p w14:paraId="14D0B059">
            <w:pPr>
              <w:pStyle w:val="2"/>
              <w:rPr>
                <w:color w:val="auto"/>
                <w:highlight w:val="none"/>
              </w:rPr>
            </w:pPr>
          </w:p>
        </w:tc>
      </w:tr>
      <w:tr w14:paraId="0165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6D44503E">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280" w:type="dxa"/>
            <w:vMerge w:val="restart"/>
            <w:vAlign w:val="center"/>
          </w:tcPr>
          <w:p w14:paraId="6109282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商务分</w:t>
            </w:r>
          </w:p>
        </w:tc>
        <w:tc>
          <w:tcPr>
            <w:tcW w:w="709" w:type="dxa"/>
            <w:vMerge w:val="restart"/>
            <w:vAlign w:val="center"/>
          </w:tcPr>
          <w:p w14:paraId="09B08A84">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分</w:t>
            </w:r>
          </w:p>
        </w:tc>
        <w:tc>
          <w:tcPr>
            <w:tcW w:w="1068" w:type="dxa"/>
            <w:vAlign w:val="center"/>
          </w:tcPr>
          <w:p w14:paraId="3802FC91">
            <w:pPr>
              <w:spacing w:line="360" w:lineRule="auto"/>
              <w:rPr>
                <w:rFonts w:hAnsi="宋体" w:cs="宋体"/>
                <w:b/>
                <w:color w:val="auto"/>
                <w:szCs w:val="21"/>
                <w:highlight w:val="none"/>
              </w:rPr>
            </w:pPr>
            <w:r>
              <w:rPr>
                <w:rFonts w:hint="eastAsia" w:ascii="宋体" w:hAnsi="宋体" w:cs="Courier New"/>
                <w:b/>
                <w:color w:val="auto"/>
                <w:szCs w:val="21"/>
                <w:highlight w:val="none"/>
              </w:rPr>
              <w:t>信誉分（满分6分）</w:t>
            </w:r>
          </w:p>
        </w:tc>
        <w:tc>
          <w:tcPr>
            <w:tcW w:w="5901" w:type="dxa"/>
            <w:vAlign w:val="center"/>
          </w:tcPr>
          <w:p w14:paraId="7FABD785">
            <w:pPr>
              <w:spacing w:line="440" w:lineRule="exact"/>
              <w:ind w:firstLine="36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供应商具有质量管理体系认证证书、环境管理体系认证证书、职业健康安全管理体系认证证书，每提供一项得</w:t>
            </w: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分，最多得</w:t>
            </w:r>
            <w:r>
              <w:rPr>
                <w:rFonts w:ascii="宋体" w:hAnsi="宋体" w:cs="宋体"/>
                <w:color w:val="auto"/>
                <w:szCs w:val="21"/>
                <w:highlight w:val="none"/>
                <w:shd w:val="clear" w:color="auto" w:fill="FFFFFF"/>
              </w:rPr>
              <w:t>6</w:t>
            </w:r>
            <w:r>
              <w:rPr>
                <w:rFonts w:hint="eastAsia" w:ascii="宋体" w:hAnsi="宋体" w:cs="宋体"/>
                <w:color w:val="auto"/>
                <w:szCs w:val="21"/>
                <w:highlight w:val="none"/>
                <w:shd w:val="clear" w:color="auto" w:fill="FFFFFF"/>
              </w:rPr>
              <w:t>分（以提供相关认证证书复印件为准）。</w:t>
            </w:r>
          </w:p>
        </w:tc>
      </w:tr>
      <w:tr w14:paraId="4AF2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3826CE4">
            <w:pPr>
              <w:adjustRightInd w:val="0"/>
              <w:spacing w:line="360" w:lineRule="auto"/>
              <w:jc w:val="center"/>
              <w:textAlignment w:val="baseline"/>
              <w:rPr>
                <w:rFonts w:ascii="宋体" w:hAnsi="宋体"/>
                <w:b/>
                <w:color w:val="auto"/>
                <w:szCs w:val="21"/>
                <w:highlight w:val="none"/>
              </w:rPr>
            </w:pPr>
          </w:p>
        </w:tc>
        <w:tc>
          <w:tcPr>
            <w:tcW w:w="1280" w:type="dxa"/>
            <w:vMerge w:val="continue"/>
            <w:vAlign w:val="center"/>
          </w:tcPr>
          <w:p w14:paraId="62B90C80">
            <w:pPr>
              <w:adjustRightInd w:val="0"/>
              <w:spacing w:line="360" w:lineRule="auto"/>
              <w:jc w:val="center"/>
              <w:textAlignment w:val="baseline"/>
              <w:rPr>
                <w:rFonts w:ascii="宋体" w:hAnsi="宋体"/>
                <w:b/>
                <w:color w:val="auto"/>
                <w:szCs w:val="21"/>
                <w:highlight w:val="none"/>
              </w:rPr>
            </w:pPr>
          </w:p>
        </w:tc>
        <w:tc>
          <w:tcPr>
            <w:tcW w:w="709" w:type="dxa"/>
            <w:vMerge w:val="continue"/>
            <w:vAlign w:val="center"/>
          </w:tcPr>
          <w:p w14:paraId="6C98DF5D">
            <w:pPr>
              <w:adjustRightInd w:val="0"/>
              <w:spacing w:line="360" w:lineRule="auto"/>
              <w:jc w:val="center"/>
              <w:textAlignment w:val="baseline"/>
              <w:rPr>
                <w:rFonts w:ascii="宋体" w:hAnsi="宋体"/>
                <w:b/>
                <w:color w:val="auto"/>
                <w:szCs w:val="21"/>
                <w:highlight w:val="none"/>
              </w:rPr>
            </w:pPr>
          </w:p>
        </w:tc>
        <w:tc>
          <w:tcPr>
            <w:tcW w:w="1068" w:type="dxa"/>
            <w:vAlign w:val="center"/>
          </w:tcPr>
          <w:p w14:paraId="22B4E6F4">
            <w:pPr>
              <w:spacing w:line="360" w:lineRule="auto"/>
              <w:rPr>
                <w:rFonts w:hAnsi="宋体" w:cs="宋体"/>
                <w:b/>
                <w:color w:val="auto"/>
                <w:szCs w:val="21"/>
                <w:highlight w:val="none"/>
              </w:rPr>
            </w:pPr>
            <w:r>
              <w:rPr>
                <w:rFonts w:hint="eastAsia" w:ascii="宋体" w:hAnsi="宋体" w:cs="Courier New"/>
                <w:b/>
                <w:color w:val="auto"/>
                <w:szCs w:val="21"/>
                <w:highlight w:val="none"/>
              </w:rPr>
              <w:t>业绩分（</w:t>
            </w:r>
            <w:r>
              <w:rPr>
                <w:rFonts w:hint="eastAsia" w:ascii="宋体" w:hAnsi="宋体" w:cs="Courier New"/>
                <w:b/>
                <w:color w:val="auto"/>
                <w:szCs w:val="21"/>
                <w:highlight w:val="none"/>
                <w:lang w:val="en-US" w:eastAsia="zh-CN"/>
              </w:rPr>
              <w:t>满分6分</w:t>
            </w:r>
            <w:r>
              <w:rPr>
                <w:rFonts w:hint="eastAsia" w:ascii="宋体" w:hAnsi="宋体" w:cs="Courier New"/>
                <w:b/>
                <w:color w:val="auto"/>
                <w:szCs w:val="21"/>
                <w:highlight w:val="none"/>
              </w:rPr>
              <w:t>）</w:t>
            </w:r>
          </w:p>
        </w:tc>
        <w:tc>
          <w:tcPr>
            <w:tcW w:w="5901" w:type="dxa"/>
            <w:vAlign w:val="center"/>
          </w:tcPr>
          <w:p w14:paraId="151AE760">
            <w:pPr>
              <w:spacing w:line="380" w:lineRule="exac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考核期内承接过对类似项目的，每个项目得</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分，本项满分为</w:t>
            </w:r>
            <w:r>
              <w:rPr>
                <w:rFonts w:hint="eastAsia" w:ascii="宋体" w:hAnsi="宋体" w:cs="宋体"/>
                <w:color w:val="auto"/>
                <w:szCs w:val="21"/>
                <w:highlight w:val="none"/>
                <w:shd w:val="clear" w:color="auto" w:fill="FFFFFF"/>
                <w:lang w:val="en-US" w:eastAsia="zh-CN"/>
              </w:rPr>
              <w:t>6</w:t>
            </w:r>
            <w:r>
              <w:rPr>
                <w:rFonts w:hint="eastAsia" w:ascii="宋体" w:hAnsi="宋体" w:cs="宋体"/>
                <w:color w:val="auto"/>
                <w:szCs w:val="21"/>
                <w:highlight w:val="none"/>
                <w:shd w:val="clear" w:color="auto" w:fill="FFFFFF"/>
              </w:rPr>
              <w:t>分。</w:t>
            </w:r>
          </w:p>
          <w:p w14:paraId="1BC696E5">
            <w:pPr>
              <w:spacing w:line="440" w:lineRule="exact"/>
              <w:ind w:firstLine="36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注：考核期为20</w:t>
            </w: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年1月至今，考核项目须提交合同（或协议）等相关证明材料。</w:t>
            </w:r>
          </w:p>
        </w:tc>
      </w:tr>
      <w:tr w14:paraId="7F3A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688" w:type="dxa"/>
            <w:gridSpan w:val="5"/>
            <w:vAlign w:val="center"/>
          </w:tcPr>
          <w:p w14:paraId="2C8C7DA6">
            <w:pPr>
              <w:pStyle w:val="17"/>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76F6B118">
      <w:pPr>
        <w:spacing w:line="360" w:lineRule="auto"/>
        <w:ind w:firstLine="420" w:firstLineChars="200"/>
        <w:rPr>
          <w:rFonts w:ascii="宋体" w:hAnsi="宋体"/>
          <w:bCs/>
          <w:color w:val="auto"/>
          <w:szCs w:val="21"/>
          <w:highlight w:val="none"/>
        </w:rPr>
      </w:pPr>
    </w:p>
    <w:p w14:paraId="48F888E7">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技术得分相同的按照技术要求偏离分由高到低排序）。评审得分、最后报价、技术得分、技术要求偏离分均相同的，由磋商小组随机抽取推荐。</w:t>
      </w:r>
    </w:p>
    <w:p w14:paraId="7AF57FA6">
      <w:pPr>
        <w:rPr>
          <w:color w:val="auto"/>
          <w:highlight w:val="none"/>
        </w:rPr>
      </w:pPr>
    </w:p>
    <w:p w14:paraId="5A741129">
      <w:pPr>
        <w:rPr>
          <w:color w:val="auto"/>
          <w:highlight w:val="none"/>
        </w:rPr>
      </w:pPr>
    </w:p>
    <w:p w14:paraId="62D06729">
      <w:pPr>
        <w:rPr>
          <w:color w:val="auto"/>
          <w:highlight w:val="none"/>
        </w:rPr>
      </w:pPr>
    </w:p>
    <w:p w14:paraId="289E834E">
      <w:pPr>
        <w:rPr>
          <w:color w:val="auto"/>
          <w:highlight w:val="none"/>
        </w:rPr>
      </w:pPr>
    </w:p>
    <w:p w14:paraId="1EC1938E">
      <w:pPr>
        <w:rPr>
          <w:color w:val="auto"/>
          <w:highlight w:val="none"/>
        </w:rPr>
      </w:pPr>
    </w:p>
    <w:p w14:paraId="1791BA6F">
      <w:pPr>
        <w:rPr>
          <w:color w:val="auto"/>
          <w:highlight w:val="none"/>
        </w:rPr>
      </w:pPr>
    </w:p>
    <w:p w14:paraId="0A525A0E">
      <w:pPr>
        <w:rPr>
          <w:color w:val="auto"/>
          <w:highlight w:val="none"/>
        </w:rPr>
      </w:pPr>
    </w:p>
    <w:p w14:paraId="32B656EA">
      <w:pPr>
        <w:rPr>
          <w:color w:val="auto"/>
          <w:highlight w:val="none"/>
        </w:rPr>
      </w:pPr>
    </w:p>
    <w:p w14:paraId="72FFAD8A">
      <w:pPr>
        <w:rPr>
          <w:color w:val="auto"/>
          <w:highlight w:val="none"/>
        </w:rPr>
      </w:pPr>
    </w:p>
    <w:p w14:paraId="476EB69F">
      <w:pPr>
        <w:rPr>
          <w:color w:val="auto"/>
          <w:highlight w:val="none"/>
        </w:rPr>
      </w:pPr>
    </w:p>
    <w:p w14:paraId="1AE12844">
      <w:pPr>
        <w:rPr>
          <w:color w:val="auto"/>
          <w:highlight w:val="none"/>
        </w:rPr>
      </w:pPr>
    </w:p>
    <w:p w14:paraId="093FCEC3">
      <w:pPr>
        <w:rPr>
          <w:color w:val="auto"/>
          <w:highlight w:val="none"/>
        </w:rPr>
      </w:pPr>
    </w:p>
    <w:p w14:paraId="00706DC8">
      <w:pPr>
        <w:rPr>
          <w:color w:val="auto"/>
          <w:highlight w:val="none"/>
        </w:rPr>
      </w:pPr>
    </w:p>
    <w:p w14:paraId="327537E3">
      <w:pPr>
        <w:rPr>
          <w:color w:val="auto"/>
          <w:highlight w:val="none"/>
        </w:rPr>
      </w:pPr>
    </w:p>
    <w:p w14:paraId="3240F09F">
      <w:pPr>
        <w:rPr>
          <w:color w:val="auto"/>
          <w:highlight w:val="none"/>
        </w:rPr>
      </w:pPr>
    </w:p>
    <w:p w14:paraId="01EA1DB5">
      <w:pPr>
        <w:rPr>
          <w:color w:val="auto"/>
          <w:highlight w:val="none"/>
        </w:rPr>
      </w:pPr>
    </w:p>
    <w:p w14:paraId="102C93D1">
      <w:pPr>
        <w:rPr>
          <w:color w:val="auto"/>
          <w:highlight w:val="none"/>
        </w:rPr>
      </w:pPr>
    </w:p>
    <w:p w14:paraId="5DC68502">
      <w:pPr>
        <w:rPr>
          <w:color w:val="auto"/>
          <w:highlight w:val="none"/>
        </w:rPr>
      </w:pPr>
    </w:p>
    <w:p w14:paraId="4BB2391E">
      <w:pPr>
        <w:rPr>
          <w:color w:val="auto"/>
          <w:highlight w:val="none"/>
        </w:rPr>
      </w:pPr>
    </w:p>
    <w:p w14:paraId="0A55D256">
      <w:pPr>
        <w:rPr>
          <w:color w:val="auto"/>
          <w:highlight w:val="none"/>
        </w:rPr>
      </w:pPr>
    </w:p>
    <w:p w14:paraId="586C7664">
      <w:pPr>
        <w:pStyle w:val="22"/>
        <w:rPr>
          <w:color w:val="auto"/>
          <w:highlight w:val="none"/>
        </w:rPr>
      </w:pPr>
    </w:p>
    <w:p w14:paraId="389D81BD">
      <w:pPr>
        <w:rPr>
          <w:color w:val="auto"/>
          <w:highlight w:val="none"/>
        </w:rPr>
      </w:pPr>
    </w:p>
    <w:p w14:paraId="46874E92">
      <w:pPr>
        <w:pStyle w:val="22"/>
        <w:rPr>
          <w:color w:val="auto"/>
          <w:highlight w:val="none"/>
        </w:rPr>
      </w:pPr>
    </w:p>
    <w:p w14:paraId="290911A2">
      <w:pPr>
        <w:rPr>
          <w:color w:val="auto"/>
          <w:highlight w:val="none"/>
        </w:rPr>
      </w:pPr>
    </w:p>
    <w:p w14:paraId="65F96934">
      <w:pPr>
        <w:pStyle w:val="22"/>
        <w:rPr>
          <w:color w:val="auto"/>
          <w:highlight w:val="none"/>
        </w:rPr>
      </w:pPr>
    </w:p>
    <w:p w14:paraId="3042B643">
      <w:pPr>
        <w:rPr>
          <w:color w:val="auto"/>
          <w:highlight w:val="none"/>
        </w:rPr>
      </w:pPr>
    </w:p>
    <w:p w14:paraId="46AF1B46">
      <w:pPr>
        <w:rPr>
          <w:color w:val="auto"/>
          <w:highlight w:val="none"/>
        </w:rPr>
      </w:pPr>
    </w:p>
    <w:p w14:paraId="46B853DB">
      <w:pPr>
        <w:rPr>
          <w:color w:val="auto"/>
          <w:highlight w:val="none"/>
        </w:rPr>
      </w:pPr>
    </w:p>
    <w:p w14:paraId="672B4C97">
      <w:pPr>
        <w:rPr>
          <w:color w:val="auto"/>
          <w:highlight w:val="none"/>
        </w:rPr>
      </w:pPr>
    </w:p>
    <w:p w14:paraId="2F10CFBF">
      <w:pPr>
        <w:rPr>
          <w:color w:val="auto"/>
          <w:highlight w:val="none"/>
        </w:rPr>
      </w:pPr>
    </w:p>
    <w:p w14:paraId="57155A2D">
      <w:pPr>
        <w:pStyle w:val="37"/>
        <w:rPr>
          <w:color w:val="auto"/>
          <w:highlight w:val="none"/>
        </w:rPr>
      </w:pPr>
    </w:p>
    <w:p w14:paraId="19952A6E">
      <w:pPr>
        <w:pStyle w:val="37"/>
        <w:rPr>
          <w:color w:val="auto"/>
          <w:highlight w:val="none"/>
        </w:rPr>
      </w:pPr>
    </w:p>
    <w:p w14:paraId="4DBE0A57">
      <w:pPr>
        <w:rPr>
          <w:color w:val="auto"/>
          <w:highlight w:val="none"/>
        </w:rPr>
      </w:pPr>
    </w:p>
    <w:p w14:paraId="173B95D8">
      <w:pPr>
        <w:rPr>
          <w:color w:val="auto"/>
          <w:highlight w:val="none"/>
        </w:rPr>
      </w:pPr>
    </w:p>
    <w:p w14:paraId="00203630">
      <w:pPr>
        <w:pStyle w:val="20"/>
        <w:rPr>
          <w:color w:val="auto"/>
          <w:highlight w:val="none"/>
        </w:rPr>
      </w:pPr>
    </w:p>
    <w:p w14:paraId="3C4FF3A5">
      <w:pPr>
        <w:rPr>
          <w:color w:val="auto"/>
          <w:highlight w:val="none"/>
        </w:rPr>
      </w:pPr>
    </w:p>
    <w:p w14:paraId="15E67819">
      <w:pPr>
        <w:rPr>
          <w:color w:val="auto"/>
          <w:highlight w:val="none"/>
        </w:rPr>
      </w:pPr>
    </w:p>
    <w:p w14:paraId="67F79CA8">
      <w:pPr>
        <w:pStyle w:val="3"/>
        <w:jc w:val="center"/>
        <w:rPr>
          <w:color w:val="auto"/>
          <w:highlight w:val="none"/>
        </w:rPr>
      </w:pPr>
      <w:bookmarkStart w:id="78" w:name="_Toc74323460"/>
      <w:r>
        <w:rPr>
          <w:rFonts w:hint="eastAsia"/>
          <w:color w:val="auto"/>
          <w:highlight w:val="none"/>
        </w:rPr>
        <w:t>第五章 响应文件格式</w:t>
      </w:r>
      <w:bookmarkEnd w:id="78"/>
    </w:p>
    <w:p w14:paraId="60A39C0D">
      <w:pPr>
        <w:spacing w:line="240" w:lineRule="atLeast"/>
        <w:rPr>
          <w:rFonts w:ascii="宋体" w:hAnsi="宋体"/>
          <w:b/>
          <w:color w:val="auto"/>
          <w:sz w:val="32"/>
          <w:szCs w:val="32"/>
          <w:highlight w:val="none"/>
        </w:rPr>
      </w:pPr>
    </w:p>
    <w:p w14:paraId="3385636F">
      <w:pPr>
        <w:spacing w:line="240" w:lineRule="atLeast"/>
        <w:rPr>
          <w:rFonts w:ascii="宋体" w:hAnsi="宋体"/>
          <w:b/>
          <w:color w:val="auto"/>
          <w:sz w:val="32"/>
          <w:szCs w:val="32"/>
          <w:highlight w:val="none"/>
        </w:rPr>
      </w:pPr>
    </w:p>
    <w:p w14:paraId="20C22B8D">
      <w:pPr>
        <w:spacing w:line="240" w:lineRule="atLeast"/>
        <w:rPr>
          <w:rFonts w:ascii="宋体" w:hAnsi="宋体"/>
          <w:b/>
          <w:color w:val="auto"/>
          <w:sz w:val="32"/>
          <w:szCs w:val="32"/>
          <w:highlight w:val="none"/>
        </w:rPr>
      </w:pPr>
    </w:p>
    <w:p w14:paraId="4A6B95EB">
      <w:pPr>
        <w:spacing w:line="240" w:lineRule="atLeast"/>
        <w:rPr>
          <w:rFonts w:ascii="宋体" w:hAnsi="宋体"/>
          <w:b/>
          <w:color w:val="auto"/>
          <w:sz w:val="32"/>
          <w:szCs w:val="32"/>
          <w:highlight w:val="none"/>
        </w:rPr>
      </w:pPr>
    </w:p>
    <w:p w14:paraId="3022EB56">
      <w:pPr>
        <w:spacing w:line="240" w:lineRule="atLeast"/>
        <w:rPr>
          <w:rFonts w:ascii="宋体" w:hAnsi="宋体"/>
          <w:b/>
          <w:color w:val="auto"/>
          <w:sz w:val="32"/>
          <w:szCs w:val="32"/>
          <w:highlight w:val="none"/>
        </w:rPr>
      </w:pPr>
    </w:p>
    <w:p w14:paraId="6DE5C9C0">
      <w:pPr>
        <w:spacing w:line="240" w:lineRule="atLeast"/>
        <w:rPr>
          <w:rFonts w:ascii="宋体" w:hAnsi="宋体"/>
          <w:b/>
          <w:color w:val="auto"/>
          <w:sz w:val="32"/>
          <w:szCs w:val="32"/>
          <w:highlight w:val="none"/>
        </w:rPr>
      </w:pPr>
    </w:p>
    <w:p w14:paraId="2F19B70B">
      <w:pPr>
        <w:spacing w:line="240" w:lineRule="atLeast"/>
        <w:rPr>
          <w:rFonts w:ascii="宋体" w:hAnsi="宋体"/>
          <w:b/>
          <w:color w:val="auto"/>
          <w:sz w:val="32"/>
          <w:szCs w:val="32"/>
          <w:highlight w:val="none"/>
        </w:rPr>
      </w:pPr>
    </w:p>
    <w:p w14:paraId="1037CA05">
      <w:pPr>
        <w:pStyle w:val="2"/>
        <w:rPr>
          <w:rFonts w:ascii="宋体" w:hAnsi="宋体"/>
          <w:b/>
          <w:color w:val="auto"/>
          <w:sz w:val="32"/>
          <w:szCs w:val="32"/>
          <w:highlight w:val="none"/>
        </w:rPr>
      </w:pPr>
    </w:p>
    <w:p w14:paraId="205A9FC5">
      <w:pPr>
        <w:rPr>
          <w:rFonts w:ascii="宋体" w:hAnsi="宋体"/>
          <w:b/>
          <w:color w:val="auto"/>
          <w:sz w:val="32"/>
          <w:szCs w:val="32"/>
          <w:highlight w:val="none"/>
        </w:rPr>
      </w:pPr>
    </w:p>
    <w:p w14:paraId="3D16A62C">
      <w:pPr>
        <w:pStyle w:val="2"/>
        <w:rPr>
          <w:color w:val="auto"/>
          <w:highlight w:val="none"/>
        </w:rPr>
      </w:pPr>
    </w:p>
    <w:p w14:paraId="1865558F">
      <w:pPr>
        <w:spacing w:line="240" w:lineRule="atLeast"/>
        <w:rPr>
          <w:rFonts w:ascii="宋体" w:hAnsi="宋体"/>
          <w:b/>
          <w:color w:val="auto"/>
          <w:sz w:val="32"/>
          <w:szCs w:val="32"/>
          <w:highlight w:val="none"/>
        </w:rPr>
      </w:pPr>
    </w:p>
    <w:p w14:paraId="11DB23C8">
      <w:pPr>
        <w:spacing w:line="240" w:lineRule="atLeast"/>
        <w:rPr>
          <w:rFonts w:ascii="宋体" w:hAnsi="宋体"/>
          <w:b/>
          <w:color w:val="auto"/>
          <w:sz w:val="32"/>
          <w:szCs w:val="32"/>
          <w:highlight w:val="none"/>
        </w:rPr>
      </w:pPr>
    </w:p>
    <w:p w14:paraId="32BB493C">
      <w:pPr>
        <w:spacing w:line="240" w:lineRule="atLeast"/>
        <w:rPr>
          <w:rFonts w:ascii="宋体" w:hAnsi="宋体"/>
          <w:b/>
          <w:color w:val="auto"/>
          <w:sz w:val="32"/>
          <w:szCs w:val="32"/>
          <w:highlight w:val="none"/>
        </w:rPr>
      </w:pPr>
    </w:p>
    <w:p w14:paraId="1B14CD5F">
      <w:pPr>
        <w:spacing w:line="240" w:lineRule="atLeast"/>
        <w:rPr>
          <w:rFonts w:ascii="宋体" w:hAnsi="宋体"/>
          <w:b/>
          <w:color w:val="auto"/>
          <w:sz w:val="32"/>
          <w:szCs w:val="32"/>
          <w:highlight w:val="none"/>
        </w:rPr>
      </w:pPr>
    </w:p>
    <w:p w14:paraId="6708D5EB">
      <w:pPr>
        <w:spacing w:line="240" w:lineRule="atLeast"/>
        <w:rPr>
          <w:rFonts w:ascii="宋体" w:hAnsi="宋体"/>
          <w:b/>
          <w:color w:val="auto"/>
          <w:sz w:val="32"/>
          <w:szCs w:val="32"/>
          <w:highlight w:val="none"/>
        </w:rPr>
      </w:pPr>
    </w:p>
    <w:p w14:paraId="4D207EF6">
      <w:pPr>
        <w:spacing w:line="240" w:lineRule="atLeast"/>
        <w:rPr>
          <w:rFonts w:ascii="宋体" w:hAnsi="宋体"/>
          <w:b/>
          <w:color w:val="auto"/>
          <w:sz w:val="32"/>
          <w:szCs w:val="32"/>
          <w:highlight w:val="none"/>
        </w:rPr>
      </w:pPr>
    </w:p>
    <w:p w14:paraId="0B3AC082">
      <w:pPr>
        <w:pStyle w:val="2"/>
        <w:rPr>
          <w:color w:val="auto"/>
          <w:highlight w:val="none"/>
        </w:rPr>
      </w:pPr>
    </w:p>
    <w:p w14:paraId="62DF53F4">
      <w:pPr>
        <w:snapToGrid w:val="0"/>
        <w:spacing w:before="120" w:beforeLines="50" w:after="50"/>
        <w:rPr>
          <w:rFonts w:ascii="仿宋_GB2312" w:hAnsi="仿宋_GB2312" w:eastAsia="仿宋_GB2312" w:cs="仿宋_GB2312"/>
          <w:bCs/>
          <w:color w:val="auto"/>
          <w:sz w:val="32"/>
          <w:szCs w:val="32"/>
          <w:highlight w:val="none"/>
        </w:rPr>
      </w:pPr>
    </w:p>
    <w:p w14:paraId="09FC263D">
      <w:pPr>
        <w:rPr>
          <w:b/>
          <w:color w:val="auto"/>
          <w:sz w:val="32"/>
          <w:szCs w:val="32"/>
          <w:highlight w:val="none"/>
        </w:rPr>
      </w:pPr>
      <w:bookmarkStart w:id="79" w:name="_Toc31723070"/>
      <w:bookmarkStart w:id="80" w:name="_Toc35611438"/>
      <w:bookmarkStart w:id="81" w:name="_Toc35611516"/>
      <w:bookmarkStart w:id="82" w:name="_Toc71366186"/>
      <w:bookmarkStart w:id="83" w:name="_Toc31728084"/>
      <w:bookmarkStart w:id="84" w:name="_Toc44229899"/>
      <w:r>
        <w:rPr>
          <w:rFonts w:hint="eastAsia"/>
          <w:b/>
          <w:color w:val="auto"/>
          <w:sz w:val="32"/>
          <w:szCs w:val="32"/>
          <w:highlight w:val="none"/>
        </w:rPr>
        <w:t>一、资格证明文件格式</w:t>
      </w:r>
      <w:bookmarkEnd w:id="79"/>
      <w:bookmarkEnd w:id="80"/>
      <w:bookmarkEnd w:id="81"/>
      <w:bookmarkEnd w:id="82"/>
      <w:bookmarkEnd w:id="83"/>
      <w:bookmarkEnd w:id="84"/>
    </w:p>
    <w:p w14:paraId="22BF103C">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621C39B">
      <w:pPr>
        <w:snapToGrid w:val="0"/>
        <w:spacing w:before="120" w:beforeLines="50" w:after="50"/>
        <w:jc w:val="center"/>
        <w:rPr>
          <w:rFonts w:ascii="宋体" w:hAnsi="宋体"/>
          <w:color w:val="auto"/>
          <w:sz w:val="44"/>
          <w:szCs w:val="44"/>
          <w:highlight w:val="none"/>
        </w:rPr>
      </w:pPr>
    </w:p>
    <w:p w14:paraId="74B9C1B8">
      <w:pPr>
        <w:snapToGrid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6A7F688E">
      <w:pPr>
        <w:snapToGrid w:val="0"/>
        <w:spacing w:before="120" w:beforeLines="50" w:after="50"/>
        <w:rPr>
          <w:rFonts w:ascii="宋体" w:hAnsi="宋体"/>
          <w:color w:val="auto"/>
          <w:sz w:val="24"/>
          <w:szCs w:val="20"/>
          <w:highlight w:val="none"/>
        </w:rPr>
      </w:pPr>
    </w:p>
    <w:p w14:paraId="1C684EAE">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030FA9C">
      <w:pPr>
        <w:snapToGrid w:val="0"/>
        <w:spacing w:before="120" w:beforeLines="50" w:after="50"/>
        <w:rPr>
          <w:rFonts w:ascii="宋体" w:hAnsi="宋体"/>
          <w:bCs/>
          <w:color w:val="auto"/>
          <w:sz w:val="24"/>
          <w:szCs w:val="20"/>
          <w:highlight w:val="none"/>
        </w:rPr>
      </w:pPr>
    </w:p>
    <w:p w14:paraId="2FF4497F">
      <w:pPr>
        <w:snapToGrid w:val="0"/>
        <w:spacing w:before="120" w:beforeLines="50" w:after="50"/>
        <w:rPr>
          <w:rFonts w:ascii="宋体" w:hAnsi="宋体"/>
          <w:bCs/>
          <w:color w:val="auto"/>
          <w:sz w:val="24"/>
          <w:szCs w:val="20"/>
          <w:highlight w:val="none"/>
        </w:rPr>
      </w:pPr>
    </w:p>
    <w:p w14:paraId="2C0A6D94">
      <w:pPr>
        <w:snapToGrid w:val="0"/>
        <w:spacing w:before="120" w:beforeLines="50" w:after="50"/>
        <w:rPr>
          <w:rFonts w:ascii="宋体" w:hAnsi="宋体"/>
          <w:bCs/>
          <w:color w:val="auto"/>
          <w:sz w:val="24"/>
          <w:szCs w:val="20"/>
          <w:highlight w:val="none"/>
        </w:rPr>
      </w:pPr>
    </w:p>
    <w:p w14:paraId="6CCBB598">
      <w:pPr>
        <w:snapToGrid w:val="0"/>
        <w:spacing w:before="120" w:beforeLines="50" w:after="50"/>
        <w:rPr>
          <w:rFonts w:ascii="宋体" w:hAnsi="宋体"/>
          <w:bCs/>
          <w:color w:val="auto"/>
          <w:sz w:val="24"/>
          <w:szCs w:val="20"/>
          <w:highlight w:val="none"/>
        </w:rPr>
      </w:pPr>
    </w:p>
    <w:p w14:paraId="6014013E">
      <w:pPr>
        <w:snapToGrid w:val="0"/>
        <w:spacing w:before="120" w:beforeLines="50" w:after="50"/>
        <w:rPr>
          <w:rFonts w:ascii="宋体" w:hAnsi="宋体"/>
          <w:bCs/>
          <w:color w:val="auto"/>
          <w:sz w:val="24"/>
          <w:szCs w:val="20"/>
          <w:highlight w:val="none"/>
        </w:rPr>
      </w:pPr>
    </w:p>
    <w:p w14:paraId="25F3A535">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68F2F5C">
      <w:pPr>
        <w:snapToGrid w:val="0"/>
        <w:spacing w:before="120" w:beforeLines="50" w:after="50"/>
        <w:ind w:firstLine="720" w:firstLineChars="225"/>
        <w:rPr>
          <w:rFonts w:ascii="宋体" w:hAnsi="宋体" w:cs="仿宋_GB2312"/>
          <w:bCs/>
          <w:color w:val="auto"/>
          <w:sz w:val="32"/>
          <w:szCs w:val="32"/>
          <w:highlight w:val="none"/>
        </w:rPr>
      </w:pPr>
    </w:p>
    <w:p w14:paraId="75A72CF4">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C20BC56">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A4A47A3">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96D48DF">
      <w:pPr>
        <w:snapToGrid w:val="0"/>
        <w:spacing w:before="120" w:beforeLines="50" w:after="50"/>
        <w:ind w:firstLine="720" w:firstLineChars="225"/>
        <w:rPr>
          <w:rFonts w:ascii="宋体" w:hAnsi="宋体" w:cs="仿宋_GB2312"/>
          <w:bCs/>
          <w:color w:val="auto"/>
          <w:sz w:val="32"/>
          <w:szCs w:val="32"/>
          <w:highlight w:val="none"/>
        </w:rPr>
      </w:pPr>
    </w:p>
    <w:p w14:paraId="22C6CBB7">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6D4D4D2">
      <w:pPr>
        <w:snapToGrid w:val="0"/>
        <w:spacing w:before="120" w:beforeLines="50" w:after="50"/>
        <w:ind w:firstLine="640" w:firstLineChars="200"/>
        <w:rPr>
          <w:rFonts w:ascii="宋体" w:hAnsi="宋体" w:cs="仿宋_GB2312"/>
          <w:bCs/>
          <w:color w:val="auto"/>
          <w:sz w:val="32"/>
          <w:szCs w:val="32"/>
          <w:highlight w:val="none"/>
        </w:rPr>
      </w:pPr>
    </w:p>
    <w:p w14:paraId="69BF1740">
      <w:pPr>
        <w:pStyle w:val="7"/>
        <w:snapToGrid w:val="0"/>
        <w:spacing w:before="50" w:after="50"/>
        <w:ind w:firstLine="720" w:firstLineChars="225"/>
        <w:rPr>
          <w:rFonts w:ascii="宋体" w:hAnsi="宋体" w:cs="仿宋_GB2312"/>
          <w:bCs/>
          <w:color w:val="auto"/>
          <w:sz w:val="32"/>
          <w:szCs w:val="32"/>
          <w:highlight w:val="none"/>
        </w:rPr>
      </w:pPr>
    </w:p>
    <w:p w14:paraId="1D18A282">
      <w:pPr>
        <w:pStyle w:val="7"/>
        <w:snapToGrid w:val="0"/>
        <w:spacing w:before="50" w:after="50"/>
        <w:ind w:firstLine="720" w:firstLineChars="225"/>
        <w:rPr>
          <w:rFonts w:ascii="宋体" w:hAnsi="宋体" w:cs="仿宋_GB2312"/>
          <w:bCs/>
          <w:color w:val="auto"/>
          <w:sz w:val="32"/>
          <w:szCs w:val="32"/>
          <w:highlight w:val="none"/>
        </w:rPr>
      </w:pPr>
    </w:p>
    <w:p w14:paraId="76ADBD0C">
      <w:pPr>
        <w:pStyle w:val="7"/>
        <w:snapToGrid w:val="0"/>
        <w:spacing w:before="50" w:after="50"/>
        <w:ind w:firstLine="1280" w:firstLineChars="400"/>
        <w:rPr>
          <w:rFonts w:ascii="宋体" w:hAnsi="宋体" w:cs="仿宋_GB2312"/>
          <w:bCs/>
          <w:color w:val="auto"/>
          <w:sz w:val="32"/>
          <w:szCs w:val="32"/>
          <w:highlight w:val="none"/>
        </w:rPr>
      </w:pPr>
    </w:p>
    <w:p w14:paraId="16BF4076">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881A17E">
      <w:pPr>
        <w:snapToGrid w:val="0"/>
        <w:spacing w:before="120"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0BDFFD97">
      <w:pP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0339DB8">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76C2A978">
      <w:pPr>
        <w:spacing w:line="300" w:lineRule="auto"/>
        <w:rPr>
          <w:rFonts w:ascii="宋体" w:hAnsi="宋体"/>
          <w:color w:val="auto"/>
          <w:szCs w:val="21"/>
          <w:highlight w:val="none"/>
        </w:rPr>
      </w:pPr>
    </w:p>
    <w:p w14:paraId="56C73B95">
      <w:pPr>
        <w:spacing w:line="300" w:lineRule="auto"/>
        <w:rPr>
          <w:rFonts w:ascii="宋体" w:hAnsi="宋体"/>
          <w:color w:val="auto"/>
          <w:szCs w:val="21"/>
          <w:highlight w:val="none"/>
        </w:rPr>
      </w:pPr>
    </w:p>
    <w:p w14:paraId="0A116E21">
      <w:pPr>
        <w:spacing w:line="300" w:lineRule="auto"/>
        <w:rPr>
          <w:rFonts w:ascii="宋体" w:hAnsi="宋体"/>
          <w:color w:val="auto"/>
          <w:szCs w:val="21"/>
          <w:highlight w:val="none"/>
        </w:rPr>
      </w:pPr>
    </w:p>
    <w:p w14:paraId="4EAEBAEC">
      <w:pPr>
        <w:spacing w:line="300" w:lineRule="auto"/>
        <w:rPr>
          <w:rFonts w:ascii="宋体" w:hAnsi="宋体"/>
          <w:color w:val="auto"/>
          <w:szCs w:val="21"/>
          <w:highlight w:val="none"/>
        </w:rPr>
      </w:pPr>
    </w:p>
    <w:p w14:paraId="5EC4B741">
      <w:pPr>
        <w:spacing w:line="300" w:lineRule="auto"/>
        <w:rPr>
          <w:rFonts w:ascii="宋体" w:hAnsi="宋体"/>
          <w:color w:val="auto"/>
          <w:szCs w:val="21"/>
          <w:highlight w:val="none"/>
        </w:rPr>
      </w:pPr>
    </w:p>
    <w:p w14:paraId="5A44A564">
      <w:pPr>
        <w:spacing w:line="300" w:lineRule="auto"/>
        <w:rPr>
          <w:rFonts w:ascii="宋体" w:hAnsi="宋体"/>
          <w:color w:val="auto"/>
          <w:szCs w:val="21"/>
          <w:highlight w:val="none"/>
        </w:rPr>
      </w:pPr>
    </w:p>
    <w:p w14:paraId="4F91C698">
      <w:pPr>
        <w:spacing w:line="300" w:lineRule="auto"/>
        <w:rPr>
          <w:rFonts w:ascii="宋体" w:hAnsi="宋体"/>
          <w:color w:val="auto"/>
          <w:szCs w:val="21"/>
          <w:highlight w:val="none"/>
        </w:rPr>
      </w:pPr>
    </w:p>
    <w:p w14:paraId="3F26EA20">
      <w:pPr>
        <w:spacing w:line="300" w:lineRule="auto"/>
        <w:rPr>
          <w:rFonts w:ascii="宋体" w:hAnsi="宋体"/>
          <w:color w:val="auto"/>
          <w:szCs w:val="21"/>
          <w:highlight w:val="none"/>
        </w:rPr>
      </w:pPr>
    </w:p>
    <w:p w14:paraId="1BAF0B4B">
      <w:pPr>
        <w:spacing w:line="300" w:lineRule="auto"/>
        <w:rPr>
          <w:rFonts w:ascii="宋体" w:hAnsi="宋体"/>
          <w:color w:val="auto"/>
          <w:szCs w:val="21"/>
          <w:highlight w:val="none"/>
        </w:rPr>
      </w:pPr>
    </w:p>
    <w:p w14:paraId="26868BED">
      <w:pPr>
        <w:spacing w:line="300" w:lineRule="auto"/>
        <w:rPr>
          <w:rFonts w:ascii="宋体" w:hAnsi="宋体"/>
          <w:color w:val="auto"/>
          <w:szCs w:val="21"/>
          <w:highlight w:val="none"/>
        </w:rPr>
      </w:pPr>
    </w:p>
    <w:p w14:paraId="1B6735B9">
      <w:pPr>
        <w:spacing w:line="300" w:lineRule="auto"/>
        <w:rPr>
          <w:rFonts w:ascii="宋体" w:hAnsi="宋体"/>
          <w:color w:val="auto"/>
          <w:szCs w:val="21"/>
          <w:highlight w:val="none"/>
        </w:rPr>
      </w:pPr>
    </w:p>
    <w:p w14:paraId="36B9BB9F">
      <w:pPr>
        <w:spacing w:line="300" w:lineRule="auto"/>
        <w:rPr>
          <w:rFonts w:ascii="宋体" w:hAnsi="宋体"/>
          <w:color w:val="auto"/>
          <w:szCs w:val="21"/>
          <w:highlight w:val="none"/>
        </w:rPr>
      </w:pPr>
    </w:p>
    <w:p w14:paraId="6E040410">
      <w:pPr>
        <w:spacing w:line="300" w:lineRule="auto"/>
        <w:rPr>
          <w:rFonts w:ascii="宋体" w:hAnsi="宋体"/>
          <w:color w:val="auto"/>
          <w:szCs w:val="21"/>
          <w:highlight w:val="none"/>
        </w:rPr>
      </w:pPr>
    </w:p>
    <w:p w14:paraId="3491DBA6">
      <w:pPr>
        <w:spacing w:line="300" w:lineRule="auto"/>
        <w:rPr>
          <w:rFonts w:ascii="宋体" w:hAnsi="宋体"/>
          <w:color w:val="auto"/>
          <w:szCs w:val="21"/>
          <w:highlight w:val="none"/>
        </w:rPr>
      </w:pPr>
    </w:p>
    <w:p w14:paraId="087C0974">
      <w:pPr>
        <w:spacing w:line="300" w:lineRule="auto"/>
        <w:rPr>
          <w:rFonts w:ascii="宋体" w:hAnsi="宋体"/>
          <w:color w:val="auto"/>
          <w:szCs w:val="21"/>
          <w:highlight w:val="none"/>
        </w:rPr>
      </w:pPr>
    </w:p>
    <w:p w14:paraId="5A9E9624">
      <w:pPr>
        <w:spacing w:line="320" w:lineRule="exact"/>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45349635">
      <w:pPr>
        <w:wordWrap w:val="0"/>
        <w:spacing w:before="120" w:beforeLines="50" w:after="50" w:line="320" w:lineRule="exact"/>
        <w:ind w:right="482" w:firstLine="210" w:firstLineChars="100"/>
        <w:contextualSpacing/>
        <w:jc w:val="center"/>
        <w:rPr>
          <w:rFonts w:ascii="宋体" w:hAnsi="宋体"/>
          <w:color w:val="auto"/>
          <w:szCs w:val="21"/>
          <w:highlight w:val="none"/>
        </w:rPr>
      </w:pPr>
    </w:p>
    <w:p w14:paraId="7591A97F">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71C5195B">
      <w:pPr>
        <w:snapToGrid w:val="0"/>
        <w:spacing w:before="120" w:beforeLines="50" w:after="50" w:line="360" w:lineRule="auto"/>
        <w:jc w:val="center"/>
        <w:rPr>
          <w:rFonts w:ascii="宋体" w:hAnsi="宋体"/>
          <w:b/>
          <w:color w:val="auto"/>
          <w:sz w:val="24"/>
          <w:highlight w:val="none"/>
        </w:rPr>
      </w:pPr>
    </w:p>
    <w:p w14:paraId="78616037">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953AD91">
      <w:pPr>
        <w:spacing w:line="360" w:lineRule="auto"/>
        <w:contextualSpacing/>
        <w:jc w:val="center"/>
        <w:rPr>
          <w:rFonts w:ascii="宋体" w:hAnsi="宋体"/>
          <w:b/>
          <w:color w:val="auto"/>
          <w:sz w:val="24"/>
          <w:highlight w:val="none"/>
        </w:rPr>
      </w:pPr>
    </w:p>
    <w:tbl>
      <w:tblPr>
        <w:tblStyle w:val="2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98388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082DD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AF903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87B9D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F10D2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3E5E5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CFD1A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2214A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9A03BC">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DC5211">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C8261B">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CACDE5">
            <w:pPr>
              <w:widowControl/>
              <w:spacing w:line="360" w:lineRule="auto"/>
              <w:contextualSpacing/>
              <w:jc w:val="center"/>
              <w:rPr>
                <w:rFonts w:ascii="宋体" w:hAnsi="宋体" w:cs="宋体"/>
                <w:color w:val="auto"/>
                <w:kern w:val="0"/>
                <w:sz w:val="24"/>
                <w:highlight w:val="none"/>
              </w:rPr>
            </w:pPr>
          </w:p>
        </w:tc>
      </w:tr>
      <w:tr w14:paraId="6836604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5A04B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7B6A2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84DCC3">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9194AE">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5B1E08">
            <w:pPr>
              <w:widowControl/>
              <w:spacing w:line="360" w:lineRule="auto"/>
              <w:contextualSpacing/>
              <w:jc w:val="center"/>
              <w:rPr>
                <w:rFonts w:ascii="宋体" w:hAnsi="宋体" w:cs="宋体"/>
                <w:color w:val="auto"/>
                <w:kern w:val="0"/>
                <w:sz w:val="24"/>
                <w:highlight w:val="none"/>
              </w:rPr>
            </w:pPr>
          </w:p>
        </w:tc>
      </w:tr>
      <w:tr w14:paraId="1CA410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3831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957A77">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C6826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42C208">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96A91D">
            <w:pPr>
              <w:widowControl/>
              <w:spacing w:line="360" w:lineRule="auto"/>
              <w:contextualSpacing/>
              <w:jc w:val="center"/>
              <w:rPr>
                <w:rFonts w:ascii="宋体" w:hAnsi="宋体" w:cs="宋体"/>
                <w:color w:val="auto"/>
                <w:kern w:val="0"/>
                <w:sz w:val="24"/>
                <w:highlight w:val="none"/>
              </w:rPr>
            </w:pPr>
          </w:p>
        </w:tc>
      </w:tr>
      <w:tr w14:paraId="06A43F9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5C1F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FE15F1">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D7D0A9">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AC0781">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13BF4B">
            <w:pPr>
              <w:widowControl/>
              <w:spacing w:line="360" w:lineRule="auto"/>
              <w:contextualSpacing/>
              <w:jc w:val="center"/>
              <w:rPr>
                <w:rFonts w:ascii="宋体" w:hAnsi="宋体" w:cs="宋体"/>
                <w:color w:val="auto"/>
                <w:kern w:val="0"/>
                <w:sz w:val="24"/>
                <w:highlight w:val="none"/>
              </w:rPr>
            </w:pPr>
          </w:p>
        </w:tc>
      </w:tr>
    </w:tbl>
    <w:p w14:paraId="1269888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9C487E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EDC2E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3A42B4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41764082">
      <w:pPr>
        <w:spacing w:line="360" w:lineRule="auto"/>
        <w:ind w:firstLine="420" w:firstLineChars="200"/>
        <w:contextualSpacing/>
        <w:jc w:val="left"/>
        <w:rPr>
          <w:rFonts w:ascii="宋体" w:hAnsi="宋体" w:cs="宋体"/>
          <w:color w:val="auto"/>
          <w:szCs w:val="21"/>
          <w:highlight w:val="none"/>
        </w:rPr>
      </w:pPr>
    </w:p>
    <w:p w14:paraId="58F2DDE2">
      <w:pPr>
        <w:spacing w:line="360" w:lineRule="auto"/>
        <w:ind w:firstLine="560" w:firstLineChars="200"/>
        <w:contextualSpacing/>
        <w:jc w:val="left"/>
        <w:rPr>
          <w:rFonts w:ascii="宋体" w:hAnsi="宋体" w:cs="宋体"/>
          <w:color w:val="auto"/>
          <w:sz w:val="28"/>
          <w:szCs w:val="28"/>
          <w:highlight w:val="none"/>
        </w:rPr>
      </w:pPr>
    </w:p>
    <w:p w14:paraId="39311A03">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A0A8961">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54C900E2">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3E5D43A4">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91AA2C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1DC44F31">
      <w:pPr>
        <w:snapToGrid w:val="0"/>
        <w:spacing w:line="360" w:lineRule="auto"/>
        <w:jc w:val="center"/>
        <w:rPr>
          <w:rFonts w:ascii="宋体" w:hAnsi="宋体"/>
          <w:b/>
          <w:color w:val="auto"/>
          <w:sz w:val="24"/>
          <w:highlight w:val="none"/>
        </w:rPr>
      </w:pPr>
    </w:p>
    <w:tbl>
      <w:tblPr>
        <w:tblStyle w:val="2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D0B22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776A7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B42AF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1E2A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765BC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91AE60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6E5AF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B1A147">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35EF34">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E5D06E">
            <w:pPr>
              <w:widowControl/>
              <w:spacing w:line="360" w:lineRule="auto"/>
              <w:contextualSpacing/>
              <w:jc w:val="center"/>
              <w:rPr>
                <w:rFonts w:ascii="宋体" w:hAnsi="宋体" w:cs="宋体"/>
                <w:color w:val="auto"/>
                <w:kern w:val="0"/>
                <w:sz w:val="24"/>
                <w:highlight w:val="none"/>
              </w:rPr>
            </w:pPr>
          </w:p>
        </w:tc>
      </w:tr>
      <w:tr w14:paraId="71C9DFF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DCD01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7C457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DA588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C3B0BA">
            <w:pPr>
              <w:widowControl/>
              <w:spacing w:line="360" w:lineRule="auto"/>
              <w:contextualSpacing/>
              <w:jc w:val="center"/>
              <w:rPr>
                <w:rFonts w:ascii="宋体" w:hAnsi="宋体" w:cs="宋体"/>
                <w:color w:val="auto"/>
                <w:kern w:val="0"/>
                <w:sz w:val="24"/>
                <w:highlight w:val="none"/>
              </w:rPr>
            </w:pPr>
          </w:p>
        </w:tc>
      </w:tr>
      <w:tr w14:paraId="3D980D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D6169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91749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C23DE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079294">
            <w:pPr>
              <w:widowControl/>
              <w:spacing w:line="360" w:lineRule="auto"/>
              <w:contextualSpacing/>
              <w:jc w:val="center"/>
              <w:rPr>
                <w:rFonts w:ascii="宋体" w:hAnsi="宋体" w:cs="宋体"/>
                <w:color w:val="auto"/>
                <w:kern w:val="0"/>
                <w:sz w:val="24"/>
                <w:highlight w:val="none"/>
              </w:rPr>
            </w:pPr>
          </w:p>
        </w:tc>
      </w:tr>
      <w:tr w14:paraId="639D249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54A0C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E4E52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AAB4D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2EE63">
            <w:pPr>
              <w:widowControl/>
              <w:spacing w:line="360" w:lineRule="auto"/>
              <w:contextualSpacing/>
              <w:jc w:val="center"/>
              <w:rPr>
                <w:rFonts w:ascii="宋体" w:hAnsi="宋体" w:cs="宋体"/>
                <w:color w:val="auto"/>
                <w:kern w:val="0"/>
                <w:sz w:val="24"/>
                <w:highlight w:val="none"/>
              </w:rPr>
            </w:pPr>
          </w:p>
        </w:tc>
      </w:tr>
    </w:tbl>
    <w:p w14:paraId="136C8445">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6056BC">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179032D">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1CDC88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13AC17CD">
      <w:pPr>
        <w:spacing w:line="360" w:lineRule="auto"/>
        <w:contextualSpacing/>
        <w:jc w:val="left"/>
        <w:rPr>
          <w:rFonts w:ascii="宋体" w:hAnsi="宋体"/>
          <w:color w:val="auto"/>
          <w:sz w:val="28"/>
          <w:szCs w:val="28"/>
          <w:highlight w:val="none"/>
        </w:rPr>
      </w:pPr>
    </w:p>
    <w:p w14:paraId="317A9571">
      <w:pPr>
        <w:spacing w:line="360" w:lineRule="auto"/>
        <w:contextualSpacing/>
        <w:jc w:val="left"/>
        <w:rPr>
          <w:rFonts w:ascii="宋体" w:hAnsi="宋体"/>
          <w:color w:val="auto"/>
          <w:sz w:val="28"/>
          <w:szCs w:val="28"/>
          <w:highlight w:val="none"/>
        </w:rPr>
      </w:pPr>
    </w:p>
    <w:p w14:paraId="6C4112EE">
      <w:pPr>
        <w:spacing w:line="360" w:lineRule="auto"/>
        <w:contextualSpacing/>
        <w:jc w:val="left"/>
        <w:rPr>
          <w:color w:val="auto"/>
          <w:sz w:val="28"/>
          <w:szCs w:val="28"/>
          <w:highlight w:val="none"/>
        </w:rPr>
      </w:pPr>
    </w:p>
    <w:p w14:paraId="5C4A45D2">
      <w:pPr>
        <w:spacing w:line="360" w:lineRule="auto"/>
        <w:contextualSpacing/>
        <w:jc w:val="left"/>
        <w:rPr>
          <w:color w:val="auto"/>
          <w:sz w:val="28"/>
          <w:szCs w:val="28"/>
          <w:highlight w:val="none"/>
        </w:rPr>
      </w:pPr>
    </w:p>
    <w:p w14:paraId="0BCB5DB0">
      <w:pPr>
        <w:spacing w:line="360" w:lineRule="auto"/>
        <w:contextualSpacing/>
        <w:jc w:val="left"/>
        <w:rPr>
          <w:color w:val="auto"/>
          <w:sz w:val="28"/>
          <w:szCs w:val="28"/>
          <w:highlight w:val="none"/>
        </w:rPr>
      </w:pPr>
    </w:p>
    <w:p w14:paraId="3C09AC67">
      <w:pPr>
        <w:spacing w:line="360" w:lineRule="auto"/>
        <w:contextualSpacing/>
        <w:jc w:val="left"/>
        <w:rPr>
          <w:rFonts w:ascii="宋体" w:hAnsi="宋体"/>
          <w:color w:val="auto"/>
          <w:sz w:val="28"/>
          <w:szCs w:val="28"/>
          <w:highlight w:val="none"/>
        </w:rPr>
      </w:pPr>
    </w:p>
    <w:p w14:paraId="0440B15E">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78856F4">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327120F9">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54EF1D7A">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13345221">
      <w:pPr>
        <w:spacing w:line="320" w:lineRule="exact"/>
        <w:jc w:val="center"/>
        <w:rPr>
          <w:rFonts w:ascii="宋体" w:hAnsi="宋体"/>
          <w:color w:val="auto"/>
          <w:sz w:val="24"/>
          <w:szCs w:val="20"/>
          <w:highlight w:val="none"/>
        </w:rPr>
      </w:pPr>
    </w:p>
    <w:p w14:paraId="2D07180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0C4072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DAE724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4C663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841B2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82559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0806D8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97EFD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3200B4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B4F5D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203E6AE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9A1051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EB8BE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BE1447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91BD0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17023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3AEB3E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764296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447023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3595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2A2C5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3D992CE">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1B4C6E2">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4C42C52">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226E9728">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836CC79">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63D59EA5">
      <w:pP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4112D9A8">
      <w:pPr>
        <w:spacing w:line="360" w:lineRule="auto"/>
        <w:contextualSpacing/>
        <w:jc w:val="left"/>
        <w:rPr>
          <w:rFonts w:ascii="宋体" w:hAnsi="宋体" w:cs="宋体"/>
          <w:color w:val="auto"/>
          <w:szCs w:val="21"/>
          <w:highlight w:val="none"/>
        </w:rPr>
      </w:pPr>
    </w:p>
    <w:p w14:paraId="103E9F96">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016B4469">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545A0221">
      <w:pPr>
        <w:pStyle w:val="15"/>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751E0EC7">
      <w:pPr>
        <w:pStyle w:val="7"/>
        <w:overflowPunct w:val="0"/>
        <w:spacing w:line="520" w:lineRule="exact"/>
        <w:ind w:firstLine="0"/>
        <w:jc w:val="center"/>
        <w:rPr>
          <w:rFonts w:ascii="方正小标宋简体" w:hAnsi="方正小标宋简体" w:eastAsia="方正小标宋简体" w:cs="方正小标宋简体"/>
          <w:color w:val="auto"/>
          <w:sz w:val="44"/>
          <w:szCs w:val="44"/>
          <w:highlight w:val="none"/>
        </w:rPr>
      </w:pPr>
      <w:r>
        <w:rPr>
          <w:rFonts w:hint="eastAsia"/>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联合体竞标协议书</w:t>
      </w:r>
    </w:p>
    <w:p w14:paraId="280A029F">
      <w:pPr>
        <w:pStyle w:val="7"/>
        <w:overflowPunct w:val="0"/>
        <w:spacing w:line="360" w:lineRule="auto"/>
        <w:ind w:firstLine="0"/>
        <w:rPr>
          <w:rFonts w:ascii="宋体" w:hAnsi="宋体"/>
          <w:color w:val="auto"/>
          <w:sz w:val="24"/>
          <w:szCs w:val="24"/>
          <w:highlight w:val="none"/>
        </w:rPr>
      </w:pPr>
    </w:p>
    <w:p w14:paraId="51872580">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117B99D9">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1F9DF585">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F1E10D1">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3BB94B21">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7DB052D7">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5E957E34">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101B0233">
      <w:pPr>
        <w:pStyle w:val="7"/>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713681CE">
      <w:pPr>
        <w:pStyle w:val="7"/>
        <w:overflowPunct w:val="0"/>
        <w:spacing w:line="360" w:lineRule="auto"/>
        <w:ind w:firstLineChars="175"/>
        <w:contextualSpacing/>
        <w:rPr>
          <w:rFonts w:ascii="宋体" w:hAnsi="宋体" w:cs="仿宋_GB2312"/>
          <w:color w:val="auto"/>
          <w:sz w:val="24"/>
          <w:szCs w:val="24"/>
          <w:highlight w:val="none"/>
        </w:rPr>
      </w:pPr>
    </w:p>
    <w:p w14:paraId="0536A003">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1D0D6156">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1592CF7">
      <w:pPr>
        <w:pStyle w:val="7"/>
        <w:overflowPunct w:val="0"/>
        <w:spacing w:line="360" w:lineRule="auto"/>
        <w:ind w:firstLine="0"/>
        <w:contextualSpacing/>
        <w:rPr>
          <w:rFonts w:ascii="宋体" w:hAnsi="宋体" w:cs="仿宋_GB2312"/>
          <w:color w:val="auto"/>
          <w:sz w:val="24"/>
          <w:szCs w:val="24"/>
          <w:highlight w:val="none"/>
        </w:rPr>
      </w:pPr>
    </w:p>
    <w:p w14:paraId="7DE2CED8">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0A1F234D">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FA5FCC7">
      <w:pPr>
        <w:pStyle w:val="7"/>
        <w:overflowPunct w:val="0"/>
        <w:spacing w:line="360" w:lineRule="auto"/>
        <w:ind w:firstLine="0"/>
        <w:contextualSpacing/>
        <w:rPr>
          <w:rFonts w:ascii="宋体" w:hAnsi="宋体" w:cs="仿宋_GB2312"/>
          <w:color w:val="auto"/>
          <w:sz w:val="24"/>
          <w:szCs w:val="24"/>
          <w:highlight w:val="none"/>
        </w:rPr>
      </w:pPr>
    </w:p>
    <w:p w14:paraId="4ADA90A6">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4CCA3BF2">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F22F5A1">
      <w:pPr>
        <w:pStyle w:val="7"/>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65129C54">
      <w:pPr>
        <w:spacing w:line="360" w:lineRule="auto"/>
        <w:ind w:right="480" w:firstLine="240" w:firstLineChars="1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CE13A4D">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2601C5FA">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529326E2">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8DF61DD">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054D201">
      <w:pPr>
        <w:snapToGrid w:val="0"/>
        <w:spacing w:before="120"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382A898">
      <w:pPr>
        <w:snapToGrid w:val="0"/>
        <w:spacing w:before="120" w:beforeLines="50" w:after="50"/>
        <w:rPr>
          <w:rFonts w:ascii="宋体" w:hAnsi="宋体"/>
          <w:color w:val="auto"/>
          <w:sz w:val="24"/>
          <w:szCs w:val="20"/>
          <w:highlight w:val="none"/>
        </w:rPr>
      </w:pPr>
    </w:p>
    <w:p w14:paraId="5B28110B">
      <w:pPr>
        <w:snapToGrid w:val="0"/>
        <w:spacing w:before="120" w:beforeLines="50" w:after="50"/>
        <w:rPr>
          <w:rFonts w:ascii="宋体" w:hAnsi="宋体"/>
          <w:color w:val="auto"/>
          <w:sz w:val="24"/>
          <w:szCs w:val="20"/>
          <w:highlight w:val="none"/>
        </w:rPr>
      </w:pPr>
    </w:p>
    <w:p w14:paraId="07750549">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EA4E122">
      <w:pPr>
        <w:snapToGrid w:val="0"/>
        <w:spacing w:before="120" w:beforeLines="50" w:after="50"/>
        <w:rPr>
          <w:rFonts w:ascii="宋体" w:hAnsi="宋体"/>
          <w:bCs/>
          <w:color w:val="auto"/>
          <w:sz w:val="24"/>
          <w:szCs w:val="20"/>
          <w:highlight w:val="none"/>
        </w:rPr>
      </w:pPr>
    </w:p>
    <w:p w14:paraId="029D1A89">
      <w:pPr>
        <w:snapToGrid w:val="0"/>
        <w:spacing w:before="120" w:beforeLines="50" w:after="50"/>
        <w:rPr>
          <w:rFonts w:ascii="宋体" w:hAnsi="宋体"/>
          <w:bCs/>
          <w:color w:val="auto"/>
          <w:sz w:val="24"/>
          <w:szCs w:val="20"/>
          <w:highlight w:val="none"/>
        </w:rPr>
      </w:pPr>
    </w:p>
    <w:p w14:paraId="6F617347">
      <w:pPr>
        <w:snapToGrid w:val="0"/>
        <w:spacing w:before="120" w:beforeLines="50" w:after="50"/>
        <w:rPr>
          <w:rFonts w:ascii="宋体" w:hAnsi="宋体"/>
          <w:bCs/>
          <w:color w:val="auto"/>
          <w:sz w:val="24"/>
          <w:szCs w:val="20"/>
          <w:highlight w:val="none"/>
        </w:rPr>
      </w:pPr>
    </w:p>
    <w:p w14:paraId="692D81DD">
      <w:pPr>
        <w:snapToGrid w:val="0"/>
        <w:spacing w:before="120" w:beforeLines="50" w:after="50"/>
        <w:rPr>
          <w:rFonts w:ascii="宋体" w:hAnsi="宋体"/>
          <w:bCs/>
          <w:color w:val="auto"/>
          <w:sz w:val="24"/>
          <w:szCs w:val="20"/>
          <w:highlight w:val="none"/>
        </w:rPr>
      </w:pPr>
    </w:p>
    <w:p w14:paraId="2FD63224">
      <w:pPr>
        <w:snapToGrid w:val="0"/>
        <w:spacing w:before="120" w:beforeLines="50" w:after="50"/>
        <w:rPr>
          <w:rFonts w:ascii="宋体" w:hAnsi="宋体"/>
          <w:bCs/>
          <w:color w:val="auto"/>
          <w:sz w:val="24"/>
          <w:szCs w:val="20"/>
          <w:highlight w:val="none"/>
        </w:rPr>
      </w:pPr>
    </w:p>
    <w:p w14:paraId="189AB83E">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47AE700">
      <w:pPr>
        <w:snapToGrid w:val="0"/>
        <w:spacing w:before="120" w:beforeLines="50" w:after="50"/>
        <w:ind w:firstLine="720" w:firstLineChars="225"/>
        <w:rPr>
          <w:rFonts w:ascii="宋体" w:hAnsi="宋体" w:cs="仿宋_GB2312"/>
          <w:bCs/>
          <w:color w:val="auto"/>
          <w:sz w:val="32"/>
          <w:szCs w:val="32"/>
          <w:highlight w:val="none"/>
        </w:rPr>
      </w:pPr>
    </w:p>
    <w:p w14:paraId="58CF9763">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DF1BED1">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0E0DA8E">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84563F0">
      <w:pPr>
        <w:snapToGrid w:val="0"/>
        <w:spacing w:before="120" w:beforeLines="50" w:after="50"/>
        <w:ind w:firstLine="720" w:firstLineChars="225"/>
        <w:rPr>
          <w:rFonts w:ascii="宋体" w:hAnsi="宋体" w:cs="仿宋_GB2312"/>
          <w:bCs/>
          <w:color w:val="auto"/>
          <w:sz w:val="32"/>
          <w:szCs w:val="32"/>
          <w:highlight w:val="none"/>
        </w:rPr>
      </w:pPr>
    </w:p>
    <w:p w14:paraId="6BC966D0">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42448EE">
      <w:pPr>
        <w:pStyle w:val="7"/>
        <w:snapToGrid w:val="0"/>
        <w:spacing w:before="50" w:after="50"/>
        <w:ind w:firstLine="640" w:firstLineChars="200"/>
        <w:rPr>
          <w:rFonts w:ascii="宋体" w:hAnsi="宋体" w:cs="仿宋_GB2312"/>
          <w:bCs/>
          <w:color w:val="auto"/>
          <w:sz w:val="32"/>
          <w:szCs w:val="32"/>
          <w:highlight w:val="none"/>
        </w:rPr>
      </w:pPr>
    </w:p>
    <w:p w14:paraId="6AD9451C">
      <w:pPr>
        <w:pStyle w:val="7"/>
        <w:snapToGrid w:val="0"/>
        <w:spacing w:before="50" w:after="50"/>
        <w:ind w:firstLine="720" w:firstLineChars="225"/>
        <w:rPr>
          <w:rFonts w:ascii="宋体" w:hAnsi="宋体" w:cs="仿宋_GB2312"/>
          <w:bCs/>
          <w:color w:val="auto"/>
          <w:sz w:val="32"/>
          <w:szCs w:val="32"/>
          <w:highlight w:val="none"/>
        </w:rPr>
      </w:pPr>
    </w:p>
    <w:p w14:paraId="3CF42138">
      <w:pPr>
        <w:pStyle w:val="7"/>
        <w:snapToGrid w:val="0"/>
        <w:spacing w:before="50" w:after="50"/>
        <w:ind w:firstLine="0"/>
        <w:rPr>
          <w:rFonts w:ascii="宋体" w:hAnsi="宋体" w:cs="仿宋_GB2312"/>
          <w:bCs/>
          <w:color w:val="auto"/>
          <w:sz w:val="32"/>
          <w:szCs w:val="32"/>
          <w:highlight w:val="none"/>
        </w:rPr>
      </w:pPr>
    </w:p>
    <w:p w14:paraId="33F4DFCA">
      <w:pPr>
        <w:pStyle w:val="7"/>
        <w:snapToGrid w:val="0"/>
        <w:spacing w:before="50" w:after="50"/>
        <w:ind w:firstLine="1280" w:firstLineChars="400"/>
        <w:rPr>
          <w:rFonts w:ascii="宋体" w:hAnsi="宋体" w:cs="仿宋_GB2312"/>
          <w:bCs/>
          <w:color w:val="auto"/>
          <w:sz w:val="32"/>
          <w:szCs w:val="32"/>
          <w:highlight w:val="none"/>
        </w:rPr>
      </w:pPr>
    </w:p>
    <w:p w14:paraId="29CB2BAA">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0171DC4">
      <w:pPr>
        <w:snapToGrid w:val="0"/>
        <w:spacing w:before="120"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DDFEAF1">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4CFB971C">
      <w:pPr>
        <w:spacing w:line="440" w:lineRule="exact"/>
        <w:jc w:val="center"/>
        <w:rPr>
          <w:rFonts w:ascii="方正小标宋简体" w:hAnsi="方正小标宋简体" w:eastAsia="方正小标宋简体" w:cs="方正小标宋简体"/>
          <w:bCs/>
          <w:color w:val="auto"/>
          <w:sz w:val="32"/>
          <w:szCs w:val="32"/>
          <w:highlight w:val="none"/>
        </w:rPr>
      </w:pPr>
    </w:p>
    <w:p w14:paraId="0D9145D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DEDBCF0">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38F43ED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1918DB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8"/>
        <w:tblW w:w="90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118"/>
        <w:gridCol w:w="851"/>
        <w:gridCol w:w="1258"/>
        <w:gridCol w:w="2156"/>
        <w:gridCol w:w="1178"/>
      </w:tblGrid>
      <w:tr w14:paraId="2A3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489" w:type="dxa"/>
            <w:tcBorders>
              <w:top w:val="single" w:color="auto" w:sz="4" w:space="0"/>
              <w:left w:val="single" w:color="auto" w:sz="4" w:space="0"/>
              <w:bottom w:val="single" w:color="auto" w:sz="4" w:space="0"/>
              <w:right w:val="single" w:color="auto" w:sz="4" w:space="0"/>
            </w:tcBorders>
            <w:vAlign w:val="center"/>
          </w:tcPr>
          <w:p w14:paraId="28A1F119">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118" w:type="dxa"/>
            <w:tcBorders>
              <w:top w:val="single" w:color="auto" w:sz="4" w:space="0"/>
              <w:left w:val="single" w:color="auto" w:sz="4" w:space="0"/>
              <w:bottom w:val="single" w:color="auto" w:sz="4" w:space="0"/>
              <w:right w:val="single" w:color="auto" w:sz="4" w:space="0"/>
            </w:tcBorders>
            <w:vAlign w:val="center"/>
          </w:tcPr>
          <w:p w14:paraId="1A93EE8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14:paraId="546324A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1258" w:type="dxa"/>
            <w:tcBorders>
              <w:top w:val="single" w:color="auto" w:sz="4" w:space="0"/>
              <w:left w:val="single" w:color="auto" w:sz="4" w:space="0"/>
              <w:bottom w:val="single" w:color="auto" w:sz="4" w:space="0"/>
              <w:right w:val="single" w:color="auto" w:sz="4" w:space="0"/>
            </w:tcBorders>
            <w:vAlign w:val="center"/>
          </w:tcPr>
          <w:p w14:paraId="6AC6C54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156" w:type="dxa"/>
            <w:tcBorders>
              <w:top w:val="single" w:color="auto" w:sz="4" w:space="0"/>
              <w:left w:val="single" w:color="auto" w:sz="4" w:space="0"/>
              <w:bottom w:val="single" w:color="auto" w:sz="4" w:space="0"/>
              <w:right w:val="single" w:color="auto" w:sz="4" w:space="0"/>
            </w:tcBorders>
            <w:vAlign w:val="center"/>
          </w:tcPr>
          <w:p w14:paraId="6BC3868D">
            <w:pPr>
              <w:spacing w:line="360" w:lineRule="auto"/>
              <w:contextualSpacing/>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投标</w:t>
            </w:r>
            <w:r>
              <w:rPr>
                <w:rFonts w:hint="eastAsia" w:ascii="宋体" w:hAnsi="宋体" w:cs="仿宋_GB2312"/>
                <w:color w:val="auto"/>
                <w:sz w:val="24"/>
                <w:highlight w:val="none"/>
                <w:lang w:val="en-US" w:eastAsia="zh-CN"/>
              </w:rPr>
              <w:t>报价</w:t>
            </w:r>
          </w:p>
        </w:tc>
        <w:tc>
          <w:tcPr>
            <w:tcW w:w="1178" w:type="dxa"/>
            <w:tcBorders>
              <w:top w:val="single" w:color="auto" w:sz="4" w:space="0"/>
              <w:left w:val="single" w:color="auto" w:sz="4" w:space="0"/>
              <w:bottom w:val="single" w:color="auto" w:sz="4" w:space="0"/>
              <w:right w:val="single" w:color="auto" w:sz="4" w:space="0"/>
            </w:tcBorders>
            <w:vAlign w:val="center"/>
          </w:tcPr>
          <w:p w14:paraId="0720D5C6">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65F8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right"/>
        </w:trPr>
        <w:tc>
          <w:tcPr>
            <w:tcW w:w="489" w:type="dxa"/>
            <w:tcBorders>
              <w:top w:val="single" w:color="auto" w:sz="4" w:space="0"/>
              <w:left w:val="single" w:color="auto" w:sz="4" w:space="0"/>
              <w:bottom w:val="single" w:color="auto" w:sz="4" w:space="0"/>
              <w:right w:val="single" w:color="auto" w:sz="4" w:space="0"/>
            </w:tcBorders>
            <w:vAlign w:val="center"/>
          </w:tcPr>
          <w:p w14:paraId="2B94C3F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118" w:type="dxa"/>
            <w:tcBorders>
              <w:top w:val="single" w:color="auto" w:sz="4" w:space="0"/>
              <w:left w:val="single" w:color="auto" w:sz="4" w:space="0"/>
              <w:bottom w:val="single" w:color="auto" w:sz="4" w:space="0"/>
              <w:right w:val="single" w:color="auto" w:sz="4" w:space="0"/>
            </w:tcBorders>
            <w:vAlign w:val="center"/>
          </w:tcPr>
          <w:p w14:paraId="66FF619A">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广西北流市罗江(白马河)整治工程(二期)施工监理服务（重）</w:t>
            </w:r>
          </w:p>
        </w:tc>
        <w:tc>
          <w:tcPr>
            <w:tcW w:w="851" w:type="dxa"/>
            <w:tcBorders>
              <w:top w:val="single" w:color="auto" w:sz="4" w:space="0"/>
              <w:left w:val="single" w:color="auto" w:sz="4" w:space="0"/>
              <w:bottom w:val="single" w:color="auto" w:sz="4" w:space="0"/>
              <w:right w:val="single" w:color="auto" w:sz="4" w:space="0"/>
            </w:tcBorders>
            <w:vAlign w:val="center"/>
          </w:tcPr>
          <w:p w14:paraId="3170B0D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 xml:space="preserve"> </w:t>
            </w:r>
          </w:p>
        </w:tc>
        <w:tc>
          <w:tcPr>
            <w:tcW w:w="1258" w:type="dxa"/>
            <w:tcBorders>
              <w:top w:val="single" w:color="auto" w:sz="4" w:space="0"/>
              <w:left w:val="single" w:color="auto" w:sz="4" w:space="0"/>
              <w:bottom w:val="single" w:color="auto" w:sz="4" w:space="0"/>
              <w:right w:val="single" w:color="auto" w:sz="4" w:space="0"/>
            </w:tcBorders>
            <w:vAlign w:val="center"/>
          </w:tcPr>
          <w:p w14:paraId="16FBA9E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156" w:type="dxa"/>
            <w:tcBorders>
              <w:top w:val="single" w:color="auto" w:sz="4" w:space="0"/>
              <w:left w:val="single" w:color="auto" w:sz="4" w:space="0"/>
              <w:bottom w:val="single" w:color="auto" w:sz="4" w:space="0"/>
              <w:right w:val="single" w:color="auto" w:sz="4" w:space="0"/>
            </w:tcBorders>
            <w:vAlign w:val="center"/>
          </w:tcPr>
          <w:p w14:paraId="2181E12C">
            <w:pPr>
              <w:spacing w:line="360" w:lineRule="auto"/>
              <w:contextualSpacing/>
              <w:jc w:val="center"/>
              <w:rPr>
                <w:rFonts w:ascii="宋体" w:hAnsi="宋体" w:cs="仿宋_GB2312"/>
                <w:color w:val="auto"/>
                <w:sz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4E329C54">
            <w:pPr>
              <w:spacing w:line="360" w:lineRule="auto"/>
              <w:contextualSpacing/>
              <w:jc w:val="center"/>
              <w:rPr>
                <w:rFonts w:ascii="宋体" w:hAnsi="宋体" w:cs="仿宋_GB2312"/>
                <w:color w:val="auto"/>
                <w:sz w:val="24"/>
                <w:highlight w:val="none"/>
              </w:rPr>
            </w:pPr>
          </w:p>
        </w:tc>
      </w:tr>
      <w:tr w14:paraId="6F4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right"/>
        </w:trPr>
        <w:tc>
          <w:tcPr>
            <w:tcW w:w="9050" w:type="dxa"/>
            <w:gridSpan w:val="6"/>
            <w:tcBorders>
              <w:top w:val="single" w:color="auto" w:sz="4" w:space="0"/>
              <w:left w:val="single" w:color="auto" w:sz="4" w:space="0"/>
              <w:bottom w:val="single" w:color="auto" w:sz="4" w:space="0"/>
              <w:right w:val="single" w:color="auto" w:sz="4" w:space="0"/>
            </w:tcBorders>
            <w:vAlign w:val="center"/>
          </w:tcPr>
          <w:p w14:paraId="296B262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服务期限：</w:t>
            </w:r>
          </w:p>
        </w:tc>
      </w:tr>
    </w:tbl>
    <w:p w14:paraId="3CB5280B">
      <w:pPr>
        <w:spacing w:line="360" w:lineRule="auto"/>
        <w:contextualSpacing/>
        <w:jc w:val="left"/>
        <w:rPr>
          <w:rFonts w:ascii="宋体" w:hAnsi="宋体" w:cs="仿宋_GB2312"/>
          <w:color w:val="auto"/>
          <w:sz w:val="24"/>
          <w:highlight w:val="none"/>
        </w:rPr>
      </w:pPr>
    </w:p>
    <w:p w14:paraId="6E17CE31">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1D9B448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供应商的报价表必须加盖供应商电子签章并由法定代表人或者委托代理人签字或者电子签名，否则其响应文件按无效处理。</w:t>
      </w:r>
    </w:p>
    <w:p w14:paraId="6CAFE1B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 报价一经涂改，应在涂改处加盖供应商公章或者加盖电子签章或者由法定代表人或者授权委托人签字（或者电子签名），否则其响应文件按无效处理。</w:t>
      </w:r>
    </w:p>
    <w:p w14:paraId="4260069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3.如为联合体竞标，“供应商名称”处必须列明联合体各方名称，标注联合体牵头人名称，否则其响应文件按无效响应处理。</w:t>
      </w:r>
    </w:p>
    <w:p w14:paraId="558C184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 如为联合体竞标， 盖章处须加盖联合体牵头人电子签章，否则其响应文件按无效处理。</w:t>
      </w:r>
    </w:p>
    <w:p w14:paraId="6F7FBA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5.如有多分标，分别列明各分标的报价表，否则其响应文件按无效响应处理。</w:t>
      </w:r>
    </w:p>
    <w:p w14:paraId="413C8482">
      <w:pPr>
        <w:spacing w:line="360" w:lineRule="auto"/>
        <w:ind w:right="-817" w:rightChars="-389" w:firstLine="2640" w:firstLineChars="1100"/>
        <w:contextualSpacing/>
        <w:rPr>
          <w:rFonts w:hint="eastAsia" w:ascii="宋体" w:hAnsi="宋体" w:cs="仿宋_GB2312"/>
          <w:color w:val="auto"/>
          <w:sz w:val="24"/>
          <w:highlight w:val="none"/>
        </w:rPr>
      </w:pPr>
    </w:p>
    <w:p w14:paraId="7BF8A689">
      <w:pPr>
        <w:spacing w:line="360" w:lineRule="auto"/>
        <w:ind w:right="-817" w:rightChars="-389" w:firstLine="2640" w:firstLineChars="1100"/>
        <w:contextualSpacing/>
        <w:rPr>
          <w:rFonts w:hint="eastAsia" w:ascii="宋体" w:hAnsi="宋体" w:cs="仿宋_GB2312"/>
          <w:color w:val="auto"/>
          <w:sz w:val="24"/>
          <w:highlight w:val="none"/>
        </w:rPr>
      </w:pPr>
    </w:p>
    <w:p w14:paraId="7AED50D1">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4E777AB">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E58EB66">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5942C3CC">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0FF1AB7B">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56EB77B4">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9A8AAB8">
      <w:pPr>
        <w:snapToGrid w:val="0"/>
        <w:spacing w:before="120"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0A2C4C0E">
      <w:pPr>
        <w:snapToGrid w:val="0"/>
        <w:spacing w:before="120" w:beforeLines="50" w:after="50"/>
        <w:rPr>
          <w:rFonts w:ascii="宋体" w:hAnsi="宋体"/>
          <w:color w:val="auto"/>
          <w:sz w:val="24"/>
          <w:szCs w:val="20"/>
          <w:highlight w:val="none"/>
        </w:rPr>
      </w:pPr>
    </w:p>
    <w:p w14:paraId="466B4E39">
      <w:pPr>
        <w:snapToGrid w:val="0"/>
        <w:spacing w:before="120" w:beforeLines="50" w:after="50"/>
        <w:rPr>
          <w:rFonts w:ascii="宋体" w:hAnsi="宋体"/>
          <w:color w:val="auto"/>
          <w:sz w:val="24"/>
          <w:szCs w:val="20"/>
          <w:highlight w:val="none"/>
        </w:rPr>
      </w:pPr>
    </w:p>
    <w:p w14:paraId="4DCCCF3A">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1EA77114">
      <w:pPr>
        <w:snapToGrid w:val="0"/>
        <w:spacing w:before="120" w:beforeLines="50" w:after="50"/>
        <w:rPr>
          <w:rFonts w:ascii="宋体" w:hAnsi="宋体"/>
          <w:bCs/>
          <w:color w:val="auto"/>
          <w:sz w:val="24"/>
          <w:szCs w:val="20"/>
          <w:highlight w:val="none"/>
        </w:rPr>
      </w:pPr>
    </w:p>
    <w:p w14:paraId="57395CEF">
      <w:pPr>
        <w:snapToGrid w:val="0"/>
        <w:spacing w:before="120" w:beforeLines="50" w:after="50"/>
        <w:rPr>
          <w:rFonts w:ascii="宋体" w:hAnsi="宋体"/>
          <w:bCs/>
          <w:color w:val="auto"/>
          <w:sz w:val="24"/>
          <w:szCs w:val="20"/>
          <w:highlight w:val="none"/>
        </w:rPr>
      </w:pPr>
    </w:p>
    <w:p w14:paraId="4650E8D3">
      <w:pPr>
        <w:snapToGrid w:val="0"/>
        <w:spacing w:before="120" w:beforeLines="50" w:after="50"/>
        <w:rPr>
          <w:rFonts w:ascii="宋体" w:hAnsi="宋体"/>
          <w:bCs/>
          <w:color w:val="auto"/>
          <w:sz w:val="24"/>
          <w:szCs w:val="20"/>
          <w:highlight w:val="none"/>
        </w:rPr>
      </w:pPr>
    </w:p>
    <w:p w14:paraId="0FAE0FE9">
      <w:pPr>
        <w:snapToGrid w:val="0"/>
        <w:spacing w:before="120" w:beforeLines="50" w:after="50"/>
        <w:rPr>
          <w:rFonts w:ascii="宋体" w:hAnsi="宋体"/>
          <w:bCs/>
          <w:color w:val="auto"/>
          <w:sz w:val="24"/>
          <w:szCs w:val="20"/>
          <w:highlight w:val="none"/>
        </w:rPr>
      </w:pPr>
    </w:p>
    <w:p w14:paraId="48217971">
      <w:pPr>
        <w:snapToGrid w:val="0"/>
        <w:spacing w:before="120" w:beforeLines="50" w:after="50"/>
        <w:rPr>
          <w:rFonts w:ascii="宋体" w:hAnsi="宋体"/>
          <w:bCs/>
          <w:color w:val="auto"/>
          <w:sz w:val="24"/>
          <w:szCs w:val="20"/>
          <w:highlight w:val="none"/>
        </w:rPr>
      </w:pPr>
    </w:p>
    <w:p w14:paraId="25049963">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070033C">
      <w:pPr>
        <w:snapToGrid w:val="0"/>
        <w:spacing w:before="120" w:beforeLines="50" w:after="50"/>
        <w:ind w:firstLine="720" w:firstLineChars="225"/>
        <w:rPr>
          <w:rFonts w:ascii="宋体" w:hAnsi="宋体" w:cs="仿宋_GB2312"/>
          <w:bCs/>
          <w:color w:val="auto"/>
          <w:sz w:val="32"/>
          <w:szCs w:val="32"/>
          <w:highlight w:val="none"/>
        </w:rPr>
      </w:pPr>
    </w:p>
    <w:p w14:paraId="74D9184A">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D319B8D">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FA742D5">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CBF49C1">
      <w:pPr>
        <w:snapToGrid w:val="0"/>
        <w:spacing w:before="120" w:beforeLines="50" w:after="50"/>
        <w:ind w:firstLine="720" w:firstLineChars="225"/>
        <w:rPr>
          <w:rFonts w:ascii="宋体" w:hAnsi="宋体" w:cs="仿宋_GB2312"/>
          <w:bCs/>
          <w:color w:val="auto"/>
          <w:sz w:val="32"/>
          <w:szCs w:val="32"/>
          <w:highlight w:val="none"/>
        </w:rPr>
      </w:pPr>
    </w:p>
    <w:p w14:paraId="4ECED7B6">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4F3E26C">
      <w:pPr>
        <w:pStyle w:val="7"/>
        <w:snapToGrid w:val="0"/>
        <w:spacing w:before="50" w:after="50"/>
        <w:ind w:firstLine="640" w:firstLineChars="200"/>
        <w:rPr>
          <w:rFonts w:ascii="宋体" w:hAnsi="宋体" w:cs="仿宋_GB2312"/>
          <w:bCs/>
          <w:color w:val="auto"/>
          <w:sz w:val="32"/>
          <w:szCs w:val="32"/>
          <w:highlight w:val="none"/>
        </w:rPr>
      </w:pPr>
    </w:p>
    <w:p w14:paraId="7E818B07">
      <w:pPr>
        <w:pStyle w:val="7"/>
        <w:snapToGrid w:val="0"/>
        <w:spacing w:before="50" w:after="50"/>
        <w:ind w:firstLine="720" w:firstLineChars="225"/>
        <w:rPr>
          <w:rFonts w:ascii="宋体" w:hAnsi="宋体" w:cs="仿宋_GB2312"/>
          <w:bCs/>
          <w:color w:val="auto"/>
          <w:sz w:val="32"/>
          <w:szCs w:val="32"/>
          <w:highlight w:val="none"/>
        </w:rPr>
      </w:pPr>
    </w:p>
    <w:p w14:paraId="78D9416C">
      <w:pPr>
        <w:pStyle w:val="7"/>
        <w:snapToGrid w:val="0"/>
        <w:spacing w:before="50" w:after="50"/>
        <w:ind w:firstLine="0"/>
        <w:rPr>
          <w:rFonts w:ascii="宋体" w:hAnsi="宋体" w:cs="仿宋_GB2312"/>
          <w:bCs/>
          <w:color w:val="auto"/>
          <w:sz w:val="32"/>
          <w:szCs w:val="32"/>
          <w:highlight w:val="none"/>
        </w:rPr>
      </w:pPr>
    </w:p>
    <w:p w14:paraId="051B48EB">
      <w:pPr>
        <w:pStyle w:val="7"/>
        <w:snapToGrid w:val="0"/>
        <w:spacing w:before="50" w:after="50"/>
        <w:ind w:firstLine="1280" w:firstLineChars="400"/>
        <w:rPr>
          <w:rFonts w:ascii="宋体" w:hAnsi="宋体" w:cs="仿宋_GB2312"/>
          <w:bCs/>
          <w:color w:val="auto"/>
          <w:sz w:val="32"/>
          <w:szCs w:val="32"/>
          <w:highlight w:val="none"/>
        </w:rPr>
      </w:pPr>
    </w:p>
    <w:p w14:paraId="78D03DBF">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1AD83DC">
      <w:pPr>
        <w:snapToGrid w:val="0"/>
        <w:spacing w:before="120"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7F899BF">
      <w:pP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DDD1BD2">
      <w:pPr>
        <w:spacing w:line="400" w:lineRule="exact"/>
        <w:rPr>
          <w:rFonts w:ascii="仿宋_GB2312" w:hAnsi="仿宋_GB2312" w:eastAsia="仿宋_GB2312" w:cs="仿宋_GB2312"/>
          <w:color w:val="auto"/>
          <w:sz w:val="32"/>
          <w:szCs w:val="32"/>
          <w:highlight w:val="none"/>
        </w:rPr>
      </w:pPr>
    </w:p>
    <w:p w14:paraId="1A7A0906">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52C7B28">
      <w:pPr>
        <w:spacing w:line="360" w:lineRule="auto"/>
        <w:ind w:firstLine="640" w:firstLineChars="200"/>
        <w:contextualSpacing/>
        <w:rPr>
          <w:rFonts w:ascii="仿宋_GB2312" w:hAnsi="仿宋_GB2312" w:eastAsia="仿宋_GB2312" w:cs="仿宋_GB2312"/>
          <w:color w:val="auto"/>
          <w:sz w:val="32"/>
          <w:szCs w:val="32"/>
          <w:highlight w:val="none"/>
        </w:rPr>
      </w:pPr>
    </w:p>
    <w:p w14:paraId="1BDC88F8">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C3732E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484DC30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7E9E0A1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793267A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5E5907F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EC6348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3966A18">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1D4FB6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22F80A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C36C18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D41872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52A7CE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C5304A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2B1F5D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C8FEC14">
      <w:pPr>
        <w:spacing w:line="360" w:lineRule="auto"/>
        <w:ind w:firstLine="480" w:firstLineChars="200"/>
        <w:contextualSpacing/>
        <w:rPr>
          <w:rFonts w:ascii="宋体" w:hAnsi="宋体" w:cs="仿宋_GB2312"/>
          <w:color w:val="auto"/>
          <w:sz w:val="24"/>
          <w:highlight w:val="none"/>
        </w:rPr>
      </w:pPr>
    </w:p>
    <w:p w14:paraId="563D7D9B">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AEEA44B">
      <w:pPr>
        <w:spacing w:line="360" w:lineRule="auto"/>
        <w:contextualSpacing/>
        <w:rPr>
          <w:rFonts w:ascii="宋体" w:hAnsi="宋体" w:cs="仿宋_GB2312"/>
          <w:color w:val="auto"/>
          <w:sz w:val="24"/>
          <w:highlight w:val="none"/>
        </w:rPr>
      </w:pPr>
    </w:p>
    <w:p w14:paraId="37969F0C">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0283FDC6">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6DD724B">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1F8B89E0">
      <w:pPr>
        <w:spacing w:line="360" w:lineRule="auto"/>
        <w:ind w:left="540"/>
        <w:contextualSpacing/>
        <w:rPr>
          <w:rFonts w:ascii="仿宋_GB2312" w:hAnsi="仿宋_GB2312" w:eastAsia="仿宋_GB2312" w:cs="仿宋_GB2312"/>
          <w:color w:val="auto"/>
          <w:sz w:val="32"/>
          <w:szCs w:val="32"/>
          <w:highlight w:val="none"/>
        </w:rPr>
      </w:pPr>
    </w:p>
    <w:p w14:paraId="65E2702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E8C379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CF1ABE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95AEE21">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72CEB70C">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FF28F2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3D0486C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40033F0D">
      <w:pPr>
        <w:spacing w:line="360" w:lineRule="auto"/>
        <w:ind w:left="540"/>
        <w:contextualSpacing/>
        <w:rPr>
          <w:rFonts w:ascii="宋体" w:hAnsi="宋体" w:cs="仿宋_GB2312"/>
          <w:color w:val="auto"/>
          <w:sz w:val="24"/>
          <w:highlight w:val="none"/>
        </w:rPr>
      </w:pPr>
    </w:p>
    <w:p w14:paraId="7E8975F0">
      <w:pPr>
        <w:spacing w:line="360" w:lineRule="auto"/>
        <w:ind w:left="540"/>
        <w:contextualSpacing/>
        <w:rPr>
          <w:rFonts w:ascii="宋体" w:hAnsi="宋体" w:cs="仿宋_GB2312"/>
          <w:color w:val="auto"/>
          <w:sz w:val="24"/>
          <w:highlight w:val="none"/>
        </w:rPr>
      </w:pPr>
    </w:p>
    <w:p w14:paraId="5FAAB34E">
      <w:pPr>
        <w:spacing w:line="360" w:lineRule="auto"/>
        <w:ind w:left="540"/>
        <w:contextualSpacing/>
        <w:rPr>
          <w:rFonts w:ascii="宋体" w:hAnsi="宋体" w:cs="仿宋_GB2312"/>
          <w:color w:val="auto"/>
          <w:sz w:val="24"/>
          <w:highlight w:val="none"/>
        </w:rPr>
      </w:pPr>
    </w:p>
    <w:p w14:paraId="562813C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2F0EE986">
      <w:pPr>
        <w:spacing w:line="360" w:lineRule="auto"/>
        <w:ind w:left="540"/>
        <w:contextualSpacing/>
        <w:rPr>
          <w:rFonts w:ascii="宋体" w:hAnsi="宋体" w:cs="仿宋_GB2312"/>
          <w:color w:val="auto"/>
          <w:sz w:val="24"/>
          <w:highlight w:val="none"/>
        </w:rPr>
      </w:pPr>
    </w:p>
    <w:p w14:paraId="3A0BA4E5">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13059830">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90C526F">
      <w:pPr>
        <w:spacing w:line="360" w:lineRule="auto"/>
        <w:contextualSpacing/>
        <w:jc w:val="center"/>
        <w:rPr>
          <w:rFonts w:ascii="宋体" w:hAnsi="宋体" w:cs="仿宋_GB2312"/>
          <w:b/>
          <w:color w:val="auto"/>
          <w:sz w:val="24"/>
          <w:highlight w:val="none"/>
        </w:rPr>
      </w:pPr>
    </w:p>
    <w:p w14:paraId="405E4E44">
      <w:pPr>
        <w:spacing w:line="360" w:lineRule="auto"/>
        <w:contextualSpacing/>
        <w:jc w:val="left"/>
        <w:rPr>
          <w:rFonts w:ascii="宋体" w:hAnsi="宋体" w:cs="仿宋_GB2312"/>
          <w:color w:val="auto"/>
          <w:sz w:val="24"/>
          <w:highlight w:val="none"/>
        </w:rPr>
      </w:pPr>
    </w:p>
    <w:p w14:paraId="628C19B3">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B68AF19">
      <w:pPr>
        <w:adjustRightInd w:val="0"/>
        <w:snapToGrid w:val="0"/>
        <w:spacing w:line="300" w:lineRule="auto"/>
        <w:jc w:val="left"/>
        <w:rPr>
          <w:rFonts w:ascii="宋体" w:hAnsi="宋体"/>
          <w:b/>
          <w:color w:val="auto"/>
          <w:szCs w:val="21"/>
          <w:highlight w:val="none"/>
        </w:rPr>
      </w:pPr>
    </w:p>
    <w:p w14:paraId="1DDEF15C">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5DB99FF2">
      <w:pPr>
        <w:spacing w:line="520" w:lineRule="exact"/>
        <w:jc w:val="center"/>
        <w:rPr>
          <w:rFonts w:ascii="方正小标宋简体" w:hAnsi="方正小标宋简体" w:eastAsia="方正小标宋简体" w:cs="方正小标宋简体"/>
          <w:color w:val="auto"/>
          <w:sz w:val="44"/>
          <w:szCs w:val="44"/>
          <w:highlight w:val="none"/>
        </w:rPr>
      </w:pPr>
      <w:bookmarkStart w:id="85" w:name="_Hlk65853643"/>
      <w:r>
        <w:rPr>
          <w:rFonts w:hint="eastAsia" w:ascii="方正小标宋简体" w:hAnsi="方正小标宋简体" w:eastAsia="方正小标宋简体" w:cs="方正小标宋简体"/>
          <w:color w:val="auto"/>
          <w:sz w:val="44"/>
          <w:szCs w:val="44"/>
          <w:highlight w:val="none"/>
        </w:rPr>
        <w:t>授权委托书</w:t>
      </w:r>
    </w:p>
    <w:p w14:paraId="2C6DDA99">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7DD8A70F">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5BABB2B">
      <w:pPr>
        <w:spacing w:line="520" w:lineRule="exact"/>
        <w:rPr>
          <w:rFonts w:ascii="仿宋_GB2312" w:hAnsi="仿宋_GB2312" w:eastAsia="仿宋_GB2312" w:cs="仿宋_GB2312"/>
          <w:color w:val="auto"/>
          <w:sz w:val="32"/>
          <w:szCs w:val="32"/>
          <w:highlight w:val="none"/>
        </w:rPr>
      </w:pPr>
    </w:p>
    <w:p w14:paraId="1AC1239F">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26EF3E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1CB684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014458B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27E40B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5A39D0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D13EC97">
      <w:pPr>
        <w:spacing w:line="360" w:lineRule="auto"/>
        <w:rPr>
          <w:rFonts w:ascii="宋体" w:hAnsi="宋体" w:cs="仿宋_GB2312"/>
          <w:color w:val="auto"/>
          <w:sz w:val="24"/>
          <w:highlight w:val="none"/>
        </w:rPr>
      </w:pPr>
    </w:p>
    <w:p w14:paraId="1846681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8ADBB3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61B25A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321D6C60">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3B127D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1FAC5D8A">
      <w:pPr>
        <w:spacing w:line="360" w:lineRule="auto"/>
        <w:rPr>
          <w:rFonts w:ascii="宋体" w:hAnsi="宋体" w:cs="仿宋_GB2312"/>
          <w:color w:val="auto"/>
          <w:sz w:val="24"/>
          <w:highlight w:val="none"/>
        </w:rPr>
      </w:pPr>
    </w:p>
    <w:p w14:paraId="6A231785">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E762A84">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86" w:name="_Hlk65853109"/>
      <w:bookmarkStart w:id="87" w:name="_Hlk65853542"/>
      <w:r>
        <w:rPr>
          <w:rFonts w:hint="eastAsia" w:ascii="宋体" w:hAnsi="宋体" w:cs="仿宋_GB2312"/>
          <w:color w:val="auto"/>
          <w:sz w:val="24"/>
          <w:highlight w:val="none"/>
        </w:rPr>
        <w:t>法人、其他组织竞标时“我方”是指“我单位”，自然人竞标时“我方”是指“本人”。</w:t>
      </w:r>
      <w:bookmarkEnd w:id="86"/>
    </w:p>
    <w:bookmarkEnd w:id="87"/>
    <w:p w14:paraId="627C4F80">
      <w:pPr>
        <w:spacing w:line="360" w:lineRule="auto"/>
        <w:ind w:firstLine="420" w:firstLineChars="200"/>
        <w:jc w:val="left"/>
        <w:rPr>
          <w:rFonts w:ascii="仿宋_GB2312" w:hAnsi="仿宋_GB2312" w:eastAsia="仿宋_GB2312" w:cs="仿宋_GB2312"/>
          <w:color w:val="auto"/>
          <w:szCs w:val="21"/>
          <w:highlight w:val="none"/>
        </w:rPr>
      </w:pPr>
    </w:p>
    <w:p w14:paraId="35EFCB02">
      <w:pP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1756B499">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62228326">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D536E4C">
      <w:pPr>
        <w:spacing w:line="500" w:lineRule="exact"/>
        <w:jc w:val="center"/>
        <w:rPr>
          <w:rFonts w:ascii="方正小标宋简体" w:hAnsi="方正小标宋简体" w:eastAsia="方正小标宋简体" w:cs="方正小标宋简体"/>
          <w:color w:val="auto"/>
          <w:sz w:val="44"/>
          <w:szCs w:val="44"/>
          <w:highlight w:val="none"/>
        </w:rPr>
      </w:pPr>
    </w:p>
    <w:p w14:paraId="194692B8">
      <w:pPr>
        <w:spacing w:line="500" w:lineRule="exact"/>
        <w:jc w:val="center"/>
        <w:rPr>
          <w:rFonts w:ascii="仿宋_GB2312" w:hAnsi="仿宋_GB2312" w:eastAsia="仿宋_GB2312" w:cs="仿宋_GB2312"/>
          <w:color w:val="auto"/>
          <w:sz w:val="32"/>
          <w:szCs w:val="32"/>
          <w:highlight w:val="none"/>
        </w:rPr>
      </w:pPr>
    </w:p>
    <w:p w14:paraId="6E6486EC">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64B3951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75D25A7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AD6069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E87726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59B57CD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0B27D820">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7DECD2F3">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C4A64C7">
      <w:pPr>
        <w:spacing w:line="360" w:lineRule="auto"/>
        <w:contextualSpacing/>
        <w:rPr>
          <w:rFonts w:ascii="宋体" w:hAnsi="宋体" w:cs="仿宋_GB2312"/>
          <w:color w:val="auto"/>
          <w:sz w:val="24"/>
          <w:highlight w:val="none"/>
        </w:rPr>
      </w:pPr>
    </w:p>
    <w:p w14:paraId="04D915B8">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1A011BF5">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21C5098">
      <w:pPr>
        <w:spacing w:line="360" w:lineRule="auto"/>
        <w:contextualSpacing/>
        <w:rPr>
          <w:rFonts w:ascii="宋体" w:hAnsi="宋体" w:cs="仿宋_GB2312"/>
          <w:color w:val="auto"/>
          <w:sz w:val="24"/>
          <w:highlight w:val="none"/>
        </w:rPr>
      </w:pPr>
    </w:p>
    <w:p w14:paraId="450B9EC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55E6893">
      <w:pPr>
        <w:spacing w:line="360" w:lineRule="auto"/>
        <w:ind w:firstLine="480" w:firstLineChars="200"/>
        <w:jc w:val="left"/>
        <w:rPr>
          <w:rFonts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85"/>
    <w:p w14:paraId="589AC575">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09D27957">
      <w:pPr>
        <w:spacing w:line="500" w:lineRule="exact"/>
        <w:jc w:val="center"/>
        <w:rPr>
          <w:rFonts w:ascii="宋体" w:hAnsi="宋体"/>
          <w:b/>
          <w:i/>
          <w:color w:val="auto"/>
          <w:sz w:val="32"/>
          <w:szCs w:val="32"/>
          <w:highlight w:val="none"/>
        </w:rPr>
      </w:pPr>
      <w:r>
        <w:rPr>
          <w:rFonts w:hint="eastAsia" w:ascii="方正小标宋简体" w:hAnsi="方正小标宋简体" w:eastAsia="方正小标宋简体" w:cs="方正小标宋简体"/>
          <w:bCs/>
          <w:i/>
          <w:color w:val="auto"/>
          <w:sz w:val="32"/>
          <w:szCs w:val="32"/>
          <w:highlight w:val="none"/>
        </w:rPr>
        <w:t>（注：按采购需求具体条款修改）</w:t>
      </w:r>
    </w:p>
    <w:p w14:paraId="46056929">
      <w:pPr>
        <w:spacing w:line="360" w:lineRule="auto"/>
        <w:contextualSpacing/>
        <w:jc w:val="left"/>
        <w:rPr>
          <w:rFonts w:ascii="宋体" w:hAnsi="宋体"/>
          <w:color w:val="auto"/>
          <w:sz w:val="24"/>
          <w:highlight w:val="none"/>
        </w:rPr>
      </w:pPr>
    </w:p>
    <w:p w14:paraId="5FC71FB7">
      <w:pPr>
        <w:pStyle w:val="17"/>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14:paraId="77C8DDD5">
      <w:pPr>
        <w:spacing w:line="360" w:lineRule="auto"/>
        <w:contextualSpacing/>
        <w:jc w:val="left"/>
        <w:rPr>
          <w:rFonts w:ascii="宋体" w:hAnsi="宋体" w:cs="仿宋_GB2312"/>
          <w:color w:val="auto"/>
          <w:sz w:val="24"/>
          <w:highlight w:val="none"/>
          <w:u w:val="single"/>
        </w:rPr>
      </w:pPr>
    </w:p>
    <w:tbl>
      <w:tblPr>
        <w:tblStyle w:val="28"/>
        <w:tblpPr w:leftFromText="180" w:rightFromText="180" w:vertAnchor="text" w:horzAnchor="margin" w:tblpX="1"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6"/>
        <w:gridCol w:w="2470"/>
        <w:gridCol w:w="2350"/>
        <w:gridCol w:w="2112"/>
      </w:tblGrid>
      <w:tr w14:paraId="3A711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76" w:type="dxa"/>
            <w:tcBorders>
              <w:top w:val="single" w:color="auto" w:sz="4" w:space="0"/>
              <w:left w:val="single" w:color="auto" w:sz="4" w:space="0"/>
              <w:bottom w:val="single" w:color="auto" w:sz="4" w:space="0"/>
              <w:right w:val="single" w:color="auto" w:sz="4" w:space="0"/>
            </w:tcBorders>
            <w:vAlign w:val="center"/>
          </w:tcPr>
          <w:p w14:paraId="11A1B14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470" w:type="dxa"/>
            <w:tcBorders>
              <w:top w:val="single" w:color="auto" w:sz="4" w:space="0"/>
              <w:left w:val="single" w:color="auto" w:sz="4" w:space="0"/>
              <w:bottom w:val="single" w:color="auto" w:sz="4" w:space="0"/>
              <w:right w:val="single" w:color="auto" w:sz="4" w:space="0"/>
            </w:tcBorders>
            <w:vAlign w:val="center"/>
          </w:tcPr>
          <w:p w14:paraId="7A85B6A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44832DC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4D96A50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45CC7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76" w:type="dxa"/>
            <w:tcBorders>
              <w:top w:val="single" w:color="auto" w:sz="4" w:space="0"/>
              <w:left w:val="single" w:color="auto" w:sz="4" w:space="0"/>
              <w:bottom w:val="single" w:color="auto" w:sz="4" w:space="0"/>
              <w:right w:val="single" w:color="auto" w:sz="4" w:space="0"/>
            </w:tcBorders>
            <w:vAlign w:val="center"/>
          </w:tcPr>
          <w:p w14:paraId="5633FFE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合同履约期限和地点</w:t>
            </w:r>
          </w:p>
        </w:tc>
        <w:tc>
          <w:tcPr>
            <w:tcW w:w="2470" w:type="dxa"/>
            <w:tcBorders>
              <w:top w:val="single" w:color="auto" w:sz="4" w:space="0"/>
              <w:left w:val="single" w:color="auto" w:sz="4" w:space="0"/>
              <w:bottom w:val="single" w:color="auto" w:sz="4" w:space="0"/>
              <w:right w:val="single" w:color="auto" w:sz="4" w:space="0"/>
            </w:tcBorders>
            <w:vAlign w:val="center"/>
          </w:tcPr>
          <w:p w14:paraId="2B279953">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2EE5C4E">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E28A73F">
            <w:pPr>
              <w:spacing w:line="360" w:lineRule="auto"/>
              <w:contextualSpacing/>
              <w:jc w:val="center"/>
              <w:rPr>
                <w:rFonts w:ascii="宋体" w:hAnsi="宋体" w:cs="仿宋_GB2312"/>
                <w:color w:val="auto"/>
                <w:sz w:val="24"/>
                <w:highlight w:val="none"/>
              </w:rPr>
            </w:pPr>
          </w:p>
        </w:tc>
      </w:tr>
      <w:tr w14:paraId="58F3D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76" w:type="dxa"/>
            <w:tcBorders>
              <w:top w:val="single" w:color="auto" w:sz="4" w:space="0"/>
              <w:left w:val="single" w:color="auto" w:sz="4" w:space="0"/>
              <w:bottom w:val="single" w:color="auto" w:sz="4" w:space="0"/>
              <w:right w:val="single" w:color="auto" w:sz="4" w:space="0"/>
            </w:tcBorders>
            <w:vAlign w:val="center"/>
          </w:tcPr>
          <w:p w14:paraId="272CA01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签订合同时限</w:t>
            </w:r>
          </w:p>
        </w:tc>
        <w:tc>
          <w:tcPr>
            <w:tcW w:w="2470" w:type="dxa"/>
            <w:tcBorders>
              <w:top w:val="single" w:color="auto" w:sz="4" w:space="0"/>
              <w:left w:val="single" w:color="auto" w:sz="4" w:space="0"/>
              <w:bottom w:val="single" w:color="auto" w:sz="4" w:space="0"/>
              <w:right w:val="single" w:color="auto" w:sz="4" w:space="0"/>
            </w:tcBorders>
            <w:vAlign w:val="center"/>
          </w:tcPr>
          <w:p w14:paraId="44E5C1C3">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92CE558">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BCD6C4B">
            <w:pPr>
              <w:spacing w:line="360" w:lineRule="auto"/>
              <w:contextualSpacing/>
              <w:jc w:val="center"/>
              <w:rPr>
                <w:rFonts w:ascii="宋体" w:hAnsi="宋体" w:cs="仿宋_GB2312"/>
                <w:color w:val="auto"/>
                <w:sz w:val="24"/>
                <w:highlight w:val="none"/>
              </w:rPr>
            </w:pPr>
          </w:p>
        </w:tc>
      </w:tr>
      <w:tr w14:paraId="0D48E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76" w:type="dxa"/>
            <w:tcBorders>
              <w:top w:val="single" w:color="auto" w:sz="4" w:space="0"/>
              <w:left w:val="single" w:color="auto" w:sz="4" w:space="0"/>
              <w:bottom w:val="single" w:color="auto" w:sz="4" w:space="0"/>
              <w:right w:val="single" w:color="auto" w:sz="4" w:space="0"/>
            </w:tcBorders>
            <w:vAlign w:val="center"/>
          </w:tcPr>
          <w:p w14:paraId="4C46E1A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付款条件</w:t>
            </w:r>
          </w:p>
        </w:tc>
        <w:tc>
          <w:tcPr>
            <w:tcW w:w="2470" w:type="dxa"/>
            <w:tcBorders>
              <w:top w:val="single" w:color="auto" w:sz="4" w:space="0"/>
              <w:left w:val="single" w:color="auto" w:sz="4" w:space="0"/>
              <w:bottom w:val="single" w:color="auto" w:sz="4" w:space="0"/>
              <w:right w:val="single" w:color="auto" w:sz="4" w:space="0"/>
            </w:tcBorders>
            <w:vAlign w:val="center"/>
          </w:tcPr>
          <w:p w14:paraId="562EB284">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3C91CE4">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DA02503">
            <w:pPr>
              <w:spacing w:line="360" w:lineRule="auto"/>
              <w:contextualSpacing/>
              <w:jc w:val="center"/>
              <w:rPr>
                <w:rFonts w:ascii="宋体" w:hAnsi="宋体" w:cs="仿宋_GB2312"/>
                <w:color w:val="auto"/>
                <w:sz w:val="24"/>
                <w:highlight w:val="none"/>
              </w:rPr>
            </w:pPr>
          </w:p>
        </w:tc>
      </w:tr>
      <w:tr w14:paraId="5456E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76" w:type="dxa"/>
            <w:tcBorders>
              <w:top w:val="single" w:color="auto" w:sz="4" w:space="0"/>
              <w:left w:val="single" w:color="auto" w:sz="4" w:space="0"/>
              <w:bottom w:val="single" w:color="auto" w:sz="4" w:space="0"/>
              <w:right w:val="single" w:color="auto" w:sz="4" w:space="0"/>
            </w:tcBorders>
            <w:vAlign w:val="center"/>
          </w:tcPr>
          <w:p w14:paraId="0D30BFD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投标报价要求</w:t>
            </w:r>
          </w:p>
        </w:tc>
        <w:tc>
          <w:tcPr>
            <w:tcW w:w="2470" w:type="dxa"/>
            <w:tcBorders>
              <w:top w:val="single" w:color="auto" w:sz="4" w:space="0"/>
              <w:left w:val="single" w:color="auto" w:sz="4" w:space="0"/>
              <w:bottom w:val="single" w:color="auto" w:sz="4" w:space="0"/>
              <w:right w:val="single" w:color="auto" w:sz="4" w:space="0"/>
            </w:tcBorders>
            <w:vAlign w:val="center"/>
          </w:tcPr>
          <w:p w14:paraId="10341DE9">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016D9AF">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62C141C">
            <w:pPr>
              <w:spacing w:line="360" w:lineRule="auto"/>
              <w:contextualSpacing/>
              <w:jc w:val="center"/>
              <w:rPr>
                <w:rFonts w:ascii="宋体" w:hAnsi="宋体" w:cs="仿宋_GB2312"/>
                <w:color w:val="auto"/>
                <w:sz w:val="24"/>
                <w:highlight w:val="none"/>
              </w:rPr>
            </w:pPr>
          </w:p>
        </w:tc>
      </w:tr>
      <w:tr w14:paraId="06FA0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14:paraId="02356F3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470" w:type="dxa"/>
            <w:tcBorders>
              <w:top w:val="single" w:color="auto" w:sz="4" w:space="0"/>
              <w:left w:val="single" w:color="auto" w:sz="4" w:space="0"/>
              <w:bottom w:val="single" w:color="auto" w:sz="4" w:space="0"/>
              <w:right w:val="single" w:color="auto" w:sz="4" w:space="0"/>
            </w:tcBorders>
            <w:vAlign w:val="center"/>
          </w:tcPr>
          <w:p w14:paraId="5D6C27A8">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98C5D94">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0C2E359">
            <w:pPr>
              <w:spacing w:line="360" w:lineRule="auto"/>
              <w:contextualSpacing/>
              <w:jc w:val="center"/>
              <w:rPr>
                <w:rFonts w:ascii="宋体" w:hAnsi="宋体" w:cs="仿宋_GB2312"/>
                <w:color w:val="auto"/>
                <w:sz w:val="24"/>
                <w:highlight w:val="none"/>
              </w:rPr>
            </w:pPr>
          </w:p>
        </w:tc>
      </w:tr>
    </w:tbl>
    <w:p w14:paraId="7E05D1ED">
      <w:pPr>
        <w:pStyle w:val="13"/>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11BBA1F0">
      <w:pPr>
        <w:pStyle w:val="13"/>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02F75925">
      <w:pPr>
        <w:spacing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1A0A2115">
      <w:pPr>
        <w:spacing w:line="360" w:lineRule="auto"/>
        <w:ind w:right="-817" w:rightChars="-389"/>
        <w:contextualSpacing/>
        <w:rPr>
          <w:rFonts w:ascii="宋体" w:hAnsi="宋体" w:cs="仿宋_GB2312"/>
          <w:color w:val="auto"/>
          <w:sz w:val="24"/>
          <w:highlight w:val="none"/>
        </w:rPr>
      </w:pPr>
    </w:p>
    <w:p w14:paraId="22B96CD7">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7D01562">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11448B5">
      <w:pPr>
        <w:spacing w:line="360" w:lineRule="auto"/>
        <w:ind w:right="-817" w:rightChars="-389" w:firstLine="4080" w:firstLineChars="17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27372025">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4EE53B92">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13918BC2">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38E38662">
      <w:pPr>
        <w:rPr>
          <w:rFonts w:ascii="方正小标宋简体" w:hAnsi="方正小标宋简体" w:eastAsia="方正小标宋简体" w:cs="方正小标宋简体"/>
          <w:bCs/>
          <w:color w:val="auto"/>
          <w:sz w:val="44"/>
          <w:szCs w:val="44"/>
          <w:highlight w:val="none"/>
        </w:rPr>
      </w:pPr>
    </w:p>
    <w:p w14:paraId="79F21B0E">
      <w:pPr>
        <w:pStyle w:val="20"/>
        <w:rPr>
          <w:color w:val="auto"/>
          <w:highlight w:val="none"/>
        </w:rPr>
      </w:pPr>
    </w:p>
    <w:p w14:paraId="07932513">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技术要求偏离表</w:t>
      </w:r>
    </w:p>
    <w:p w14:paraId="5D009F2D">
      <w:pPr>
        <w:spacing w:line="520" w:lineRule="exact"/>
        <w:rPr>
          <w:rFonts w:ascii="仿宋_GB2312" w:hAnsi="仿宋_GB2312" w:eastAsia="仿宋_GB2312" w:cs="仿宋_GB2312"/>
          <w:color w:val="auto"/>
          <w:sz w:val="32"/>
          <w:szCs w:val="32"/>
          <w:highlight w:val="none"/>
        </w:rPr>
      </w:pPr>
    </w:p>
    <w:p w14:paraId="1BEA8F6D">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8A56D0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485A0E97">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8"/>
        <w:tblW w:w="96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8"/>
        <w:gridCol w:w="968"/>
        <w:gridCol w:w="3214"/>
        <w:gridCol w:w="2893"/>
        <w:gridCol w:w="1579"/>
      </w:tblGrid>
      <w:tr w14:paraId="763BBA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vAlign w:val="center"/>
          </w:tcPr>
          <w:p w14:paraId="7EC666F0">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88" w:name="_Toc254970588"/>
            <w:bookmarkStart w:id="89" w:name="_Toc295404981"/>
            <w:bookmarkStart w:id="90" w:name="_Toc173066401"/>
            <w:bookmarkStart w:id="91" w:name="_Toc173211900"/>
            <w:bookmarkStart w:id="92" w:name="_Toc297193185"/>
            <w:bookmarkStart w:id="93" w:name="_Toc383699906"/>
            <w:bookmarkStart w:id="94" w:name="_Toc373333689"/>
            <w:bookmarkStart w:id="95" w:name="_Toc301781611"/>
            <w:bookmarkStart w:id="96" w:name="_Toc254970729"/>
            <w:r>
              <w:rPr>
                <w:rFonts w:hint="eastAsia" w:ascii="宋体" w:hAnsi="宋体" w:eastAsia="宋体" w:cs="仿宋_GB2312"/>
                <w:color w:val="auto"/>
                <w:kern w:val="2"/>
                <w:sz w:val="24"/>
                <w:szCs w:val="24"/>
                <w:highlight w:val="none"/>
              </w:rPr>
              <w:t>序号</w:t>
            </w:r>
            <w:bookmarkEnd w:id="88"/>
            <w:bookmarkEnd w:id="89"/>
            <w:bookmarkEnd w:id="90"/>
            <w:bookmarkEnd w:id="91"/>
            <w:bookmarkEnd w:id="92"/>
            <w:bookmarkEnd w:id="93"/>
            <w:bookmarkEnd w:id="94"/>
            <w:bookmarkEnd w:id="95"/>
            <w:bookmarkEnd w:id="96"/>
          </w:p>
        </w:tc>
        <w:tc>
          <w:tcPr>
            <w:tcW w:w="968" w:type="dxa"/>
            <w:tcBorders>
              <w:right w:val="single" w:color="auto" w:sz="4" w:space="0"/>
            </w:tcBorders>
            <w:vAlign w:val="center"/>
          </w:tcPr>
          <w:p w14:paraId="7CE4020B">
            <w:pPr>
              <w:pStyle w:val="1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214" w:type="dxa"/>
            <w:tcBorders>
              <w:left w:val="single" w:color="auto" w:sz="4" w:space="0"/>
            </w:tcBorders>
            <w:vAlign w:val="center"/>
          </w:tcPr>
          <w:p w14:paraId="760A15FA">
            <w:pPr>
              <w:pStyle w:val="1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893" w:type="dxa"/>
            <w:vAlign w:val="center"/>
          </w:tcPr>
          <w:p w14:paraId="1088AA6F">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97" w:name="_Toc301781613"/>
            <w:bookmarkStart w:id="98" w:name="_Toc297193187"/>
            <w:bookmarkStart w:id="99" w:name="_Toc295404983"/>
            <w:bookmarkStart w:id="100" w:name="_Toc173066403"/>
            <w:bookmarkStart w:id="101" w:name="_Toc373333691"/>
            <w:bookmarkStart w:id="102" w:name="_Toc383699908"/>
            <w:bookmarkStart w:id="103" w:name="_Toc254970731"/>
            <w:bookmarkStart w:id="104" w:name="_Toc254970590"/>
            <w:bookmarkStart w:id="105" w:name="_Toc173211902"/>
            <w:r>
              <w:rPr>
                <w:rFonts w:hint="eastAsia" w:ascii="宋体" w:hAnsi="宋体" w:eastAsia="宋体" w:cs="仿宋_GB2312"/>
                <w:color w:val="auto"/>
                <w:kern w:val="2"/>
                <w:sz w:val="24"/>
                <w:szCs w:val="24"/>
                <w:highlight w:val="none"/>
              </w:rPr>
              <w:t>竞标响应</w:t>
            </w:r>
            <w:bookmarkEnd w:id="97"/>
            <w:bookmarkEnd w:id="98"/>
            <w:bookmarkEnd w:id="99"/>
            <w:bookmarkEnd w:id="100"/>
            <w:bookmarkEnd w:id="101"/>
            <w:bookmarkEnd w:id="102"/>
            <w:bookmarkEnd w:id="103"/>
            <w:bookmarkEnd w:id="104"/>
            <w:bookmarkEnd w:id="105"/>
          </w:p>
        </w:tc>
        <w:tc>
          <w:tcPr>
            <w:tcW w:w="1579" w:type="dxa"/>
            <w:vAlign w:val="center"/>
          </w:tcPr>
          <w:p w14:paraId="465EF388">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06" w:name="_Toc173211903"/>
            <w:bookmarkStart w:id="107" w:name="_Toc173066404"/>
            <w:bookmarkStart w:id="108" w:name="_Toc301781614"/>
            <w:bookmarkStart w:id="109" w:name="_Toc254970591"/>
            <w:bookmarkStart w:id="110" w:name="_Toc383699909"/>
            <w:bookmarkStart w:id="111" w:name="_Toc373333692"/>
            <w:bookmarkStart w:id="112" w:name="_Toc297193188"/>
            <w:bookmarkStart w:id="113" w:name="_Toc254970732"/>
            <w:bookmarkStart w:id="114" w:name="_Toc295404984"/>
            <w:r>
              <w:rPr>
                <w:rFonts w:hint="eastAsia" w:ascii="宋体" w:hAnsi="宋体" w:eastAsia="宋体" w:cs="仿宋_GB2312"/>
                <w:color w:val="auto"/>
                <w:kern w:val="2"/>
                <w:sz w:val="24"/>
                <w:szCs w:val="24"/>
                <w:highlight w:val="none"/>
              </w:rPr>
              <w:t>偏离</w:t>
            </w:r>
            <w:bookmarkEnd w:id="106"/>
            <w:bookmarkEnd w:id="107"/>
            <w:bookmarkEnd w:id="108"/>
            <w:bookmarkEnd w:id="109"/>
            <w:bookmarkEnd w:id="110"/>
            <w:bookmarkEnd w:id="111"/>
            <w:bookmarkEnd w:id="112"/>
            <w:bookmarkEnd w:id="113"/>
            <w:bookmarkEnd w:id="114"/>
            <w:bookmarkStart w:id="115" w:name="_Toc301781615"/>
            <w:bookmarkStart w:id="116" w:name="_Toc295404985"/>
            <w:bookmarkStart w:id="117" w:name="_Toc173066405"/>
            <w:bookmarkStart w:id="118" w:name="_Toc254970733"/>
            <w:bookmarkStart w:id="119" w:name="_Toc383699910"/>
            <w:bookmarkStart w:id="120" w:name="_Toc373333693"/>
            <w:bookmarkStart w:id="121" w:name="_Toc254970592"/>
            <w:bookmarkStart w:id="122" w:name="_Toc297193189"/>
            <w:bookmarkStart w:id="123" w:name="_Toc173211904"/>
            <w:r>
              <w:rPr>
                <w:rFonts w:hint="eastAsia" w:ascii="宋体" w:hAnsi="宋体" w:eastAsia="宋体" w:cs="仿宋_GB2312"/>
                <w:color w:val="auto"/>
                <w:kern w:val="2"/>
                <w:sz w:val="24"/>
                <w:szCs w:val="24"/>
                <w:highlight w:val="none"/>
              </w:rPr>
              <w:t>说明</w:t>
            </w:r>
            <w:bookmarkEnd w:id="115"/>
            <w:bookmarkEnd w:id="116"/>
            <w:bookmarkEnd w:id="117"/>
            <w:bookmarkEnd w:id="118"/>
            <w:bookmarkEnd w:id="119"/>
            <w:bookmarkEnd w:id="120"/>
            <w:bookmarkEnd w:id="121"/>
            <w:bookmarkEnd w:id="122"/>
            <w:bookmarkEnd w:id="123"/>
          </w:p>
        </w:tc>
      </w:tr>
      <w:tr w14:paraId="58DC0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vAlign w:val="center"/>
          </w:tcPr>
          <w:p w14:paraId="350485E6">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24" w:name="_Toc173211905"/>
            <w:bookmarkStart w:id="125" w:name="_Toc297193190"/>
            <w:bookmarkStart w:id="126" w:name="_Toc173066406"/>
            <w:bookmarkStart w:id="127" w:name="_Toc383699911"/>
            <w:bookmarkStart w:id="128" w:name="_Toc295404986"/>
            <w:bookmarkStart w:id="129" w:name="_Toc301781616"/>
            <w:bookmarkStart w:id="130" w:name="_Toc373333694"/>
            <w:bookmarkStart w:id="131" w:name="_Toc254970593"/>
            <w:bookmarkStart w:id="132" w:name="_Toc254970734"/>
            <w:r>
              <w:rPr>
                <w:rFonts w:hint="eastAsia" w:ascii="宋体" w:hAnsi="宋体" w:eastAsia="宋体" w:cs="仿宋_GB2312"/>
                <w:color w:val="auto"/>
                <w:kern w:val="2"/>
                <w:sz w:val="24"/>
                <w:szCs w:val="24"/>
                <w:highlight w:val="none"/>
              </w:rPr>
              <w:t>1</w:t>
            </w:r>
            <w:bookmarkEnd w:id="124"/>
            <w:bookmarkEnd w:id="125"/>
            <w:bookmarkEnd w:id="126"/>
            <w:bookmarkEnd w:id="127"/>
            <w:bookmarkEnd w:id="128"/>
            <w:bookmarkEnd w:id="129"/>
            <w:bookmarkEnd w:id="130"/>
            <w:bookmarkEnd w:id="131"/>
            <w:bookmarkEnd w:id="132"/>
          </w:p>
        </w:tc>
        <w:tc>
          <w:tcPr>
            <w:tcW w:w="968" w:type="dxa"/>
            <w:tcBorders>
              <w:right w:val="single" w:color="auto" w:sz="4" w:space="0"/>
            </w:tcBorders>
            <w:vAlign w:val="center"/>
          </w:tcPr>
          <w:p w14:paraId="3ABA2755">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4" w:type="dxa"/>
            <w:tcBorders>
              <w:left w:val="single" w:color="auto" w:sz="4" w:space="0"/>
            </w:tcBorders>
            <w:vAlign w:val="center"/>
          </w:tcPr>
          <w:p w14:paraId="4C53B876">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3" w:type="dxa"/>
            <w:vAlign w:val="center"/>
          </w:tcPr>
          <w:p w14:paraId="56E5AFD3">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9" w:type="dxa"/>
            <w:vAlign w:val="center"/>
          </w:tcPr>
          <w:p w14:paraId="771CCB10">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070BE5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vAlign w:val="center"/>
          </w:tcPr>
          <w:p w14:paraId="237DDA7E">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33" w:name="_Toc173211906"/>
            <w:bookmarkStart w:id="134" w:name="_Toc254970735"/>
            <w:bookmarkStart w:id="135" w:name="_Toc173066407"/>
            <w:bookmarkStart w:id="136" w:name="_Toc254970594"/>
            <w:bookmarkStart w:id="137" w:name="_Toc297193191"/>
            <w:bookmarkStart w:id="138" w:name="_Toc301781617"/>
            <w:bookmarkStart w:id="139" w:name="_Toc295404987"/>
            <w:bookmarkStart w:id="140" w:name="_Toc383699912"/>
            <w:bookmarkStart w:id="141" w:name="_Toc373333695"/>
            <w:r>
              <w:rPr>
                <w:rFonts w:hint="eastAsia" w:ascii="宋体" w:hAnsi="宋体" w:eastAsia="宋体" w:cs="仿宋_GB2312"/>
                <w:color w:val="auto"/>
                <w:kern w:val="2"/>
                <w:sz w:val="24"/>
                <w:szCs w:val="24"/>
                <w:highlight w:val="none"/>
              </w:rPr>
              <w:t>2</w:t>
            </w:r>
            <w:bookmarkEnd w:id="133"/>
            <w:bookmarkEnd w:id="134"/>
            <w:bookmarkEnd w:id="135"/>
            <w:bookmarkEnd w:id="136"/>
            <w:bookmarkEnd w:id="137"/>
            <w:bookmarkEnd w:id="138"/>
            <w:bookmarkEnd w:id="139"/>
            <w:bookmarkEnd w:id="140"/>
            <w:bookmarkEnd w:id="141"/>
          </w:p>
        </w:tc>
        <w:tc>
          <w:tcPr>
            <w:tcW w:w="968" w:type="dxa"/>
            <w:tcBorders>
              <w:right w:val="single" w:color="auto" w:sz="4" w:space="0"/>
            </w:tcBorders>
            <w:vAlign w:val="center"/>
          </w:tcPr>
          <w:p w14:paraId="13539A6C">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4" w:type="dxa"/>
            <w:tcBorders>
              <w:left w:val="single" w:color="auto" w:sz="4" w:space="0"/>
            </w:tcBorders>
            <w:vAlign w:val="center"/>
          </w:tcPr>
          <w:p w14:paraId="11ED579E">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3" w:type="dxa"/>
            <w:vAlign w:val="center"/>
          </w:tcPr>
          <w:p w14:paraId="42B9A5BC">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9" w:type="dxa"/>
            <w:vAlign w:val="center"/>
          </w:tcPr>
          <w:p w14:paraId="787C93AF">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02ECB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vAlign w:val="center"/>
          </w:tcPr>
          <w:p w14:paraId="3F0505CD">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42" w:name="_Toc301781618"/>
            <w:bookmarkStart w:id="143" w:name="_Toc173066408"/>
            <w:bookmarkStart w:id="144" w:name="_Toc297193192"/>
            <w:bookmarkStart w:id="145" w:name="_Toc295404988"/>
            <w:bookmarkStart w:id="146" w:name="_Toc173211907"/>
            <w:bookmarkStart w:id="147" w:name="_Toc254970595"/>
            <w:bookmarkStart w:id="148" w:name="_Toc383699913"/>
            <w:bookmarkStart w:id="149" w:name="_Toc254970736"/>
            <w:bookmarkStart w:id="150" w:name="_Toc373333696"/>
            <w:r>
              <w:rPr>
                <w:rFonts w:hint="eastAsia" w:ascii="宋体" w:hAnsi="宋体" w:eastAsia="宋体" w:cs="仿宋_GB2312"/>
                <w:color w:val="auto"/>
                <w:kern w:val="2"/>
                <w:sz w:val="24"/>
                <w:szCs w:val="24"/>
                <w:highlight w:val="none"/>
              </w:rPr>
              <w:t>3</w:t>
            </w:r>
            <w:bookmarkEnd w:id="142"/>
            <w:bookmarkEnd w:id="143"/>
            <w:bookmarkEnd w:id="144"/>
            <w:bookmarkEnd w:id="145"/>
            <w:bookmarkEnd w:id="146"/>
            <w:bookmarkEnd w:id="147"/>
            <w:bookmarkEnd w:id="148"/>
            <w:bookmarkEnd w:id="149"/>
            <w:bookmarkEnd w:id="150"/>
          </w:p>
        </w:tc>
        <w:tc>
          <w:tcPr>
            <w:tcW w:w="968" w:type="dxa"/>
            <w:tcBorders>
              <w:right w:val="single" w:color="auto" w:sz="4" w:space="0"/>
            </w:tcBorders>
            <w:vAlign w:val="center"/>
          </w:tcPr>
          <w:p w14:paraId="37414853">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4" w:type="dxa"/>
            <w:tcBorders>
              <w:left w:val="single" w:color="auto" w:sz="4" w:space="0"/>
            </w:tcBorders>
            <w:vAlign w:val="center"/>
          </w:tcPr>
          <w:p w14:paraId="26F3AD7E">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3" w:type="dxa"/>
            <w:vAlign w:val="center"/>
          </w:tcPr>
          <w:p w14:paraId="06629D25">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9" w:type="dxa"/>
            <w:vAlign w:val="center"/>
          </w:tcPr>
          <w:p w14:paraId="6508F890">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22010F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vAlign w:val="center"/>
          </w:tcPr>
          <w:p w14:paraId="2962EF65">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51" w:name="_Toc301781619"/>
            <w:bookmarkStart w:id="152" w:name="_Toc297193193"/>
            <w:bookmarkStart w:id="153" w:name="_Toc254970737"/>
            <w:bookmarkStart w:id="154" w:name="_Toc254970596"/>
            <w:bookmarkStart w:id="155" w:name="_Toc373333697"/>
            <w:bookmarkStart w:id="156" w:name="_Toc295404989"/>
            <w:bookmarkStart w:id="157" w:name="_Toc173211908"/>
            <w:bookmarkStart w:id="158" w:name="_Toc173066409"/>
            <w:bookmarkStart w:id="159" w:name="_Toc383699914"/>
            <w:r>
              <w:rPr>
                <w:rFonts w:hint="eastAsia" w:ascii="宋体" w:hAnsi="宋体" w:eastAsia="宋体" w:cs="仿宋_GB2312"/>
                <w:color w:val="auto"/>
                <w:kern w:val="2"/>
                <w:sz w:val="24"/>
                <w:szCs w:val="24"/>
                <w:highlight w:val="none"/>
              </w:rPr>
              <w:t>4</w:t>
            </w:r>
            <w:bookmarkEnd w:id="151"/>
            <w:bookmarkEnd w:id="152"/>
            <w:bookmarkEnd w:id="153"/>
            <w:bookmarkEnd w:id="154"/>
            <w:bookmarkEnd w:id="155"/>
            <w:bookmarkEnd w:id="156"/>
            <w:bookmarkEnd w:id="157"/>
            <w:bookmarkEnd w:id="158"/>
            <w:bookmarkEnd w:id="159"/>
          </w:p>
        </w:tc>
        <w:tc>
          <w:tcPr>
            <w:tcW w:w="968" w:type="dxa"/>
            <w:tcBorders>
              <w:right w:val="single" w:color="auto" w:sz="4" w:space="0"/>
            </w:tcBorders>
            <w:vAlign w:val="center"/>
          </w:tcPr>
          <w:p w14:paraId="596FD944">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4" w:type="dxa"/>
            <w:tcBorders>
              <w:left w:val="single" w:color="auto" w:sz="4" w:space="0"/>
            </w:tcBorders>
            <w:vAlign w:val="center"/>
          </w:tcPr>
          <w:p w14:paraId="3BC894B9">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3" w:type="dxa"/>
            <w:vAlign w:val="center"/>
          </w:tcPr>
          <w:p w14:paraId="2F68F5C4">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9" w:type="dxa"/>
            <w:vAlign w:val="center"/>
          </w:tcPr>
          <w:p w14:paraId="46C87804">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1E887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vAlign w:val="center"/>
          </w:tcPr>
          <w:p w14:paraId="4021856F">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60" w:name="_Toc254970738"/>
            <w:bookmarkStart w:id="161" w:name="_Toc297193194"/>
            <w:bookmarkStart w:id="162" w:name="_Toc373333698"/>
            <w:bookmarkStart w:id="163" w:name="_Toc301781620"/>
            <w:bookmarkStart w:id="164" w:name="_Toc173211909"/>
            <w:bookmarkStart w:id="165" w:name="_Toc173066410"/>
            <w:bookmarkStart w:id="166" w:name="_Toc254970597"/>
            <w:bookmarkStart w:id="167" w:name="_Toc295404990"/>
            <w:bookmarkStart w:id="168" w:name="_Toc383699915"/>
            <w:r>
              <w:rPr>
                <w:rFonts w:hint="eastAsia" w:ascii="宋体" w:hAnsi="宋体" w:eastAsia="宋体" w:cs="仿宋_GB2312"/>
                <w:color w:val="auto"/>
                <w:kern w:val="2"/>
                <w:sz w:val="24"/>
                <w:szCs w:val="24"/>
                <w:highlight w:val="none"/>
              </w:rPr>
              <w:t>5</w:t>
            </w:r>
            <w:bookmarkEnd w:id="160"/>
            <w:bookmarkEnd w:id="161"/>
            <w:bookmarkEnd w:id="162"/>
            <w:bookmarkEnd w:id="163"/>
            <w:bookmarkEnd w:id="164"/>
            <w:bookmarkEnd w:id="165"/>
            <w:bookmarkEnd w:id="166"/>
            <w:bookmarkEnd w:id="167"/>
            <w:bookmarkEnd w:id="168"/>
          </w:p>
        </w:tc>
        <w:tc>
          <w:tcPr>
            <w:tcW w:w="968" w:type="dxa"/>
            <w:tcBorders>
              <w:right w:val="single" w:color="auto" w:sz="4" w:space="0"/>
            </w:tcBorders>
            <w:vAlign w:val="center"/>
          </w:tcPr>
          <w:p w14:paraId="4C15215B">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4" w:type="dxa"/>
            <w:tcBorders>
              <w:left w:val="single" w:color="auto" w:sz="4" w:space="0"/>
            </w:tcBorders>
            <w:vAlign w:val="center"/>
          </w:tcPr>
          <w:p w14:paraId="57DB2B87">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3" w:type="dxa"/>
            <w:vAlign w:val="center"/>
          </w:tcPr>
          <w:p w14:paraId="7DBF3230">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9" w:type="dxa"/>
            <w:vAlign w:val="center"/>
          </w:tcPr>
          <w:p w14:paraId="3B56E7E0">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573C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jc w:val="center"/>
        </w:trPr>
        <w:tc>
          <w:tcPr>
            <w:tcW w:w="968" w:type="dxa"/>
            <w:vAlign w:val="center"/>
          </w:tcPr>
          <w:p w14:paraId="2779CA10">
            <w:pPr>
              <w:pStyle w:val="14"/>
              <w:spacing w:line="360" w:lineRule="auto"/>
              <w:ind w:firstLine="0" w:firstLineChars="0"/>
              <w:contextualSpacing/>
              <w:jc w:val="center"/>
              <w:rPr>
                <w:rFonts w:ascii="宋体" w:hAnsi="宋体" w:eastAsia="宋体" w:cs="仿宋_GB2312"/>
                <w:color w:val="auto"/>
                <w:kern w:val="2"/>
                <w:sz w:val="24"/>
                <w:szCs w:val="24"/>
                <w:highlight w:val="none"/>
              </w:rPr>
            </w:pPr>
            <w:bookmarkStart w:id="169" w:name="_Toc373333699"/>
            <w:bookmarkStart w:id="170" w:name="_Toc254970743"/>
            <w:bookmarkStart w:id="171" w:name="_Toc301781621"/>
            <w:bookmarkStart w:id="172" w:name="_Toc254970602"/>
            <w:bookmarkStart w:id="173" w:name="_Toc383699916"/>
            <w:bookmarkStart w:id="174" w:name="_Toc297193195"/>
            <w:bookmarkStart w:id="175" w:name="_Toc173066415"/>
            <w:bookmarkStart w:id="176" w:name="_Toc173211914"/>
            <w:bookmarkStart w:id="177" w:name="_Toc295404991"/>
            <w:r>
              <w:rPr>
                <w:rFonts w:hint="eastAsia" w:ascii="宋体" w:hAnsi="宋体" w:eastAsia="宋体" w:cs="仿宋_GB2312"/>
                <w:color w:val="auto"/>
                <w:kern w:val="2"/>
                <w:sz w:val="24"/>
                <w:szCs w:val="24"/>
                <w:highlight w:val="none"/>
              </w:rPr>
              <w:t>…</w:t>
            </w:r>
            <w:bookmarkEnd w:id="169"/>
            <w:bookmarkEnd w:id="170"/>
            <w:bookmarkEnd w:id="171"/>
            <w:bookmarkEnd w:id="172"/>
            <w:bookmarkEnd w:id="173"/>
            <w:bookmarkEnd w:id="174"/>
            <w:bookmarkEnd w:id="175"/>
            <w:bookmarkEnd w:id="176"/>
            <w:bookmarkEnd w:id="177"/>
          </w:p>
        </w:tc>
        <w:tc>
          <w:tcPr>
            <w:tcW w:w="968" w:type="dxa"/>
            <w:tcBorders>
              <w:right w:val="single" w:color="auto" w:sz="4" w:space="0"/>
            </w:tcBorders>
            <w:vAlign w:val="center"/>
          </w:tcPr>
          <w:p w14:paraId="4F621176">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14" w:type="dxa"/>
            <w:tcBorders>
              <w:left w:val="single" w:color="auto" w:sz="4" w:space="0"/>
            </w:tcBorders>
            <w:vAlign w:val="center"/>
          </w:tcPr>
          <w:p w14:paraId="6415948B">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893" w:type="dxa"/>
            <w:vAlign w:val="center"/>
          </w:tcPr>
          <w:p w14:paraId="57F5860B">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579" w:type="dxa"/>
            <w:tcBorders>
              <w:right w:val="single" w:color="auto" w:sz="4" w:space="0"/>
            </w:tcBorders>
            <w:vAlign w:val="center"/>
          </w:tcPr>
          <w:p w14:paraId="5A3815FB">
            <w:pPr>
              <w:pStyle w:val="14"/>
              <w:spacing w:line="360" w:lineRule="auto"/>
              <w:ind w:firstLine="0" w:firstLineChars="0"/>
              <w:contextualSpacing/>
              <w:jc w:val="center"/>
              <w:rPr>
                <w:rFonts w:ascii="宋体" w:hAnsi="宋体" w:eastAsia="宋体" w:cs="仿宋_GB2312"/>
                <w:color w:val="auto"/>
                <w:kern w:val="2"/>
                <w:sz w:val="24"/>
                <w:szCs w:val="24"/>
                <w:highlight w:val="none"/>
              </w:rPr>
            </w:pPr>
          </w:p>
        </w:tc>
      </w:tr>
    </w:tbl>
    <w:p w14:paraId="6CD1AFBD">
      <w:pPr>
        <w:adjustRightInd w:val="0"/>
        <w:spacing w:line="360" w:lineRule="auto"/>
        <w:contextualSpacing/>
        <w:rPr>
          <w:rFonts w:ascii="宋体" w:hAnsi="宋体" w:cs="仿宋_GB2312"/>
          <w:color w:val="auto"/>
          <w:sz w:val="24"/>
          <w:highlight w:val="none"/>
        </w:rPr>
      </w:pPr>
    </w:p>
    <w:p w14:paraId="7413F4BB">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43B19EF7">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7F5FBAF8">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614FBE25">
      <w:pPr>
        <w:spacing w:line="360" w:lineRule="auto"/>
        <w:ind w:right="-817" w:rightChars="-389"/>
        <w:contextualSpacing/>
        <w:rPr>
          <w:rFonts w:ascii="宋体" w:hAnsi="宋体" w:cs="仿宋_GB2312"/>
          <w:color w:val="auto"/>
          <w:sz w:val="24"/>
          <w:highlight w:val="none"/>
        </w:rPr>
      </w:pPr>
    </w:p>
    <w:p w14:paraId="5F12E7D5">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9DB7735">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F02458A">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05A4945">
      <w:pPr>
        <w:snapToGrid w:val="0"/>
        <w:spacing w:before="120"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71F7A400">
      <w:pPr>
        <w:snapToGrid w:val="0"/>
        <w:spacing w:before="120" w:beforeLines="50" w:after="50"/>
        <w:ind w:left="142"/>
        <w:jc w:val="left"/>
        <w:rPr>
          <w:rFonts w:ascii="宋体" w:hAnsi="宋体"/>
          <w:b/>
          <w:color w:val="auto"/>
          <w:sz w:val="24"/>
          <w:highlight w:val="none"/>
        </w:rPr>
      </w:pPr>
    </w:p>
    <w:p w14:paraId="00BB3227">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3AC6E0C5">
      <w:pPr>
        <w:pStyle w:val="17"/>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28"/>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26"/>
        <w:gridCol w:w="1981"/>
        <w:gridCol w:w="1654"/>
        <w:gridCol w:w="1978"/>
        <w:gridCol w:w="2147"/>
      </w:tblGrid>
      <w:tr w14:paraId="6446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951" w:type="dxa"/>
            <w:vAlign w:val="center"/>
          </w:tcPr>
          <w:p w14:paraId="4CB69D1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826" w:type="dxa"/>
            <w:vAlign w:val="center"/>
          </w:tcPr>
          <w:p w14:paraId="464F33A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981" w:type="dxa"/>
            <w:vAlign w:val="center"/>
          </w:tcPr>
          <w:p w14:paraId="3085F86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654" w:type="dxa"/>
            <w:vAlign w:val="center"/>
          </w:tcPr>
          <w:p w14:paraId="4327E41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978" w:type="dxa"/>
            <w:vAlign w:val="center"/>
          </w:tcPr>
          <w:p w14:paraId="0B3DBDAC">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796F38A7">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2147" w:type="dxa"/>
            <w:vAlign w:val="center"/>
          </w:tcPr>
          <w:p w14:paraId="1D5D9DD9">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1211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1" w:type="dxa"/>
            <w:vAlign w:val="center"/>
          </w:tcPr>
          <w:p w14:paraId="25D154F7">
            <w:pPr>
              <w:spacing w:line="360" w:lineRule="auto"/>
              <w:contextualSpacing/>
              <w:jc w:val="center"/>
              <w:rPr>
                <w:rFonts w:ascii="宋体" w:hAnsi="宋体"/>
                <w:color w:val="auto"/>
                <w:sz w:val="24"/>
                <w:szCs w:val="20"/>
                <w:highlight w:val="none"/>
              </w:rPr>
            </w:pPr>
          </w:p>
        </w:tc>
        <w:tc>
          <w:tcPr>
            <w:tcW w:w="826" w:type="dxa"/>
            <w:vAlign w:val="center"/>
          </w:tcPr>
          <w:p w14:paraId="1B7732E2">
            <w:pPr>
              <w:spacing w:line="360" w:lineRule="auto"/>
              <w:contextualSpacing/>
              <w:jc w:val="center"/>
              <w:rPr>
                <w:rFonts w:ascii="宋体" w:hAnsi="宋体"/>
                <w:color w:val="auto"/>
                <w:sz w:val="24"/>
                <w:szCs w:val="20"/>
                <w:highlight w:val="none"/>
              </w:rPr>
            </w:pPr>
          </w:p>
        </w:tc>
        <w:tc>
          <w:tcPr>
            <w:tcW w:w="1981" w:type="dxa"/>
            <w:vAlign w:val="center"/>
          </w:tcPr>
          <w:p w14:paraId="4941BA54">
            <w:pPr>
              <w:spacing w:line="360" w:lineRule="auto"/>
              <w:contextualSpacing/>
              <w:jc w:val="center"/>
              <w:rPr>
                <w:rFonts w:ascii="宋体" w:hAnsi="宋体"/>
                <w:color w:val="auto"/>
                <w:sz w:val="24"/>
                <w:szCs w:val="20"/>
                <w:highlight w:val="none"/>
              </w:rPr>
            </w:pPr>
          </w:p>
        </w:tc>
        <w:tc>
          <w:tcPr>
            <w:tcW w:w="1654" w:type="dxa"/>
            <w:vAlign w:val="center"/>
          </w:tcPr>
          <w:p w14:paraId="252D2956">
            <w:pPr>
              <w:spacing w:line="360" w:lineRule="auto"/>
              <w:contextualSpacing/>
              <w:jc w:val="center"/>
              <w:rPr>
                <w:rFonts w:ascii="宋体" w:hAnsi="宋体"/>
                <w:color w:val="auto"/>
                <w:sz w:val="24"/>
                <w:szCs w:val="20"/>
                <w:highlight w:val="none"/>
              </w:rPr>
            </w:pPr>
          </w:p>
        </w:tc>
        <w:tc>
          <w:tcPr>
            <w:tcW w:w="1978" w:type="dxa"/>
            <w:vAlign w:val="center"/>
          </w:tcPr>
          <w:p w14:paraId="56F60A84">
            <w:pPr>
              <w:spacing w:line="360" w:lineRule="auto"/>
              <w:contextualSpacing/>
              <w:jc w:val="center"/>
              <w:rPr>
                <w:rFonts w:ascii="宋体" w:hAnsi="宋体"/>
                <w:color w:val="auto"/>
                <w:sz w:val="24"/>
                <w:szCs w:val="20"/>
                <w:highlight w:val="none"/>
              </w:rPr>
            </w:pPr>
          </w:p>
        </w:tc>
        <w:tc>
          <w:tcPr>
            <w:tcW w:w="2147" w:type="dxa"/>
            <w:vAlign w:val="center"/>
          </w:tcPr>
          <w:p w14:paraId="73F84852">
            <w:pPr>
              <w:spacing w:line="360" w:lineRule="auto"/>
              <w:contextualSpacing/>
              <w:jc w:val="center"/>
              <w:rPr>
                <w:rFonts w:ascii="宋体" w:hAnsi="宋体"/>
                <w:color w:val="auto"/>
                <w:sz w:val="24"/>
                <w:szCs w:val="20"/>
                <w:highlight w:val="none"/>
              </w:rPr>
            </w:pPr>
          </w:p>
        </w:tc>
      </w:tr>
      <w:tr w14:paraId="23FF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1" w:type="dxa"/>
            <w:vAlign w:val="center"/>
          </w:tcPr>
          <w:p w14:paraId="082F74BF">
            <w:pPr>
              <w:spacing w:line="360" w:lineRule="auto"/>
              <w:contextualSpacing/>
              <w:jc w:val="center"/>
              <w:rPr>
                <w:rFonts w:ascii="宋体" w:hAnsi="宋体"/>
                <w:color w:val="auto"/>
                <w:sz w:val="24"/>
                <w:szCs w:val="20"/>
                <w:highlight w:val="none"/>
              </w:rPr>
            </w:pPr>
          </w:p>
        </w:tc>
        <w:tc>
          <w:tcPr>
            <w:tcW w:w="826" w:type="dxa"/>
            <w:vAlign w:val="center"/>
          </w:tcPr>
          <w:p w14:paraId="52F3EE04">
            <w:pPr>
              <w:spacing w:line="360" w:lineRule="auto"/>
              <w:contextualSpacing/>
              <w:jc w:val="center"/>
              <w:rPr>
                <w:rFonts w:ascii="宋体" w:hAnsi="宋体"/>
                <w:color w:val="auto"/>
                <w:sz w:val="24"/>
                <w:szCs w:val="20"/>
                <w:highlight w:val="none"/>
              </w:rPr>
            </w:pPr>
          </w:p>
        </w:tc>
        <w:tc>
          <w:tcPr>
            <w:tcW w:w="1981" w:type="dxa"/>
            <w:vAlign w:val="center"/>
          </w:tcPr>
          <w:p w14:paraId="67409B3B">
            <w:pPr>
              <w:spacing w:line="360" w:lineRule="auto"/>
              <w:contextualSpacing/>
              <w:jc w:val="center"/>
              <w:rPr>
                <w:rFonts w:ascii="宋体" w:hAnsi="宋体"/>
                <w:color w:val="auto"/>
                <w:sz w:val="24"/>
                <w:szCs w:val="20"/>
                <w:highlight w:val="none"/>
              </w:rPr>
            </w:pPr>
          </w:p>
        </w:tc>
        <w:tc>
          <w:tcPr>
            <w:tcW w:w="1654" w:type="dxa"/>
            <w:vAlign w:val="center"/>
          </w:tcPr>
          <w:p w14:paraId="1ED0A45D">
            <w:pPr>
              <w:spacing w:line="360" w:lineRule="auto"/>
              <w:contextualSpacing/>
              <w:jc w:val="center"/>
              <w:rPr>
                <w:rFonts w:ascii="宋体" w:hAnsi="宋体"/>
                <w:color w:val="auto"/>
                <w:sz w:val="24"/>
                <w:szCs w:val="20"/>
                <w:highlight w:val="none"/>
              </w:rPr>
            </w:pPr>
          </w:p>
        </w:tc>
        <w:tc>
          <w:tcPr>
            <w:tcW w:w="1978" w:type="dxa"/>
            <w:vAlign w:val="center"/>
          </w:tcPr>
          <w:p w14:paraId="3C96DAC0">
            <w:pPr>
              <w:spacing w:line="360" w:lineRule="auto"/>
              <w:contextualSpacing/>
              <w:jc w:val="center"/>
              <w:rPr>
                <w:rFonts w:ascii="宋体" w:hAnsi="宋体"/>
                <w:color w:val="auto"/>
                <w:sz w:val="24"/>
                <w:szCs w:val="20"/>
                <w:highlight w:val="none"/>
              </w:rPr>
            </w:pPr>
          </w:p>
        </w:tc>
        <w:tc>
          <w:tcPr>
            <w:tcW w:w="2147" w:type="dxa"/>
            <w:vAlign w:val="center"/>
          </w:tcPr>
          <w:p w14:paraId="195E6DCF">
            <w:pPr>
              <w:spacing w:line="360" w:lineRule="auto"/>
              <w:contextualSpacing/>
              <w:jc w:val="center"/>
              <w:rPr>
                <w:rFonts w:ascii="宋体" w:hAnsi="宋体"/>
                <w:color w:val="auto"/>
                <w:sz w:val="24"/>
                <w:szCs w:val="20"/>
                <w:highlight w:val="none"/>
              </w:rPr>
            </w:pPr>
          </w:p>
        </w:tc>
      </w:tr>
      <w:tr w14:paraId="1167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1" w:type="dxa"/>
            <w:vAlign w:val="center"/>
          </w:tcPr>
          <w:p w14:paraId="04F1E005">
            <w:pPr>
              <w:spacing w:line="360" w:lineRule="auto"/>
              <w:contextualSpacing/>
              <w:jc w:val="center"/>
              <w:rPr>
                <w:rFonts w:ascii="宋体" w:hAnsi="宋体"/>
                <w:color w:val="auto"/>
                <w:sz w:val="24"/>
                <w:szCs w:val="20"/>
                <w:highlight w:val="none"/>
              </w:rPr>
            </w:pPr>
          </w:p>
        </w:tc>
        <w:tc>
          <w:tcPr>
            <w:tcW w:w="826" w:type="dxa"/>
            <w:vAlign w:val="center"/>
          </w:tcPr>
          <w:p w14:paraId="21488551">
            <w:pPr>
              <w:spacing w:line="360" w:lineRule="auto"/>
              <w:contextualSpacing/>
              <w:jc w:val="center"/>
              <w:rPr>
                <w:rFonts w:ascii="宋体" w:hAnsi="宋体"/>
                <w:color w:val="auto"/>
                <w:sz w:val="24"/>
                <w:szCs w:val="20"/>
                <w:highlight w:val="none"/>
              </w:rPr>
            </w:pPr>
          </w:p>
        </w:tc>
        <w:tc>
          <w:tcPr>
            <w:tcW w:w="1981" w:type="dxa"/>
            <w:vAlign w:val="center"/>
          </w:tcPr>
          <w:p w14:paraId="375C5FAF">
            <w:pPr>
              <w:spacing w:line="360" w:lineRule="auto"/>
              <w:contextualSpacing/>
              <w:jc w:val="center"/>
              <w:rPr>
                <w:rFonts w:ascii="宋体" w:hAnsi="宋体"/>
                <w:color w:val="auto"/>
                <w:sz w:val="24"/>
                <w:szCs w:val="20"/>
                <w:highlight w:val="none"/>
              </w:rPr>
            </w:pPr>
          </w:p>
        </w:tc>
        <w:tc>
          <w:tcPr>
            <w:tcW w:w="1654" w:type="dxa"/>
            <w:vAlign w:val="center"/>
          </w:tcPr>
          <w:p w14:paraId="70990D17">
            <w:pPr>
              <w:spacing w:line="360" w:lineRule="auto"/>
              <w:contextualSpacing/>
              <w:jc w:val="center"/>
              <w:rPr>
                <w:rFonts w:ascii="宋体" w:hAnsi="宋体"/>
                <w:color w:val="auto"/>
                <w:sz w:val="24"/>
                <w:szCs w:val="20"/>
                <w:highlight w:val="none"/>
              </w:rPr>
            </w:pPr>
          </w:p>
        </w:tc>
        <w:tc>
          <w:tcPr>
            <w:tcW w:w="1978" w:type="dxa"/>
            <w:vAlign w:val="center"/>
          </w:tcPr>
          <w:p w14:paraId="37D0C6A6">
            <w:pPr>
              <w:spacing w:line="360" w:lineRule="auto"/>
              <w:contextualSpacing/>
              <w:jc w:val="center"/>
              <w:rPr>
                <w:rFonts w:ascii="宋体" w:hAnsi="宋体"/>
                <w:color w:val="auto"/>
                <w:sz w:val="24"/>
                <w:szCs w:val="20"/>
                <w:highlight w:val="none"/>
              </w:rPr>
            </w:pPr>
          </w:p>
        </w:tc>
        <w:tc>
          <w:tcPr>
            <w:tcW w:w="2147" w:type="dxa"/>
            <w:vAlign w:val="center"/>
          </w:tcPr>
          <w:p w14:paraId="2FDDD651">
            <w:pPr>
              <w:spacing w:line="360" w:lineRule="auto"/>
              <w:contextualSpacing/>
              <w:jc w:val="center"/>
              <w:rPr>
                <w:rFonts w:ascii="宋体" w:hAnsi="宋体"/>
                <w:color w:val="auto"/>
                <w:sz w:val="24"/>
                <w:szCs w:val="20"/>
                <w:highlight w:val="none"/>
              </w:rPr>
            </w:pPr>
          </w:p>
        </w:tc>
      </w:tr>
    </w:tbl>
    <w:p w14:paraId="6793D64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749DD9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22106D45">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2517635D">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5C6531B">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BFF3BD6">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1910CDDC">
      <w:pPr>
        <w:snapToGrid w:val="0"/>
        <w:spacing w:before="50" w:after="120" w:afterLines="50"/>
        <w:jc w:val="left"/>
        <w:rPr>
          <w:rFonts w:ascii="宋体" w:hAnsi="宋体"/>
          <w:color w:val="auto"/>
          <w:sz w:val="24"/>
          <w:szCs w:val="20"/>
          <w:highlight w:val="none"/>
        </w:rPr>
      </w:pPr>
    </w:p>
    <w:p w14:paraId="52F9D241">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16F93636">
      <w:pPr>
        <w:spacing w:line="300" w:lineRule="auto"/>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3D713E4E">
      <w:pPr>
        <w:spacing w:line="300" w:lineRule="auto"/>
        <w:rPr>
          <w:rFonts w:ascii="宋体" w:hAnsi="宋体"/>
          <w:color w:val="auto"/>
          <w:szCs w:val="21"/>
          <w:highlight w:val="none"/>
        </w:rPr>
      </w:pPr>
    </w:p>
    <w:p w14:paraId="0DAD7F72">
      <w:pPr>
        <w:jc w:val="center"/>
        <w:rPr>
          <w:rFonts w:ascii="方正小标宋简体" w:hAnsi="方正小标宋简体" w:eastAsia="方正小标宋简体" w:cs="方正小标宋简体"/>
          <w:color w:val="auto"/>
          <w:sz w:val="44"/>
          <w:szCs w:val="44"/>
          <w:highlight w:val="none"/>
        </w:rPr>
      </w:pPr>
      <w:bookmarkStart w:id="178" w:name="_Toc71365926"/>
      <w:r>
        <w:rPr>
          <w:rFonts w:hint="eastAsia" w:ascii="方正小标宋简体" w:hAnsi="方正小标宋简体" w:eastAsia="方正小标宋简体" w:cs="方正小标宋简体"/>
          <w:color w:val="auto"/>
          <w:sz w:val="44"/>
          <w:szCs w:val="44"/>
          <w:highlight w:val="none"/>
        </w:rPr>
        <w:t>中小企业声明函（服务）</w:t>
      </w:r>
      <w:bookmarkEnd w:id="178"/>
    </w:p>
    <w:p w14:paraId="40FD6B4F">
      <w:pPr>
        <w:spacing w:before="2" w:line="500" w:lineRule="exact"/>
        <w:ind w:firstLine="708" w:firstLineChars="294"/>
        <w:rPr>
          <w:rFonts w:ascii="宋体" w:hAnsi="宋体" w:cs="宋体"/>
          <w:b/>
          <w:bCs/>
          <w:color w:val="auto"/>
          <w:sz w:val="24"/>
          <w:highlight w:val="none"/>
        </w:rPr>
      </w:pPr>
    </w:p>
    <w:p w14:paraId="376D203E">
      <w:pPr>
        <w:pStyle w:val="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3397BDB4">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F256E37">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51B3E03">
      <w:pPr>
        <w:pStyle w:val="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0D86AE42">
      <w:pPr>
        <w:pStyle w:val="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E459CBC">
      <w:pPr>
        <w:pStyle w:val="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537A7F7">
      <w:pPr>
        <w:pStyle w:val="2"/>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057CC103">
      <w:pPr>
        <w:pStyle w:val="2"/>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636B592A">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为准度数据，无上一年度为准度数据的新成立企业可不填报。</w:t>
      </w:r>
    </w:p>
    <w:p w14:paraId="2E76770D">
      <w:pPr>
        <w:spacing w:line="520" w:lineRule="exact"/>
        <w:jc w:val="left"/>
        <w:rPr>
          <w:rFonts w:ascii="宋体" w:hAnsi="宋体" w:cs="仿宋_GB2312"/>
          <w:color w:val="auto"/>
          <w:sz w:val="24"/>
          <w:highlight w:val="none"/>
        </w:rPr>
      </w:pPr>
    </w:p>
    <w:p w14:paraId="31B14779">
      <w:pPr>
        <w:jc w:val="center"/>
        <w:rPr>
          <w:rFonts w:ascii="Calibri" w:hAnsi="Calibri"/>
          <w:color w:val="auto"/>
          <w:szCs w:val="22"/>
          <w:highlight w:val="none"/>
        </w:rPr>
      </w:pPr>
      <w:r>
        <w:rPr>
          <w:rFonts w:hint="eastAsia" w:ascii="Calibri" w:hAnsi="Calibri"/>
          <w:b/>
          <w:bCs/>
          <w:color w:val="auto"/>
          <w:sz w:val="36"/>
          <w:szCs w:val="36"/>
          <w:highlight w:val="none"/>
        </w:rPr>
        <w:t>中小企业划型标准</w:t>
      </w:r>
    </w:p>
    <w:tbl>
      <w:tblPr>
        <w:tblStyle w:val="28"/>
        <w:tblW w:w="9952"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647"/>
        <w:gridCol w:w="7378"/>
      </w:tblGrid>
      <w:tr w14:paraId="6BDD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27" w:type="dxa"/>
            <w:tcBorders>
              <w:top w:val="single" w:color="auto" w:sz="4" w:space="0"/>
              <w:left w:val="single" w:color="auto" w:sz="4" w:space="0"/>
              <w:bottom w:val="single" w:color="auto" w:sz="4" w:space="0"/>
              <w:right w:val="single" w:color="auto" w:sz="4" w:space="0"/>
            </w:tcBorders>
            <w:vAlign w:val="center"/>
          </w:tcPr>
          <w:p w14:paraId="450A857A">
            <w:pPr>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718ED5D2">
            <w:pPr>
              <w:spacing w:line="400" w:lineRule="exact"/>
              <w:jc w:val="center"/>
              <w:rPr>
                <w:rFonts w:ascii="宋体" w:hAnsi="宋体"/>
                <w:b/>
                <w:color w:val="auto"/>
                <w:szCs w:val="21"/>
                <w:highlight w:val="none"/>
              </w:rPr>
            </w:pPr>
            <w:r>
              <w:rPr>
                <w:rFonts w:hint="eastAsia" w:ascii="宋体" w:hAnsi="宋体"/>
                <w:b/>
                <w:color w:val="auto"/>
                <w:szCs w:val="21"/>
                <w:highlight w:val="none"/>
              </w:rPr>
              <w:t>行业标准</w:t>
            </w:r>
          </w:p>
        </w:tc>
        <w:tc>
          <w:tcPr>
            <w:tcW w:w="7378" w:type="dxa"/>
            <w:tcBorders>
              <w:top w:val="single" w:color="auto" w:sz="4" w:space="0"/>
              <w:left w:val="single" w:color="auto" w:sz="4" w:space="0"/>
              <w:bottom w:val="single" w:color="auto" w:sz="4" w:space="0"/>
              <w:right w:val="single" w:color="auto" w:sz="4" w:space="0"/>
            </w:tcBorders>
            <w:vAlign w:val="center"/>
          </w:tcPr>
          <w:p w14:paraId="1A7813BE">
            <w:pPr>
              <w:spacing w:line="400" w:lineRule="exact"/>
              <w:jc w:val="center"/>
              <w:rPr>
                <w:rFonts w:ascii="宋体" w:hAnsi="宋体"/>
                <w:b/>
                <w:color w:val="auto"/>
                <w:szCs w:val="21"/>
                <w:highlight w:val="none"/>
              </w:rPr>
            </w:pPr>
            <w:r>
              <w:rPr>
                <w:rFonts w:hint="eastAsia" w:ascii="宋体" w:hAnsi="宋体"/>
                <w:b/>
                <w:color w:val="auto"/>
                <w:szCs w:val="21"/>
                <w:highlight w:val="none"/>
              </w:rPr>
              <w:t>标准划分</w:t>
            </w:r>
          </w:p>
        </w:tc>
      </w:tr>
      <w:tr w14:paraId="44ED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927" w:type="dxa"/>
            <w:tcBorders>
              <w:top w:val="single" w:color="auto" w:sz="4" w:space="0"/>
              <w:left w:val="single" w:color="auto" w:sz="4" w:space="0"/>
              <w:bottom w:val="single" w:color="auto" w:sz="4" w:space="0"/>
              <w:right w:val="single" w:color="auto" w:sz="4" w:space="0"/>
            </w:tcBorders>
            <w:vAlign w:val="center"/>
          </w:tcPr>
          <w:p w14:paraId="1A622173">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647" w:type="dxa"/>
            <w:tcBorders>
              <w:top w:val="single" w:color="auto" w:sz="4" w:space="0"/>
              <w:left w:val="single" w:color="auto" w:sz="4" w:space="0"/>
              <w:bottom w:val="single" w:color="auto" w:sz="4" w:space="0"/>
              <w:right w:val="single" w:color="auto" w:sz="4" w:space="0"/>
            </w:tcBorders>
            <w:vAlign w:val="center"/>
          </w:tcPr>
          <w:p w14:paraId="693CA45A">
            <w:pPr>
              <w:spacing w:line="400" w:lineRule="exact"/>
              <w:jc w:val="center"/>
              <w:rPr>
                <w:rFonts w:ascii="宋体" w:hAnsi="宋体"/>
                <w:color w:val="auto"/>
                <w:spacing w:val="-10"/>
                <w:szCs w:val="21"/>
                <w:highlight w:val="none"/>
              </w:rPr>
            </w:pPr>
            <w:r>
              <w:rPr>
                <w:rFonts w:hint="eastAsia" w:ascii="宋体" w:hAnsi="宋体"/>
                <w:color w:val="auto"/>
                <w:spacing w:val="-10"/>
                <w:szCs w:val="21"/>
                <w:highlight w:val="none"/>
              </w:rPr>
              <w:t>农、林、牧、渔业</w:t>
            </w:r>
          </w:p>
        </w:tc>
        <w:tc>
          <w:tcPr>
            <w:tcW w:w="7378" w:type="dxa"/>
            <w:tcBorders>
              <w:top w:val="single" w:color="auto" w:sz="4" w:space="0"/>
              <w:left w:val="single" w:color="auto" w:sz="4" w:space="0"/>
              <w:bottom w:val="single" w:color="auto" w:sz="4" w:space="0"/>
              <w:right w:val="single" w:color="auto" w:sz="4" w:space="0"/>
            </w:tcBorders>
            <w:vAlign w:val="center"/>
          </w:tcPr>
          <w:p w14:paraId="432F1481">
            <w:pPr>
              <w:spacing w:line="400" w:lineRule="exact"/>
              <w:rPr>
                <w:rFonts w:ascii="宋体" w:hAnsi="宋体"/>
                <w:color w:val="auto"/>
                <w:szCs w:val="21"/>
                <w:highlight w:val="none"/>
              </w:rPr>
            </w:pPr>
            <w:r>
              <w:rPr>
                <w:rFonts w:hint="eastAsia" w:ascii="宋体" w:hAnsi="宋体"/>
                <w:color w:val="auto"/>
                <w:szCs w:val="21"/>
                <w:highlight w:val="none"/>
              </w:rPr>
              <w:t>营业收入20000万元以下的为中小微型企业。其中，营业收入500万元及以上的为中型企业，营业收入50万元及以上的为小型企业，营业收入50万元以下的为微型企业。</w:t>
            </w:r>
          </w:p>
        </w:tc>
      </w:tr>
      <w:tr w14:paraId="2C2C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15175989">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1647" w:type="dxa"/>
            <w:tcBorders>
              <w:top w:val="single" w:color="auto" w:sz="4" w:space="0"/>
              <w:left w:val="single" w:color="auto" w:sz="4" w:space="0"/>
              <w:bottom w:val="single" w:color="auto" w:sz="4" w:space="0"/>
              <w:right w:val="single" w:color="auto" w:sz="4" w:space="0"/>
            </w:tcBorders>
            <w:vAlign w:val="center"/>
          </w:tcPr>
          <w:p w14:paraId="4C9CACE3">
            <w:pPr>
              <w:spacing w:line="400" w:lineRule="exact"/>
              <w:jc w:val="center"/>
              <w:rPr>
                <w:rFonts w:ascii="宋体" w:hAnsi="宋体"/>
                <w:color w:val="auto"/>
                <w:szCs w:val="21"/>
                <w:highlight w:val="none"/>
              </w:rPr>
            </w:pPr>
            <w:r>
              <w:rPr>
                <w:rFonts w:hint="eastAsia" w:ascii="宋体" w:hAnsi="宋体"/>
                <w:color w:val="auto"/>
                <w:szCs w:val="21"/>
                <w:highlight w:val="none"/>
              </w:rPr>
              <w:t>工业</w:t>
            </w:r>
          </w:p>
        </w:tc>
        <w:tc>
          <w:tcPr>
            <w:tcW w:w="7378" w:type="dxa"/>
            <w:tcBorders>
              <w:top w:val="single" w:color="auto" w:sz="4" w:space="0"/>
              <w:left w:val="single" w:color="auto" w:sz="4" w:space="0"/>
              <w:bottom w:val="single" w:color="auto" w:sz="4" w:space="0"/>
              <w:right w:val="single" w:color="auto" w:sz="4" w:space="0"/>
            </w:tcBorders>
            <w:vAlign w:val="center"/>
          </w:tcPr>
          <w:p w14:paraId="6E5304C6">
            <w:pPr>
              <w:spacing w:line="400" w:lineRule="exact"/>
              <w:rPr>
                <w:rFonts w:ascii="宋体" w:hAnsi="宋体"/>
                <w:color w:val="auto"/>
                <w:szCs w:val="21"/>
                <w:highlight w:val="none"/>
              </w:rPr>
            </w:pPr>
            <w:r>
              <w:rPr>
                <w:rFonts w:hint="eastAsia" w:ascii="宋体" w:hAnsi="宋体"/>
                <w:color w:val="auto"/>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81C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2CA5200F">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1647" w:type="dxa"/>
            <w:tcBorders>
              <w:top w:val="single" w:color="auto" w:sz="4" w:space="0"/>
              <w:left w:val="single" w:color="auto" w:sz="4" w:space="0"/>
              <w:bottom w:val="single" w:color="auto" w:sz="4" w:space="0"/>
              <w:right w:val="single" w:color="auto" w:sz="4" w:space="0"/>
            </w:tcBorders>
            <w:vAlign w:val="center"/>
          </w:tcPr>
          <w:p w14:paraId="59E7CFDB">
            <w:pPr>
              <w:spacing w:line="400" w:lineRule="exact"/>
              <w:jc w:val="center"/>
              <w:rPr>
                <w:rFonts w:ascii="宋体" w:hAnsi="宋体"/>
                <w:color w:val="auto"/>
                <w:szCs w:val="21"/>
                <w:highlight w:val="none"/>
              </w:rPr>
            </w:pPr>
            <w:r>
              <w:rPr>
                <w:rFonts w:hint="eastAsia" w:ascii="宋体" w:hAnsi="宋体"/>
                <w:color w:val="auto"/>
                <w:szCs w:val="21"/>
                <w:highlight w:val="none"/>
              </w:rPr>
              <w:t>建筑业</w:t>
            </w:r>
          </w:p>
        </w:tc>
        <w:tc>
          <w:tcPr>
            <w:tcW w:w="7378" w:type="dxa"/>
            <w:tcBorders>
              <w:top w:val="single" w:color="auto" w:sz="4" w:space="0"/>
              <w:left w:val="single" w:color="auto" w:sz="4" w:space="0"/>
              <w:bottom w:val="single" w:color="auto" w:sz="4" w:space="0"/>
              <w:right w:val="single" w:color="auto" w:sz="4" w:space="0"/>
            </w:tcBorders>
            <w:vAlign w:val="center"/>
          </w:tcPr>
          <w:p w14:paraId="654D7703">
            <w:pPr>
              <w:spacing w:line="400" w:lineRule="exact"/>
              <w:rPr>
                <w:rFonts w:ascii="宋体" w:hAnsi="宋体"/>
                <w:color w:val="auto"/>
                <w:szCs w:val="21"/>
                <w:highlight w:val="none"/>
              </w:rPr>
            </w:pPr>
            <w:r>
              <w:rPr>
                <w:rFonts w:hint="eastAsia" w:ascii="宋体" w:hAnsi="宋体"/>
                <w:color w:val="auto"/>
                <w:szCs w:val="21"/>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23C2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4BC0BC66">
            <w:pPr>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1647" w:type="dxa"/>
            <w:tcBorders>
              <w:top w:val="single" w:color="auto" w:sz="4" w:space="0"/>
              <w:left w:val="single" w:color="auto" w:sz="4" w:space="0"/>
              <w:bottom w:val="single" w:color="auto" w:sz="4" w:space="0"/>
              <w:right w:val="single" w:color="auto" w:sz="4" w:space="0"/>
            </w:tcBorders>
            <w:vAlign w:val="center"/>
          </w:tcPr>
          <w:p w14:paraId="603C6B14">
            <w:pPr>
              <w:spacing w:line="400" w:lineRule="exact"/>
              <w:jc w:val="center"/>
              <w:rPr>
                <w:rFonts w:ascii="宋体" w:hAnsi="宋体"/>
                <w:color w:val="auto"/>
                <w:szCs w:val="21"/>
                <w:highlight w:val="none"/>
              </w:rPr>
            </w:pPr>
            <w:r>
              <w:rPr>
                <w:rFonts w:hint="eastAsia" w:ascii="宋体" w:hAnsi="宋体"/>
                <w:color w:val="auto"/>
                <w:szCs w:val="21"/>
                <w:highlight w:val="none"/>
              </w:rPr>
              <w:t>批发业</w:t>
            </w:r>
          </w:p>
        </w:tc>
        <w:tc>
          <w:tcPr>
            <w:tcW w:w="7378" w:type="dxa"/>
            <w:tcBorders>
              <w:top w:val="single" w:color="auto" w:sz="4" w:space="0"/>
              <w:left w:val="single" w:color="auto" w:sz="4" w:space="0"/>
              <w:bottom w:val="single" w:color="auto" w:sz="4" w:space="0"/>
              <w:right w:val="single" w:color="auto" w:sz="4" w:space="0"/>
            </w:tcBorders>
            <w:vAlign w:val="center"/>
          </w:tcPr>
          <w:p w14:paraId="02A32D83">
            <w:pPr>
              <w:spacing w:line="400" w:lineRule="exact"/>
              <w:rPr>
                <w:rFonts w:ascii="宋体" w:hAnsi="宋体"/>
                <w:color w:val="auto"/>
                <w:szCs w:val="21"/>
                <w:highlight w:val="none"/>
              </w:rPr>
            </w:pPr>
            <w:r>
              <w:rPr>
                <w:rFonts w:hint="eastAsia" w:ascii="宋体" w:hAnsi="宋体"/>
                <w:color w:val="auto"/>
                <w:szCs w:val="21"/>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14:paraId="1B2A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31946D5E">
            <w:pPr>
              <w:spacing w:line="400" w:lineRule="exact"/>
              <w:jc w:val="center"/>
              <w:rPr>
                <w:rFonts w:ascii="宋体" w:hAnsi="宋体"/>
                <w:color w:val="auto"/>
                <w:szCs w:val="21"/>
                <w:highlight w:val="none"/>
              </w:rPr>
            </w:pPr>
            <w:r>
              <w:rPr>
                <w:rFonts w:hint="eastAsia" w:ascii="宋体" w:hAnsi="宋体"/>
                <w:color w:val="auto"/>
                <w:szCs w:val="21"/>
                <w:highlight w:val="none"/>
              </w:rPr>
              <w:t>5</w:t>
            </w:r>
          </w:p>
        </w:tc>
        <w:tc>
          <w:tcPr>
            <w:tcW w:w="1647" w:type="dxa"/>
            <w:tcBorders>
              <w:top w:val="single" w:color="auto" w:sz="4" w:space="0"/>
              <w:left w:val="single" w:color="auto" w:sz="4" w:space="0"/>
              <w:bottom w:val="single" w:color="auto" w:sz="4" w:space="0"/>
              <w:right w:val="single" w:color="auto" w:sz="4" w:space="0"/>
            </w:tcBorders>
            <w:vAlign w:val="center"/>
          </w:tcPr>
          <w:p w14:paraId="34F67779">
            <w:pPr>
              <w:spacing w:line="400" w:lineRule="exact"/>
              <w:jc w:val="center"/>
              <w:rPr>
                <w:rFonts w:ascii="宋体" w:hAnsi="宋体"/>
                <w:color w:val="auto"/>
                <w:szCs w:val="21"/>
                <w:highlight w:val="none"/>
              </w:rPr>
            </w:pPr>
            <w:r>
              <w:rPr>
                <w:rFonts w:hint="eastAsia" w:ascii="宋体" w:hAnsi="宋体"/>
                <w:color w:val="auto"/>
                <w:szCs w:val="21"/>
                <w:highlight w:val="none"/>
              </w:rPr>
              <w:t>零售业</w:t>
            </w:r>
          </w:p>
        </w:tc>
        <w:tc>
          <w:tcPr>
            <w:tcW w:w="7378" w:type="dxa"/>
            <w:tcBorders>
              <w:top w:val="single" w:color="auto" w:sz="4" w:space="0"/>
              <w:left w:val="single" w:color="auto" w:sz="4" w:space="0"/>
              <w:bottom w:val="single" w:color="auto" w:sz="4" w:space="0"/>
              <w:right w:val="single" w:color="auto" w:sz="4" w:space="0"/>
            </w:tcBorders>
            <w:vAlign w:val="center"/>
          </w:tcPr>
          <w:p w14:paraId="125F7593">
            <w:pPr>
              <w:spacing w:line="400" w:lineRule="exact"/>
              <w:rPr>
                <w:rFonts w:ascii="宋体" w:hAnsi="宋体"/>
                <w:color w:val="auto"/>
                <w:szCs w:val="21"/>
                <w:highlight w:val="none"/>
              </w:rPr>
            </w:pPr>
            <w:r>
              <w:rPr>
                <w:rFonts w:hint="eastAsia" w:ascii="宋体" w:hAnsi="宋体"/>
                <w:color w:val="auto"/>
                <w:szCs w:val="21"/>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tc>
      </w:tr>
      <w:tr w14:paraId="098A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1557A5BC">
            <w:pPr>
              <w:spacing w:line="400" w:lineRule="exact"/>
              <w:jc w:val="center"/>
              <w:rPr>
                <w:rFonts w:ascii="宋体" w:hAnsi="宋体"/>
                <w:color w:val="auto"/>
                <w:szCs w:val="21"/>
                <w:highlight w:val="none"/>
              </w:rPr>
            </w:pPr>
            <w:r>
              <w:rPr>
                <w:rFonts w:hint="eastAsia" w:ascii="宋体" w:hAnsi="宋体"/>
                <w:color w:val="auto"/>
                <w:szCs w:val="21"/>
                <w:highlight w:val="none"/>
              </w:rPr>
              <w:t>6</w:t>
            </w:r>
          </w:p>
        </w:tc>
        <w:tc>
          <w:tcPr>
            <w:tcW w:w="1647" w:type="dxa"/>
            <w:tcBorders>
              <w:top w:val="single" w:color="auto" w:sz="4" w:space="0"/>
              <w:left w:val="single" w:color="auto" w:sz="4" w:space="0"/>
              <w:bottom w:val="single" w:color="auto" w:sz="4" w:space="0"/>
              <w:right w:val="single" w:color="auto" w:sz="4" w:space="0"/>
            </w:tcBorders>
            <w:vAlign w:val="center"/>
          </w:tcPr>
          <w:p w14:paraId="2DFFBE9D">
            <w:pPr>
              <w:spacing w:line="400" w:lineRule="exact"/>
              <w:jc w:val="center"/>
              <w:rPr>
                <w:rFonts w:ascii="宋体" w:hAnsi="宋体"/>
                <w:color w:val="auto"/>
                <w:szCs w:val="21"/>
                <w:highlight w:val="none"/>
              </w:rPr>
            </w:pPr>
            <w:r>
              <w:rPr>
                <w:rFonts w:hint="eastAsia" w:ascii="宋体" w:hAnsi="宋体"/>
                <w:color w:val="auto"/>
                <w:szCs w:val="21"/>
                <w:highlight w:val="none"/>
              </w:rPr>
              <w:t>交通运输业</w:t>
            </w:r>
          </w:p>
        </w:tc>
        <w:tc>
          <w:tcPr>
            <w:tcW w:w="7378" w:type="dxa"/>
            <w:tcBorders>
              <w:top w:val="single" w:color="auto" w:sz="4" w:space="0"/>
              <w:left w:val="single" w:color="auto" w:sz="4" w:space="0"/>
              <w:bottom w:val="single" w:color="auto" w:sz="4" w:space="0"/>
              <w:right w:val="single" w:color="auto" w:sz="4" w:space="0"/>
            </w:tcBorders>
            <w:vAlign w:val="center"/>
          </w:tcPr>
          <w:p w14:paraId="36F02978">
            <w:pPr>
              <w:spacing w:line="400" w:lineRule="exact"/>
              <w:rPr>
                <w:rFonts w:ascii="宋体" w:hAnsi="宋体"/>
                <w:color w:val="auto"/>
                <w:szCs w:val="21"/>
                <w:highlight w:val="none"/>
              </w:rPr>
            </w:pPr>
            <w:r>
              <w:rPr>
                <w:rFonts w:hint="eastAsia" w:ascii="宋体" w:hAnsi="宋体"/>
                <w:color w:val="auto"/>
                <w:szCs w:val="21"/>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tc>
      </w:tr>
      <w:tr w14:paraId="44B2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927" w:type="dxa"/>
            <w:tcBorders>
              <w:top w:val="single" w:color="auto" w:sz="4" w:space="0"/>
              <w:left w:val="single" w:color="auto" w:sz="4" w:space="0"/>
              <w:bottom w:val="single" w:color="auto" w:sz="4" w:space="0"/>
              <w:right w:val="single" w:color="auto" w:sz="4" w:space="0"/>
            </w:tcBorders>
            <w:vAlign w:val="center"/>
          </w:tcPr>
          <w:p w14:paraId="37154433">
            <w:pPr>
              <w:spacing w:line="400" w:lineRule="exact"/>
              <w:jc w:val="center"/>
              <w:rPr>
                <w:rFonts w:ascii="宋体" w:hAnsi="宋体"/>
                <w:color w:val="auto"/>
                <w:szCs w:val="21"/>
                <w:highlight w:val="none"/>
              </w:rPr>
            </w:pPr>
            <w:r>
              <w:rPr>
                <w:rFonts w:hint="eastAsia" w:ascii="宋体" w:hAnsi="宋体"/>
                <w:color w:val="auto"/>
                <w:szCs w:val="21"/>
                <w:highlight w:val="none"/>
              </w:rPr>
              <w:t>7</w:t>
            </w:r>
          </w:p>
        </w:tc>
        <w:tc>
          <w:tcPr>
            <w:tcW w:w="1647" w:type="dxa"/>
            <w:tcBorders>
              <w:top w:val="single" w:color="auto" w:sz="4" w:space="0"/>
              <w:left w:val="single" w:color="auto" w:sz="4" w:space="0"/>
              <w:bottom w:val="single" w:color="auto" w:sz="4" w:space="0"/>
              <w:right w:val="single" w:color="auto" w:sz="4" w:space="0"/>
            </w:tcBorders>
            <w:vAlign w:val="center"/>
          </w:tcPr>
          <w:p w14:paraId="2D0702BA">
            <w:pPr>
              <w:spacing w:line="400" w:lineRule="exact"/>
              <w:jc w:val="center"/>
              <w:rPr>
                <w:rFonts w:ascii="宋体" w:hAnsi="宋体"/>
                <w:color w:val="auto"/>
                <w:szCs w:val="21"/>
                <w:highlight w:val="none"/>
              </w:rPr>
            </w:pPr>
            <w:r>
              <w:rPr>
                <w:rFonts w:hint="eastAsia" w:ascii="宋体" w:hAnsi="宋体"/>
                <w:color w:val="auto"/>
                <w:szCs w:val="21"/>
                <w:highlight w:val="none"/>
              </w:rPr>
              <w:t>仓储业</w:t>
            </w:r>
          </w:p>
        </w:tc>
        <w:tc>
          <w:tcPr>
            <w:tcW w:w="7378" w:type="dxa"/>
            <w:tcBorders>
              <w:top w:val="single" w:color="auto" w:sz="4" w:space="0"/>
              <w:left w:val="single" w:color="auto" w:sz="4" w:space="0"/>
              <w:bottom w:val="single" w:color="auto" w:sz="4" w:space="0"/>
              <w:right w:val="single" w:color="auto" w:sz="4" w:space="0"/>
            </w:tcBorders>
            <w:vAlign w:val="center"/>
          </w:tcPr>
          <w:p w14:paraId="5618AFC0">
            <w:pPr>
              <w:spacing w:line="400" w:lineRule="exact"/>
              <w:rPr>
                <w:rFonts w:ascii="宋体" w:hAnsi="宋体"/>
                <w:color w:val="auto"/>
                <w:szCs w:val="21"/>
                <w:highlight w:val="none"/>
              </w:rPr>
            </w:pPr>
            <w:r>
              <w:rPr>
                <w:rFonts w:hint="eastAsia" w:ascii="宋体" w:hAnsi="宋体"/>
                <w:color w:val="auto"/>
                <w:szCs w:val="21"/>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tc>
      </w:tr>
      <w:tr w14:paraId="42D8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22B3B520">
            <w:pPr>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1647" w:type="dxa"/>
            <w:tcBorders>
              <w:top w:val="single" w:color="auto" w:sz="4" w:space="0"/>
              <w:left w:val="single" w:color="auto" w:sz="4" w:space="0"/>
              <w:bottom w:val="single" w:color="auto" w:sz="4" w:space="0"/>
              <w:right w:val="single" w:color="auto" w:sz="4" w:space="0"/>
            </w:tcBorders>
            <w:vAlign w:val="center"/>
          </w:tcPr>
          <w:p w14:paraId="2B8E581A">
            <w:pPr>
              <w:spacing w:line="400" w:lineRule="exact"/>
              <w:jc w:val="center"/>
              <w:rPr>
                <w:rFonts w:ascii="宋体" w:hAnsi="宋体"/>
                <w:color w:val="auto"/>
                <w:szCs w:val="21"/>
                <w:highlight w:val="none"/>
              </w:rPr>
            </w:pPr>
            <w:r>
              <w:rPr>
                <w:rFonts w:hint="eastAsia" w:ascii="宋体" w:hAnsi="宋体"/>
                <w:color w:val="auto"/>
                <w:szCs w:val="21"/>
                <w:highlight w:val="none"/>
              </w:rPr>
              <w:t>邮政业</w:t>
            </w:r>
          </w:p>
        </w:tc>
        <w:tc>
          <w:tcPr>
            <w:tcW w:w="7378" w:type="dxa"/>
            <w:tcBorders>
              <w:top w:val="single" w:color="auto" w:sz="4" w:space="0"/>
              <w:left w:val="single" w:color="auto" w:sz="4" w:space="0"/>
              <w:bottom w:val="single" w:color="auto" w:sz="4" w:space="0"/>
              <w:right w:val="single" w:color="auto" w:sz="4" w:space="0"/>
            </w:tcBorders>
            <w:vAlign w:val="center"/>
          </w:tcPr>
          <w:p w14:paraId="6C5AC0C0">
            <w:pPr>
              <w:spacing w:line="400" w:lineRule="exact"/>
              <w:rPr>
                <w:rFonts w:ascii="宋体" w:hAnsi="宋体"/>
                <w:color w:val="auto"/>
                <w:szCs w:val="21"/>
                <w:highlight w:val="none"/>
              </w:rPr>
            </w:pPr>
            <w:r>
              <w:rPr>
                <w:rFonts w:hint="eastAsia" w:ascii="宋体" w:hAnsi="宋体"/>
                <w:color w:val="auto"/>
                <w:szCs w:val="21"/>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tc>
      </w:tr>
      <w:tr w14:paraId="215F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7B8F15EF">
            <w:pPr>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1647" w:type="dxa"/>
            <w:tcBorders>
              <w:top w:val="single" w:color="auto" w:sz="4" w:space="0"/>
              <w:left w:val="single" w:color="auto" w:sz="4" w:space="0"/>
              <w:bottom w:val="single" w:color="auto" w:sz="4" w:space="0"/>
              <w:right w:val="single" w:color="auto" w:sz="4" w:space="0"/>
            </w:tcBorders>
            <w:vAlign w:val="center"/>
          </w:tcPr>
          <w:p w14:paraId="3CCBF451">
            <w:pPr>
              <w:spacing w:line="400" w:lineRule="exact"/>
              <w:jc w:val="center"/>
              <w:rPr>
                <w:rFonts w:ascii="宋体" w:hAnsi="宋体"/>
                <w:color w:val="auto"/>
                <w:szCs w:val="21"/>
                <w:highlight w:val="none"/>
              </w:rPr>
            </w:pPr>
            <w:r>
              <w:rPr>
                <w:rFonts w:hint="eastAsia" w:ascii="宋体" w:hAnsi="宋体"/>
                <w:color w:val="auto"/>
                <w:szCs w:val="21"/>
                <w:highlight w:val="none"/>
              </w:rPr>
              <w:t>住宿业</w:t>
            </w:r>
          </w:p>
        </w:tc>
        <w:tc>
          <w:tcPr>
            <w:tcW w:w="7378" w:type="dxa"/>
            <w:tcBorders>
              <w:top w:val="single" w:color="auto" w:sz="4" w:space="0"/>
              <w:left w:val="single" w:color="auto" w:sz="4" w:space="0"/>
              <w:bottom w:val="single" w:color="auto" w:sz="4" w:space="0"/>
              <w:right w:val="single" w:color="auto" w:sz="4" w:space="0"/>
            </w:tcBorders>
            <w:vAlign w:val="center"/>
          </w:tcPr>
          <w:p w14:paraId="02FDB029">
            <w:pPr>
              <w:spacing w:line="400" w:lineRule="exact"/>
              <w:rPr>
                <w:rFonts w:ascii="宋体" w:hAnsi="宋体"/>
                <w:color w:val="auto"/>
                <w:szCs w:val="21"/>
                <w:highlight w:val="none"/>
              </w:rPr>
            </w:pPr>
            <w:r>
              <w:rPr>
                <w:rFonts w:hint="eastAsia" w:ascii="宋体" w:hAnsi="宋体"/>
                <w:color w:val="auto"/>
                <w:szCs w:val="21"/>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25D7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367E00D0">
            <w:pPr>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1647" w:type="dxa"/>
            <w:tcBorders>
              <w:top w:val="single" w:color="auto" w:sz="4" w:space="0"/>
              <w:left w:val="single" w:color="auto" w:sz="4" w:space="0"/>
              <w:bottom w:val="single" w:color="auto" w:sz="4" w:space="0"/>
              <w:right w:val="single" w:color="auto" w:sz="4" w:space="0"/>
            </w:tcBorders>
            <w:vAlign w:val="center"/>
          </w:tcPr>
          <w:p w14:paraId="17EAA926">
            <w:pPr>
              <w:spacing w:line="400" w:lineRule="exact"/>
              <w:jc w:val="center"/>
              <w:rPr>
                <w:rFonts w:ascii="宋体" w:hAnsi="宋体"/>
                <w:color w:val="auto"/>
                <w:szCs w:val="21"/>
                <w:highlight w:val="none"/>
              </w:rPr>
            </w:pPr>
            <w:r>
              <w:rPr>
                <w:rFonts w:hint="eastAsia" w:ascii="宋体" w:hAnsi="宋体"/>
                <w:color w:val="auto"/>
                <w:szCs w:val="21"/>
                <w:highlight w:val="none"/>
              </w:rPr>
              <w:t>餐饮业</w:t>
            </w:r>
          </w:p>
        </w:tc>
        <w:tc>
          <w:tcPr>
            <w:tcW w:w="7378" w:type="dxa"/>
            <w:tcBorders>
              <w:top w:val="single" w:color="auto" w:sz="4" w:space="0"/>
              <w:left w:val="single" w:color="auto" w:sz="4" w:space="0"/>
              <w:bottom w:val="single" w:color="auto" w:sz="4" w:space="0"/>
              <w:right w:val="single" w:color="auto" w:sz="4" w:space="0"/>
            </w:tcBorders>
            <w:vAlign w:val="center"/>
          </w:tcPr>
          <w:p w14:paraId="6CAE2E2A">
            <w:pPr>
              <w:spacing w:line="400" w:lineRule="exact"/>
              <w:rPr>
                <w:rFonts w:ascii="宋体" w:hAnsi="宋体"/>
                <w:color w:val="auto"/>
                <w:szCs w:val="21"/>
                <w:highlight w:val="none"/>
              </w:rPr>
            </w:pPr>
            <w:r>
              <w:rPr>
                <w:rFonts w:hint="eastAsia" w:ascii="宋体" w:hAnsi="宋体"/>
                <w:color w:val="auto"/>
                <w:szCs w:val="21"/>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7A3E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790745F5">
            <w:pPr>
              <w:spacing w:line="400" w:lineRule="exact"/>
              <w:jc w:val="center"/>
              <w:rPr>
                <w:rFonts w:ascii="宋体" w:hAnsi="宋体"/>
                <w:color w:val="auto"/>
                <w:szCs w:val="21"/>
                <w:highlight w:val="none"/>
              </w:rPr>
            </w:pPr>
            <w:r>
              <w:rPr>
                <w:rFonts w:hint="eastAsia" w:ascii="宋体" w:hAnsi="宋体"/>
                <w:color w:val="auto"/>
                <w:szCs w:val="21"/>
                <w:highlight w:val="none"/>
              </w:rPr>
              <w:t>11</w:t>
            </w:r>
          </w:p>
        </w:tc>
        <w:tc>
          <w:tcPr>
            <w:tcW w:w="1647" w:type="dxa"/>
            <w:tcBorders>
              <w:top w:val="single" w:color="auto" w:sz="4" w:space="0"/>
              <w:left w:val="single" w:color="auto" w:sz="4" w:space="0"/>
              <w:bottom w:val="single" w:color="auto" w:sz="4" w:space="0"/>
              <w:right w:val="single" w:color="auto" w:sz="4" w:space="0"/>
            </w:tcBorders>
            <w:vAlign w:val="center"/>
          </w:tcPr>
          <w:p w14:paraId="7F083C91">
            <w:pPr>
              <w:spacing w:line="400" w:lineRule="exact"/>
              <w:jc w:val="center"/>
              <w:rPr>
                <w:rFonts w:ascii="宋体" w:hAnsi="宋体"/>
                <w:color w:val="auto"/>
                <w:szCs w:val="21"/>
                <w:highlight w:val="none"/>
              </w:rPr>
            </w:pPr>
            <w:r>
              <w:rPr>
                <w:rFonts w:hint="eastAsia" w:ascii="宋体" w:hAnsi="宋体"/>
                <w:color w:val="auto"/>
                <w:szCs w:val="21"/>
                <w:highlight w:val="none"/>
              </w:rPr>
              <w:t>信息传输业</w:t>
            </w:r>
          </w:p>
        </w:tc>
        <w:tc>
          <w:tcPr>
            <w:tcW w:w="7378" w:type="dxa"/>
            <w:tcBorders>
              <w:top w:val="single" w:color="auto" w:sz="4" w:space="0"/>
              <w:left w:val="single" w:color="auto" w:sz="4" w:space="0"/>
              <w:bottom w:val="single" w:color="auto" w:sz="4" w:space="0"/>
              <w:right w:val="single" w:color="auto" w:sz="4" w:space="0"/>
            </w:tcBorders>
            <w:vAlign w:val="center"/>
          </w:tcPr>
          <w:p w14:paraId="123C59EF">
            <w:pPr>
              <w:spacing w:line="400" w:lineRule="exact"/>
              <w:rPr>
                <w:rFonts w:ascii="宋体" w:hAnsi="宋体"/>
                <w:color w:val="auto"/>
                <w:szCs w:val="21"/>
                <w:highlight w:val="none"/>
              </w:rPr>
            </w:pPr>
            <w:r>
              <w:rPr>
                <w:rFonts w:hint="eastAsia" w:ascii="宋体" w:hAnsi="宋体"/>
                <w:color w:val="auto"/>
                <w:szCs w:val="21"/>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tc>
      </w:tr>
      <w:tr w14:paraId="3352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64455C6A">
            <w:pPr>
              <w:spacing w:line="400" w:lineRule="exact"/>
              <w:jc w:val="center"/>
              <w:rPr>
                <w:rFonts w:ascii="宋体" w:hAnsi="宋体"/>
                <w:color w:val="auto"/>
                <w:szCs w:val="21"/>
                <w:highlight w:val="none"/>
              </w:rPr>
            </w:pPr>
            <w:r>
              <w:rPr>
                <w:rFonts w:hint="eastAsia" w:ascii="宋体" w:hAnsi="宋体"/>
                <w:color w:val="auto"/>
                <w:szCs w:val="21"/>
                <w:highlight w:val="none"/>
              </w:rPr>
              <w:t>12</w:t>
            </w:r>
          </w:p>
        </w:tc>
        <w:tc>
          <w:tcPr>
            <w:tcW w:w="1647" w:type="dxa"/>
            <w:tcBorders>
              <w:top w:val="single" w:color="auto" w:sz="4" w:space="0"/>
              <w:left w:val="single" w:color="auto" w:sz="4" w:space="0"/>
              <w:bottom w:val="single" w:color="auto" w:sz="4" w:space="0"/>
              <w:right w:val="single" w:color="auto" w:sz="4" w:space="0"/>
            </w:tcBorders>
            <w:vAlign w:val="center"/>
          </w:tcPr>
          <w:p w14:paraId="5CDAA27A">
            <w:pPr>
              <w:spacing w:line="400" w:lineRule="exact"/>
              <w:jc w:val="center"/>
              <w:rPr>
                <w:rFonts w:ascii="宋体" w:hAnsi="宋体"/>
                <w:color w:val="auto"/>
                <w:szCs w:val="21"/>
                <w:highlight w:val="none"/>
              </w:rPr>
            </w:pPr>
            <w:r>
              <w:rPr>
                <w:rFonts w:hint="eastAsia" w:ascii="宋体" w:hAnsi="宋体"/>
                <w:color w:val="auto"/>
                <w:szCs w:val="21"/>
                <w:highlight w:val="none"/>
              </w:rPr>
              <w:t>软件和信息技术服务业</w:t>
            </w:r>
          </w:p>
        </w:tc>
        <w:tc>
          <w:tcPr>
            <w:tcW w:w="7378" w:type="dxa"/>
            <w:tcBorders>
              <w:top w:val="single" w:color="auto" w:sz="4" w:space="0"/>
              <w:left w:val="single" w:color="auto" w:sz="4" w:space="0"/>
              <w:bottom w:val="single" w:color="auto" w:sz="4" w:space="0"/>
              <w:right w:val="single" w:color="auto" w:sz="4" w:space="0"/>
            </w:tcBorders>
            <w:vAlign w:val="center"/>
          </w:tcPr>
          <w:p w14:paraId="48491440">
            <w:pPr>
              <w:spacing w:line="400" w:lineRule="exact"/>
              <w:rPr>
                <w:rFonts w:ascii="宋体" w:hAnsi="宋体"/>
                <w:color w:val="auto"/>
                <w:szCs w:val="21"/>
                <w:highlight w:val="none"/>
              </w:rPr>
            </w:pPr>
            <w:r>
              <w:rPr>
                <w:rFonts w:hint="eastAsia" w:ascii="宋体" w:hAnsi="宋体"/>
                <w:color w:val="auto"/>
                <w:szCs w:val="21"/>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42F5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927" w:type="dxa"/>
            <w:tcBorders>
              <w:top w:val="single" w:color="auto" w:sz="4" w:space="0"/>
              <w:left w:val="single" w:color="auto" w:sz="4" w:space="0"/>
              <w:bottom w:val="single" w:color="auto" w:sz="4" w:space="0"/>
              <w:right w:val="single" w:color="auto" w:sz="4" w:space="0"/>
            </w:tcBorders>
            <w:vAlign w:val="center"/>
          </w:tcPr>
          <w:p w14:paraId="6BFD5FEF">
            <w:pPr>
              <w:spacing w:line="400" w:lineRule="exact"/>
              <w:jc w:val="center"/>
              <w:rPr>
                <w:rFonts w:ascii="宋体" w:hAnsi="宋体"/>
                <w:color w:val="auto"/>
                <w:szCs w:val="21"/>
                <w:highlight w:val="none"/>
              </w:rPr>
            </w:pPr>
            <w:r>
              <w:rPr>
                <w:rFonts w:hint="eastAsia" w:ascii="宋体" w:hAnsi="宋体"/>
                <w:color w:val="auto"/>
                <w:szCs w:val="21"/>
                <w:highlight w:val="none"/>
              </w:rPr>
              <w:t>13</w:t>
            </w:r>
          </w:p>
        </w:tc>
        <w:tc>
          <w:tcPr>
            <w:tcW w:w="1647" w:type="dxa"/>
            <w:tcBorders>
              <w:top w:val="single" w:color="auto" w:sz="4" w:space="0"/>
              <w:left w:val="single" w:color="auto" w:sz="4" w:space="0"/>
              <w:bottom w:val="single" w:color="auto" w:sz="4" w:space="0"/>
              <w:right w:val="single" w:color="auto" w:sz="4" w:space="0"/>
            </w:tcBorders>
            <w:vAlign w:val="center"/>
          </w:tcPr>
          <w:p w14:paraId="719598E0">
            <w:pPr>
              <w:spacing w:line="400" w:lineRule="exact"/>
              <w:jc w:val="center"/>
              <w:rPr>
                <w:rFonts w:ascii="宋体" w:hAnsi="宋体"/>
                <w:color w:val="auto"/>
                <w:szCs w:val="21"/>
                <w:highlight w:val="none"/>
              </w:rPr>
            </w:pPr>
            <w:r>
              <w:rPr>
                <w:rFonts w:hint="eastAsia" w:ascii="宋体" w:hAnsi="宋体"/>
                <w:color w:val="auto"/>
                <w:szCs w:val="21"/>
                <w:highlight w:val="none"/>
              </w:rPr>
              <w:t>房地产开发经营</w:t>
            </w:r>
          </w:p>
        </w:tc>
        <w:tc>
          <w:tcPr>
            <w:tcW w:w="7378" w:type="dxa"/>
            <w:tcBorders>
              <w:top w:val="single" w:color="auto" w:sz="4" w:space="0"/>
              <w:left w:val="single" w:color="auto" w:sz="4" w:space="0"/>
              <w:bottom w:val="single" w:color="auto" w:sz="4" w:space="0"/>
              <w:right w:val="single" w:color="auto" w:sz="4" w:space="0"/>
            </w:tcBorders>
            <w:vAlign w:val="center"/>
          </w:tcPr>
          <w:p w14:paraId="2E66C8E8">
            <w:pPr>
              <w:spacing w:line="400" w:lineRule="exact"/>
              <w:rPr>
                <w:rFonts w:ascii="宋体" w:hAnsi="宋体"/>
                <w:color w:val="auto"/>
                <w:szCs w:val="21"/>
                <w:highlight w:val="none"/>
              </w:rPr>
            </w:pPr>
            <w:r>
              <w:rPr>
                <w:rFonts w:hint="eastAsia" w:ascii="宋体" w:hAnsi="宋体"/>
                <w:color w:val="auto"/>
                <w:szCs w:val="21"/>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tc>
      </w:tr>
      <w:tr w14:paraId="3809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112700CD">
            <w:pPr>
              <w:spacing w:line="400" w:lineRule="exact"/>
              <w:jc w:val="center"/>
              <w:rPr>
                <w:rFonts w:ascii="宋体" w:hAnsi="宋体"/>
                <w:color w:val="auto"/>
                <w:szCs w:val="21"/>
                <w:highlight w:val="none"/>
              </w:rPr>
            </w:pPr>
            <w:r>
              <w:rPr>
                <w:rFonts w:hint="eastAsia" w:ascii="宋体" w:hAnsi="宋体"/>
                <w:color w:val="auto"/>
                <w:szCs w:val="21"/>
                <w:highlight w:val="none"/>
              </w:rPr>
              <w:t>14</w:t>
            </w:r>
          </w:p>
        </w:tc>
        <w:tc>
          <w:tcPr>
            <w:tcW w:w="1647" w:type="dxa"/>
            <w:tcBorders>
              <w:top w:val="single" w:color="auto" w:sz="4" w:space="0"/>
              <w:left w:val="single" w:color="auto" w:sz="4" w:space="0"/>
              <w:bottom w:val="single" w:color="auto" w:sz="4" w:space="0"/>
              <w:right w:val="single" w:color="auto" w:sz="4" w:space="0"/>
            </w:tcBorders>
            <w:vAlign w:val="center"/>
          </w:tcPr>
          <w:p w14:paraId="6A37527C">
            <w:pPr>
              <w:spacing w:line="400" w:lineRule="exact"/>
              <w:jc w:val="center"/>
              <w:rPr>
                <w:rFonts w:ascii="宋体" w:hAnsi="宋体"/>
                <w:color w:val="auto"/>
                <w:szCs w:val="21"/>
                <w:highlight w:val="none"/>
              </w:rPr>
            </w:pPr>
            <w:r>
              <w:rPr>
                <w:rFonts w:hint="eastAsia" w:ascii="宋体" w:hAnsi="宋体"/>
                <w:color w:val="auto"/>
                <w:szCs w:val="21"/>
                <w:highlight w:val="none"/>
              </w:rPr>
              <w:t>物业管理</w:t>
            </w:r>
          </w:p>
        </w:tc>
        <w:tc>
          <w:tcPr>
            <w:tcW w:w="7378" w:type="dxa"/>
            <w:tcBorders>
              <w:top w:val="single" w:color="auto" w:sz="4" w:space="0"/>
              <w:left w:val="single" w:color="auto" w:sz="4" w:space="0"/>
              <w:bottom w:val="single" w:color="auto" w:sz="4" w:space="0"/>
              <w:right w:val="single" w:color="auto" w:sz="4" w:space="0"/>
            </w:tcBorders>
            <w:vAlign w:val="center"/>
          </w:tcPr>
          <w:p w14:paraId="6CBE9B78">
            <w:pPr>
              <w:spacing w:line="400" w:lineRule="exact"/>
              <w:rPr>
                <w:rFonts w:ascii="宋体" w:hAnsi="宋体"/>
                <w:color w:val="auto"/>
                <w:szCs w:val="21"/>
                <w:highlight w:val="none"/>
              </w:rPr>
            </w:pPr>
            <w:r>
              <w:rPr>
                <w:rFonts w:hint="eastAsia" w:ascii="宋体" w:hAnsi="宋体"/>
                <w:color w:val="auto"/>
                <w:szCs w:val="21"/>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14:paraId="3CCC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27" w:type="dxa"/>
            <w:tcBorders>
              <w:top w:val="single" w:color="auto" w:sz="4" w:space="0"/>
              <w:left w:val="single" w:color="auto" w:sz="4" w:space="0"/>
              <w:bottom w:val="single" w:color="auto" w:sz="4" w:space="0"/>
              <w:right w:val="single" w:color="auto" w:sz="4" w:space="0"/>
            </w:tcBorders>
            <w:vAlign w:val="center"/>
          </w:tcPr>
          <w:p w14:paraId="7C5A3AEF">
            <w:pPr>
              <w:spacing w:line="400" w:lineRule="exact"/>
              <w:jc w:val="center"/>
              <w:rPr>
                <w:rFonts w:ascii="宋体" w:hAnsi="宋体"/>
                <w:color w:val="auto"/>
                <w:szCs w:val="21"/>
                <w:highlight w:val="none"/>
              </w:rPr>
            </w:pPr>
            <w:r>
              <w:rPr>
                <w:rFonts w:hint="eastAsia" w:ascii="宋体" w:hAnsi="宋体"/>
                <w:color w:val="auto"/>
                <w:szCs w:val="21"/>
                <w:highlight w:val="none"/>
              </w:rPr>
              <w:t>15</w:t>
            </w:r>
          </w:p>
        </w:tc>
        <w:tc>
          <w:tcPr>
            <w:tcW w:w="1647" w:type="dxa"/>
            <w:tcBorders>
              <w:top w:val="single" w:color="auto" w:sz="4" w:space="0"/>
              <w:left w:val="single" w:color="auto" w:sz="4" w:space="0"/>
              <w:bottom w:val="single" w:color="auto" w:sz="4" w:space="0"/>
              <w:right w:val="single" w:color="auto" w:sz="4" w:space="0"/>
            </w:tcBorders>
            <w:vAlign w:val="center"/>
          </w:tcPr>
          <w:p w14:paraId="112EA2D6">
            <w:pPr>
              <w:spacing w:line="400" w:lineRule="exact"/>
              <w:jc w:val="center"/>
              <w:rPr>
                <w:rFonts w:ascii="宋体" w:hAnsi="宋体"/>
                <w:color w:val="auto"/>
                <w:spacing w:val="-10"/>
                <w:szCs w:val="21"/>
                <w:highlight w:val="none"/>
              </w:rPr>
            </w:pPr>
            <w:r>
              <w:rPr>
                <w:rFonts w:hint="eastAsia" w:ascii="宋体" w:hAnsi="宋体"/>
                <w:color w:val="auto"/>
                <w:spacing w:val="-10"/>
                <w:szCs w:val="21"/>
                <w:highlight w:val="none"/>
              </w:rPr>
              <w:t>租赁和商务服务业</w:t>
            </w:r>
          </w:p>
        </w:tc>
        <w:tc>
          <w:tcPr>
            <w:tcW w:w="7378" w:type="dxa"/>
            <w:tcBorders>
              <w:top w:val="single" w:color="auto" w:sz="4" w:space="0"/>
              <w:left w:val="single" w:color="auto" w:sz="4" w:space="0"/>
              <w:bottom w:val="single" w:color="auto" w:sz="4" w:space="0"/>
              <w:right w:val="single" w:color="auto" w:sz="4" w:space="0"/>
            </w:tcBorders>
            <w:vAlign w:val="center"/>
          </w:tcPr>
          <w:p w14:paraId="57123776">
            <w:pPr>
              <w:spacing w:line="400" w:lineRule="exact"/>
              <w:rPr>
                <w:rFonts w:ascii="宋体" w:hAnsi="宋体"/>
                <w:color w:val="auto"/>
                <w:szCs w:val="21"/>
                <w:highlight w:val="none"/>
              </w:rPr>
            </w:pPr>
            <w:r>
              <w:rPr>
                <w:rFonts w:hint="eastAsia" w:ascii="宋体" w:hAnsi="宋体"/>
                <w:color w:val="auto"/>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397F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27" w:type="dxa"/>
            <w:tcBorders>
              <w:top w:val="single" w:color="auto" w:sz="4" w:space="0"/>
              <w:left w:val="single" w:color="auto" w:sz="4" w:space="0"/>
              <w:bottom w:val="single" w:color="auto" w:sz="4" w:space="0"/>
              <w:right w:val="single" w:color="auto" w:sz="4" w:space="0"/>
            </w:tcBorders>
            <w:vAlign w:val="center"/>
          </w:tcPr>
          <w:p w14:paraId="2C97B10C">
            <w:pPr>
              <w:spacing w:line="400" w:lineRule="exact"/>
              <w:jc w:val="center"/>
              <w:rPr>
                <w:rFonts w:ascii="宋体" w:hAnsi="宋体"/>
                <w:color w:val="auto"/>
                <w:szCs w:val="21"/>
                <w:highlight w:val="none"/>
              </w:rPr>
            </w:pPr>
            <w:r>
              <w:rPr>
                <w:rFonts w:hint="eastAsia" w:ascii="宋体" w:hAnsi="宋体"/>
                <w:color w:val="auto"/>
                <w:szCs w:val="21"/>
                <w:highlight w:val="none"/>
              </w:rPr>
              <w:t>16</w:t>
            </w:r>
          </w:p>
        </w:tc>
        <w:tc>
          <w:tcPr>
            <w:tcW w:w="1647" w:type="dxa"/>
            <w:tcBorders>
              <w:top w:val="single" w:color="auto" w:sz="4" w:space="0"/>
              <w:left w:val="single" w:color="auto" w:sz="4" w:space="0"/>
              <w:bottom w:val="single" w:color="auto" w:sz="4" w:space="0"/>
              <w:right w:val="single" w:color="auto" w:sz="4" w:space="0"/>
            </w:tcBorders>
            <w:vAlign w:val="center"/>
          </w:tcPr>
          <w:p w14:paraId="29F04549">
            <w:pPr>
              <w:spacing w:line="400" w:lineRule="exact"/>
              <w:jc w:val="center"/>
              <w:rPr>
                <w:rFonts w:ascii="宋体" w:hAnsi="宋体"/>
                <w:color w:val="auto"/>
                <w:szCs w:val="21"/>
                <w:highlight w:val="none"/>
              </w:rPr>
            </w:pPr>
            <w:r>
              <w:rPr>
                <w:rFonts w:hint="eastAsia" w:ascii="宋体" w:hAnsi="宋体"/>
                <w:color w:val="auto"/>
                <w:szCs w:val="21"/>
                <w:highlight w:val="none"/>
              </w:rPr>
              <w:t>其他未列明行业</w:t>
            </w:r>
          </w:p>
        </w:tc>
        <w:tc>
          <w:tcPr>
            <w:tcW w:w="7378" w:type="dxa"/>
            <w:tcBorders>
              <w:top w:val="single" w:color="auto" w:sz="4" w:space="0"/>
              <w:left w:val="single" w:color="auto" w:sz="4" w:space="0"/>
              <w:bottom w:val="single" w:color="auto" w:sz="4" w:space="0"/>
              <w:right w:val="single" w:color="auto" w:sz="4" w:space="0"/>
            </w:tcBorders>
            <w:vAlign w:val="center"/>
          </w:tcPr>
          <w:p w14:paraId="4BA18992">
            <w:pPr>
              <w:spacing w:line="400" w:lineRule="exact"/>
              <w:rPr>
                <w:rFonts w:ascii="宋体" w:hAnsi="宋体"/>
                <w:color w:val="auto"/>
                <w:szCs w:val="21"/>
                <w:highlight w:val="none"/>
              </w:rPr>
            </w:pPr>
            <w:r>
              <w:rPr>
                <w:rFonts w:hint="eastAsia" w:ascii="宋体" w:hAnsi="宋体"/>
                <w:color w:val="auto"/>
                <w:szCs w:val="21"/>
                <w:highlight w:val="none"/>
              </w:rPr>
              <w:t>从业人员300人以下的为中小微型企业。其中，从业人员100人及以上的为中型企业；从业人员10人及以上的为小型企业；从业人员10人以下的为微型企业。</w:t>
            </w:r>
          </w:p>
        </w:tc>
      </w:tr>
    </w:tbl>
    <w:p w14:paraId="0B3B233A">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6302F61">
      <w:pPr>
        <w:spacing w:line="360" w:lineRule="auto"/>
        <w:contextualSpacing/>
        <w:jc w:val="center"/>
        <w:rPr>
          <w:rFonts w:ascii="仿宋_GB2312" w:hAnsi="仿宋_GB2312" w:eastAsia="仿宋_GB2312" w:cs="仿宋_GB2312"/>
          <w:color w:val="auto"/>
          <w:sz w:val="32"/>
          <w:szCs w:val="32"/>
          <w:highlight w:val="none"/>
        </w:rPr>
      </w:pPr>
    </w:p>
    <w:p w14:paraId="027D04A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9445B4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8987CF0">
      <w:pPr>
        <w:spacing w:line="360" w:lineRule="auto"/>
        <w:contextualSpacing/>
        <w:rPr>
          <w:rFonts w:ascii="宋体" w:hAnsi="宋体" w:cs="仿宋_GB2312"/>
          <w:color w:val="auto"/>
          <w:sz w:val="24"/>
          <w:highlight w:val="none"/>
        </w:rPr>
      </w:pPr>
    </w:p>
    <w:p w14:paraId="461EAE3B">
      <w:pPr>
        <w:spacing w:line="360" w:lineRule="auto"/>
        <w:contextualSpacing/>
        <w:rPr>
          <w:rFonts w:ascii="宋体" w:hAnsi="宋体" w:cs="仿宋_GB2312"/>
          <w:color w:val="auto"/>
          <w:sz w:val="24"/>
          <w:highlight w:val="none"/>
        </w:rPr>
      </w:pPr>
    </w:p>
    <w:p w14:paraId="699CCBDE">
      <w:pPr>
        <w:spacing w:line="360" w:lineRule="auto"/>
        <w:contextualSpacing/>
        <w:rPr>
          <w:rFonts w:ascii="宋体" w:hAnsi="宋体" w:cs="仿宋_GB2312"/>
          <w:color w:val="auto"/>
          <w:sz w:val="24"/>
          <w:highlight w:val="none"/>
        </w:rPr>
      </w:pPr>
    </w:p>
    <w:p w14:paraId="5C3EF6D2">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393D629D">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372AC1B5">
      <w:pPr>
        <w:spacing w:line="360" w:lineRule="auto"/>
        <w:contextualSpacing/>
        <w:rPr>
          <w:rFonts w:ascii="宋体" w:hAnsi="宋体" w:cs="仿宋_GB2312"/>
          <w:color w:val="auto"/>
          <w:sz w:val="24"/>
          <w:highlight w:val="none"/>
        </w:rPr>
      </w:pPr>
    </w:p>
    <w:p w14:paraId="661FAD1A">
      <w:pPr>
        <w:spacing w:line="360" w:lineRule="auto"/>
        <w:contextualSpacing/>
        <w:rPr>
          <w:rFonts w:ascii="宋体" w:hAnsi="宋体" w:cs="仿宋_GB2312"/>
          <w:color w:val="auto"/>
          <w:sz w:val="24"/>
          <w:highlight w:val="none"/>
        </w:rPr>
      </w:pPr>
    </w:p>
    <w:p w14:paraId="0BF1FCE3">
      <w:pPr>
        <w:spacing w:line="360" w:lineRule="auto"/>
        <w:contextualSpacing/>
        <w:rPr>
          <w:rFonts w:ascii="宋体" w:hAnsi="宋体" w:cs="仿宋_GB2312"/>
          <w:color w:val="auto"/>
          <w:sz w:val="24"/>
          <w:highlight w:val="none"/>
        </w:rPr>
      </w:pPr>
    </w:p>
    <w:p w14:paraId="280801B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26362E9">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2CACD381">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3BA57B67">
      <w:pPr>
        <w:pStyle w:val="1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BD6EAE7">
      <w:pPr>
        <w:pStyle w:val="17"/>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A30860">
      <w:pPr>
        <w:pStyle w:val="1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BDF5EF5">
      <w:pPr>
        <w:pStyle w:val="1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C17D7BC">
      <w:pPr>
        <w:pStyle w:val="17"/>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317B1A1">
      <w:pPr>
        <w:pStyle w:val="17"/>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A07E7D4">
      <w:pPr>
        <w:pStyle w:val="1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4D76C08">
      <w:pPr>
        <w:pStyle w:val="1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4A3B9A46">
      <w:pPr>
        <w:pStyle w:val="1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88805DD">
      <w:pPr>
        <w:pStyle w:val="1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BAEEAA5">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D3A5467">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3B100850">
      <w:pPr>
        <w:pStyle w:val="1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267F1284">
      <w:pPr>
        <w:pStyle w:val="1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C54CB73">
      <w:pPr>
        <w:pStyle w:val="17"/>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3BED925F">
      <w:pPr>
        <w:pStyle w:val="17"/>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401A0609">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BD4FF57">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C279858">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F155153">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282F4BE1">
      <w:pPr>
        <w:pStyle w:val="17"/>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4D71CF06">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4C2D4067">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8F9B4AE">
      <w:pPr>
        <w:pStyle w:val="17"/>
        <w:spacing w:line="360" w:lineRule="auto"/>
        <w:ind w:left="25" w:leftChars="12" w:firstLine="352" w:firstLineChars="147"/>
        <w:contextualSpacing/>
        <w:rPr>
          <w:rFonts w:hAnsi="宋体"/>
          <w:color w:val="auto"/>
          <w:sz w:val="24"/>
          <w:szCs w:val="24"/>
          <w:highlight w:val="none"/>
        </w:rPr>
      </w:pPr>
    </w:p>
    <w:p w14:paraId="12AE2C34">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A607880">
      <w:pPr>
        <w:pStyle w:val="17"/>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2D958830">
      <w:pPr>
        <w:pStyle w:val="17"/>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6CCBA4B0">
      <w:pPr>
        <w:pStyle w:val="17"/>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01DD07E">
      <w:pPr>
        <w:pStyle w:val="1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B6227D">
      <w:pPr>
        <w:pStyle w:val="1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CCBCA37">
      <w:pPr>
        <w:pStyle w:val="1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B163393">
      <w:pPr>
        <w:pStyle w:val="17"/>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93C9CEB">
      <w:pPr>
        <w:pStyle w:val="17"/>
        <w:snapToGrid w:val="0"/>
        <w:rPr>
          <w:b/>
          <w:color w:val="auto"/>
          <w:sz w:val="24"/>
          <w:szCs w:val="24"/>
          <w:highlight w:val="none"/>
        </w:rPr>
      </w:pPr>
    </w:p>
    <w:p w14:paraId="6FF52C33">
      <w:pPr>
        <w:rPr>
          <w:color w:val="auto"/>
          <w:sz w:val="32"/>
          <w:szCs w:val="40"/>
          <w:highlight w:val="none"/>
        </w:rPr>
      </w:pPr>
    </w:p>
    <w:p w14:paraId="007CA169">
      <w:pPr>
        <w:rPr>
          <w:color w:val="auto"/>
          <w:sz w:val="32"/>
          <w:szCs w:val="40"/>
          <w:highlight w:val="none"/>
        </w:rPr>
      </w:pPr>
    </w:p>
    <w:p w14:paraId="446CDF1D">
      <w:pPr>
        <w:rPr>
          <w:color w:val="auto"/>
          <w:sz w:val="32"/>
          <w:szCs w:val="40"/>
          <w:highlight w:val="none"/>
        </w:rPr>
      </w:pPr>
    </w:p>
    <w:p w14:paraId="4E6C56A1">
      <w:pPr>
        <w:rPr>
          <w:color w:val="auto"/>
          <w:sz w:val="32"/>
          <w:szCs w:val="40"/>
          <w:highlight w:val="none"/>
        </w:rPr>
      </w:pPr>
    </w:p>
    <w:p w14:paraId="5C38A1B4">
      <w:pPr>
        <w:rPr>
          <w:color w:val="auto"/>
          <w:sz w:val="32"/>
          <w:szCs w:val="40"/>
          <w:highlight w:val="none"/>
        </w:rPr>
      </w:pPr>
    </w:p>
    <w:p w14:paraId="33A57EC9">
      <w:pPr>
        <w:rPr>
          <w:color w:val="auto"/>
          <w:sz w:val="32"/>
          <w:szCs w:val="40"/>
          <w:highlight w:val="none"/>
        </w:rPr>
      </w:pPr>
    </w:p>
    <w:p w14:paraId="1CCDE7B4">
      <w:pPr>
        <w:rPr>
          <w:color w:val="auto"/>
          <w:sz w:val="32"/>
          <w:szCs w:val="40"/>
          <w:highlight w:val="none"/>
        </w:rPr>
      </w:pPr>
    </w:p>
    <w:p w14:paraId="0EB19011">
      <w:pPr>
        <w:rPr>
          <w:color w:val="auto"/>
          <w:sz w:val="32"/>
          <w:szCs w:val="40"/>
          <w:highlight w:val="none"/>
        </w:rPr>
      </w:pPr>
    </w:p>
    <w:p w14:paraId="1A0C2C53">
      <w:pPr>
        <w:rPr>
          <w:color w:val="auto"/>
          <w:sz w:val="32"/>
          <w:szCs w:val="40"/>
          <w:highlight w:val="none"/>
        </w:rPr>
      </w:pPr>
    </w:p>
    <w:p w14:paraId="7A962514">
      <w:pPr>
        <w:rPr>
          <w:color w:val="auto"/>
          <w:sz w:val="32"/>
          <w:szCs w:val="40"/>
          <w:highlight w:val="none"/>
        </w:rPr>
      </w:pPr>
    </w:p>
    <w:p w14:paraId="3EB0904A">
      <w:pPr>
        <w:rPr>
          <w:color w:val="auto"/>
          <w:sz w:val="32"/>
          <w:szCs w:val="40"/>
          <w:highlight w:val="none"/>
        </w:rPr>
      </w:pPr>
    </w:p>
    <w:p w14:paraId="3CE2A134">
      <w:pPr>
        <w:rPr>
          <w:color w:val="auto"/>
          <w:sz w:val="32"/>
          <w:szCs w:val="40"/>
          <w:highlight w:val="none"/>
        </w:rPr>
      </w:pPr>
    </w:p>
    <w:p w14:paraId="77351CC7">
      <w:pPr>
        <w:rPr>
          <w:color w:val="auto"/>
          <w:sz w:val="32"/>
          <w:szCs w:val="40"/>
          <w:highlight w:val="none"/>
        </w:rPr>
      </w:pPr>
    </w:p>
    <w:p w14:paraId="7E202CB7">
      <w:pPr>
        <w:pStyle w:val="20"/>
        <w:rPr>
          <w:color w:val="auto"/>
          <w:sz w:val="32"/>
          <w:szCs w:val="40"/>
          <w:highlight w:val="none"/>
        </w:rPr>
      </w:pPr>
    </w:p>
    <w:p w14:paraId="6AC356F7">
      <w:pPr>
        <w:rPr>
          <w:color w:val="auto"/>
          <w:sz w:val="32"/>
          <w:szCs w:val="40"/>
          <w:highlight w:val="none"/>
        </w:rPr>
      </w:pPr>
    </w:p>
    <w:p w14:paraId="3E5C4CE6">
      <w:pPr>
        <w:pStyle w:val="20"/>
        <w:rPr>
          <w:color w:val="auto"/>
          <w:highlight w:val="none"/>
        </w:rPr>
      </w:pPr>
    </w:p>
    <w:p w14:paraId="17E1375D">
      <w:pPr>
        <w:pStyle w:val="20"/>
        <w:rPr>
          <w:color w:val="auto"/>
          <w:highlight w:val="none"/>
        </w:rPr>
      </w:pPr>
    </w:p>
    <w:p w14:paraId="4D928AEA">
      <w:pPr>
        <w:pStyle w:val="20"/>
        <w:rPr>
          <w:color w:val="auto"/>
          <w:highlight w:val="none"/>
        </w:rPr>
      </w:pPr>
    </w:p>
    <w:p w14:paraId="5BDBCF41">
      <w:pPr>
        <w:pStyle w:val="20"/>
        <w:rPr>
          <w:color w:val="auto"/>
          <w:highlight w:val="none"/>
        </w:rPr>
      </w:pPr>
    </w:p>
    <w:p w14:paraId="05E48334">
      <w:pPr>
        <w:pStyle w:val="20"/>
        <w:rPr>
          <w:color w:val="auto"/>
          <w:highlight w:val="none"/>
        </w:rPr>
      </w:pPr>
    </w:p>
    <w:p w14:paraId="4B1D6873">
      <w:pPr>
        <w:pStyle w:val="20"/>
        <w:rPr>
          <w:color w:val="auto"/>
          <w:highlight w:val="none"/>
        </w:rPr>
      </w:pPr>
    </w:p>
    <w:p w14:paraId="4AE2AEAC">
      <w:pPr>
        <w:pStyle w:val="20"/>
        <w:rPr>
          <w:color w:val="auto"/>
          <w:highlight w:val="none"/>
        </w:rPr>
      </w:pPr>
    </w:p>
    <w:p w14:paraId="2B5B8FD3">
      <w:pPr>
        <w:pStyle w:val="20"/>
        <w:rPr>
          <w:color w:val="auto"/>
          <w:highlight w:val="none"/>
        </w:rPr>
      </w:pPr>
    </w:p>
    <w:p w14:paraId="1CBF16FB">
      <w:pPr>
        <w:pStyle w:val="20"/>
        <w:rPr>
          <w:color w:val="auto"/>
          <w:highlight w:val="none"/>
        </w:rPr>
      </w:pPr>
    </w:p>
    <w:p w14:paraId="59AD7D30">
      <w:pPr>
        <w:pStyle w:val="20"/>
        <w:rPr>
          <w:color w:val="auto"/>
          <w:highlight w:val="none"/>
        </w:rPr>
      </w:pPr>
    </w:p>
    <w:p w14:paraId="4B374FA8">
      <w:pPr>
        <w:pStyle w:val="20"/>
        <w:rPr>
          <w:color w:val="auto"/>
          <w:highlight w:val="none"/>
        </w:rPr>
      </w:pPr>
    </w:p>
    <w:p w14:paraId="23B777C7">
      <w:pPr>
        <w:rPr>
          <w:color w:val="auto"/>
          <w:sz w:val="32"/>
          <w:szCs w:val="40"/>
          <w:highlight w:val="none"/>
        </w:rPr>
      </w:pPr>
    </w:p>
    <w:p w14:paraId="1A59D354">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0F82D02">
      <w:pPr>
        <w:pStyle w:val="1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E734723">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A2F31F8">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D2BA3F2">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C530663">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EE95D23">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8805CAA">
      <w:pPr>
        <w:pStyle w:val="17"/>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2B75DEF">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44B24B">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533B8F66">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5DE311F">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9B9212">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7C2063D">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32E060B0">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5AE9208">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E77D539">
      <w:pPr>
        <w:pStyle w:val="17"/>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6BAF89">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F961E2">
      <w:pPr>
        <w:pStyle w:val="1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67F73AE9">
      <w:pPr>
        <w:pStyle w:val="1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07D1833">
      <w:pPr>
        <w:pStyle w:val="1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06203A2">
      <w:pPr>
        <w:pStyle w:val="1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4F76011">
      <w:pPr>
        <w:pStyle w:val="1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8B14D31">
      <w:pPr>
        <w:pStyle w:val="17"/>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880C4E2">
      <w:pPr>
        <w:pStyle w:val="1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2209D30">
      <w:pPr>
        <w:pStyle w:val="1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12976548">
      <w:pPr>
        <w:pStyle w:val="17"/>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1F5BA37">
      <w:pPr>
        <w:pStyle w:val="17"/>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2BB2F6F">
      <w:pPr>
        <w:pStyle w:val="17"/>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0065CEF">
      <w:pPr>
        <w:pStyle w:val="17"/>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5FA4FAD">
      <w:pPr>
        <w:pStyle w:val="1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BF5A60D">
      <w:pPr>
        <w:pStyle w:val="1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E7FEB4D">
      <w:pPr>
        <w:pStyle w:val="1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E389D9F">
      <w:pPr>
        <w:pStyle w:val="1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C18398E">
      <w:pPr>
        <w:pStyle w:val="1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A6B712D">
      <w:pPr>
        <w:pStyle w:val="17"/>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15346BE">
      <w:pPr>
        <w:pStyle w:val="17"/>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05C33A1">
      <w:pPr>
        <w:pStyle w:val="17"/>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15C5CBD6">
      <w:pPr>
        <w:pStyle w:val="1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4A969F32">
      <w:pPr>
        <w:pStyle w:val="1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E8E4DF5">
      <w:pPr>
        <w:pStyle w:val="17"/>
        <w:spacing w:line="360" w:lineRule="auto"/>
        <w:ind w:left="25" w:leftChars="12" w:firstLine="352" w:firstLineChars="147"/>
        <w:rPr>
          <w:rFonts w:hAnsi="宋体"/>
          <w:color w:val="auto"/>
          <w:sz w:val="24"/>
          <w:szCs w:val="24"/>
          <w:highlight w:val="none"/>
        </w:rPr>
      </w:pPr>
    </w:p>
    <w:p w14:paraId="70396093">
      <w:pPr>
        <w:pStyle w:val="1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2485EEA4">
      <w:pPr>
        <w:pStyle w:val="17"/>
        <w:spacing w:line="360" w:lineRule="auto"/>
        <w:ind w:left="25" w:leftChars="12" w:firstLine="352" w:firstLineChars="147"/>
        <w:rPr>
          <w:rFonts w:hAnsi="宋体"/>
          <w:color w:val="auto"/>
          <w:sz w:val="24"/>
          <w:szCs w:val="24"/>
          <w:highlight w:val="none"/>
        </w:rPr>
      </w:pPr>
    </w:p>
    <w:p w14:paraId="0DA2DA92">
      <w:pPr>
        <w:pStyle w:val="1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5FF515DB">
      <w:pPr>
        <w:pStyle w:val="1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34E05E9E">
      <w:pPr>
        <w:pStyle w:val="17"/>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7E7E9BA0">
      <w:pPr>
        <w:pStyle w:val="17"/>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1A5A8C2">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FE508B">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C1EE80D">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8418617">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259C8D24">
      <w:pPr>
        <w:pStyle w:val="17"/>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81DDF80">
      <w:pPr>
        <w:pStyle w:val="3"/>
        <w:jc w:val="center"/>
        <w:rPr>
          <w:color w:val="auto"/>
          <w:highlight w:val="none"/>
        </w:rPr>
      </w:pPr>
      <w:bookmarkStart w:id="179" w:name="_Toc74323461"/>
    </w:p>
    <w:p w14:paraId="0E853D4C">
      <w:pPr>
        <w:rPr>
          <w:color w:val="auto"/>
          <w:highlight w:val="none"/>
        </w:rPr>
      </w:pPr>
    </w:p>
    <w:p w14:paraId="7C7CF121">
      <w:pPr>
        <w:pStyle w:val="20"/>
        <w:rPr>
          <w:color w:val="auto"/>
          <w:highlight w:val="none"/>
        </w:rPr>
      </w:pPr>
    </w:p>
    <w:p w14:paraId="5D5BBA9D">
      <w:pPr>
        <w:pStyle w:val="20"/>
        <w:rPr>
          <w:color w:val="auto"/>
          <w:highlight w:val="none"/>
        </w:rPr>
      </w:pPr>
    </w:p>
    <w:p w14:paraId="7CF99FA2">
      <w:pPr>
        <w:pStyle w:val="20"/>
        <w:rPr>
          <w:color w:val="auto"/>
          <w:highlight w:val="none"/>
        </w:rPr>
      </w:pPr>
    </w:p>
    <w:p w14:paraId="5287101B">
      <w:pPr>
        <w:pStyle w:val="20"/>
        <w:rPr>
          <w:color w:val="auto"/>
          <w:highlight w:val="none"/>
        </w:rPr>
      </w:pPr>
    </w:p>
    <w:p w14:paraId="33F3C09E">
      <w:pPr>
        <w:pStyle w:val="20"/>
        <w:rPr>
          <w:color w:val="auto"/>
          <w:highlight w:val="none"/>
        </w:rPr>
      </w:pPr>
    </w:p>
    <w:p w14:paraId="115510B8">
      <w:pPr>
        <w:pStyle w:val="20"/>
        <w:rPr>
          <w:color w:val="auto"/>
          <w:highlight w:val="none"/>
        </w:rPr>
      </w:pPr>
    </w:p>
    <w:p w14:paraId="5305F575">
      <w:pPr>
        <w:pStyle w:val="20"/>
        <w:rPr>
          <w:color w:val="auto"/>
          <w:highlight w:val="none"/>
        </w:rPr>
      </w:pPr>
    </w:p>
    <w:p w14:paraId="097852AD">
      <w:pPr>
        <w:pStyle w:val="20"/>
        <w:rPr>
          <w:color w:val="auto"/>
          <w:highlight w:val="none"/>
        </w:rPr>
      </w:pPr>
    </w:p>
    <w:p w14:paraId="1B63170C">
      <w:pPr>
        <w:pStyle w:val="20"/>
        <w:rPr>
          <w:color w:val="auto"/>
          <w:highlight w:val="none"/>
        </w:rPr>
      </w:pPr>
    </w:p>
    <w:p w14:paraId="0B983799">
      <w:pPr>
        <w:pStyle w:val="20"/>
        <w:rPr>
          <w:color w:val="auto"/>
          <w:highlight w:val="none"/>
        </w:rPr>
      </w:pPr>
    </w:p>
    <w:p w14:paraId="72769679">
      <w:pPr>
        <w:pStyle w:val="20"/>
        <w:rPr>
          <w:color w:val="auto"/>
          <w:highlight w:val="none"/>
        </w:rPr>
      </w:pPr>
    </w:p>
    <w:p w14:paraId="216CA685">
      <w:pPr>
        <w:pStyle w:val="20"/>
        <w:rPr>
          <w:color w:val="auto"/>
          <w:highlight w:val="none"/>
        </w:rPr>
      </w:pPr>
    </w:p>
    <w:p w14:paraId="1025C9ED">
      <w:pPr>
        <w:pStyle w:val="20"/>
        <w:rPr>
          <w:color w:val="auto"/>
          <w:highlight w:val="none"/>
        </w:rPr>
      </w:pPr>
    </w:p>
    <w:p w14:paraId="73006A13">
      <w:pPr>
        <w:pStyle w:val="20"/>
        <w:rPr>
          <w:color w:val="auto"/>
          <w:highlight w:val="none"/>
        </w:rPr>
      </w:pPr>
    </w:p>
    <w:p w14:paraId="50EA608E">
      <w:pPr>
        <w:pStyle w:val="20"/>
        <w:rPr>
          <w:color w:val="auto"/>
          <w:highlight w:val="none"/>
        </w:rPr>
      </w:pPr>
    </w:p>
    <w:p w14:paraId="1D6DAF0C">
      <w:pPr>
        <w:pStyle w:val="20"/>
        <w:rPr>
          <w:color w:val="auto"/>
          <w:highlight w:val="none"/>
        </w:rPr>
      </w:pPr>
    </w:p>
    <w:p w14:paraId="79D02A88">
      <w:pPr>
        <w:pStyle w:val="20"/>
        <w:rPr>
          <w:color w:val="auto"/>
          <w:highlight w:val="none"/>
        </w:rPr>
      </w:pPr>
    </w:p>
    <w:p w14:paraId="71C9B1C3">
      <w:pPr>
        <w:pStyle w:val="20"/>
        <w:rPr>
          <w:color w:val="auto"/>
          <w:highlight w:val="none"/>
        </w:rPr>
      </w:pPr>
    </w:p>
    <w:p w14:paraId="146F82DA">
      <w:pPr>
        <w:pStyle w:val="20"/>
        <w:rPr>
          <w:color w:val="auto"/>
          <w:highlight w:val="none"/>
        </w:rPr>
      </w:pPr>
    </w:p>
    <w:p w14:paraId="1841A192">
      <w:pPr>
        <w:pStyle w:val="20"/>
        <w:rPr>
          <w:color w:val="auto"/>
          <w:highlight w:val="none"/>
        </w:rPr>
      </w:pPr>
    </w:p>
    <w:p w14:paraId="77984F1F">
      <w:pPr>
        <w:pStyle w:val="20"/>
        <w:rPr>
          <w:color w:val="auto"/>
          <w:highlight w:val="none"/>
        </w:rPr>
      </w:pPr>
    </w:p>
    <w:p w14:paraId="7C701FA3">
      <w:pPr>
        <w:pStyle w:val="20"/>
        <w:rPr>
          <w:color w:val="auto"/>
          <w:highlight w:val="none"/>
        </w:rPr>
      </w:pPr>
    </w:p>
    <w:p w14:paraId="6432E845">
      <w:pPr>
        <w:pStyle w:val="20"/>
        <w:rPr>
          <w:color w:val="auto"/>
          <w:highlight w:val="none"/>
        </w:rPr>
      </w:pPr>
    </w:p>
    <w:p w14:paraId="2B3FB955">
      <w:pPr>
        <w:pStyle w:val="20"/>
        <w:rPr>
          <w:color w:val="auto"/>
          <w:highlight w:val="none"/>
        </w:rPr>
      </w:pPr>
    </w:p>
    <w:p w14:paraId="3D551E0D">
      <w:pPr>
        <w:pStyle w:val="20"/>
        <w:rPr>
          <w:color w:val="auto"/>
          <w:highlight w:val="none"/>
        </w:rPr>
      </w:pPr>
    </w:p>
    <w:p w14:paraId="6788402B">
      <w:pPr>
        <w:pStyle w:val="20"/>
        <w:rPr>
          <w:color w:val="auto"/>
          <w:highlight w:val="none"/>
        </w:rPr>
      </w:pPr>
    </w:p>
    <w:p w14:paraId="38744460">
      <w:pPr>
        <w:pStyle w:val="20"/>
        <w:rPr>
          <w:color w:val="auto"/>
          <w:highlight w:val="none"/>
        </w:rPr>
      </w:pPr>
    </w:p>
    <w:p w14:paraId="385CB530">
      <w:pPr>
        <w:pStyle w:val="20"/>
        <w:rPr>
          <w:color w:val="auto"/>
          <w:highlight w:val="none"/>
        </w:rPr>
      </w:pPr>
    </w:p>
    <w:p w14:paraId="7D6572D5">
      <w:pPr>
        <w:pStyle w:val="20"/>
        <w:rPr>
          <w:color w:val="auto"/>
          <w:highlight w:val="none"/>
        </w:rPr>
      </w:pPr>
    </w:p>
    <w:p w14:paraId="4DEF58DB">
      <w:pPr>
        <w:pStyle w:val="20"/>
        <w:rPr>
          <w:color w:val="auto"/>
          <w:highlight w:val="none"/>
        </w:rPr>
      </w:pPr>
    </w:p>
    <w:p w14:paraId="49865D90">
      <w:pPr>
        <w:pStyle w:val="20"/>
        <w:rPr>
          <w:color w:val="auto"/>
          <w:highlight w:val="none"/>
        </w:rPr>
      </w:pPr>
    </w:p>
    <w:p w14:paraId="2B7F9472">
      <w:pPr>
        <w:pStyle w:val="20"/>
        <w:rPr>
          <w:color w:val="auto"/>
          <w:highlight w:val="none"/>
        </w:rPr>
      </w:pPr>
    </w:p>
    <w:p w14:paraId="5E6A16E7">
      <w:pPr>
        <w:pStyle w:val="20"/>
        <w:rPr>
          <w:color w:val="auto"/>
          <w:highlight w:val="none"/>
        </w:rPr>
      </w:pPr>
    </w:p>
    <w:p w14:paraId="581A009E">
      <w:pPr>
        <w:pStyle w:val="20"/>
        <w:rPr>
          <w:color w:val="auto"/>
          <w:highlight w:val="none"/>
        </w:rPr>
      </w:pPr>
    </w:p>
    <w:p w14:paraId="7BF40D63">
      <w:pPr>
        <w:pStyle w:val="20"/>
        <w:rPr>
          <w:color w:val="auto"/>
          <w:highlight w:val="none"/>
        </w:rPr>
      </w:pPr>
    </w:p>
    <w:p w14:paraId="441B09F4">
      <w:pPr>
        <w:pStyle w:val="20"/>
        <w:rPr>
          <w:color w:val="auto"/>
          <w:highlight w:val="none"/>
        </w:rPr>
      </w:pPr>
    </w:p>
    <w:p w14:paraId="36561AA1">
      <w:pPr>
        <w:pStyle w:val="20"/>
        <w:rPr>
          <w:color w:val="auto"/>
          <w:highlight w:val="none"/>
        </w:rPr>
      </w:pPr>
    </w:p>
    <w:p w14:paraId="0325982C">
      <w:pPr>
        <w:pStyle w:val="20"/>
        <w:rPr>
          <w:color w:val="auto"/>
          <w:highlight w:val="none"/>
        </w:rPr>
      </w:pPr>
    </w:p>
    <w:p w14:paraId="1AA9CA27">
      <w:pPr>
        <w:pStyle w:val="20"/>
        <w:rPr>
          <w:color w:val="auto"/>
          <w:highlight w:val="none"/>
        </w:rPr>
      </w:pPr>
    </w:p>
    <w:p w14:paraId="76ED9FED">
      <w:pPr>
        <w:pStyle w:val="20"/>
        <w:rPr>
          <w:color w:val="auto"/>
          <w:highlight w:val="none"/>
        </w:rPr>
      </w:pPr>
    </w:p>
    <w:p w14:paraId="0FE734CD">
      <w:pPr>
        <w:pStyle w:val="20"/>
        <w:rPr>
          <w:color w:val="auto"/>
          <w:highlight w:val="none"/>
        </w:rPr>
      </w:pPr>
    </w:p>
    <w:p w14:paraId="3D950C4D">
      <w:pPr>
        <w:pStyle w:val="20"/>
        <w:rPr>
          <w:color w:val="auto"/>
          <w:highlight w:val="none"/>
        </w:rPr>
      </w:pPr>
    </w:p>
    <w:p w14:paraId="36961423">
      <w:pPr>
        <w:pStyle w:val="20"/>
        <w:rPr>
          <w:color w:val="auto"/>
          <w:highlight w:val="none"/>
        </w:rPr>
      </w:pPr>
    </w:p>
    <w:p w14:paraId="77381D1F">
      <w:pPr>
        <w:pStyle w:val="20"/>
        <w:rPr>
          <w:color w:val="auto"/>
          <w:highlight w:val="none"/>
        </w:rPr>
      </w:pPr>
    </w:p>
    <w:p w14:paraId="55C4C43D">
      <w:pPr>
        <w:pStyle w:val="20"/>
        <w:rPr>
          <w:color w:val="auto"/>
          <w:highlight w:val="none"/>
        </w:rPr>
      </w:pPr>
    </w:p>
    <w:p w14:paraId="4AFB065E">
      <w:pPr>
        <w:pStyle w:val="20"/>
        <w:rPr>
          <w:color w:val="auto"/>
          <w:highlight w:val="none"/>
        </w:rPr>
      </w:pPr>
    </w:p>
    <w:p w14:paraId="15EE69A2">
      <w:pPr>
        <w:pStyle w:val="20"/>
        <w:rPr>
          <w:color w:val="auto"/>
          <w:highlight w:val="none"/>
        </w:rPr>
      </w:pPr>
    </w:p>
    <w:p w14:paraId="22A3AF5B">
      <w:pPr>
        <w:pStyle w:val="20"/>
        <w:rPr>
          <w:color w:val="auto"/>
          <w:highlight w:val="none"/>
        </w:rPr>
      </w:pPr>
    </w:p>
    <w:p w14:paraId="3C1BEF3F">
      <w:pPr>
        <w:pStyle w:val="20"/>
        <w:rPr>
          <w:color w:val="auto"/>
          <w:highlight w:val="none"/>
        </w:rPr>
      </w:pPr>
    </w:p>
    <w:p w14:paraId="6CB52026">
      <w:pPr>
        <w:pStyle w:val="20"/>
        <w:rPr>
          <w:color w:val="auto"/>
          <w:highlight w:val="none"/>
        </w:rPr>
      </w:pPr>
    </w:p>
    <w:p w14:paraId="437D68BD">
      <w:pPr>
        <w:pStyle w:val="20"/>
        <w:rPr>
          <w:color w:val="auto"/>
          <w:highlight w:val="none"/>
        </w:rPr>
      </w:pPr>
    </w:p>
    <w:p w14:paraId="671C8424">
      <w:pPr>
        <w:pStyle w:val="20"/>
        <w:rPr>
          <w:color w:val="auto"/>
          <w:highlight w:val="none"/>
        </w:rPr>
      </w:pPr>
    </w:p>
    <w:p w14:paraId="4BBBD99D">
      <w:pPr>
        <w:pStyle w:val="20"/>
        <w:rPr>
          <w:color w:val="auto"/>
          <w:highlight w:val="none"/>
        </w:rPr>
      </w:pPr>
    </w:p>
    <w:p w14:paraId="7D2E1B5C">
      <w:pPr>
        <w:pStyle w:val="20"/>
        <w:rPr>
          <w:color w:val="auto"/>
          <w:highlight w:val="none"/>
        </w:rPr>
      </w:pPr>
    </w:p>
    <w:p w14:paraId="6F87226E">
      <w:pPr>
        <w:rPr>
          <w:color w:val="auto"/>
          <w:highlight w:val="none"/>
        </w:rPr>
      </w:pPr>
    </w:p>
    <w:p w14:paraId="2EBAB75F">
      <w:pPr>
        <w:pStyle w:val="3"/>
        <w:numPr>
          <w:ilvl w:val="0"/>
          <w:numId w:val="5"/>
        </w:numPr>
        <w:jc w:val="center"/>
        <w:rPr>
          <w:color w:val="auto"/>
          <w:highlight w:val="none"/>
        </w:rPr>
      </w:pPr>
      <w:r>
        <w:rPr>
          <w:rFonts w:hint="eastAsia"/>
          <w:color w:val="auto"/>
          <w:highlight w:val="none"/>
        </w:rPr>
        <w:t>合同文本</w:t>
      </w:r>
      <w:bookmarkEnd w:id="179"/>
    </w:p>
    <w:p w14:paraId="603193E7">
      <w:pPr>
        <w:rPr>
          <w:color w:val="auto"/>
          <w:highlight w:val="none"/>
        </w:rPr>
      </w:pPr>
    </w:p>
    <w:p w14:paraId="0EB92F14">
      <w:pPr>
        <w:pStyle w:val="20"/>
        <w:rPr>
          <w:color w:val="auto"/>
          <w:highlight w:val="none"/>
        </w:rPr>
      </w:pPr>
    </w:p>
    <w:p w14:paraId="0D2F2011">
      <w:pPr>
        <w:rPr>
          <w:color w:val="auto"/>
          <w:highlight w:val="none"/>
        </w:rPr>
      </w:pPr>
    </w:p>
    <w:p w14:paraId="17C07993">
      <w:pPr>
        <w:pStyle w:val="20"/>
        <w:rPr>
          <w:color w:val="auto"/>
          <w:highlight w:val="none"/>
        </w:rPr>
      </w:pPr>
    </w:p>
    <w:p w14:paraId="32B3825C">
      <w:pPr>
        <w:rPr>
          <w:color w:val="auto"/>
          <w:highlight w:val="none"/>
        </w:rPr>
      </w:pPr>
    </w:p>
    <w:p w14:paraId="55B73947">
      <w:pPr>
        <w:pStyle w:val="20"/>
        <w:rPr>
          <w:color w:val="auto"/>
          <w:highlight w:val="none"/>
        </w:rPr>
      </w:pPr>
    </w:p>
    <w:p w14:paraId="10C321B5">
      <w:pPr>
        <w:rPr>
          <w:color w:val="auto"/>
          <w:highlight w:val="none"/>
        </w:rPr>
      </w:pPr>
    </w:p>
    <w:p w14:paraId="10BA43A8">
      <w:pPr>
        <w:pStyle w:val="20"/>
        <w:rPr>
          <w:color w:val="auto"/>
          <w:highlight w:val="none"/>
        </w:rPr>
      </w:pPr>
    </w:p>
    <w:p w14:paraId="24F57414">
      <w:pPr>
        <w:rPr>
          <w:color w:val="auto"/>
          <w:highlight w:val="none"/>
        </w:rPr>
      </w:pPr>
    </w:p>
    <w:p w14:paraId="00BFE77D">
      <w:pPr>
        <w:pStyle w:val="20"/>
        <w:rPr>
          <w:color w:val="auto"/>
          <w:highlight w:val="none"/>
        </w:rPr>
      </w:pPr>
    </w:p>
    <w:p w14:paraId="7F74C5E9">
      <w:pPr>
        <w:rPr>
          <w:color w:val="auto"/>
          <w:highlight w:val="none"/>
        </w:rPr>
      </w:pPr>
    </w:p>
    <w:p w14:paraId="74371023">
      <w:pPr>
        <w:pStyle w:val="20"/>
        <w:rPr>
          <w:color w:val="auto"/>
          <w:highlight w:val="none"/>
        </w:rPr>
      </w:pPr>
    </w:p>
    <w:p w14:paraId="1256626C">
      <w:pPr>
        <w:rPr>
          <w:color w:val="auto"/>
          <w:highlight w:val="none"/>
        </w:rPr>
      </w:pPr>
    </w:p>
    <w:p w14:paraId="7B166073">
      <w:pPr>
        <w:pStyle w:val="20"/>
        <w:rPr>
          <w:color w:val="auto"/>
          <w:highlight w:val="none"/>
        </w:rPr>
      </w:pPr>
    </w:p>
    <w:p w14:paraId="6C08D463">
      <w:pPr>
        <w:rPr>
          <w:color w:val="auto"/>
          <w:highlight w:val="none"/>
        </w:rPr>
      </w:pPr>
    </w:p>
    <w:p w14:paraId="3A3E72BA">
      <w:pPr>
        <w:pStyle w:val="20"/>
        <w:rPr>
          <w:color w:val="auto"/>
          <w:highlight w:val="none"/>
        </w:rPr>
      </w:pPr>
    </w:p>
    <w:p w14:paraId="031FF60E">
      <w:pPr>
        <w:rPr>
          <w:color w:val="auto"/>
          <w:highlight w:val="none"/>
        </w:rPr>
      </w:pPr>
    </w:p>
    <w:p w14:paraId="3F0086E1">
      <w:pPr>
        <w:pStyle w:val="20"/>
        <w:rPr>
          <w:color w:val="auto"/>
          <w:highlight w:val="none"/>
        </w:rPr>
      </w:pPr>
    </w:p>
    <w:p w14:paraId="0F1C7C69">
      <w:pPr>
        <w:rPr>
          <w:color w:val="auto"/>
          <w:highlight w:val="none"/>
        </w:rPr>
      </w:pPr>
    </w:p>
    <w:p w14:paraId="4D777267">
      <w:pPr>
        <w:pStyle w:val="20"/>
        <w:rPr>
          <w:color w:val="auto"/>
          <w:highlight w:val="none"/>
        </w:rPr>
      </w:pPr>
    </w:p>
    <w:p w14:paraId="55673B9E">
      <w:pPr>
        <w:rPr>
          <w:color w:val="auto"/>
          <w:highlight w:val="none"/>
        </w:rPr>
      </w:pPr>
    </w:p>
    <w:p w14:paraId="5259E01E">
      <w:pPr>
        <w:pStyle w:val="20"/>
        <w:rPr>
          <w:color w:val="auto"/>
          <w:highlight w:val="none"/>
        </w:rPr>
      </w:pPr>
    </w:p>
    <w:p w14:paraId="261188AF">
      <w:pPr>
        <w:rPr>
          <w:color w:val="auto"/>
          <w:highlight w:val="none"/>
        </w:rPr>
      </w:pPr>
    </w:p>
    <w:p w14:paraId="6BEB7E96">
      <w:pPr>
        <w:pStyle w:val="20"/>
        <w:rPr>
          <w:color w:val="auto"/>
          <w:highlight w:val="none"/>
        </w:rPr>
      </w:pPr>
    </w:p>
    <w:p w14:paraId="19E1F3D1">
      <w:pPr>
        <w:rPr>
          <w:color w:val="auto"/>
          <w:highlight w:val="none"/>
        </w:rPr>
      </w:pPr>
    </w:p>
    <w:p w14:paraId="453DF294">
      <w:pPr>
        <w:pStyle w:val="20"/>
        <w:rPr>
          <w:color w:val="auto"/>
          <w:highlight w:val="none"/>
        </w:rPr>
      </w:pPr>
    </w:p>
    <w:p w14:paraId="2D5E30B0">
      <w:pPr>
        <w:rPr>
          <w:color w:val="auto"/>
          <w:highlight w:val="none"/>
        </w:rPr>
      </w:pPr>
    </w:p>
    <w:p w14:paraId="3E305B39">
      <w:pPr>
        <w:pStyle w:val="20"/>
        <w:rPr>
          <w:color w:val="auto"/>
          <w:highlight w:val="none"/>
        </w:rPr>
      </w:pPr>
    </w:p>
    <w:p w14:paraId="4DB59E6B">
      <w:pPr>
        <w:rPr>
          <w:color w:val="auto"/>
          <w:highlight w:val="none"/>
        </w:rPr>
      </w:pPr>
    </w:p>
    <w:p w14:paraId="456DF28E">
      <w:pPr>
        <w:pStyle w:val="20"/>
        <w:rPr>
          <w:color w:val="auto"/>
          <w:highlight w:val="none"/>
        </w:rPr>
      </w:pPr>
    </w:p>
    <w:p w14:paraId="1EB1FAB0">
      <w:pPr>
        <w:rPr>
          <w:color w:val="auto"/>
          <w:highlight w:val="none"/>
        </w:rPr>
      </w:pPr>
    </w:p>
    <w:p w14:paraId="7FDAC181">
      <w:pPr>
        <w:pStyle w:val="20"/>
        <w:rPr>
          <w:color w:val="auto"/>
          <w:highlight w:val="none"/>
        </w:rPr>
      </w:pPr>
    </w:p>
    <w:p w14:paraId="3DD3C546">
      <w:pPr>
        <w:rPr>
          <w:color w:val="auto"/>
          <w:highlight w:val="none"/>
        </w:rPr>
      </w:pPr>
    </w:p>
    <w:p w14:paraId="25293277">
      <w:pPr>
        <w:pStyle w:val="20"/>
        <w:rPr>
          <w:color w:val="auto"/>
          <w:highlight w:val="none"/>
        </w:rPr>
      </w:pPr>
    </w:p>
    <w:p w14:paraId="1C175E02">
      <w:pPr>
        <w:rPr>
          <w:color w:val="auto"/>
          <w:highlight w:val="none"/>
        </w:rPr>
      </w:pPr>
    </w:p>
    <w:p w14:paraId="1B51C82A">
      <w:pPr>
        <w:pStyle w:val="20"/>
        <w:rPr>
          <w:color w:val="auto"/>
          <w:highlight w:val="none"/>
        </w:rPr>
      </w:pPr>
    </w:p>
    <w:p w14:paraId="47755494">
      <w:pPr>
        <w:rPr>
          <w:color w:val="auto"/>
          <w:highlight w:val="none"/>
        </w:rPr>
      </w:pPr>
    </w:p>
    <w:p w14:paraId="1CE7C106">
      <w:pPr>
        <w:snapToGrid w:val="0"/>
        <w:spacing w:line="400" w:lineRule="exact"/>
        <w:rPr>
          <w:color w:val="auto"/>
          <w:highlight w:val="none"/>
        </w:rPr>
      </w:pPr>
    </w:p>
    <w:p w14:paraId="42F2E875">
      <w:pPr>
        <w:spacing w:line="360" w:lineRule="auto"/>
        <w:rPr>
          <w:rFonts w:ascii="宋体" w:hAnsi="宋体" w:cs="Courier New"/>
          <w:b/>
          <w:color w:val="auto"/>
          <w:sz w:val="32"/>
          <w:szCs w:val="32"/>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51AEA8AD">
      <w:pPr>
        <w:pStyle w:val="4"/>
        <w:spacing w:before="480" w:after="120" w:line="400" w:lineRule="exact"/>
        <w:jc w:val="center"/>
        <w:rPr>
          <w:rFonts w:ascii="宋体" w:hAnsi="宋体" w:cs="仿宋"/>
          <w:color w:val="auto"/>
          <w:highlight w:val="none"/>
        </w:rPr>
      </w:pPr>
      <w:bookmarkStart w:id="180" w:name="_Toc129859375"/>
      <w:bookmarkStart w:id="181" w:name="_Toc18060938"/>
      <w:bookmarkStart w:id="182" w:name="_Toc20388241"/>
      <w:bookmarkStart w:id="183" w:name="_Toc129859498"/>
      <w:r>
        <w:rPr>
          <w:rFonts w:hint="eastAsia" w:ascii="宋体" w:hAnsi="宋体" w:cs="仿宋"/>
          <w:color w:val="auto"/>
          <w:highlight w:val="none"/>
        </w:rPr>
        <w:t>第一节 通用合同条款</w:t>
      </w:r>
      <w:bookmarkEnd w:id="180"/>
      <w:bookmarkEnd w:id="181"/>
      <w:bookmarkEnd w:id="182"/>
      <w:bookmarkEnd w:id="183"/>
    </w:p>
    <w:p w14:paraId="62EACD22">
      <w:pPr>
        <w:pStyle w:val="5"/>
        <w:spacing w:before="0" w:after="0" w:line="360" w:lineRule="auto"/>
        <w:jc w:val="left"/>
        <w:rPr>
          <w:rFonts w:ascii="宋体" w:hAnsi="宋体" w:cs="仿宋"/>
          <w:color w:val="auto"/>
          <w:sz w:val="21"/>
          <w:szCs w:val="21"/>
          <w:highlight w:val="none"/>
        </w:rPr>
      </w:pPr>
      <w:bookmarkStart w:id="184" w:name="_bookmark95"/>
      <w:bookmarkEnd w:id="184"/>
      <w:bookmarkStart w:id="185" w:name="_Toc20388242"/>
      <w:bookmarkStart w:id="186" w:name="_Toc129859376"/>
      <w:bookmarkStart w:id="187" w:name="_Toc18060939"/>
      <w:bookmarkStart w:id="188" w:name="_Toc129859499"/>
      <w:r>
        <w:rPr>
          <w:rFonts w:hint="eastAsia" w:ascii="宋体" w:hAnsi="宋体" w:cs="仿宋"/>
          <w:color w:val="auto"/>
          <w:sz w:val="21"/>
          <w:szCs w:val="21"/>
          <w:highlight w:val="none"/>
        </w:rPr>
        <w:t>1.  一般约定</w:t>
      </w:r>
      <w:bookmarkEnd w:id="185"/>
      <w:bookmarkEnd w:id="186"/>
      <w:bookmarkEnd w:id="187"/>
      <w:bookmarkEnd w:id="188"/>
    </w:p>
    <w:p w14:paraId="7701F48A">
      <w:pPr>
        <w:pStyle w:val="6"/>
        <w:spacing w:before="0" w:after="0" w:line="360" w:lineRule="auto"/>
        <w:rPr>
          <w:rFonts w:hAnsi="宋体" w:eastAsia="宋体" w:cs="仿宋"/>
          <w:color w:val="auto"/>
          <w:sz w:val="21"/>
          <w:szCs w:val="21"/>
          <w:highlight w:val="none"/>
        </w:rPr>
      </w:pPr>
      <w:bookmarkStart w:id="189" w:name="_Toc20388243"/>
      <w:bookmarkStart w:id="190" w:name="_Toc18060940"/>
      <w:r>
        <w:rPr>
          <w:rFonts w:hint="eastAsia" w:hAnsi="宋体" w:eastAsia="宋体" w:cs="仿宋"/>
          <w:color w:val="auto"/>
          <w:sz w:val="21"/>
          <w:szCs w:val="21"/>
          <w:highlight w:val="none"/>
        </w:rPr>
        <w:t>1.1 词语定义</w:t>
      </w:r>
      <w:bookmarkEnd w:id="189"/>
      <w:bookmarkEnd w:id="190"/>
    </w:p>
    <w:p w14:paraId="709FB2B0">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通用合同条款、专用合同条款中的下列词语应具有本款所赋予的含义。</w:t>
      </w:r>
    </w:p>
    <w:p w14:paraId="1722789F">
      <w:pPr>
        <w:spacing w:line="360" w:lineRule="auto"/>
        <w:rPr>
          <w:rFonts w:ascii="宋体" w:hAnsi="宋体" w:cs="仿宋"/>
          <w:color w:val="auto"/>
          <w:szCs w:val="21"/>
          <w:highlight w:val="none"/>
        </w:rPr>
      </w:pPr>
      <w:bookmarkStart w:id="191" w:name="_Toc19193862"/>
      <w:r>
        <w:rPr>
          <w:rFonts w:hint="eastAsia" w:ascii="宋体" w:hAnsi="宋体" w:cs="仿宋"/>
          <w:color w:val="auto"/>
          <w:szCs w:val="21"/>
          <w:highlight w:val="none"/>
        </w:rPr>
        <w:t>1.1.1  合同</w:t>
      </w:r>
      <w:bookmarkEnd w:id="191"/>
    </w:p>
    <w:p w14:paraId="0DED4642">
      <w:pPr>
        <w:pStyle w:val="2"/>
        <w:spacing w:after="0" w:line="360" w:lineRule="auto"/>
        <w:ind w:left="100" w:right="214" w:firstLine="419"/>
        <w:rPr>
          <w:rFonts w:ascii="宋体" w:hAnsi="宋体" w:cs="仿宋"/>
          <w:color w:val="auto"/>
          <w:szCs w:val="21"/>
          <w:highlight w:val="none"/>
        </w:rPr>
      </w:pPr>
      <w:r>
        <w:rPr>
          <w:rFonts w:hint="eastAsia" w:ascii="宋体" w:hAnsi="宋体" w:cs="仿宋"/>
          <w:color w:val="auto"/>
          <w:szCs w:val="21"/>
          <w:highlight w:val="none"/>
        </w:rPr>
        <w:t>1.1.1.1  合同文件（或称合同）：指合同协议书、中标通知书、投标函和投标函附录、专用合同条款、通用合同条款、委托人要求、监理报酬清单、监理大纲，以及其他构成合同组成部分的文件。</w:t>
      </w:r>
    </w:p>
    <w:p w14:paraId="18C106FC">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1.1.1.2 合同协议书：指委托人和监理人共同签署的合同协议书。</w:t>
      </w:r>
    </w:p>
    <w:p w14:paraId="10F6A5C5">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1.1.1.3 中标通知书：指委托人通知监理人中标的函件。</w:t>
      </w:r>
    </w:p>
    <w:p w14:paraId="6B88343D">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1.1.1.4 投标函：指由监理人填写并签署的，名为“投标函”的函件。</w:t>
      </w:r>
    </w:p>
    <w:p w14:paraId="3E700AF8">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1.1.1.5   投标函附录：指由监理人填写并签署的、附在投标函后，名为“投标函附录”的函件。</w:t>
      </w:r>
    </w:p>
    <w:p w14:paraId="46626BE5">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1.1.1.6 委托人要求：指合同文件中名为“委托人要求”的文件。</w:t>
      </w:r>
    </w:p>
    <w:p w14:paraId="4AB68F10">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1.1.1.7 监理大纲：指监理人在投标文件中的监理大纲。</w:t>
      </w:r>
    </w:p>
    <w:p w14:paraId="683CE209">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1.1.1.8 监理报酬清单：指监理人投标文件中的监理报酬清单。</w:t>
      </w:r>
    </w:p>
    <w:p w14:paraId="6D8FDB9D">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1.1.1.9 其他合同文件：指经合同双方当事人确认构成合同文件的其他文件。</w:t>
      </w:r>
    </w:p>
    <w:p w14:paraId="1460C39E">
      <w:pPr>
        <w:spacing w:line="360" w:lineRule="auto"/>
        <w:rPr>
          <w:rFonts w:ascii="宋体" w:hAnsi="宋体" w:cs="仿宋"/>
          <w:color w:val="auto"/>
          <w:szCs w:val="21"/>
          <w:highlight w:val="none"/>
        </w:rPr>
      </w:pPr>
      <w:bookmarkStart w:id="192" w:name="_Toc19193863"/>
      <w:r>
        <w:rPr>
          <w:rFonts w:hint="eastAsia" w:ascii="宋体" w:hAnsi="宋体" w:cs="仿宋"/>
          <w:color w:val="auto"/>
          <w:szCs w:val="21"/>
          <w:highlight w:val="none"/>
        </w:rPr>
        <w:t>1.1.2  合同当事人和人员</w:t>
      </w:r>
      <w:bookmarkEnd w:id="192"/>
    </w:p>
    <w:p w14:paraId="39B13208">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1.1.2.1 合同当事人：指委托人和（或）监理人。</w:t>
      </w:r>
    </w:p>
    <w:p w14:paraId="1E85B188">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1.1.2.2 委托人：指与监理人签订合同协议书的当事人，及其合法继承人。</w:t>
      </w:r>
    </w:p>
    <w:p w14:paraId="440B302E">
      <w:pPr>
        <w:pStyle w:val="2"/>
        <w:spacing w:after="0" w:line="360" w:lineRule="auto"/>
        <w:ind w:left="520" w:right="108"/>
        <w:rPr>
          <w:rFonts w:ascii="宋体" w:hAnsi="宋体" w:cs="仿宋"/>
          <w:color w:val="auto"/>
          <w:szCs w:val="21"/>
          <w:highlight w:val="none"/>
        </w:rPr>
      </w:pPr>
      <w:bookmarkStart w:id="193" w:name="_Toc302084760"/>
      <w:bookmarkStart w:id="194" w:name="_Toc525118550"/>
      <w:bookmarkStart w:id="195" w:name="_Toc528845359"/>
      <w:r>
        <w:rPr>
          <w:rFonts w:hint="eastAsia" w:ascii="宋体" w:hAnsi="宋体" w:cs="仿宋"/>
          <w:color w:val="auto"/>
          <w:szCs w:val="21"/>
          <w:highlight w:val="none"/>
        </w:rPr>
        <w:t>1.1.2.3 监理人：指与委托人签订合同协议书的当事人，及其合法继承人。</w:t>
      </w:r>
    </w:p>
    <w:p w14:paraId="5218E07F">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1.1.2.4 委托人代表：指由委托人任命，并在授权范围和期限内代表委托人行使权利和履行 义务的全权负责人。</w:t>
      </w:r>
    </w:p>
    <w:p w14:paraId="56EE1852">
      <w:pPr>
        <w:pStyle w:val="2"/>
        <w:spacing w:after="0" w:line="360" w:lineRule="auto"/>
        <w:ind w:left="520" w:right="21"/>
        <w:rPr>
          <w:rFonts w:ascii="宋体" w:hAnsi="宋体" w:cs="仿宋"/>
          <w:color w:val="auto"/>
          <w:szCs w:val="21"/>
          <w:highlight w:val="none"/>
        </w:rPr>
      </w:pPr>
      <w:r>
        <w:rPr>
          <w:rFonts w:hint="eastAsia" w:ascii="宋体" w:hAnsi="宋体" w:cs="仿宋"/>
          <w:color w:val="auto"/>
          <w:szCs w:val="21"/>
          <w:highlight w:val="none"/>
        </w:rPr>
        <w:t>1.1.2.5   总监理工程师：指由监理人任命，代表监理人行使权利和履行义务的全权负责人。</w:t>
      </w:r>
    </w:p>
    <w:p w14:paraId="2BD7174C">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1.1.2.6 承包人：指在本工程监理范围内，与委托人签订勘察、设计、施工承包合同的当事 人。</w:t>
      </w:r>
    </w:p>
    <w:p w14:paraId="521C7B97">
      <w:pPr>
        <w:spacing w:line="360" w:lineRule="auto"/>
        <w:rPr>
          <w:rFonts w:ascii="宋体" w:hAnsi="宋体" w:cs="仿宋"/>
          <w:color w:val="auto"/>
          <w:szCs w:val="21"/>
          <w:highlight w:val="none"/>
        </w:rPr>
      </w:pPr>
      <w:bookmarkStart w:id="196" w:name="_Toc19193864"/>
      <w:r>
        <w:rPr>
          <w:rFonts w:hint="eastAsia" w:ascii="宋体" w:hAnsi="宋体" w:cs="仿宋"/>
          <w:color w:val="auto"/>
          <w:szCs w:val="21"/>
          <w:highlight w:val="none"/>
        </w:rPr>
        <w:t>1.1.3  工程和监理</w:t>
      </w:r>
      <w:bookmarkEnd w:id="196"/>
    </w:p>
    <w:p w14:paraId="69E8BEF6">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1.1.3.1 工程：指永久工程和（或）临时工程。</w:t>
      </w:r>
    </w:p>
    <w:p w14:paraId="67352507">
      <w:pPr>
        <w:pStyle w:val="2"/>
        <w:spacing w:after="0" w:line="360" w:lineRule="auto"/>
        <w:ind w:left="142" w:right="21" w:firstLine="270" w:firstLineChars="129"/>
        <w:rPr>
          <w:rFonts w:ascii="宋体" w:hAnsi="宋体" w:cs="仿宋"/>
          <w:color w:val="auto"/>
          <w:szCs w:val="21"/>
          <w:highlight w:val="none"/>
        </w:rPr>
      </w:pPr>
      <w:r>
        <w:rPr>
          <w:rFonts w:hint="eastAsia" w:ascii="宋体" w:hAnsi="宋体" w:cs="仿宋"/>
          <w:color w:val="auto"/>
          <w:szCs w:val="21"/>
          <w:highlight w:val="none"/>
        </w:rPr>
        <w:t>1.1.3.2   监理服务：指监理人接受委托人的委托，依照法律、规范标准和监理合同等，对建设工程勘察、设计或施工等阶段进行质量控制、进度控制、投资控制、合同管理、信息管理、组织协调和安全监理、</w:t>
      </w:r>
      <w:r>
        <w:rPr>
          <w:rFonts w:hint="eastAsia" w:ascii="宋体" w:hAnsi="宋体" w:cs="仿宋"/>
          <w:color w:val="auto"/>
          <w:szCs w:val="21"/>
          <w:highlight w:val="none"/>
          <w:lang w:eastAsia="zh-CN"/>
        </w:rPr>
        <w:t>水保监理</w:t>
      </w:r>
      <w:r>
        <w:rPr>
          <w:rFonts w:hint="eastAsia" w:ascii="宋体" w:hAnsi="宋体" w:cs="仿宋"/>
          <w:color w:val="auto"/>
          <w:szCs w:val="21"/>
          <w:highlight w:val="none"/>
        </w:rPr>
        <w:t>的服务活动。</w:t>
      </w:r>
    </w:p>
    <w:p w14:paraId="7D624D94">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1.1.3.3 监理资料：是委托人按合同约定向监理人提供的，用于完成监理范围与内容所需要的资料。</w:t>
      </w:r>
    </w:p>
    <w:p w14:paraId="6EA92754">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1.1.3.4 监理文件：指监理人按合同约定向委托人提交的监理大纲、监理规划、监理实施细则、监理日志、监理报告、工程质量评估报告、事故处理文件、监理工作总结和其他文件等， 包括阶段性文件和最终文件，且应当采用合同中双方约定的格式和载体。</w:t>
      </w:r>
    </w:p>
    <w:p w14:paraId="20A4D2F4">
      <w:pPr>
        <w:spacing w:line="360" w:lineRule="auto"/>
        <w:rPr>
          <w:rFonts w:ascii="宋体" w:hAnsi="宋体" w:cs="仿宋"/>
          <w:color w:val="auto"/>
          <w:szCs w:val="21"/>
          <w:highlight w:val="none"/>
        </w:rPr>
      </w:pPr>
      <w:r>
        <w:rPr>
          <w:rFonts w:hint="eastAsia" w:ascii="宋体" w:hAnsi="宋体" w:cs="仿宋"/>
          <w:color w:val="auto"/>
          <w:szCs w:val="21"/>
          <w:highlight w:val="none"/>
        </w:rPr>
        <w:t>1.1.4  日期</w:t>
      </w:r>
    </w:p>
    <w:p w14:paraId="616FFF98">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1.1.4.1 开始监理通知：指委托人按第 6.1款通知监理人开始监理的函件。</w:t>
      </w:r>
    </w:p>
    <w:p w14:paraId="2B814848">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1.1.4.2 开始监理日期：指委托人按第 6.1款发出的开始监理通知中写明的开始监理日期。</w:t>
      </w:r>
    </w:p>
    <w:p w14:paraId="62A39D29">
      <w:pPr>
        <w:pStyle w:val="2"/>
        <w:spacing w:after="0" w:line="360" w:lineRule="auto"/>
        <w:ind w:left="142" w:firstLine="270" w:firstLineChars="129"/>
        <w:rPr>
          <w:rFonts w:ascii="宋体" w:hAnsi="宋体" w:cs="仿宋"/>
          <w:color w:val="auto"/>
          <w:szCs w:val="21"/>
          <w:highlight w:val="none"/>
        </w:rPr>
      </w:pPr>
      <w:r>
        <w:rPr>
          <w:rFonts w:hint="eastAsia" w:ascii="宋体" w:hAnsi="宋体" w:cs="仿宋"/>
          <w:color w:val="auto"/>
          <w:szCs w:val="21"/>
          <w:highlight w:val="none"/>
        </w:rPr>
        <w:t>1.1.4.3   监理服务期限：指监理人在投标函中承诺的完成合同监理服务所需的期限，包括按第 6.2 款和第 6.3.2 项约定所作的调整。</w:t>
      </w:r>
    </w:p>
    <w:p w14:paraId="765A64FD">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1.1.4.4 完成监理日期：指第 1.1.4.3 目约定监理服务期限届满时的日期。</w:t>
      </w:r>
    </w:p>
    <w:p w14:paraId="75E957AA">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1.1.4.5 基准日：指投标截止时间前 28 天的日期。</w:t>
      </w:r>
    </w:p>
    <w:p w14:paraId="7DC2E20A">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1.1.4.6 天：除特别指明外，指日历天。合同中按天计算时间的，开始当天不计入，从次日 开始计算。期限最后一天的截止时间为当天 24:00。</w:t>
      </w:r>
    </w:p>
    <w:p w14:paraId="2C2AB766">
      <w:pPr>
        <w:spacing w:line="360" w:lineRule="auto"/>
        <w:rPr>
          <w:rFonts w:ascii="宋体" w:hAnsi="宋体" w:cs="仿宋"/>
          <w:color w:val="auto"/>
          <w:szCs w:val="21"/>
          <w:highlight w:val="none"/>
        </w:rPr>
      </w:pPr>
      <w:bookmarkStart w:id="197" w:name="_Toc19193865"/>
      <w:r>
        <w:rPr>
          <w:rFonts w:hint="eastAsia" w:ascii="宋体" w:hAnsi="宋体" w:cs="仿宋"/>
          <w:color w:val="auto"/>
          <w:szCs w:val="21"/>
          <w:highlight w:val="none"/>
        </w:rPr>
        <w:t>1.1.5  合同价格和费用</w:t>
      </w:r>
      <w:bookmarkEnd w:id="197"/>
    </w:p>
    <w:p w14:paraId="30DFDD94">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1.1.5.1 签约合同价：指签订合同时合同协议书中写明的监理报酬总金额。</w:t>
      </w:r>
    </w:p>
    <w:p w14:paraId="7900EEBE">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1.1.5.2 合同价格：指监理人按合同约定完成了全部监理工作后，委托人应付给监理人的金 额，包括在履行合同过程中按合同约定进行的变更和调整。</w:t>
      </w:r>
    </w:p>
    <w:p w14:paraId="24B33C1B">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1.1.5.3 费用：指为履行合同所发生的或将要发生的所有合理开支，包括管理费和应分摊的 其他费用，但不包括利润。</w:t>
      </w:r>
    </w:p>
    <w:p w14:paraId="74AF973E">
      <w:pPr>
        <w:spacing w:line="360" w:lineRule="auto"/>
        <w:rPr>
          <w:rFonts w:ascii="宋体" w:hAnsi="宋体" w:cs="仿宋"/>
          <w:color w:val="auto"/>
          <w:szCs w:val="21"/>
          <w:highlight w:val="none"/>
        </w:rPr>
      </w:pPr>
      <w:bookmarkStart w:id="198" w:name="_Toc19193866"/>
      <w:r>
        <w:rPr>
          <w:rFonts w:hint="eastAsia" w:ascii="宋体" w:hAnsi="宋体" w:cs="仿宋"/>
          <w:color w:val="auto"/>
          <w:szCs w:val="21"/>
          <w:highlight w:val="none"/>
        </w:rPr>
        <w:t>1.1.6  其他</w:t>
      </w:r>
      <w:bookmarkEnd w:id="198"/>
    </w:p>
    <w:p w14:paraId="78E71634">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1.1.6.1 书面形式：指合同文件、信件和数据电文（包括电报、电传、传真、电子数据交换 和电子邮件）等可以有形地表现所载内容的形式。</w:t>
      </w:r>
    </w:p>
    <w:p w14:paraId="44158104">
      <w:pPr>
        <w:pStyle w:val="6"/>
        <w:spacing w:before="0" w:after="0" w:line="360" w:lineRule="auto"/>
        <w:rPr>
          <w:rFonts w:hAnsi="宋体" w:eastAsia="宋体" w:cs="仿宋"/>
          <w:color w:val="auto"/>
          <w:sz w:val="21"/>
          <w:szCs w:val="21"/>
          <w:highlight w:val="none"/>
        </w:rPr>
      </w:pPr>
      <w:bookmarkStart w:id="199" w:name="_bookmark97"/>
      <w:bookmarkEnd w:id="199"/>
      <w:bookmarkStart w:id="200" w:name="_Toc18060941"/>
      <w:bookmarkStart w:id="201" w:name="_Toc20388244"/>
      <w:r>
        <w:rPr>
          <w:rFonts w:hint="eastAsia" w:hAnsi="宋体" w:eastAsia="宋体" w:cs="仿宋"/>
          <w:color w:val="auto"/>
          <w:sz w:val="21"/>
          <w:szCs w:val="21"/>
          <w:highlight w:val="none"/>
        </w:rPr>
        <w:t>1.2 语言文字</w:t>
      </w:r>
      <w:bookmarkEnd w:id="200"/>
      <w:bookmarkEnd w:id="201"/>
    </w:p>
    <w:p w14:paraId="5C6268B8">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合同使用的语言文字为中文。专用术语使用外文的，应附有中文注释。</w:t>
      </w:r>
    </w:p>
    <w:p w14:paraId="5F7E29C9">
      <w:pPr>
        <w:pStyle w:val="6"/>
        <w:spacing w:before="0" w:after="0" w:line="360" w:lineRule="auto"/>
        <w:rPr>
          <w:rFonts w:hAnsi="宋体" w:eastAsia="宋体" w:cs="仿宋"/>
          <w:color w:val="auto"/>
          <w:sz w:val="21"/>
          <w:szCs w:val="21"/>
          <w:highlight w:val="none"/>
        </w:rPr>
      </w:pPr>
      <w:bookmarkStart w:id="202" w:name="_bookmark98"/>
      <w:bookmarkEnd w:id="202"/>
      <w:bookmarkStart w:id="203" w:name="_Toc20388245"/>
      <w:bookmarkStart w:id="204" w:name="_Toc18060942"/>
      <w:r>
        <w:rPr>
          <w:rFonts w:hint="eastAsia" w:hAnsi="宋体" w:eastAsia="宋体" w:cs="仿宋"/>
          <w:color w:val="auto"/>
          <w:sz w:val="21"/>
          <w:szCs w:val="21"/>
          <w:highlight w:val="none"/>
        </w:rPr>
        <w:t>1.3 适用法律</w:t>
      </w:r>
      <w:bookmarkEnd w:id="203"/>
      <w:bookmarkEnd w:id="204"/>
    </w:p>
    <w:p w14:paraId="2BD8D588">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适用于合同的法律包括中华人民共和国法律、行政法规、部门规章，以及工程所在地的地方法规、自治条例、单行条例和地方政府规章。本合同适用的其他规范性文件，可在专用合同条款中约定。</w:t>
      </w:r>
    </w:p>
    <w:p w14:paraId="6042A1C7">
      <w:pPr>
        <w:pStyle w:val="6"/>
        <w:spacing w:before="0" w:after="0" w:line="360" w:lineRule="auto"/>
        <w:rPr>
          <w:rFonts w:hAnsi="宋体" w:eastAsia="宋体" w:cs="仿宋"/>
          <w:color w:val="auto"/>
          <w:sz w:val="21"/>
          <w:szCs w:val="21"/>
          <w:highlight w:val="none"/>
        </w:rPr>
      </w:pPr>
      <w:bookmarkStart w:id="205" w:name="_bookmark99"/>
      <w:bookmarkEnd w:id="205"/>
      <w:bookmarkStart w:id="206" w:name="_Toc18060943"/>
      <w:bookmarkStart w:id="207" w:name="_Toc20388246"/>
      <w:r>
        <w:rPr>
          <w:rFonts w:hint="eastAsia" w:hAnsi="宋体" w:eastAsia="宋体" w:cs="仿宋"/>
          <w:color w:val="auto"/>
          <w:sz w:val="21"/>
          <w:szCs w:val="21"/>
          <w:highlight w:val="none"/>
        </w:rPr>
        <w:t>1.4 合同文件的优先顺序</w:t>
      </w:r>
      <w:bookmarkEnd w:id="206"/>
      <w:bookmarkEnd w:id="207"/>
    </w:p>
    <w:p w14:paraId="7310DF0F">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组成合同的各项文件应互相解释，互为说明。除专用合同条款另有约定外，解释合同文件的优先顺序如下：</w:t>
      </w:r>
    </w:p>
    <w:p w14:paraId="3769B031">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（1）合同协议书；</w:t>
      </w:r>
    </w:p>
    <w:p w14:paraId="5C851E95">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（2）中标通知书；</w:t>
      </w:r>
    </w:p>
    <w:p w14:paraId="22B5B4D7">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（3）投标函及投标函附录；</w:t>
      </w:r>
    </w:p>
    <w:p w14:paraId="37F15ECC">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（4）专用合同条款；</w:t>
      </w:r>
    </w:p>
    <w:p w14:paraId="04B251C6">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（5）通用合同条款；</w:t>
      </w:r>
    </w:p>
    <w:p w14:paraId="7A8DC443">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（6）委托人要求；</w:t>
      </w:r>
    </w:p>
    <w:p w14:paraId="4DD92543">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（7）监理报酬清单；</w:t>
      </w:r>
    </w:p>
    <w:p w14:paraId="428A4901">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（8）监理大纲；</w:t>
      </w:r>
    </w:p>
    <w:p w14:paraId="39CF7A8B">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（9）其他合同文件。</w:t>
      </w:r>
    </w:p>
    <w:p w14:paraId="4E6F494B">
      <w:pPr>
        <w:pStyle w:val="6"/>
        <w:spacing w:before="0" w:after="0" w:line="360" w:lineRule="auto"/>
        <w:rPr>
          <w:rFonts w:hAnsi="宋体" w:eastAsia="宋体" w:cs="仿宋"/>
          <w:color w:val="auto"/>
          <w:sz w:val="21"/>
          <w:szCs w:val="21"/>
          <w:highlight w:val="none"/>
        </w:rPr>
      </w:pPr>
      <w:bookmarkStart w:id="208" w:name="_bookmark100"/>
      <w:bookmarkEnd w:id="208"/>
      <w:bookmarkStart w:id="209" w:name="_Toc20388247"/>
      <w:bookmarkStart w:id="210" w:name="_Toc18060944"/>
      <w:r>
        <w:rPr>
          <w:rFonts w:hint="eastAsia" w:hAnsi="宋体" w:eastAsia="宋体" w:cs="仿宋"/>
          <w:color w:val="auto"/>
          <w:sz w:val="21"/>
          <w:szCs w:val="21"/>
          <w:highlight w:val="none"/>
        </w:rPr>
        <w:t>1.5 合同协议书</w:t>
      </w:r>
      <w:bookmarkEnd w:id="209"/>
      <w:bookmarkEnd w:id="210"/>
    </w:p>
    <w:p w14:paraId="3E028581">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监理人按中标通知书规定的时间与委托人签订合同协议书。除法律另有规定或合同另有约 定外，委托人和监理人的法定代表人或其委托代理人在合同协议书上签字并盖单位章后，合同生效。</w:t>
      </w:r>
    </w:p>
    <w:p w14:paraId="51178D99">
      <w:pPr>
        <w:pStyle w:val="6"/>
        <w:spacing w:before="0" w:after="0" w:line="360" w:lineRule="auto"/>
        <w:rPr>
          <w:rFonts w:hAnsi="宋体" w:eastAsia="宋体" w:cs="仿宋"/>
          <w:color w:val="auto"/>
          <w:sz w:val="21"/>
          <w:szCs w:val="21"/>
          <w:highlight w:val="none"/>
        </w:rPr>
      </w:pPr>
      <w:bookmarkStart w:id="211" w:name="_bookmark101"/>
      <w:bookmarkEnd w:id="211"/>
      <w:bookmarkStart w:id="212" w:name="_Toc20388248"/>
      <w:bookmarkStart w:id="213" w:name="_Toc18060945"/>
      <w:r>
        <w:rPr>
          <w:rFonts w:hint="eastAsia" w:hAnsi="宋体" w:eastAsia="宋体" w:cs="仿宋"/>
          <w:color w:val="auto"/>
          <w:sz w:val="21"/>
          <w:szCs w:val="21"/>
          <w:highlight w:val="none"/>
        </w:rPr>
        <w:t>1.6 文件的提供和照管</w:t>
      </w:r>
      <w:bookmarkEnd w:id="212"/>
      <w:bookmarkEnd w:id="213"/>
    </w:p>
    <w:p w14:paraId="65C0DC7B">
      <w:pPr>
        <w:spacing w:line="360" w:lineRule="auto"/>
        <w:rPr>
          <w:rFonts w:ascii="宋体" w:hAnsi="宋体" w:cs="仿宋"/>
          <w:color w:val="auto"/>
          <w:szCs w:val="21"/>
          <w:highlight w:val="none"/>
        </w:rPr>
      </w:pPr>
      <w:bookmarkStart w:id="214" w:name="_Toc19193872"/>
      <w:r>
        <w:rPr>
          <w:rFonts w:hint="eastAsia" w:ascii="宋体" w:hAnsi="宋体" w:cs="仿宋"/>
          <w:color w:val="auto"/>
          <w:szCs w:val="21"/>
          <w:highlight w:val="none"/>
        </w:rPr>
        <w:t>1.6.1  监理文件的提供</w:t>
      </w:r>
      <w:bookmarkEnd w:id="214"/>
      <w:r>
        <w:rPr>
          <w:rFonts w:hint="eastAsia" w:ascii="宋体" w:hAnsi="宋体" w:cs="仿宋"/>
          <w:color w:val="auto"/>
          <w:szCs w:val="21"/>
          <w:highlight w:val="none"/>
        </w:rPr>
        <w:t xml:space="preserve"> </w:t>
      </w:r>
    </w:p>
    <w:p w14:paraId="58C29B4F">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除专用合同条款另有约定外，监理人应在合理的期限内按照合同约定的数量向委托人提供监理文件。合同约定监理文件应经委托人批复的，委托人应当在合同约定的期限内批复或提出修改意见。</w:t>
      </w:r>
    </w:p>
    <w:p w14:paraId="7A7BE008">
      <w:pPr>
        <w:spacing w:line="360" w:lineRule="auto"/>
        <w:rPr>
          <w:rFonts w:ascii="宋体" w:hAnsi="宋体" w:cs="仿宋"/>
          <w:color w:val="auto"/>
          <w:szCs w:val="21"/>
          <w:highlight w:val="none"/>
        </w:rPr>
      </w:pPr>
      <w:bookmarkStart w:id="215" w:name="_Toc19193873"/>
      <w:r>
        <w:rPr>
          <w:rFonts w:hint="eastAsia" w:ascii="宋体" w:hAnsi="宋体" w:cs="仿宋"/>
          <w:color w:val="auto"/>
          <w:szCs w:val="21"/>
          <w:highlight w:val="none"/>
        </w:rPr>
        <w:t>1.6.2  委托人提供的文件</w:t>
      </w:r>
      <w:bookmarkEnd w:id="215"/>
    </w:p>
    <w:p w14:paraId="05E75158">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按专用合同条款约定由委托人提供的文件，包括规范标准、承包合同、勘察文件、设计文件等，委托人应按约定的数量和期限交给监理人。由于委托人未按时提供文件造成监理服务期限延误的，按第 6.2 款约定执行。</w:t>
      </w:r>
    </w:p>
    <w:p w14:paraId="037A2580">
      <w:pPr>
        <w:spacing w:line="360" w:lineRule="auto"/>
        <w:rPr>
          <w:rFonts w:ascii="宋体" w:hAnsi="宋体" w:cs="仿宋"/>
          <w:color w:val="auto"/>
          <w:szCs w:val="21"/>
          <w:highlight w:val="none"/>
        </w:rPr>
      </w:pPr>
      <w:bookmarkStart w:id="216" w:name="_Toc19193874"/>
      <w:r>
        <w:rPr>
          <w:rFonts w:hint="eastAsia" w:ascii="宋体" w:hAnsi="宋体" w:cs="仿宋"/>
          <w:color w:val="auto"/>
          <w:szCs w:val="21"/>
          <w:highlight w:val="none"/>
        </w:rPr>
        <w:t>1.6.3  文件错误的通知</w:t>
      </w:r>
      <w:bookmarkEnd w:id="216"/>
    </w:p>
    <w:p w14:paraId="4B9B79A6">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任何一方当事人发现文件中存在的明显错误或疏忽，均应及时通知对方当事人，并应立即采取适当的措施防止损失扩大。</w:t>
      </w:r>
    </w:p>
    <w:p w14:paraId="69F096E7">
      <w:pPr>
        <w:spacing w:line="360" w:lineRule="auto"/>
        <w:rPr>
          <w:rFonts w:ascii="宋体" w:hAnsi="宋体" w:cs="仿宋"/>
          <w:color w:val="auto"/>
          <w:szCs w:val="21"/>
          <w:highlight w:val="none"/>
        </w:rPr>
      </w:pPr>
      <w:bookmarkStart w:id="217" w:name="_Toc19193875"/>
      <w:r>
        <w:rPr>
          <w:rFonts w:hint="eastAsia" w:ascii="宋体" w:hAnsi="宋体" w:cs="仿宋"/>
          <w:color w:val="auto"/>
          <w:szCs w:val="21"/>
          <w:highlight w:val="none"/>
        </w:rPr>
        <w:t>1.6.4  文件的照管</w:t>
      </w:r>
      <w:bookmarkEnd w:id="217"/>
    </w:p>
    <w:p w14:paraId="74036987">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监理人应在现场保留一份合同文件、监理文件、委托人要求中的所列文件、以及其他根据合同收发的往来信函，以备委托人和行政管理部门查阅使用。</w:t>
      </w:r>
    </w:p>
    <w:p w14:paraId="3EA6E1D0">
      <w:pPr>
        <w:pStyle w:val="6"/>
        <w:spacing w:before="0" w:after="0" w:line="360" w:lineRule="auto"/>
        <w:rPr>
          <w:rFonts w:hAnsi="宋体" w:eastAsia="宋体" w:cs="仿宋"/>
          <w:color w:val="auto"/>
          <w:sz w:val="21"/>
          <w:szCs w:val="21"/>
          <w:highlight w:val="none"/>
        </w:rPr>
      </w:pPr>
      <w:bookmarkStart w:id="218" w:name="_bookmark102"/>
      <w:bookmarkEnd w:id="218"/>
      <w:bookmarkStart w:id="219" w:name="_Toc20388249"/>
      <w:bookmarkStart w:id="220" w:name="_Toc18060946"/>
      <w:r>
        <w:rPr>
          <w:rFonts w:hint="eastAsia" w:hAnsi="宋体" w:eastAsia="宋体" w:cs="仿宋"/>
          <w:color w:val="auto"/>
          <w:sz w:val="21"/>
          <w:szCs w:val="21"/>
          <w:highlight w:val="none"/>
        </w:rPr>
        <w:t>1.7 联络</w:t>
      </w:r>
      <w:bookmarkEnd w:id="219"/>
      <w:bookmarkEnd w:id="220"/>
    </w:p>
    <w:p w14:paraId="09771D5F">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1.7.1 与合同有关的通知、批准、证明、证书、指示、要求、请求、同意、意见、确定和决定等，均应采用书面形式。</w:t>
      </w:r>
    </w:p>
    <w:p w14:paraId="3B3F85D2">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1.7.2 上述通知、批准、证明、证书、指示、要求、请求、同意、意见、确定和决定等来往函件，均应在合同约定的期限内送达指定的地点和指定的接收人，并办理签收手续。</w:t>
      </w:r>
    </w:p>
    <w:p w14:paraId="484F00D5">
      <w:pPr>
        <w:pStyle w:val="6"/>
        <w:spacing w:before="0" w:after="0" w:line="360" w:lineRule="auto"/>
        <w:rPr>
          <w:rFonts w:hAnsi="宋体" w:eastAsia="宋体" w:cs="仿宋"/>
          <w:color w:val="auto"/>
          <w:sz w:val="21"/>
          <w:szCs w:val="21"/>
          <w:highlight w:val="none"/>
        </w:rPr>
      </w:pPr>
      <w:bookmarkStart w:id="221" w:name="_bookmark103"/>
      <w:bookmarkEnd w:id="221"/>
      <w:bookmarkStart w:id="222" w:name="_Toc18060947"/>
      <w:bookmarkStart w:id="223" w:name="_Toc20388250"/>
      <w:r>
        <w:rPr>
          <w:rFonts w:hint="eastAsia" w:hAnsi="宋体" w:eastAsia="宋体" w:cs="仿宋"/>
          <w:color w:val="auto"/>
          <w:sz w:val="21"/>
          <w:szCs w:val="21"/>
          <w:highlight w:val="none"/>
        </w:rPr>
        <w:t>1.8 转让</w:t>
      </w:r>
      <w:bookmarkEnd w:id="222"/>
      <w:bookmarkEnd w:id="223"/>
    </w:p>
    <w:p w14:paraId="0A7E0FBD">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除专用合同条款另有约定外，未经对方当事人同意，一方当事人不得将合同权利全部或部分转让给第三人，也不得全部或部分转移合同义务。</w:t>
      </w:r>
    </w:p>
    <w:p w14:paraId="53AEBBE9">
      <w:pPr>
        <w:pStyle w:val="6"/>
        <w:spacing w:before="0" w:after="0" w:line="360" w:lineRule="auto"/>
        <w:rPr>
          <w:rFonts w:hAnsi="宋体" w:eastAsia="宋体" w:cs="仿宋"/>
          <w:color w:val="auto"/>
          <w:sz w:val="21"/>
          <w:szCs w:val="21"/>
          <w:highlight w:val="none"/>
        </w:rPr>
      </w:pPr>
      <w:bookmarkStart w:id="224" w:name="_bookmark104"/>
      <w:bookmarkEnd w:id="224"/>
      <w:bookmarkStart w:id="225" w:name="_Toc18060948"/>
      <w:bookmarkStart w:id="226" w:name="_Toc20388251"/>
      <w:r>
        <w:rPr>
          <w:rFonts w:hint="eastAsia" w:hAnsi="宋体" w:eastAsia="宋体" w:cs="仿宋"/>
          <w:color w:val="auto"/>
          <w:sz w:val="21"/>
          <w:szCs w:val="21"/>
          <w:highlight w:val="none"/>
        </w:rPr>
        <w:t>1.9 严禁贿赂</w:t>
      </w:r>
      <w:bookmarkEnd w:id="225"/>
      <w:bookmarkEnd w:id="226"/>
    </w:p>
    <w:p w14:paraId="5BBC9DB0">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合同双方当事人不得以贿赂或变相贿赂的方式，谋取不当利益或损害对方权益。因贿赂造成对方当事人损失的，行为人应当赔偿损失，并承担相应的法律责任。</w:t>
      </w:r>
    </w:p>
    <w:p w14:paraId="267667F7">
      <w:pPr>
        <w:pStyle w:val="6"/>
        <w:spacing w:before="0" w:after="0" w:line="360" w:lineRule="auto"/>
        <w:rPr>
          <w:rFonts w:hAnsi="宋体" w:eastAsia="宋体" w:cs="仿宋"/>
          <w:color w:val="auto"/>
          <w:sz w:val="21"/>
          <w:szCs w:val="21"/>
          <w:highlight w:val="none"/>
        </w:rPr>
      </w:pPr>
      <w:bookmarkStart w:id="227" w:name="_bookmark105"/>
      <w:bookmarkEnd w:id="227"/>
      <w:bookmarkStart w:id="228" w:name="_Toc18060949"/>
      <w:bookmarkStart w:id="229" w:name="_Toc20388252"/>
      <w:r>
        <w:rPr>
          <w:rFonts w:hint="eastAsia" w:hAnsi="宋体" w:eastAsia="宋体" w:cs="仿宋"/>
          <w:color w:val="auto"/>
          <w:sz w:val="21"/>
          <w:szCs w:val="21"/>
          <w:highlight w:val="none"/>
        </w:rPr>
        <w:t>1.10 知识产权</w:t>
      </w:r>
      <w:bookmarkEnd w:id="228"/>
      <w:bookmarkEnd w:id="229"/>
    </w:p>
    <w:p w14:paraId="45950465">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1.10.1 除专用合同条款另有约定外，监理人完成的监理工作成果，除署名权以外的著作权和其他知识产权均归委托人享有。</w:t>
      </w:r>
    </w:p>
    <w:p w14:paraId="443AF9E3">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1.10.2 监理人从事监理活动时不得侵犯他人的知识产权。因侵犯专利权或其他知识产权所引起的责任，由监理人自行承担。因委托人提供的监理资料导致侵权的，由委托人承担责任。</w:t>
      </w:r>
    </w:p>
    <w:p w14:paraId="3EDA739F">
      <w:pPr>
        <w:pStyle w:val="2"/>
        <w:spacing w:after="0" w:line="360" w:lineRule="auto"/>
        <w:ind w:left="100" w:right="113"/>
        <w:rPr>
          <w:rFonts w:ascii="宋体" w:hAnsi="宋体" w:cs="仿宋"/>
          <w:color w:val="auto"/>
          <w:szCs w:val="21"/>
          <w:highlight w:val="none"/>
        </w:rPr>
      </w:pPr>
      <w:r>
        <w:rPr>
          <w:rFonts w:hint="eastAsia" w:ascii="宋体" w:hAnsi="宋体" w:cs="仿宋"/>
          <w:color w:val="auto"/>
          <w:szCs w:val="21"/>
          <w:highlight w:val="none"/>
        </w:rPr>
        <w:t>1.10.3 监理人在投标文件中采用专利技术、专有技术的，相应的使用费视为已包含在投标报价之中。</w:t>
      </w:r>
    </w:p>
    <w:p w14:paraId="47E9928D">
      <w:pPr>
        <w:pStyle w:val="6"/>
        <w:spacing w:before="0" w:after="0" w:line="360" w:lineRule="auto"/>
        <w:rPr>
          <w:rFonts w:hAnsi="宋体" w:eastAsia="宋体" w:cs="仿宋"/>
          <w:color w:val="auto"/>
          <w:sz w:val="21"/>
          <w:szCs w:val="21"/>
          <w:highlight w:val="none"/>
        </w:rPr>
      </w:pPr>
      <w:bookmarkStart w:id="230" w:name="_bookmark106"/>
      <w:bookmarkEnd w:id="230"/>
      <w:bookmarkStart w:id="231" w:name="_Toc18060950"/>
      <w:bookmarkStart w:id="232" w:name="_Toc20388253"/>
      <w:r>
        <w:rPr>
          <w:rFonts w:hint="eastAsia" w:hAnsi="宋体" w:eastAsia="宋体" w:cs="仿宋"/>
          <w:color w:val="auto"/>
          <w:sz w:val="21"/>
          <w:szCs w:val="21"/>
          <w:highlight w:val="none"/>
        </w:rPr>
        <w:t>1.11 文件及信息的保密</w:t>
      </w:r>
      <w:bookmarkEnd w:id="231"/>
      <w:bookmarkEnd w:id="232"/>
    </w:p>
    <w:p w14:paraId="1A1F1FC4">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未经对方同意，任何一方当事人不得将有关文件、技术秘密、需要保密的资料和信息泄露给他人或公开发表与引用。</w:t>
      </w:r>
    </w:p>
    <w:p w14:paraId="017E1CF6">
      <w:pPr>
        <w:pStyle w:val="6"/>
        <w:spacing w:before="0" w:after="0" w:line="360" w:lineRule="auto"/>
        <w:rPr>
          <w:rFonts w:hAnsi="宋体" w:eastAsia="宋体" w:cs="仿宋"/>
          <w:color w:val="auto"/>
          <w:sz w:val="21"/>
          <w:szCs w:val="21"/>
          <w:highlight w:val="none"/>
        </w:rPr>
      </w:pPr>
      <w:bookmarkStart w:id="233" w:name="_bookmark107"/>
      <w:bookmarkEnd w:id="233"/>
      <w:bookmarkStart w:id="234" w:name="_Toc20388254"/>
      <w:bookmarkStart w:id="235" w:name="_Toc18060951"/>
      <w:r>
        <w:rPr>
          <w:rFonts w:hint="eastAsia" w:hAnsi="宋体" w:eastAsia="宋体" w:cs="仿宋"/>
          <w:color w:val="auto"/>
          <w:sz w:val="21"/>
          <w:szCs w:val="21"/>
          <w:highlight w:val="none"/>
        </w:rPr>
        <w:t>1.12 委托人要求</w:t>
      </w:r>
      <w:bookmarkEnd w:id="234"/>
      <w:bookmarkEnd w:id="235"/>
    </w:p>
    <w:p w14:paraId="5DFC5524">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1.12.1  监理人应认真阅读、复核委托人要求，发现错误的，应及时书面通知委托人。无论是否存在错误，委托人均有权修改委托人要求，并在修改后 3 日内通知监理人。除专用合同条款另有约定外，由此导致监理人费用增加和(或)周期延误的，委托人应当相应地增加费用和(或) 延长周期。</w:t>
      </w:r>
    </w:p>
    <w:p w14:paraId="5AC697C5">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1.12.2 如果委托人要求违反法律规定，监理人应在发现后及时书面通知委托人，要求其改 正。委托人收到通知书后不予改正或不予答复的，监理人有权拒绝履行合同义务，直至解除合同；由此引起的监理人的全部损失由委托人承担。</w:t>
      </w:r>
    </w:p>
    <w:p w14:paraId="12F157AA">
      <w:pPr>
        <w:pStyle w:val="2"/>
        <w:spacing w:after="0" w:line="360" w:lineRule="auto"/>
        <w:ind w:left="100" w:right="116" w:firstLine="434"/>
        <w:rPr>
          <w:rFonts w:ascii="宋体" w:hAnsi="宋体" w:cs="仿宋"/>
          <w:color w:val="auto"/>
          <w:szCs w:val="21"/>
          <w:highlight w:val="none"/>
        </w:rPr>
      </w:pPr>
      <w:r>
        <w:rPr>
          <w:rFonts w:hint="eastAsia" w:ascii="宋体" w:hAnsi="宋体" w:cs="仿宋"/>
          <w:color w:val="auto"/>
          <w:szCs w:val="21"/>
          <w:highlight w:val="none"/>
        </w:rPr>
        <w:t>1.12.3 委托人要求采用国外规范和标准进行监理时，应由委托人负责提供该规范和标准的 外国文本和中文译本，提供的时间、份数和其他要求在专用合同条款中约定。</w:t>
      </w:r>
    </w:p>
    <w:p w14:paraId="31AA6D3C">
      <w:pPr>
        <w:pStyle w:val="5"/>
        <w:spacing w:before="0" w:after="0" w:line="360" w:lineRule="auto"/>
        <w:jc w:val="left"/>
        <w:rPr>
          <w:rFonts w:ascii="宋体" w:hAnsi="宋体" w:cs="仿宋"/>
          <w:color w:val="auto"/>
          <w:sz w:val="21"/>
          <w:szCs w:val="21"/>
          <w:highlight w:val="none"/>
        </w:rPr>
      </w:pPr>
      <w:bookmarkStart w:id="236" w:name="_bookmark108"/>
      <w:bookmarkEnd w:id="236"/>
      <w:bookmarkStart w:id="237" w:name="_Toc129859500"/>
      <w:bookmarkStart w:id="238" w:name="_Toc18060952"/>
      <w:bookmarkStart w:id="239" w:name="_Toc20388255"/>
      <w:bookmarkStart w:id="240" w:name="_Toc129859377"/>
      <w:r>
        <w:rPr>
          <w:rFonts w:hint="eastAsia" w:ascii="宋体" w:hAnsi="宋体" w:cs="仿宋"/>
          <w:color w:val="auto"/>
          <w:sz w:val="21"/>
          <w:szCs w:val="21"/>
          <w:highlight w:val="none"/>
        </w:rPr>
        <w:t>2.  委托人义务</w:t>
      </w:r>
      <w:bookmarkEnd w:id="237"/>
      <w:bookmarkEnd w:id="238"/>
      <w:bookmarkEnd w:id="239"/>
      <w:bookmarkEnd w:id="240"/>
    </w:p>
    <w:p w14:paraId="3BB6F729">
      <w:pPr>
        <w:pStyle w:val="6"/>
        <w:spacing w:before="0" w:after="0" w:line="360" w:lineRule="auto"/>
        <w:rPr>
          <w:rFonts w:hAnsi="宋体" w:eastAsia="宋体" w:cs="仿宋"/>
          <w:color w:val="auto"/>
          <w:sz w:val="21"/>
          <w:szCs w:val="21"/>
          <w:highlight w:val="none"/>
        </w:rPr>
      </w:pPr>
      <w:bookmarkStart w:id="241" w:name="_bookmark109"/>
      <w:bookmarkEnd w:id="241"/>
      <w:bookmarkStart w:id="242" w:name="_Toc20388256"/>
      <w:bookmarkStart w:id="243" w:name="_Toc18060953"/>
      <w:r>
        <w:rPr>
          <w:rFonts w:hint="eastAsia" w:hAnsi="宋体" w:eastAsia="宋体" w:cs="仿宋"/>
          <w:color w:val="auto"/>
          <w:sz w:val="21"/>
          <w:szCs w:val="21"/>
          <w:highlight w:val="none"/>
        </w:rPr>
        <w:t>2.1 遵守法律</w:t>
      </w:r>
      <w:bookmarkEnd w:id="242"/>
      <w:bookmarkEnd w:id="243"/>
    </w:p>
    <w:p w14:paraId="764B0BAE">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委托人在履行合同过程中应遵守法律，并保证监理人免于承担因委托人违反法律而引起的 任何责任。</w:t>
      </w:r>
    </w:p>
    <w:p w14:paraId="579F4887">
      <w:pPr>
        <w:pStyle w:val="6"/>
        <w:spacing w:before="0" w:after="0" w:line="360" w:lineRule="auto"/>
        <w:rPr>
          <w:rFonts w:hAnsi="宋体" w:eastAsia="宋体" w:cs="仿宋"/>
          <w:color w:val="auto"/>
          <w:sz w:val="21"/>
          <w:szCs w:val="21"/>
          <w:highlight w:val="none"/>
        </w:rPr>
      </w:pPr>
      <w:bookmarkStart w:id="244" w:name="_bookmark110"/>
      <w:bookmarkEnd w:id="244"/>
      <w:bookmarkStart w:id="245" w:name="_Toc18060954"/>
      <w:bookmarkStart w:id="246" w:name="_Toc20388257"/>
      <w:r>
        <w:rPr>
          <w:rFonts w:hint="eastAsia" w:hAnsi="宋体" w:eastAsia="宋体" w:cs="仿宋"/>
          <w:color w:val="auto"/>
          <w:sz w:val="21"/>
          <w:szCs w:val="21"/>
          <w:highlight w:val="none"/>
        </w:rPr>
        <w:t>2.2 发出开始监理通知</w:t>
      </w:r>
      <w:bookmarkEnd w:id="245"/>
      <w:bookmarkEnd w:id="246"/>
    </w:p>
    <w:p w14:paraId="38DCA585">
      <w:pPr>
        <w:pStyle w:val="2"/>
        <w:spacing w:after="0" w:line="360" w:lineRule="auto"/>
        <w:ind w:left="142" w:right="113" w:firstLine="270" w:firstLineChars="129"/>
        <w:rPr>
          <w:rFonts w:ascii="宋体" w:hAnsi="宋体" w:cs="仿宋"/>
          <w:color w:val="auto"/>
          <w:szCs w:val="21"/>
          <w:highlight w:val="none"/>
        </w:rPr>
      </w:pPr>
      <w:r>
        <w:rPr>
          <w:rFonts w:hint="eastAsia" w:ascii="宋体" w:hAnsi="宋体" w:cs="仿宋"/>
          <w:color w:val="auto"/>
          <w:szCs w:val="21"/>
          <w:highlight w:val="none"/>
        </w:rPr>
        <w:t>委托人应按第 6.1 款的约定向监理人发出开始监理通知。 除专用合同条款另有约定外，委托人应为监理人的现场人员，在施工期间提供办公房间、办公桌椅、互联网接口、冷暖设施、生活设施、进出现场交通服务和其他便利条件。</w:t>
      </w:r>
    </w:p>
    <w:p w14:paraId="42B8E61B">
      <w:pPr>
        <w:pStyle w:val="6"/>
        <w:spacing w:before="0" w:after="0" w:line="360" w:lineRule="auto"/>
        <w:rPr>
          <w:rFonts w:hAnsi="宋体" w:eastAsia="宋体" w:cs="仿宋"/>
          <w:color w:val="auto"/>
          <w:sz w:val="21"/>
          <w:szCs w:val="21"/>
          <w:highlight w:val="none"/>
        </w:rPr>
      </w:pPr>
      <w:bookmarkStart w:id="247" w:name="_Toc18060955"/>
      <w:bookmarkStart w:id="248" w:name="_Toc20388258"/>
      <w:r>
        <w:rPr>
          <w:rFonts w:hint="eastAsia" w:hAnsi="宋体" w:eastAsia="宋体" w:cs="仿宋"/>
          <w:color w:val="auto"/>
          <w:sz w:val="21"/>
          <w:szCs w:val="21"/>
          <w:highlight w:val="none"/>
        </w:rPr>
        <w:t>2.3 办理证件和批件</w:t>
      </w:r>
      <w:bookmarkEnd w:id="247"/>
      <w:bookmarkEnd w:id="248"/>
    </w:p>
    <w:p w14:paraId="467B415E">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法律规定和（或）合同约定由委托人负责办理的工程建设项目必须履行的各类审批、核准或备案手续，委托人应当按时办理，监理人应给予必要的协助。</w:t>
      </w:r>
    </w:p>
    <w:p w14:paraId="6AB7AF6C">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法律规定和（或）合同约定由监理人负责办理的监理所需的证件和批件，委托人应给予必要的协助。</w:t>
      </w:r>
    </w:p>
    <w:p w14:paraId="61D206F2">
      <w:pPr>
        <w:pStyle w:val="6"/>
        <w:spacing w:before="0" w:after="0" w:line="360" w:lineRule="auto"/>
        <w:rPr>
          <w:rFonts w:hAnsi="宋体" w:eastAsia="宋体" w:cs="仿宋"/>
          <w:color w:val="auto"/>
          <w:sz w:val="21"/>
          <w:szCs w:val="21"/>
          <w:highlight w:val="none"/>
        </w:rPr>
      </w:pPr>
      <w:bookmarkStart w:id="249" w:name="_bookmark112"/>
      <w:bookmarkEnd w:id="249"/>
      <w:bookmarkStart w:id="250" w:name="_Toc20388259"/>
      <w:bookmarkStart w:id="251" w:name="_Toc18060956"/>
      <w:r>
        <w:rPr>
          <w:rFonts w:hint="eastAsia" w:hAnsi="宋体" w:eastAsia="宋体" w:cs="仿宋"/>
          <w:color w:val="auto"/>
          <w:sz w:val="21"/>
          <w:szCs w:val="21"/>
          <w:highlight w:val="none"/>
        </w:rPr>
        <w:t>2.4 支付合同价款</w:t>
      </w:r>
      <w:bookmarkEnd w:id="250"/>
      <w:bookmarkEnd w:id="251"/>
    </w:p>
    <w:p w14:paraId="291EB349">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委托人应按合同约定向监理人及时支付合同价款。</w:t>
      </w:r>
    </w:p>
    <w:p w14:paraId="385B58A7">
      <w:pPr>
        <w:pStyle w:val="6"/>
        <w:spacing w:before="0" w:after="0" w:line="360" w:lineRule="auto"/>
        <w:rPr>
          <w:rFonts w:hAnsi="宋体" w:eastAsia="宋体" w:cs="仿宋"/>
          <w:color w:val="auto"/>
          <w:sz w:val="21"/>
          <w:szCs w:val="21"/>
          <w:highlight w:val="none"/>
        </w:rPr>
      </w:pPr>
      <w:bookmarkStart w:id="252" w:name="_bookmark113"/>
      <w:bookmarkEnd w:id="252"/>
      <w:bookmarkStart w:id="253" w:name="_Toc20388260"/>
      <w:bookmarkStart w:id="254" w:name="_Toc18060957"/>
      <w:r>
        <w:rPr>
          <w:rFonts w:hint="eastAsia" w:hAnsi="宋体" w:eastAsia="宋体" w:cs="仿宋"/>
          <w:color w:val="auto"/>
          <w:sz w:val="21"/>
          <w:szCs w:val="21"/>
          <w:highlight w:val="none"/>
        </w:rPr>
        <w:t>2.5 提供监理资料</w:t>
      </w:r>
      <w:bookmarkEnd w:id="253"/>
      <w:bookmarkEnd w:id="254"/>
    </w:p>
    <w:p w14:paraId="3FFC1EE3">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委托人应按第 1.6.2 项的约定向监理人提供监理资料。</w:t>
      </w:r>
    </w:p>
    <w:p w14:paraId="4CA9008A">
      <w:pPr>
        <w:pStyle w:val="6"/>
        <w:spacing w:before="0" w:after="0" w:line="360" w:lineRule="auto"/>
        <w:rPr>
          <w:rFonts w:hAnsi="宋体" w:eastAsia="宋体" w:cs="仿宋"/>
          <w:color w:val="auto"/>
          <w:sz w:val="21"/>
          <w:szCs w:val="21"/>
          <w:highlight w:val="none"/>
        </w:rPr>
      </w:pPr>
      <w:bookmarkStart w:id="255" w:name="_bookmark114"/>
      <w:bookmarkEnd w:id="255"/>
      <w:bookmarkStart w:id="256" w:name="_Toc20388261"/>
      <w:bookmarkStart w:id="257" w:name="_Toc18060958"/>
      <w:r>
        <w:rPr>
          <w:rFonts w:hint="eastAsia" w:hAnsi="宋体" w:eastAsia="宋体" w:cs="仿宋"/>
          <w:color w:val="auto"/>
          <w:sz w:val="21"/>
          <w:szCs w:val="21"/>
          <w:highlight w:val="none"/>
        </w:rPr>
        <w:t>2.6 其他义务</w:t>
      </w:r>
      <w:bookmarkEnd w:id="256"/>
      <w:bookmarkEnd w:id="257"/>
    </w:p>
    <w:p w14:paraId="189BBF01">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委托人应履行合同约定的其他义务。</w:t>
      </w:r>
    </w:p>
    <w:p w14:paraId="5CF2B169">
      <w:pPr>
        <w:pStyle w:val="5"/>
        <w:spacing w:before="0" w:after="0" w:line="360" w:lineRule="auto"/>
        <w:jc w:val="left"/>
        <w:rPr>
          <w:rFonts w:ascii="宋体" w:hAnsi="宋体" w:cs="仿宋"/>
          <w:color w:val="auto"/>
          <w:sz w:val="21"/>
          <w:szCs w:val="21"/>
          <w:highlight w:val="none"/>
        </w:rPr>
      </w:pPr>
      <w:bookmarkStart w:id="258" w:name="_bookmark115"/>
      <w:bookmarkEnd w:id="258"/>
      <w:bookmarkStart w:id="259" w:name="_Toc129859501"/>
      <w:bookmarkStart w:id="260" w:name="_Toc18060959"/>
      <w:bookmarkStart w:id="261" w:name="_Toc129859378"/>
      <w:bookmarkStart w:id="262" w:name="_Toc20388262"/>
      <w:r>
        <w:rPr>
          <w:rFonts w:hint="eastAsia" w:ascii="宋体" w:hAnsi="宋体" w:cs="仿宋"/>
          <w:color w:val="auto"/>
          <w:sz w:val="21"/>
          <w:szCs w:val="21"/>
          <w:highlight w:val="none"/>
        </w:rPr>
        <w:t>3.  委托人管理</w:t>
      </w:r>
      <w:bookmarkEnd w:id="259"/>
      <w:bookmarkEnd w:id="260"/>
      <w:bookmarkEnd w:id="261"/>
      <w:bookmarkEnd w:id="262"/>
    </w:p>
    <w:p w14:paraId="5DA805CF">
      <w:pPr>
        <w:pStyle w:val="6"/>
        <w:spacing w:before="0" w:after="0" w:line="360" w:lineRule="auto"/>
        <w:rPr>
          <w:rFonts w:hAnsi="宋体" w:eastAsia="宋体" w:cs="仿宋"/>
          <w:color w:val="auto"/>
          <w:sz w:val="21"/>
          <w:szCs w:val="21"/>
          <w:highlight w:val="none"/>
        </w:rPr>
      </w:pPr>
      <w:bookmarkStart w:id="263" w:name="_bookmark116"/>
      <w:bookmarkEnd w:id="263"/>
      <w:bookmarkStart w:id="264" w:name="_Toc18060960"/>
      <w:bookmarkStart w:id="265" w:name="_Toc20388263"/>
      <w:r>
        <w:rPr>
          <w:rFonts w:hint="eastAsia" w:hAnsi="宋体" w:eastAsia="宋体" w:cs="仿宋"/>
          <w:color w:val="auto"/>
          <w:sz w:val="21"/>
          <w:szCs w:val="21"/>
          <w:highlight w:val="none"/>
        </w:rPr>
        <w:t>3.1 委托人代表</w:t>
      </w:r>
      <w:bookmarkEnd w:id="264"/>
      <w:bookmarkEnd w:id="265"/>
    </w:p>
    <w:p w14:paraId="5396D4ED">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3.1.1 除专用合同条款另有约定外，委托人应在合同签订后 14 天内，将委托人代表的姓名、 职务、联系方式、授权范围和授权期限书面通知监理人，由委托人代表在其授权范围和授权期限内，代表委托人行使权利、履行义务和处理合同履行中的具体事宜。委托人代表在授权范围内的行为由委托人承担法律责任。</w:t>
      </w:r>
    </w:p>
    <w:p w14:paraId="6D980C8C">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3.1.2  委托人代表违反法律法规、违背职业道德守则或者不按合同约定履行职责及义务，导致合同无法继续正常履行的，监理人有权通知委托人更换委托人代表。委托人收到通知后 7 天 内，应当核实完毕并将处理结果通知监理人。</w:t>
      </w:r>
    </w:p>
    <w:p w14:paraId="5F912F78">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3.1.3  委托人更换委托人代表的，应提前 14天将更换人员的姓名、职务、联系方式、授权范围和授权期限书面通知监理人。委托人代表超过2天不能履行职责的，应委派代表代行其职责，并通知监理人。</w:t>
      </w:r>
    </w:p>
    <w:p w14:paraId="0F90718C">
      <w:pPr>
        <w:pStyle w:val="6"/>
        <w:spacing w:before="0" w:after="0" w:line="360" w:lineRule="auto"/>
        <w:rPr>
          <w:rFonts w:hAnsi="宋体" w:eastAsia="宋体" w:cs="仿宋"/>
          <w:color w:val="auto"/>
          <w:sz w:val="21"/>
          <w:szCs w:val="21"/>
          <w:highlight w:val="none"/>
        </w:rPr>
      </w:pPr>
      <w:bookmarkStart w:id="266" w:name="_bookmark117"/>
      <w:bookmarkEnd w:id="266"/>
      <w:bookmarkStart w:id="267" w:name="_Toc20388264"/>
      <w:bookmarkStart w:id="268" w:name="_Toc18060961"/>
      <w:r>
        <w:rPr>
          <w:rFonts w:hint="eastAsia" w:hAnsi="宋体" w:eastAsia="宋体" w:cs="仿宋"/>
          <w:color w:val="auto"/>
          <w:sz w:val="21"/>
          <w:szCs w:val="21"/>
          <w:highlight w:val="none"/>
        </w:rPr>
        <w:t>3.2 委托人的指示</w:t>
      </w:r>
      <w:bookmarkEnd w:id="267"/>
      <w:bookmarkEnd w:id="268"/>
    </w:p>
    <w:p w14:paraId="212BFE00">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3.2.1 委托人应按合同约定向监理人发出指示，委托人的指示应盖有委托人单位章，并由委 托人代表签字确认。</w:t>
      </w:r>
    </w:p>
    <w:p w14:paraId="5384D0F1">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3.2.2 监理人收到委托人作出的指示后应遵照执行。指示构成变更的，应按第8条执行。</w:t>
      </w:r>
    </w:p>
    <w:p w14:paraId="19B45A1F">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3.2.3 在紧急情况下，委托人代表或其授权人员可以当场签发临时书面指示，监理人应遵照执行。委托人代表应在临时书面指示发出后24小时内发出书面确认函，逾期未发出书面确认函的，该临时书面指示应被视为委托人的正式指示。</w:t>
      </w:r>
    </w:p>
    <w:p w14:paraId="50392893">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3.2.4 由于委托人未能按合同约定发出指示、指示延误或指示错误而导致监理人费用增加和（或）周期延误的，委托人应承担由此增加的费用和（或）周期延误。</w:t>
      </w:r>
    </w:p>
    <w:p w14:paraId="656AB43E">
      <w:pPr>
        <w:pStyle w:val="6"/>
        <w:spacing w:before="0" w:after="0" w:line="360" w:lineRule="auto"/>
        <w:rPr>
          <w:rFonts w:hAnsi="宋体" w:eastAsia="宋体" w:cs="仿宋"/>
          <w:color w:val="auto"/>
          <w:sz w:val="21"/>
          <w:szCs w:val="21"/>
          <w:highlight w:val="none"/>
        </w:rPr>
      </w:pPr>
      <w:bookmarkStart w:id="269" w:name="_bookmark118"/>
      <w:bookmarkEnd w:id="269"/>
      <w:bookmarkStart w:id="270" w:name="_Toc18060962"/>
      <w:bookmarkStart w:id="271" w:name="_Toc20388265"/>
      <w:r>
        <w:rPr>
          <w:rFonts w:hint="eastAsia" w:hAnsi="宋体" w:eastAsia="宋体" w:cs="仿宋"/>
          <w:color w:val="auto"/>
          <w:sz w:val="21"/>
          <w:szCs w:val="21"/>
          <w:highlight w:val="none"/>
        </w:rPr>
        <w:t>3.3 决定或答复</w:t>
      </w:r>
      <w:bookmarkEnd w:id="270"/>
      <w:bookmarkEnd w:id="271"/>
    </w:p>
    <w:p w14:paraId="32A266F0">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3.3.1 委托人在法律允许的范围内有权对监理人的监理工作和/或监理文件作出处理决定，监理人应按照委托人的决定执行，涉及监理服务期限或监理报酬等问题按第 8 条的约定处理。</w:t>
      </w:r>
    </w:p>
    <w:p w14:paraId="14E34E37">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3.3.2 委托人应在专用合同条款约定的时间之内，对监理人书面提出的事项作出书面答复； 逾期没有做出答复的，视为已获得委托人的批准。</w:t>
      </w:r>
    </w:p>
    <w:p w14:paraId="517F1686">
      <w:pPr>
        <w:pStyle w:val="5"/>
        <w:spacing w:before="0" w:after="0" w:line="360" w:lineRule="auto"/>
        <w:jc w:val="left"/>
        <w:rPr>
          <w:rFonts w:ascii="宋体" w:hAnsi="宋体" w:cs="仿宋"/>
          <w:color w:val="auto"/>
          <w:sz w:val="21"/>
          <w:szCs w:val="21"/>
          <w:highlight w:val="none"/>
        </w:rPr>
      </w:pPr>
      <w:bookmarkStart w:id="272" w:name="_bookmark119"/>
      <w:bookmarkEnd w:id="272"/>
      <w:bookmarkStart w:id="273" w:name="_Toc20388266"/>
      <w:bookmarkStart w:id="274" w:name="_Toc18060963"/>
      <w:bookmarkStart w:id="275" w:name="_Toc129859502"/>
      <w:bookmarkStart w:id="276" w:name="_Toc129859379"/>
      <w:r>
        <w:rPr>
          <w:rFonts w:hint="eastAsia" w:ascii="宋体" w:hAnsi="宋体" w:cs="仿宋"/>
          <w:color w:val="auto"/>
          <w:sz w:val="21"/>
          <w:szCs w:val="21"/>
          <w:highlight w:val="none"/>
        </w:rPr>
        <w:t>4.  监理人义务</w:t>
      </w:r>
      <w:bookmarkEnd w:id="273"/>
      <w:bookmarkEnd w:id="274"/>
      <w:bookmarkEnd w:id="275"/>
      <w:bookmarkEnd w:id="276"/>
    </w:p>
    <w:p w14:paraId="335D9A3E">
      <w:pPr>
        <w:pStyle w:val="6"/>
        <w:spacing w:before="0" w:after="0" w:line="360" w:lineRule="auto"/>
        <w:rPr>
          <w:rFonts w:hAnsi="宋体" w:eastAsia="宋体" w:cs="仿宋"/>
          <w:color w:val="auto"/>
          <w:sz w:val="21"/>
          <w:szCs w:val="21"/>
          <w:highlight w:val="none"/>
        </w:rPr>
      </w:pPr>
      <w:bookmarkStart w:id="277" w:name="_bookmark120"/>
      <w:bookmarkEnd w:id="277"/>
      <w:bookmarkStart w:id="278" w:name="_Toc20388267"/>
      <w:bookmarkStart w:id="279" w:name="_Toc18060964"/>
      <w:r>
        <w:rPr>
          <w:rFonts w:hint="eastAsia" w:hAnsi="宋体" w:eastAsia="宋体" w:cs="仿宋"/>
          <w:color w:val="auto"/>
          <w:sz w:val="21"/>
          <w:szCs w:val="21"/>
          <w:highlight w:val="none"/>
        </w:rPr>
        <w:t>4.1 监理人的一般义务</w:t>
      </w:r>
      <w:bookmarkEnd w:id="278"/>
      <w:bookmarkEnd w:id="279"/>
    </w:p>
    <w:p w14:paraId="43C9C9CA">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4.1.1 遵守法律监理人在履行合同过程中应遵守法律，并保证委托人免于承担因监理人违反法律而引起的任何责任。</w:t>
      </w:r>
    </w:p>
    <w:p w14:paraId="0E0D07CB">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 xml:space="preserve">4.1.2 依法纳税监理人应按有关法律规定纳税，应缴纳的税金（含增值税）包括在合同价格之中。 </w:t>
      </w:r>
    </w:p>
    <w:p w14:paraId="3F509616">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4.1.3  完成全部监理工作</w:t>
      </w:r>
    </w:p>
    <w:p w14:paraId="310A00DE">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监理人应按合同约定以及委托人要求，完成合同约定的全部工作，并对工作中的任何缺陷进行整改，使其满足合同约定的目的。</w:t>
      </w:r>
    </w:p>
    <w:p w14:paraId="4AF8945B">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4.1.4  其他义务</w:t>
      </w:r>
    </w:p>
    <w:p w14:paraId="6B591334">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监理人应履行合</w:t>
      </w:r>
      <w:r>
        <w:rPr>
          <w:rFonts w:hint="eastAsia" w:ascii="宋体" w:hAnsi="宋体" w:cs="仿宋"/>
          <w:bCs/>
          <w:color w:val="auto"/>
          <w:szCs w:val="21"/>
          <w:highlight w:val="none"/>
        </w:rPr>
        <w:t>同约定的</w:t>
      </w:r>
      <w:r>
        <w:rPr>
          <w:rFonts w:hint="eastAsia" w:ascii="宋体" w:hAnsi="宋体" w:cs="仿宋"/>
          <w:color w:val="auto"/>
          <w:szCs w:val="21"/>
          <w:highlight w:val="none"/>
        </w:rPr>
        <w:t>其他义务。</w:t>
      </w:r>
    </w:p>
    <w:p w14:paraId="78051363">
      <w:pPr>
        <w:pStyle w:val="6"/>
        <w:spacing w:before="0" w:after="0" w:line="360" w:lineRule="auto"/>
        <w:rPr>
          <w:rFonts w:hAnsi="宋体" w:eastAsia="宋体" w:cs="仿宋"/>
          <w:color w:val="auto"/>
          <w:sz w:val="21"/>
          <w:szCs w:val="21"/>
          <w:highlight w:val="none"/>
        </w:rPr>
      </w:pPr>
      <w:bookmarkStart w:id="280" w:name="_bookmark121"/>
      <w:bookmarkEnd w:id="280"/>
      <w:bookmarkStart w:id="281" w:name="_Toc18060965"/>
      <w:bookmarkStart w:id="282" w:name="_Toc20388268"/>
      <w:r>
        <w:rPr>
          <w:rFonts w:hint="eastAsia" w:hAnsi="宋体" w:eastAsia="宋体" w:cs="仿宋"/>
          <w:color w:val="auto"/>
          <w:sz w:val="21"/>
          <w:szCs w:val="21"/>
          <w:highlight w:val="none"/>
        </w:rPr>
        <w:t>4.2 履约保证金</w:t>
      </w:r>
      <w:bookmarkEnd w:id="281"/>
      <w:bookmarkEnd w:id="282"/>
    </w:p>
    <w:p w14:paraId="6F64A483">
      <w:pPr>
        <w:pStyle w:val="2"/>
        <w:spacing w:after="0" w:line="360" w:lineRule="auto"/>
        <w:ind w:left="100" w:right="213" w:firstLine="419"/>
        <w:rPr>
          <w:rFonts w:ascii="宋体" w:hAnsi="宋体" w:cs="仿宋"/>
          <w:color w:val="auto"/>
          <w:szCs w:val="21"/>
          <w:highlight w:val="none"/>
        </w:rPr>
      </w:pPr>
      <w:r>
        <w:rPr>
          <w:rFonts w:hint="eastAsia" w:ascii="宋体" w:hAnsi="宋体" w:cs="仿宋"/>
          <w:color w:val="auto"/>
          <w:szCs w:val="21"/>
          <w:highlight w:val="none"/>
        </w:rPr>
        <w:t>除专用合同条款另有约定外，履约保证金自合同生效之日起生效，在委托人签发竣工验收证书之日起 28 日后失效。如果监理人不履行合同约定的义务或其履行不符合合同的约定，委托人有权扣划相应金额的履约保证金。</w:t>
      </w:r>
    </w:p>
    <w:p w14:paraId="79DE5864">
      <w:pPr>
        <w:pStyle w:val="6"/>
        <w:spacing w:before="0" w:after="0" w:line="360" w:lineRule="auto"/>
        <w:rPr>
          <w:rFonts w:hAnsi="宋体" w:eastAsia="宋体" w:cs="仿宋"/>
          <w:color w:val="auto"/>
          <w:sz w:val="21"/>
          <w:szCs w:val="21"/>
          <w:highlight w:val="none"/>
        </w:rPr>
      </w:pPr>
      <w:bookmarkStart w:id="283" w:name="_bookmark122"/>
      <w:bookmarkEnd w:id="283"/>
      <w:bookmarkStart w:id="284" w:name="_Toc18060966"/>
      <w:bookmarkStart w:id="285" w:name="_Toc20388269"/>
      <w:r>
        <w:rPr>
          <w:rFonts w:hint="eastAsia" w:hAnsi="宋体" w:eastAsia="宋体" w:cs="仿宋"/>
          <w:color w:val="auto"/>
          <w:sz w:val="21"/>
          <w:szCs w:val="21"/>
          <w:highlight w:val="none"/>
        </w:rPr>
        <w:t>4.3 联合体</w:t>
      </w:r>
      <w:bookmarkEnd w:id="284"/>
      <w:bookmarkEnd w:id="285"/>
    </w:p>
    <w:p w14:paraId="7983BE79">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4.3.1 联合体各方应共同与委托人签订合同。联合体各方应为履行合同承担连带责任。</w:t>
      </w:r>
    </w:p>
    <w:p w14:paraId="5A60D341">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4.3.2 联合体协议经委托人确认后作为合同附件。在履行合同过程中，未经委托人同意，不得修改联合体协议。</w:t>
      </w:r>
    </w:p>
    <w:p w14:paraId="00A613AF">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4.3.3 联合体牵头人或联合体授权的代表负责与委托人联系，并接受指示，负责组织联合体各成员全面履行合同。</w:t>
      </w:r>
    </w:p>
    <w:p w14:paraId="10EC5F94">
      <w:pPr>
        <w:pStyle w:val="6"/>
        <w:spacing w:before="0" w:after="0" w:line="360" w:lineRule="auto"/>
        <w:rPr>
          <w:rFonts w:hAnsi="宋体" w:eastAsia="宋体" w:cs="仿宋"/>
          <w:color w:val="auto"/>
          <w:sz w:val="21"/>
          <w:szCs w:val="21"/>
          <w:highlight w:val="none"/>
        </w:rPr>
      </w:pPr>
      <w:bookmarkStart w:id="286" w:name="_bookmark123"/>
      <w:bookmarkEnd w:id="286"/>
      <w:bookmarkStart w:id="287" w:name="_Toc20388270"/>
      <w:bookmarkStart w:id="288" w:name="_Toc18060967"/>
      <w:r>
        <w:rPr>
          <w:rFonts w:hint="eastAsia" w:hAnsi="宋体" w:eastAsia="宋体" w:cs="仿宋"/>
          <w:color w:val="auto"/>
          <w:sz w:val="21"/>
          <w:szCs w:val="21"/>
          <w:highlight w:val="none"/>
        </w:rPr>
        <w:t>4.4 总监理工程师</w:t>
      </w:r>
      <w:bookmarkEnd w:id="287"/>
      <w:bookmarkEnd w:id="288"/>
    </w:p>
    <w:p w14:paraId="123AD71E">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4.4.1 监理人应按合同协议书的约定指派总监理工程师，并在约定的期限内到职。监理人更换总监理工程师应事先征得委托人同意，并应在更换 14 天前将拟更换的总监理工程师的姓名和详细资料提交委托人。总监理工程师 2 天内不能履行职责的，应事先征得委托人同意，并委派代表代行其职责。</w:t>
      </w:r>
    </w:p>
    <w:p w14:paraId="39DAFE79">
      <w:pPr>
        <w:pStyle w:val="2"/>
        <w:spacing w:after="0" w:line="360" w:lineRule="auto"/>
        <w:ind w:left="100" w:right="214" w:firstLine="419"/>
        <w:rPr>
          <w:rFonts w:ascii="宋体" w:hAnsi="宋体" w:cs="仿宋"/>
          <w:color w:val="auto"/>
          <w:szCs w:val="21"/>
          <w:highlight w:val="none"/>
        </w:rPr>
      </w:pPr>
      <w:r>
        <w:rPr>
          <w:rFonts w:hint="eastAsia" w:ascii="宋体" w:hAnsi="宋体" w:cs="仿宋"/>
          <w:color w:val="auto"/>
          <w:szCs w:val="21"/>
          <w:highlight w:val="none"/>
        </w:rPr>
        <w:t>4.4.2 总监理工程师应按合同约定以及委托人要求，负责组织合同工作的实施。在情况紧急且无法与委托人取得联系时，可采取保证工程和人员生命财产安全的紧急措施，并在采取措施后 24 小时内向委托人提交书面报告。</w:t>
      </w:r>
    </w:p>
    <w:p w14:paraId="731964FD">
      <w:pPr>
        <w:pStyle w:val="2"/>
        <w:spacing w:after="0" w:line="360" w:lineRule="auto"/>
        <w:ind w:left="100" w:right="222" w:firstLine="419"/>
        <w:rPr>
          <w:rFonts w:ascii="宋体" w:hAnsi="宋体" w:cs="仿宋"/>
          <w:color w:val="auto"/>
          <w:szCs w:val="21"/>
          <w:highlight w:val="none"/>
        </w:rPr>
      </w:pPr>
      <w:r>
        <w:rPr>
          <w:rFonts w:hint="eastAsia" w:ascii="宋体" w:hAnsi="宋体" w:cs="仿宋"/>
          <w:color w:val="auto"/>
          <w:szCs w:val="21"/>
          <w:highlight w:val="none"/>
        </w:rPr>
        <w:t>4.4.3 监理人为履行合同发出的一切函件均应盖有监理人单位章或由监理人授权的项目机 构章，并由监理人的总监理工程师签字确认。</w:t>
      </w:r>
    </w:p>
    <w:p w14:paraId="165A629C">
      <w:pPr>
        <w:pStyle w:val="2"/>
        <w:spacing w:after="0" w:line="360" w:lineRule="auto"/>
        <w:ind w:left="100" w:right="213" w:firstLine="419"/>
        <w:rPr>
          <w:rFonts w:ascii="宋体" w:hAnsi="宋体" w:cs="仿宋"/>
          <w:color w:val="auto"/>
          <w:szCs w:val="21"/>
          <w:highlight w:val="none"/>
        </w:rPr>
      </w:pPr>
      <w:r>
        <w:rPr>
          <w:rFonts w:hint="eastAsia" w:ascii="宋体" w:hAnsi="宋体" w:cs="仿宋"/>
          <w:color w:val="auto"/>
          <w:szCs w:val="21"/>
          <w:highlight w:val="none"/>
        </w:rPr>
        <w:t>4.4.4 按照专用合同条款约定，总监理工程师可以授权其下属人员履行其某项职责，但事先应将这些人员的姓名和授权范围书面通知委托人和承包人。</w:t>
      </w:r>
    </w:p>
    <w:p w14:paraId="24AE268F">
      <w:pPr>
        <w:pStyle w:val="6"/>
        <w:spacing w:before="0" w:after="0" w:line="360" w:lineRule="auto"/>
        <w:rPr>
          <w:rFonts w:hAnsi="宋体" w:eastAsia="宋体" w:cs="仿宋"/>
          <w:color w:val="auto"/>
          <w:sz w:val="21"/>
          <w:szCs w:val="21"/>
          <w:highlight w:val="none"/>
        </w:rPr>
      </w:pPr>
      <w:bookmarkStart w:id="289" w:name="_bookmark124"/>
      <w:bookmarkEnd w:id="289"/>
      <w:bookmarkStart w:id="290" w:name="_Toc20388271"/>
      <w:bookmarkStart w:id="291" w:name="_Toc18060968"/>
      <w:r>
        <w:rPr>
          <w:rFonts w:hint="eastAsia" w:hAnsi="宋体" w:eastAsia="宋体" w:cs="仿宋"/>
          <w:color w:val="auto"/>
          <w:sz w:val="21"/>
          <w:szCs w:val="21"/>
          <w:highlight w:val="none"/>
        </w:rPr>
        <w:t>4.5 监理人员的管理</w:t>
      </w:r>
      <w:bookmarkEnd w:id="290"/>
      <w:bookmarkEnd w:id="291"/>
    </w:p>
    <w:p w14:paraId="41CD1245">
      <w:pPr>
        <w:pStyle w:val="2"/>
        <w:spacing w:after="0" w:line="360" w:lineRule="auto"/>
        <w:ind w:left="100" w:right="211" w:firstLine="419"/>
        <w:rPr>
          <w:rFonts w:ascii="宋体" w:hAnsi="宋体" w:cs="仿宋"/>
          <w:color w:val="auto"/>
          <w:szCs w:val="21"/>
          <w:highlight w:val="none"/>
        </w:rPr>
      </w:pPr>
      <w:r>
        <w:rPr>
          <w:rFonts w:hint="eastAsia" w:ascii="宋体" w:hAnsi="宋体" w:cs="仿宋"/>
          <w:color w:val="auto"/>
          <w:szCs w:val="21"/>
          <w:highlight w:val="none"/>
        </w:rPr>
        <w:t>4.5.1 监理人应在接到开始监理通知之日起 7天内，向委托人提交监理项目机构以及人员安排的报告，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 4.4.1 项规定执行。</w:t>
      </w:r>
    </w:p>
    <w:p w14:paraId="0F188C9E">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4.5.2 除专用合同条款另有约定外，主要监理人员包括总监理工程师、专业监理工程师等； 其他人员包括各专业的监理员、资料员等。</w:t>
      </w:r>
    </w:p>
    <w:p w14:paraId="5131CA0F">
      <w:pPr>
        <w:pStyle w:val="2"/>
        <w:spacing w:after="0" w:line="360" w:lineRule="auto"/>
        <w:ind w:left="100" w:right="213" w:firstLine="419"/>
        <w:rPr>
          <w:rFonts w:ascii="宋体" w:hAnsi="宋体" w:cs="仿宋"/>
          <w:color w:val="auto"/>
          <w:szCs w:val="21"/>
          <w:highlight w:val="none"/>
        </w:rPr>
      </w:pPr>
      <w:r>
        <w:rPr>
          <w:rFonts w:hint="eastAsia" w:ascii="宋体" w:hAnsi="宋体" w:cs="仿宋"/>
          <w:color w:val="auto"/>
          <w:szCs w:val="21"/>
          <w:highlight w:val="none"/>
        </w:rPr>
        <w:t>4.5.3 监理人应保证其主要监理人员在合同期限内的任何时候，都能按时参加委托人组织的工作会议。</w:t>
      </w:r>
    </w:p>
    <w:p w14:paraId="2720A567">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4.5.4 国家规定应当持证上岗的工作人员均应持有相应的资格证明，委托人有权随时检查。 委托人认为有必要时，可以进行现场考核。</w:t>
      </w:r>
    </w:p>
    <w:p w14:paraId="0DFA2969">
      <w:pPr>
        <w:pStyle w:val="6"/>
        <w:spacing w:before="0" w:after="0" w:line="360" w:lineRule="auto"/>
        <w:rPr>
          <w:rFonts w:hAnsi="宋体" w:eastAsia="宋体" w:cs="仿宋"/>
          <w:color w:val="auto"/>
          <w:sz w:val="21"/>
          <w:szCs w:val="21"/>
          <w:highlight w:val="none"/>
        </w:rPr>
      </w:pPr>
      <w:bookmarkStart w:id="292" w:name="_bookmark125"/>
      <w:bookmarkEnd w:id="292"/>
      <w:bookmarkStart w:id="293" w:name="_Toc20388272"/>
      <w:bookmarkStart w:id="294" w:name="_Toc18060969"/>
      <w:r>
        <w:rPr>
          <w:rFonts w:hint="eastAsia" w:hAnsi="宋体" w:eastAsia="宋体" w:cs="仿宋"/>
          <w:color w:val="auto"/>
          <w:sz w:val="21"/>
          <w:szCs w:val="21"/>
          <w:highlight w:val="none"/>
        </w:rPr>
        <w:t>4.6 撤换总监理工程师和其他人员</w:t>
      </w:r>
      <w:bookmarkEnd w:id="293"/>
      <w:bookmarkEnd w:id="294"/>
    </w:p>
    <w:p w14:paraId="0C133462">
      <w:pPr>
        <w:pStyle w:val="2"/>
        <w:spacing w:after="0" w:line="360" w:lineRule="auto"/>
        <w:ind w:left="100" w:right="21" w:firstLine="419"/>
        <w:rPr>
          <w:rFonts w:ascii="宋体" w:hAnsi="宋体" w:cs="仿宋"/>
          <w:color w:val="auto"/>
          <w:szCs w:val="21"/>
          <w:highlight w:val="none"/>
        </w:rPr>
      </w:pPr>
      <w:r>
        <w:rPr>
          <w:rFonts w:hint="eastAsia" w:ascii="宋体" w:hAnsi="宋体" w:cs="仿宋"/>
          <w:color w:val="auto"/>
          <w:szCs w:val="21"/>
          <w:highlight w:val="none"/>
        </w:rPr>
        <w:t>监理人应对其总监理工程师和其他人员进行有效管理。委托人要求撤换不能胜任本职工作、 行为不端或玩忽职守的总监理工程师和其他人员的，监理人应予以撤换。</w:t>
      </w:r>
    </w:p>
    <w:p w14:paraId="6660F8B8">
      <w:pPr>
        <w:pStyle w:val="6"/>
        <w:spacing w:before="0" w:after="0" w:line="360" w:lineRule="auto"/>
        <w:rPr>
          <w:rFonts w:hAnsi="宋体" w:eastAsia="宋体" w:cs="仿宋"/>
          <w:color w:val="auto"/>
          <w:sz w:val="21"/>
          <w:szCs w:val="21"/>
          <w:highlight w:val="none"/>
        </w:rPr>
      </w:pPr>
      <w:bookmarkStart w:id="295" w:name="_Toc18060970"/>
      <w:bookmarkStart w:id="296" w:name="_Toc20388273"/>
      <w:r>
        <w:rPr>
          <w:rFonts w:hint="eastAsia" w:hAnsi="宋体" w:eastAsia="宋体" w:cs="仿宋"/>
          <w:color w:val="auto"/>
          <w:sz w:val="21"/>
          <w:szCs w:val="21"/>
          <w:highlight w:val="none"/>
        </w:rPr>
        <w:t>4.7 保障人员的合法权益</w:t>
      </w:r>
      <w:bookmarkEnd w:id="295"/>
      <w:bookmarkEnd w:id="296"/>
    </w:p>
    <w:p w14:paraId="1BFA885A">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4.7.1 监理人应与其雇佣的人员签订劳动合同，并按时发放工资。</w:t>
      </w:r>
    </w:p>
    <w:p w14:paraId="55CA86CC">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4.7.2 监理人应按劳动法的规定安排工作时间，保证其雇佣人员享有休息和休假的权利。因 监理需要占用休假日或延长工作时间的，应不超过法律规定的限度，并按法律规定给予补休或付酬。</w:t>
      </w:r>
    </w:p>
    <w:p w14:paraId="3BC945A9">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4.7.3 监理人应按有关法律规定和合同约定，为其雇佣人员办理保险。</w:t>
      </w:r>
    </w:p>
    <w:p w14:paraId="06F76EE2">
      <w:pPr>
        <w:pStyle w:val="6"/>
        <w:spacing w:before="0" w:after="0" w:line="360" w:lineRule="auto"/>
        <w:rPr>
          <w:rFonts w:hAnsi="宋体" w:eastAsia="宋体" w:cs="仿宋"/>
          <w:color w:val="auto"/>
          <w:sz w:val="21"/>
          <w:szCs w:val="21"/>
          <w:highlight w:val="none"/>
        </w:rPr>
      </w:pPr>
      <w:bookmarkStart w:id="297" w:name="_bookmark127"/>
      <w:bookmarkEnd w:id="297"/>
      <w:bookmarkStart w:id="298" w:name="_Toc18060971"/>
      <w:bookmarkStart w:id="299" w:name="_Toc20388274"/>
      <w:r>
        <w:rPr>
          <w:rFonts w:hint="eastAsia" w:hAnsi="宋体" w:eastAsia="宋体" w:cs="仿宋"/>
          <w:color w:val="auto"/>
          <w:sz w:val="21"/>
          <w:szCs w:val="21"/>
          <w:highlight w:val="none"/>
        </w:rPr>
        <w:t>4.8 合同价款应专款专用</w:t>
      </w:r>
      <w:bookmarkEnd w:id="298"/>
      <w:bookmarkEnd w:id="299"/>
    </w:p>
    <w:p w14:paraId="7B04B64C">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委托人按合同约定支付给监理人的各项价款，应专用于合同监理工作。</w:t>
      </w:r>
    </w:p>
    <w:p w14:paraId="02EA01C0">
      <w:pPr>
        <w:pStyle w:val="5"/>
        <w:spacing w:before="0" w:after="0" w:line="360" w:lineRule="auto"/>
        <w:jc w:val="left"/>
        <w:rPr>
          <w:rFonts w:ascii="宋体" w:hAnsi="宋体" w:cs="仿宋"/>
          <w:color w:val="auto"/>
          <w:sz w:val="21"/>
          <w:szCs w:val="21"/>
          <w:highlight w:val="none"/>
        </w:rPr>
      </w:pPr>
      <w:bookmarkStart w:id="300" w:name="_bookmark128"/>
      <w:bookmarkEnd w:id="300"/>
      <w:bookmarkStart w:id="301" w:name="_Toc129859380"/>
      <w:bookmarkStart w:id="302" w:name="_Toc20388275"/>
      <w:bookmarkStart w:id="303" w:name="_Toc129859503"/>
      <w:bookmarkStart w:id="304" w:name="_Toc18060972"/>
      <w:r>
        <w:rPr>
          <w:rFonts w:hint="eastAsia" w:ascii="宋体" w:hAnsi="宋体" w:cs="仿宋"/>
          <w:color w:val="auto"/>
          <w:sz w:val="21"/>
          <w:szCs w:val="21"/>
          <w:highlight w:val="none"/>
        </w:rPr>
        <w:t>5.  监理要求</w:t>
      </w:r>
      <w:bookmarkEnd w:id="301"/>
      <w:bookmarkEnd w:id="302"/>
      <w:bookmarkEnd w:id="303"/>
      <w:bookmarkEnd w:id="304"/>
    </w:p>
    <w:p w14:paraId="75D5BEA4">
      <w:pPr>
        <w:pStyle w:val="6"/>
        <w:spacing w:before="0" w:after="0" w:line="360" w:lineRule="auto"/>
        <w:rPr>
          <w:rFonts w:hAnsi="宋体" w:eastAsia="宋体" w:cs="仿宋"/>
          <w:color w:val="auto"/>
          <w:sz w:val="21"/>
          <w:szCs w:val="21"/>
          <w:highlight w:val="none"/>
        </w:rPr>
      </w:pPr>
      <w:bookmarkStart w:id="305" w:name="_bookmark129"/>
      <w:bookmarkEnd w:id="305"/>
      <w:bookmarkStart w:id="306" w:name="_Toc18060973"/>
      <w:bookmarkStart w:id="307" w:name="_Toc20388276"/>
      <w:r>
        <w:rPr>
          <w:rFonts w:hint="eastAsia" w:hAnsi="宋体" w:eastAsia="宋体" w:cs="仿宋"/>
          <w:color w:val="auto"/>
          <w:sz w:val="21"/>
          <w:szCs w:val="21"/>
          <w:highlight w:val="none"/>
        </w:rPr>
        <w:t>5.1 监理范围</w:t>
      </w:r>
      <w:bookmarkEnd w:id="306"/>
      <w:bookmarkEnd w:id="307"/>
    </w:p>
    <w:p w14:paraId="725D34D2">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5.1.1 本合同的监理范围包括工程范围、阶段范围和工作范围，具体监理范围应当根据三者 之间的关联内容进行确定。</w:t>
      </w:r>
    </w:p>
    <w:p w14:paraId="35A9D7B4">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5.1.2 工程范围指所监理工程的建设内容，具体范围在专用合同条款中约定。</w:t>
      </w:r>
    </w:p>
    <w:p w14:paraId="06A95E1A">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5.1.3 阶段范围指工程建设程序中的勘察阶段、设计阶段、施工阶段、缺陷责任期及保修阶段中的一个或者多个阶段，具体范围在专用合同条款中约定。</w:t>
      </w:r>
    </w:p>
    <w:p w14:paraId="093D2905">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5.1.4 工作范围指监理工作中的质量控制、进度控制、投资控制、合同管理、信息管理、组织协调和安全监理、</w:t>
      </w:r>
      <w:r>
        <w:rPr>
          <w:rFonts w:hint="eastAsia" w:ascii="宋体" w:hAnsi="宋体" w:cs="仿宋"/>
          <w:color w:val="auto"/>
          <w:szCs w:val="21"/>
          <w:highlight w:val="none"/>
          <w:lang w:eastAsia="zh-CN"/>
        </w:rPr>
        <w:t>水保监理</w:t>
      </w:r>
      <w:r>
        <w:rPr>
          <w:rFonts w:hint="eastAsia" w:ascii="宋体" w:hAnsi="宋体" w:cs="仿宋"/>
          <w:color w:val="auto"/>
          <w:szCs w:val="21"/>
          <w:highlight w:val="none"/>
        </w:rPr>
        <w:t>中的一项或者多项工作，具体范围在专用合同条款中约定。</w:t>
      </w:r>
    </w:p>
    <w:p w14:paraId="2125451A">
      <w:pPr>
        <w:pStyle w:val="6"/>
        <w:spacing w:before="0" w:after="0" w:line="360" w:lineRule="auto"/>
        <w:rPr>
          <w:rFonts w:hAnsi="宋体" w:eastAsia="宋体" w:cs="仿宋"/>
          <w:color w:val="auto"/>
          <w:sz w:val="21"/>
          <w:szCs w:val="21"/>
          <w:highlight w:val="none"/>
        </w:rPr>
      </w:pPr>
      <w:bookmarkStart w:id="308" w:name="_bookmark130"/>
      <w:bookmarkEnd w:id="308"/>
      <w:bookmarkStart w:id="309" w:name="_Toc18060974"/>
      <w:bookmarkStart w:id="310" w:name="_Toc20388277"/>
      <w:r>
        <w:rPr>
          <w:rFonts w:hint="eastAsia" w:hAnsi="宋体" w:eastAsia="宋体" w:cs="仿宋"/>
          <w:color w:val="auto"/>
          <w:sz w:val="21"/>
          <w:szCs w:val="21"/>
          <w:highlight w:val="none"/>
        </w:rPr>
        <w:t>5.2 监理依据</w:t>
      </w:r>
      <w:bookmarkEnd w:id="309"/>
      <w:bookmarkEnd w:id="310"/>
    </w:p>
    <w:p w14:paraId="3796073A">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除专用合同条款另有约定外，本工程的监理依据如下：</w:t>
      </w:r>
    </w:p>
    <w:p w14:paraId="095A88A7">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（1）适用的法律、行政法规及部门规章；</w:t>
      </w:r>
    </w:p>
    <w:p w14:paraId="71A88ED7">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（2）与工程有关的规范、标准、规程；</w:t>
      </w:r>
    </w:p>
    <w:p w14:paraId="14804E78">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（3）工程勘察文件、设计文件及其他文件；</w:t>
      </w:r>
    </w:p>
    <w:p w14:paraId="2FF009E6">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（4）本工程监理的委托合同及补充合同；</w:t>
      </w:r>
    </w:p>
    <w:p w14:paraId="6ED47EA6">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（5）委托人签订的勘察、设计和施工承包合同；</w:t>
      </w:r>
    </w:p>
    <w:p w14:paraId="6A8E5F38">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（6）合同履行中与监理服务有关的来往函件；</w:t>
      </w:r>
    </w:p>
    <w:p w14:paraId="7F55274A">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（7）其他监理依据。</w:t>
      </w:r>
    </w:p>
    <w:p w14:paraId="153D7B29">
      <w:pPr>
        <w:pStyle w:val="6"/>
        <w:spacing w:before="0" w:after="0" w:line="360" w:lineRule="auto"/>
        <w:rPr>
          <w:rFonts w:hAnsi="宋体" w:eastAsia="宋体" w:cs="仿宋"/>
          <w:color w:val="auto"/>
          <w:sz w:val="21"/>
          <w:szCs w:val="21"/>
          <w:highlight w:val="none"/>
        </w:rPr>
      </w:pPr>
      <w:bookmarkStart w:id="311" w:name="_bookmark131"/>
      <w:bookmarkEnd w:id="311"/>
      <w:bookmarkStart w:id="312" w:name="_Toc20388278"/>
      <w:bookmarkStart w:id="313" w:name="_Toc18060975"/>
      <w:r>
        <w:rPr>
          <w:rFonts w:hint="eastAsia" w:hAnsi="宋体" w:eastAsia="宋体" w:cs="仿宋"/>
          <w:color w:val="auto"/>
          <w:sz w:val="21"/>
          <w:szCs w:val="21"/>
          <w:highlight w:val="none"/>
        </w:rPr>
        <w:t>5.3 监理内容</w:t>
      </w:r>
      <w:bookmarkEnd w:id="312"/>
      <w:bookmarkEnd w:id="313"/>
    </w:p>
    <w:p w14:paraId="41E36B02">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除专用条件另有约定外，监理工作内容包括：</w:t>
      </w:r>
    </w:p>
    <w:p w14:paraId="06E83820">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（1）收到工程设计文件后编制监理规划，并在第一次工地会议 7 天前报委托人。根据有关 规定和监理工作需要，编制监理实施细则；</w:t>
      </w:r>
    </w:p>
    <w:p w14:paraId="014756E6">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（2）熟悉工程设计文件，并参加由委托人主持的图纸会审和设计交底会议；</w:t>
      </w:r>
    </w:p>
    <w:p w14:paraId="136C7F34">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（3）参加由委托人主持的第一次工地会议；主持监理例会并根据工程需要主持或参加专题会议；</w:t>
      </w:r>
    </w:p>
    <w:p w14:paraId="34B6212B">
      <w:pPr>
        <w:pStyle w:val="2"/>
        <w:spacing w:after="0" w:line="360" w:lineRule="auto"/>
        <w:ind w:left="100" w:right="26" w:firstLine="419"/>
        <w:rPr>
          <w:rFonts w:ascii="宋体" w:hAnsi="宋体" w:cs="仿宋"/>
          <w:color w:val="auto"/>
          <w:szCs w:val="21"/>
          <w:highlight w:val="none"/>
        </w:rPr>
      </w:pPr>
      <w:r>
        <w:rPr>
          <w:rFonts w:hint="eastAsia" w:ascii="宋体" w:hAnsi="宋体" w:cs="仿宋"/>
          <w:color w:val="auto"/>
          <w:szCs w:val="21"/>
          <w:highlight w:val="none"/>
        </w:rPr>
        <w:t>（4）审查施工承包人提交的施工组织设计，重点审查其中的质量安全技术措施、专项施工方案与工程建设强制性标准的符合性；</w:t>
      </w:r>
    </w:p>
    <w:p w14:paraId="7E804FFD">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（5）检查施工承包人工程质量、安全生产管理制度及组织机构和人员资格；</w:t>
      </w:r>
    </w:p>
    <w:p w14:paraId="23BDDEFC">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（6）检查施工承包人专职安全生产管理人员的配备情况；</w:t>
      </w:r>
    </w:p>
    <w:p w14:paraId="23D69C1B">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（7）审查施工承包人提交的施工进度计划，核查承包人对施工进度计划的调整；</w:t>
      </w:r>
    </w:p>
    <w:p w14:paraId="3EB23762">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（8）检查施工承包人的试验室；</w:t>
      </w:r>
    </w:p>
    <w:p w14:paraId="329378E1">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（9）审核施工分包人资质条件；</w:t>
      </w:r>
    </w:p>
    <w:p w14:paraId="1D47A17A">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（10）查验施工承包人的施工测量放线成果；</w:t>
      </w:r>
    </w:p>
    <w:p w14:paraId="67A424BC">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（11）审查工程开工条件，对条件具备的签发开工令；</w:t>
      </w:r>
    </w:p>
    <w:p w14:paraId="6FC1B01A">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（12）审查施工承包人报送的工程材料、构配件、设备质量证明文件的有效性和符合性， 并按规定对用于工程的材料采取平行检验或见证取样方式进行抽检；</w:t>
      </w:r>
    </w:p>
    <w:p w14:paraId="35700602">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（13）审核施工承包人提交的工程款支付申请，签发或出具工程款支付证书，并报委托人审核、批准；</w:t>
      </w:r>
    </w:p>
    <w:p w14:paraId="27894A2C">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（14）在巡视、旁站和检验过程中，发现工程质量、施工安全存在事故隐患的，要求施工承包人整改并报委托人；</w:t>
      </w:r>
    </w:p>
    <w:p w14:paraId="3C7A74A6">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（15）经委托人同意，签发工程暂停令和复工令；</w:t>
      </w:r>
    </w:p>
    <w:p w14:paraId="00609BA9">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（16）审查施工承包人提交的采用新材料、新工艺、新技术、新设备的论证材料及相关验收标准；</w:t>
      </w:r>
    </w:p>
    <w:p w14:paraId="45C24C0E">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（17）验收隐蔽工程、分部分项工程；</w:t>
      </w:r>
    </w:p>
    <w:p w14:paraId="137F76A3">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（18）审查施工承包人提交的工程变更申请，协调处理施工进度调整、费用索赔、合同争议等事项；</w:t>
      </w:r>
    </w:p>
    <w:p w14:paraId="4D102575">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（19）审查施工承包人提交的竣工验收申请，编写工程质量评估报告；</w:t>
      </w:r>
    </w:p>
    <w:p w14:paraId="35CA976E">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（20）参加工程竣工验收，签署竣工验收意见；</w:t>
      </w:r>
    </w:p>
    <w:p w14:paraId="379E2E01">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（21）审查施工承包人提交的竣工结算申请并报委托人；</w:t>
      </w:r>
    </w:p>
    <w:p w14:paraId="67DB204A">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（22）编制、整理工程监理归档文件并报委托人。</w:t>
      </w:r>
    </w:p>
    <w:p w14:paraId="00089768">
      <w:pPr>
        <w:pStyle w:val="6"/>
        <w:spacing w:before="0" w:after="0" w:line="360" w:lineRule="auto"/>
        <w:rPr>
          <w:rFonts w:hAnsi="宋体" w:eastAsia="宋体" w:cs="仿宋"/>
          <w:color w:val="auto"/>
          <w:sz w:val="21"/>
          <w:szCs w:val="21"/>
          <w:highlight w:val="none"/>
        </w:rPr>
      </w:pPr>
      <w:bookmarkStart w:id="314" w:name="_bookmark132"/>
      <w:bookmarkEnd w:id="314"/>
      <w:bookmarkStart w:id="315" w:name="_Toc18060976"/>
      <w:bookmarkStart w:id="316" w:name="_Toc20388279"/>
      <w:r>
        <w:rPr>
          <w:rFonts w:hint="eastAsia" w:hAnsi="宋体" w:eastAsia="宋体" w:cs="仿宋"/>
          <w:color w:val="auto"/>
          <w:sz w:val="21"/>
          <w:szCs w:val="21"/>
          <w:highlight w:val="none"/>
        </w:rPr>
        <w:t>5.4 监理文件要求</w:t>
      </w:r>
      <w:bookmarkEnd w:id="315"/>
      <w:bookmarkEnd w:id="316"/>
    </w:p>
    <w:p w14:paraId="36E79E30">
      <w:pPr>
        <w:pStyle w:val="2"/>
        <w:spacing w:after="0" w:line="360" w:lineRule="auto"/>
        <w:ind w:left="100" w:firstLine="419"/>
        <w:rPr>
          <w:rFonts w:ascii="宋体" w:hAnsi="宋体" w:cs="仿宋"/>
          <w:color w:val="auto"/>
          <w:szCs w:val="21"/>
          <w:highlight w:val="none"/>
        </w:rPr>
      </w:pPr>
      <w:r>
        <w:rPr>
          <w:rFonts w:hint="eastAsia" w:ascii="宋体" w:hAnsi="宋体" w:cs="仿宋"/>
          <w:color w:val="auto"/>
          <w:szCs w:val="21"/>
          <w:highlight w:val="none"/>
        </w:rPr>
        <w:t>5.4.1 监理文件的编制应符合法律、规范标准的强制性规定和委托人要求，相关的监理依据应当完整准确，文件内容和相应数据应当真实可靠。</w:t>
      </w:r>
    </w:p>
    <w:p w14:paraId="1BDD3FAB">
      <w:pPr>
        <w:pStyle w:val="2"/>
        <w:spacing w:after="0" w:line="360" w:lineRule="auto"/>
        <w:ind w:left="100" w:firstLine="419"/>
        <w:rPr>
          <w:rFonts w:ascii="宋体" w:hAnsi="宋体" w:cs="仿宋"/>
          <w:color w:val="auto"/>
          <w:szCs w:val="21"/>
          <w:highlight w:val="none"/>
        </w:rPr>
      </w:pPr>
      <w:r>
        <w:rPr>
          <w:rFonts w:hint="eastAsia" w:ascii="宋体" w:hAnsi="宋体" w:cs="仿宋"/>
          <w:color w:val="auto"/>
          <w:szCs w:val="21"/>
          <w:highlight w:val="none"/>
        </w:rPr>
        <w:t>5.4.2 监理文件的深度应满足本阶段相应监理工作的规定要求，满足委托人的下步工作需要， 并应符合国家和行业现行规定。</w:t>
      </w:r>
    </w:p>
    <w:p w14:paraId="7CEAD678">
      <w:pPr>
        <w:pStyle w:val="2"/>
        <w:spacing w:after="0" w:line="360" w:lineRule="auto"/>
        <w:ind w:left="100" w:firstLine="419"/>
        <w:jc w:val="left"/>
        <w:rPr>
          <w:rFonts w:ascii="宋体" w:hAnsi="宋体" w:cs="仿宋"/>
          <w:color w:val="auto"/>
          <w:szCs w:val="21"/>
          <w:highlight w:val="none"/>
        </w:rPr>
      </w:pPr>
      <w:r>
        <w:rPr>
          <w:rFonts w:hint="eastAsia" w:ascii="宋体" w:hAnsi="宋体" w:cs="仿宋"/>
          <w:color w:val="auto"/>
          <w:szCs w:val="21"/>
          <w:highlight w:val="none"/>
        </w:rPr>
        <w:t>5.4.3 本工程监理文件的具体类别、编制要求、编制内容、提交时间和份数等，在专用合同条款中约定。</w:t>
      </w:r>
    </w:p>
    <w:p w14:paraId="19414ABC">
      <w:pPr>
        <w:pStyle w:val="5"/>
        <w:spacing w:before="0" w:after="0" w:line="360" w:lineRule="auto"/>
        <w:jc w:val="left"/>
        <w:rPr>
          <w:rFonts w:ascii="宋体" w:hAnsi="宋体" w:cs="仿宋"/>
          <w:color w:val="auto"/>
          <w:sz w:val="21"/>
          <w:szCs w:val="21"/>
          <w:highlight w:val="none"/>
        </w:rPr>
      </w:pPr>
      <w:bookmarkStart w:id="317" w:name="_bookmark133"/>
      <w:bookmarkEnd w:id="317"/>
      <w:bookmarkStart w:id="318" w:name="_Toc129859381"/>
      <w:bookmarkStart w:id="319" w:name="_Toc18060977"/>
      <w:bookmarkStart w:id="320" w:name="_Toc129859504"/>
      <w:bookmarkStart w:id="321" w:name="_Toc20388280"/>
      <w:r>
        <w:rPr>
          <w:rFonts w:hint="eastAsia" w:ascii="宋体" w:hAnsi="宋体" w:cs="仿宋"/>
          <w:color w:val="auto"/>
          <w:sz w:val="21"/>
          <w:szCs w:val="21"/>
          <w:highlight w:val="none"/>
        </w:rPr>
        <w:t>6.  开始监理和完成监理</w:t>
      </w:r>
      <w:bookmarkEnd w:id="318"/>
      <w:bookmarkEnd w:id="319"/>
      <w:bookmarkEnd w:id="320"/>
      <w:bookmarkEnd w:id="321"/>
    </w:p>
    <w:p w14:paraId="5585872F">
      <w:pPr>
        <w:pStyle w:val="6"/>
        <w:spacing w:before="0" w:after="0" w:line="360" w:lineRule="auto"/>
        <w:rPr>
          <w:rFonts w:hAnsi="宋体" w:eastAsia="宋体" w:cs="仿宋"/>
          <w:color w:val="auto"/>
          <w:sz w:val="21"/>
          <w:szCs w:val="21"/>
          <w:highlight w:val="none"/>
        </w:rPr>
      </w:pPr>
      <w:bookmarkStart w:id="322" w:name="_bookmark134"/>
      <w:bookmarkEnd w:id="322"/>
      <w:bookmarkStart w:id="323" w:name="_Toc20388281"/>
      <w:bookmarkStart w:id="324" w:name="_Toc18060978"/>
      <w:r>
        <w:rPr>
          <w:rFonts w:hint="eastAsia" w:hAnsi="宋体" w:eastAsia="宋体" w:cs="仿宋"/>
          <w:color w:val="auto"/>
          <w:sz w:val="21"/>
          <w:szCs w:val="21"/>
          <w:highlight w:val="none"/>
        </w:rPr>
        <w:t>6.1 开始监理</w:t>
      </w:r>
      <w:bookmarkEnd w:id="323"/>
      <w:bookmarkEnd w:id="324"/>
    </w:p>
    <w:p w14:paraId="76E8EAF0">
      <w:pPr>
        <w:pStyle w:val="2"/>
        <w:spacing w:after="0" w:line="360" w:lineRule="auto"/>
        <w:ind w:left="100" w:right="226" w:firstLine="419"/>
        <w:rPr>
          <w:rFonts w:ascii="宋体" w:hAnsi="宋体" w:cs="仿宋"/>
          <w:color w:val="auto"/>
          <w:szCs w:val="21"/>
          <w:highlight w:val="none"/>
        </w:rPr>
      </w:pPr>
      <w:r>
        <w:rPr>
          <w:rFonts w:hint="eastAsia" w:ascii="宋体" w:hAnsi="宋体" w:cs="仿宋"/>
          <w:color w:val="auto"/>
          <w:szCs w:val="21"/>
          <w:highlight w:val="none"/>
        </w:rPr>
        <w:t>6.1.1 符合专用合同条款约定的开始监理条件的，委托人应提前 7 天向监理人发出开始监理通知。监理服务期限自开始监理通知中载明的开始监理日期起计算。</w:t>
      </w:r>
    </w:p>
    <w:p w14:paraId="550572DB">
      <w:pPr>
        <w:pStyle w:val="2"/>
        <w:spacing w:after="0" w:line="360" w:lineRule="auto"/>
        <w:ind w:left="100" w:right="311" w:firstLine="419"/>
        <w:rPr>
          <w:rFonts w:ascii="宋体" w:hAnsi="宋体" w:cs="仿宋"/>
          <w:color w:val="auto"/>
          <w:szCs w:val="21"/>
          <w:highlight w:val="none"/>
        </w:rPr>
      </w:pPr>
      <w:r>
        <w:rPr>
          <w:rFonts w:hint="eastAsia" w:ascii="宋体" w:hAnsi="宋体" w:cs="仿宋"/>
          <w:color w:val="auto"/>
          <w:szCs w:val="21"/>
          <w:highlight w:val="none"/>
        </w:rPr>
        <w:t>6.1.2 除专用合同条款另有约定外，因委托人原因造成合同签订之日起 90 天内未能发出开始监理通知的，监理人有权提出价格调整要求，或者解除合同。委托人应当承担由此增加的费用和（或）周期延误。</w:t>
      </w:r>
    </w:p>
    <w:p w14:paraId="3E2DC62E">
      <w:pPr>
        <w:pStyle w:val="6"/>
        <w:spacing w:before="0" w:after="0" w:line="360" w:lineRule="auto"/>
        <w:rPr>
          <w:rFonts w:hAnsi="宋体" w:eastAsia="宋体" w:cs="仿宋"/>
          <w:color w:val="auto"/>
          <w:sz w:val="21"/>
          <w:szCs w:val="21"/>
          <w:highlight w:val="none"/>
        </w:rPr>
      </w:pPr>
      <w:bookmarkStart w:id="325" w:name="_bookmark135"/>
      <w:bookmarkEnd w:id="325"/>
      <w:bookmarkStart w:id="326" w:name="_Toc20388282"/>
      <w:bookmarkStart w:id="327" w:name="_Toc18060979"/>
      <w:r>
        <w:rPr>
          <w:rFonts w:hint="eastAsia" w:hAnsi="宋体" w:eastAsia="宋体" w:cs="仿宋"/>
          <w:color w:val="auto"/>
          <w:sz w:val="21"/>
          <w:szCs w:val="21"/>
          <w:highlight w:val="none"/>
        </w:rPr>
        <w:t>6.2 监理周期延误</w:t>
      </w:r>
      <w:bookmarkEnd w:id="326"/>
      <w:bookmarkEnd w:id="327"/>
    </w:p>
    <w:p w14:paraId="209FAB10">
      <w:pPr>
        <w:pStyle w:val="2"/>
        <w:spacing w:after="0" w:line="360" w:lineRule="auto"/>
        <w:ind w:left="100" w:firstLine="419"/>
        <w:rPr>
          <w:rFonts w:ascii="宋体" w:hAnsi="宋体" w:cs="仿宋"/>
          <w:color w:val="auto"/>
          <w:szCs w:val="21"/>
          <w:highlight w:val="none"/>
        </w:rPr>
      </w:pPr>
      <w:r>
        <w:rPr>
          <w:rFonts w:hint="eastAsia" w:ascii="宋体" w:hAnsi="宋体" w:cs="仿宋"/>
          <w:color w:val="auto"/>
          <w:szCs w:val="21"/>
          <w:highlight w:val="none"/>
        </w:rPr>
        <w:t>在履行合同过程中，由于下列原因造成监理服务期限延误的，委托人应当延长监理服务期限并增加监理报酬，具体方法在专用合同条款中约定。</w:t>
      </w:r>
    </w:p>
    <w:p w14:paraId="7EED8145">
      <w:pPr>
        <w:pStyle w:val="2"/>
        <w:spacing w:after="0" w:line="360" w:lineRule="auto"/>
        <w:ind w:left="520"/>
        <w:rPr>
          <w:rFonts w:ascii="宋体" w:hAnsi="宋体" w:cs="仿宋"/>
          <w:color w:val="auto"/>
          <w:szCs w:val="21"/>
          <w:highlight w:val="none"/>
        </w:rPr>
      </w:pPr>
      <w:r>
        <w:rPr>
          <w:rFonts w:hint="eastAsia" w:ascii="宋体" w:hAnsi="宋体" w:cs="仿宋"/>
          <w:color w:val="auto"/>
          <w:szCs w:val="21"/>
          <w:highlight w:val="none"/>
        </w:rPr>
        <w:t>（1）合同变更；</w:t>
      </w:r>
    </w:p>
    <w:p w14:paraId="487A0CC5">
      <w:pPr>
        <w:pStyle w:val="2"/>
        <w:spacing w:after="0" w:line="360" w:lineRule="auto"/>
        <w:ind w:left="520"/>
        <w:rPr>
          <w:rFonts w:ascii="宋体" w:hAnsi="宋体" w:cs="仿宋"/>
          <w:color w:val="auto"/>
          <w:szCs w:val="21"/>
          <w:highlight w:val="none"/>
        </w:rPr>
      </w:pPr>
      <w:r>
        <w:rPr>
          <w:rFonts w:hint="eastAsia" w:ascii="宋体" w:hAnsi="宋体" w:cs="仿宋"/>
          <w:color w:val="auto"/>
          <w:szCs w:val="21"/>
          <w:highlight w:val="none"/>
        </w:rPr>
        <w:t>（2）因委托人原因导致的监理工作暂停；</w:t>
      </w:r>
    </w:p>
    <w:p w14:paraId="1154B247">
      <w:pPr>
        <w:pStyle w:val="2"/>
        <w:spacing w:after="0" w:line="360" w:lineRule="auto"/>
        <w:ind w:left="520"/>
        <w:rPr>
          <w:rFonts w:ascii="宋体" w:hAnsi="宋体" w:cs="仿宋"/>
          <w:color w:val="auto"/>
          <w:szCs w:val="21"/>
          <w:highlight w:val="none"/>
        </w:rPr>
      </w:pPr>
      <w:r>
        <w:rPr>
          <w:rFonts w:hint="eastAsia" w:ascii="宋体" w:hAnsi="宋体" w:cs="仿宋"/>
          <w:color w:val="auto"/>
          <w:szCs w:val="21"/>
          <w:highlight w:val="none"/>
        </w:rPr>
        <w:t>（3）未按合同约定及时支付监理报酬；</w:t>
      </w:r>
    </w:p>
    <w:p w14:paraId="04BA2364">
      <w:pPr>
        <w:pStyle w:val="2"/>
        <w:spacing w:after="0" w:line="360" w:lineRule="auto"/>
        <w:ind w:left="520"/>
        <w:rPr>
          <w:rFonts w:ascii="宋体" w:hAnsi="宋体" w:cs="仿宋"/>
          <w:color w:val="auto"/>
          <w:szCs w:val="21"/>
          <w:highlight w:val="none"/>
        </w:rPr>
      </w:pPr>
      <w:r>
        <w:rPr>
          <w:rFonts w:hint="eastAsia" w:ascii="宋体" w:hAnsi="宋体" w:cs="仿宋"/>
          <w:color w:val="auto"/>
          <w:szCs w:val="21"/>
          <w:highlight w:val="none"/>
        </w:rPr>
        <w:t>（4）未及时履行合同约定的相关义务；</w:t>
      </w:r>
    </w:p>
    <w:p w14:paraId="42A59469">
      <w:pPr>
        <w:pStyle w:val="2"/>
        <w:spacing w:after="0" w:line="360" w:lineRule="auto"/>
        <w:ind w:left="520"/>
        <w:rPr>
          <w:rFonts w:ascii="宋体" w:hAnsi="宋体" w:cs="仿宋"/>
          <w:color w:val="auto"/>
          <w:szCs w:val="21"/>
          <w:highlight w:val="none"/>
        </w:rPr>
      </w:pPr>
      <w:r>
        <w:rPr>
          <w:rFonts w:hint="eastAsia" w:ascii="宋体" w:hAnsi="宋体" w:cs="仿宋"/>
          <w:color w:val="auto"/>
          <w:szCs w:val="21"/>
          <w:highlight w:val="none"/>
        </w:rPr>
        <w:t>（5）由于承包人延误、行政管理造成的监理服务期延误；</w:t>
      </w:r>
    </w:p>
    <w:p w14:paraId="1D234CD8">
      <w:pPr>
        <w:pStyle w:val="2"/>
        <w:spacing w:after="0" w:line="360" w:lineRule="auto"/>
        <w:ind w:left="520"/>
        <w:rPr>
          <w:rFonts w:ascii="宋体" w:hAnsi="宋体" w:cs="仿宋"/>
          <w:color w:val="auto"/>
          <w:szCs w:val="21"/>
          <w:highlight w:val="none"/>
        </w:rPr>
      </w:pPr>
      <w:r>
        <w:rPr>
          <w:rFonts w:hint="eastAsia" w:ascii="宋体" w:hAnsi="宋体" w:cs="仿宋"/>
          <w:color w:val="auto"/>
          <w:szCs w:val="21"/>
          <w:highlight w:val="none"/>
        </w:rPr>
        <w:t>（6）造成监理服务期限延误的其他原因。</w:t>
      </w:r>
    </w:p>
    <w:p w14:paraId="4C80DA49">
      <w:pPr>
        <w:pStyle w:val="6"/>
        <w:spacing w:before="0" w:after="0" w:line="360" w:lineRule="auto"/>
        <w:rPr>
          <w:rFonts w:hAnsi="宋体" w:eastAsia="宋体" w:cs="仿宋"/>
          <w:color w:val="auto"/>
          <w:sz w:val="21"/>
          <w:szCs w:val="21"/>
          <w:highlight w:val="none"/>
        </w:rPr>
      </w:pPr>
      <w:bookmarkStart w:id="328" w:name="_Toc18060980"/>
      <w:bookmarkStart w:id="329" w:name="_Toc20388283"/>
      <w:r>
        <w:rPr>
          <w:rFonts w:hint="eastAsia" w:hAnsi="宋体" w:eastAsia="宋体" w:cs="仿宋"/>
          <w:color w:val="auto"/>
          <w:sz w:val="21"/>
          <w:szCs w:val="21"/>
          <w:highlight w:val="none"/>
        </w:rPr>
        <w:t>6.3 完成监理</w:t>
      </w:r>
      <w:bookmarkEnd w:id="328"/>
      <w:bookmarkEnd w:id="329"/>
    </w:p>
    <w:p w14:paraId="78315A62">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6.3.1 监理人应当根据法律、规范标准、合同约定和委托人要求实施和完成监理，并编制和移交监理文件。</w:t>
      </w:r>
    </w:p>
    <w:p w14:paraId="57723D60">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6.3.2 根据委托人要求或者基于专业能力判断，监理人认为能够提前完成监理的，可向委托 人递交一份提前完成监理建议书，包括实施方案、提前时间、监理报酬变动等内容。除专用合同条款另有约定之外，委托人接受建议书的，不因提前完成监理而减少监理报酬；增加监理报酬的，所增费用由委托人承担。</w:t>
      </w:r>
    </w:p>
    <w:p w14:paraId="5E04571E">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6.3.3 缺陷修复监理指缺陷责任期间，监理人对承包人修复质量缺陷进行的监理。缺陷修复 监理的责任由监理人负责。</w:t>
      </w:r>
    </w:p>
    <w:p w14:paraId="0FA33E1F">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6.3.4 委托人应当及时接收监理人提交的监理文件。如无正当理由拒收的，视为委托人已经 接收监理文件。接收监理文件时，委托人应向监理人出具文件签收凭证，凭证内容包括文件名称、文件内容、文件形式、份数、提交和接收日期、提交人与接收人的亲笔签名等。</w:t>
      </w:r>
    </w:p>
    <w:p w14:paraId="0965FBC4">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6.3.5 除专用合同条款另有约定外，监理文件包括纸质文件和电子文件两种形式，两者若有 不一致时，应以纸质文件为准。纸质文件应当加盖单位章和总监理工程师的注册执业印章，具体份数、纸幅、装订格式等要求，应在专用合同条款中约定；电子文件应使用光盘和 U 盘分别贮存。</w:t>
      </w:r>
    </w:p>
    <w:p w14:paraId="146ECD3D">
      <w:pPr>
        <w:pStyle w:val="5"/>
        <w:spacing w:before="0" w:after="0" w:line="360" w:lineRule="auto"/>
        <w:jc w:val="left"/>
        <w:rPr>
          <w:rFonts w:ascii="宋体" w:hAnsi="宋体" w:cs="仿宋"/>
          <w:color w:val="auto"/>
          <w:sz w:val="21"/>
          <w:szCs w:val="21"/>
          <w:highlight w:val="none"/>
        </w:rPr>
      </w:pPr>
      <w:bookmarkStart w:id="330" w:name="_bookmark137"/>
      <w:bookmarkEnd w:id="330"/>
      <w:bookmarkStart w:id="331" w:name="_Toc129859382"/>
      <w:bookmarkStart w:id="332" w:name="_Toc18060981"/>
      <w:bookmarkStart w:id="333" w:name="_Toc20388284"/>
      <w:bookmarkStart w:id="334" w:name="_Toc129859505"/>
      <w:r>
        <w:rPr>
          <w:rFonts w:hint="eastAsia" w:ascii="宋体" w:hAnsi="宋体" w:cs="仿宋"/>
          <w:color w:val="auto"/>
          <w:sz w:val="21"/>
          <w:szCs w:val="21"/>
          <w:highlight w:val="none"/>
        </w:rPr>
        <w:t>7.  监理责任与保险</w:t>
      </w:r>
      <w:bookmarkEnd w:id="331"/>
      <w:bookmarkEnd w:id="332"/>
      <w:bookmarkEnd w:id="333"/>
      <w:bookmarkEnd w:id="334"/>
    </w:p>
    <w:p w14:paraId="6010E26E">
      <w:pPr>
        <w:pStyle w:val="6"/>
        <w:spacing w:before="0" w:after="0" w:line="360" w:lineRule="auto"/>
        <w:rPr>
          <w:rFonts w:hAnsi="宋体" w:eastAsia="宋体" w:cs="仿宋"/>
          <w:color w:val="auto"/>
          <w:sz w:val="21"/>
          <w:szCs w:val="21"/>
          <w:highlight w:val="none"/>
        </w:rPr>
      </w:pPr>
      <w:bookmarkStart w:id="335" w:name="_bookmark138"/>
      <w:bookmarkEnd w:id="335"/>
      <w:bookmarkStart w:id="336" w:name="_Toc20388285"/>
      <w:bookmarkStart w:id="337" w:name="_Toc18060982"/>
      <w:r>
        <w:rPr>
          <w:rFonts w:hint="eastAsia" w:hAnsi="宋体" w:eastAsia="宋体" w:cs="仿宋"/>
          <w:color w:val="auto"/>
          <w:sz w:val="21"/>
          <w:szCs w:val="21"/>
          <w:highlight w:val="none"/>
        </w:rPr>
        <w:t>7.1 监理责任主体</w:t>
      </w:r>
      <w:bookmarkEnd w:id="336"/>
      <w:bookmarkEnd w:id="337"/>
    </w:p>
    <w:p w14:paraId="1F003704">
      <w:pPr>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7.1.1 监理人应运用一切合理的专业技术、知识技能和项目经验，按照职业道德准则和行业 公认标准尽其全部职责，勤勉、谨慎、公正地履行其在本合同项下的责任和义务。</w:t>
      </w:r>
    </w:p>
    <w:p w14:paraId="12BE8B67">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7.1.2 监理责任为监理单位项目负责人终身责任制。总监理工程师应当按照法律法规、有关 技术标准、设计文件和工程承包合同进行监理，对施工质量承担监理责任。</w:t>
      </w:r>
    </w:p>
    <w:p w14:paraId="5022BD05">
      <w:pPr>
        <w:pStyle w:val="2"/>
        <w:spacing w:after="0" w:line="360" w:lineRule="auto"/>
        <w:ind w:left="100" w:right="111" w:firstLine="419"/>
        <w:rPr>
          <w:rFonts w:ascii="宋体" w:hAnsi="宋体" w:cs="仿宋"/>
          <w:color w:val="auto"/>
          <w:szCs w:val="21"/>
          <w:highlight w:val="none"/>
        </w:rPr>
      </w:pPr>
      <w:r>
        <w:rPr>
          <w:rFonts w:hint="eastAsia" w:ascii="宋体" w:hAnsi="宋体" w:cs="仿宋"/>
          <w:color w:val="auto"/>
          <w:szCs w:val="21"/>
          <w:highlight w:val="none"/>
        </w:rPr>
        <w:t>7.1.3 总监理工程师应当在办理工程质量监督手续前签署工程质量终身责任承诺书，连同法 定代表人出具的授权书，报工程质量监督机构备案。</w:t>
      </w:r>
    </w:p>
    <w:p w14:paraId="346B6A9B">
      <w:pPr>
        <w:pStyle w:val="6"/>
        <w:spacing w:before="0" w:after="0" w:line="360" w:lineRule="auto"/>
        <w:rPr>
          <w:rFonts w:hAnsi="宋体" w:eastAsia="宋体" w:cs="仿宋"/>
          <w:color w:val="auto"/>
          <w:sz w:val="21"/>
          <w:szCs w:val="21"/>
          <w:highlight w:val="none"/>
        </w:rPr>
      </w:pPr>
      <w:bookmarkStart w:id="338" w:name="_Toc18060983"/>
      <w:bookmarkStart w:id="339" w:name="_Toc20388286"/>
      <w:r>
        <w:rPr>
          <w:rFonts w:hint="eastAsia" w:hAnsi="宋体" w:eastAsia="宋体" w:cs="仿宋"/>
          <w:color w:val="auto"/>
          <w:sz w:val="21"/>
          <w:szCs w:val="21"/>
          <w:highlight w:val="none"/>
        </w:rPr>
        <w:t>7.2 监理责任保险</w:t>
      </w:r>
      <w:bookmarkEnd w:id="338"/>
      <w:bookmarkEnd w:id="339"/>
    </w:p>
    <w:p w14:paraId="70452738">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除专用合同条款另有约定外，建议监理人根据工程情况对监理责任进行保险，并在合同履行期间保持足额、有效。</w:t>
      </w:r>
    </w:p>
    <w:p w14:paraId="1F03600F">
      <w:pPr>
        <w:pStyle w:val="5"/>
        <w:spacing w:before="0" w:after="0" w:line="360" w:lineRule="auto"/>
        <w:jc w:val="left"/>
        <w:rPr>
          <w:rFonts w:ascii="宋体" w:hAnsi="宋体" w:cs="仿宋"/>
          <w:color w:val="auto"/>
          <w:sz w:val="21"/>
          <w:szCs w:val="21"/>
          <w:highlight w:val="none"/>
        </w:rPr>
      </w:pPr>
      <w:bookmarkStart w:id="340" w:name="_bookmark140"/>
      <w:bookmarkEnd w:id="340"/>
      <w:bookmarkStart w:id="341" w:name="_Toc129859383"/>
      <w:bookmarkStart w:id="342" w:name="_Toc18060984"/>
      <w:bookmarkStart w:id="343" w:name="_Toc129859506"/>
      <w:bookmarkStart w:id="344" w:name="_Toc20388287"/>
      <w:r>
        <w:rPr>
          <w:rFonts w:hint="eastAsia" w:ascii="宋体" w:hAnsi="宋体" w:cs="仿宋"/>
          <w:color w:val="auto"/>
          <w:sz w:val="21"/>
          <w:szCs w:val="21"/>
          <w:highlight w:val="none"/>
        </w:rPr>
        <w:t>8.  合同变更</w:t>
      </w:r>
      <w:bookmarkEnd w:id="341"/>
      <w:bookmarkEnd w:id="342"/>
      <w:bookmarkEnd w:id="343"/>
      <w:bookmarkEnd w:id="344"/>
    </w:p>
    <w:p w14:paraId="700B991C">
      <w:pPr>
        <w:pStyle w:val="6"/>
        <w:spacing w:before="0" w:after="0" w:line="360" w:lineRule="auto"/>
        <w:rPr>
          <w:rFonts w:hAnsi="宋体" w:eastAsia="宋体" w:cs="仿宋"/>
          <w:color w:val="auto"/>
          <w:sz w:val="21"/>
          <w:szCs w:val="21"/>
          <w:highlight w:val="none"/>
        </w:rPr>
      </w:pPr>
      <w:bookmarkStart w:id="345" w:name="_bookmark141"/>
      <w:bookmarkEnd w:id="345"/>
      <w:bookmarkStart w:id="346" w:name="_Toc20388288"/>
      <w:bookmarkStart w:id="347" w:name="_Toc18060985"/>
      <w:r>
        <w:rPr>
          <w:rFonts w:hint="eastAsia" w:hAnsi="宋体" w:eastAsia="宋体" w:cs="仿宋"/>
          <w:color w:val="auto"/>
          <w:sz w:val="21"/>
          <w:szCs w:val="21"/>
          <w:highlight w:val="none"/>
        </w:rPr>
        <w:t>8.1 变更情形</w:t>
      </w:r>
      <w:bookmarkEnd w:id="346"/>
      <w:bookmarkEnd w:id="347"/>
    </w:p>
    <w:p w14:paraId="47550E6F">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8.1.1 合同履行中发生下述情形时，合同一方均可向对方提出变更请求，经双方协商一致后 进行变更，监理服务期限和监理报酬的调整方法在专用合同条款中约定。</w:t>
      </w:r>
    </w:p>
    <w:p w14:paraId="761F2B26">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（1）监理范围发生变化；</w:t>
      </w:r>
    </w:p>
    <w:p w14:paraId="635D837D">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（2）除不可抗力外，非监理人的原因引起的周期延误；</w:t>
      </w:r>
    </w:p>
    <w:p w14:paraId="60B40D4A">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（3）非监理人的原因，对工程同一部分重复进行监理；</w:t>
      </w:r>
    </w:p>
    <w:p w14:paraId="2B1B5FEC">
      <w:pPr>
        <w:pStyle w:val="2"/>
        <w:spacing w:after="0" w:line="360" w:lineRule="auto"/>
        <w:ind w:left="520" w:right="108"/>
        <w:rPr>
          <w:rFonts w:ascii="宋体" w:hAnsi="宋体" w:cs="仿宋"/>
          <w:color w:val="auto"/>
          <w:szCs w:val="21"/>
          <w:highlight w:val="none"/>
        </w:rPr>
      </w:pPr>
      <w:r>
        <w:rPr>
          <w:rFonts w:hint="eastAsia" w:ascii="宋体" w:hAnsi="宋体" w:cs="仿宋"/>
          <w:color w:val="auto"/>
          <w:szCs w:val="21"/>
          <w:highlight w:val="none"/>
        </w:rPr>
        <w:t>（4）非监理人的原因，对工程暂停监理及恢复监理。</w:t>
      </w:r>
    </w:p>
    <w:p w14:paraId="5CC5C501">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8.1.2 基准日后，因颁布新的或修订原有法律、法规、规范和标准等引发合同变更情形的， 按照上述约定进行调整。</w:t>
      </w:r>
    </w:p>
    <w:p w14:paraId="3BDE8596">
      <w:pPr>
        <w:pStyle w:val="6"/>
        <w:spacing w:before="0" w:after="0" w:line="360" w:lineRule="auto"/>
        <w:rPr>
          <w:rFonts w:hAnsi="宋体" w:eastAsia="宋体" w:cs="仿宋"/>
          <w:color w:val="auto"/>
          <w:sz w:val="21"/>
          <w:szCs w:val="21"/>
          <w:highlight w:val="none"/>
        </w:rPr>
      </w:pPr>
      <w:bookmarkStart w:id="348" w:name="_bookmark142"/>
      <w:bookmarkEnd w:id="348"/>
      <w:bookmarkStart w:id="349" w:name="_Toc18060986"/>
      <w:bookmarkStart w:id="350" w:name="_Toc20388289"/>
      <w:r>
        <w:rPr>
          <w:rFonts w:hint="eastAsia" w:hAnsi="宋体" w:eastAsia="宋体" w:cs="仿宋"/>
          <w:color w:val="auto"/>
          <w:sz w:val="21"/>
          <w:szCs w:val="21"/>
          <w:highlight w:val="none"/>
        </w:rPr>
        <w:t>8.2 合理化建议</w:t>
      </w:r>
      <w:bookmarkEnd w:id="349"/>
      <w:bookmarkEnd w:id="350"/>
    </w:p>
    <w:p w14:paraId="1D69D721">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8.2.1 合同履行中，监理人可对委托人要求提出合理化建议。合理化建议应以书面形式提交委托人，被委托人采纳并构成变更的，执行第 8.1款约定。</w:t>
      </w:r>
    </w:p>
    <w:p w14:paraId="17F8DB69">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8.2.2 监理人提出的合理化建议降低了工程投资、缩短了施工期限或者提高了工程经济效益 的，委托人应按专用合同条款中的约定给予奖励。</w:t>
      </w:r>
    </w:p>
    <w:p w14:paraId="42D38092">
      <w:pPr>
        <w:pStyle w:val="5"/>
        <w:spacing w:before="0" w:after="0" w:line="360" w:lineRule="auto"/>
        <w:jc w:val="left"/>
        <w:rPr>
          <w:rFonts w:ascii="宋体" w:hAnsi="宋体" w:cs="仿宋"/>
          <w:color w:val="auto"/>
          <w:sz w:val="21"/>
          <w:szCs w:val="21"/>
          <w:highlight w:val="none"/>
        </w:rPr>
      </w:pPr>
      <w:bookmarkStart w:id="351" w:name="_bookmark143"/>
      <w:bookmarkEnd w:id="351"/>
      <w:bookmarkStart w:id="352" w:name="_Toc129859507"/>
      <w:bookmarkStart w:id="353" w:name="_Toc129859384"/>
      <w:bookmarkStart w:id="354" w:name="_Toc18060987"/>
      <w:bookmarkStart w:id="355" w:name="_Toc20388290"/>
      <w:r>
        <w:rPr>
          <w:rFonts w:hint="eastAsia" w:ascii="宋体" w:hAnsi="宋体" w:cs="仿宋"/>
          <w:color w:val="auto"/>
          <w:sz w:val="21"/>
          <w:szCs w:val="21"/>
          <w:highlight w:val="none"/>
        </w:rPr>
        <w:t>9.  合同价格与支付</w:t>
      </w:r>
      <w:bookmarkEnd w:id="352"/>
      <w:bookmarkEnd w:id="353"/>
      <w:bookmarkEnd w:id="354"/>
      <w:bookmarkEnd w:id="355"/>
    </w:p>
    <w:p w14:paraId="1FB09829">
      <w:pPr>
        <w:pStyle w:val="6"/>
        <w:spacing w:before="0" w:after="0" w:line="360" w:lineRule="auto"/>
        <w:rPr>
          <w:rFonts w:hAnsi="宋体" w:eastAsia="宋体" w:cs="仿宋"/>
          <w:color w:val="auto"/>
          <w:sz w:val="21"/>
          <w:szCs w:val="21"/>
          <w:highlight w:val="none"/>
        </w:rPr>
      </w:pPr>
      <w:bookmarkStart w:id="356" w:name="_Toc20388291"/>
      <w:bookmarkStart w:id="357" w:name="_Toc18060988"/>
      <w:r>
        <w:rPr>
          <w:rFonts w:hint="eastAsia" w:hAnsi="宋体" w:eastAsia="宋体" w:cs="仿宋"/>
          <w:color w:val="auto"/>
          <w:sz w:val="21"/>
          <w:szCs w:val="21"/>
          <w:highlight w:val="none"/>
        </w:rPr>
        <w:t>9.1 合同价格</w:t>
      </w:r>
      <w:bookmarkEnd w:id="356"/>
      <w:bookmarkEnd w:id="357"/>
    </w:p>
    <w:p w14:paraId="468E68B0">
      <w:pPr>
        <w:spacing w:line="360" w:lineRule="auto"/>
        <w:rPr>
          <w:rFonts w:ascii="宋体" w:hAnsi="宋体" w:cs="仿宋"/>
          <w:color w:val="auto"/>
          <w:szCs w:val="21"/>
          <w:highlight w:val="none"/>
        </w:rPr>
      </w:pPr>
      <w:r>
        <w:rPr>
          <w:rFonts w:hint="eastAsia" w:ascii="宋体" w:hAnsi="宋体" w:cs="仿宋"/>
          <w:color w:val="auto"/>
          <w:szCs w:val="21"/>
          <w:highlight w:val="none"/>
        </w:rPr>
        <w:t>9.1.1 本合同的价款确定方式、调整方式和风险范围划分，在专用合同条款中约定。</w:t>
      </w:r>
    </w:p>
    <w:p w14:paraId="47017A2C">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9.1.2 除专用合同条款另有约定外，合同价格应当包括收集资料、踏勘现场、制订纲要、实 施监理、编制监理文件等全部费用和国家规定的增值税税金。</w:t>
      </w:r>
    </w:p>
    <w:p w14:paraId="533773AC">
      <w:pPr>
        <w:pStyle w:val="2"/>
        <w:spacing w:after="0" w:line="360" w:lineRule="auto"/>
        <w:ind w:left="100" w:right="108" w:firstLine="419"/>
        <w:rPr>
          <w:rFonts w:ascii="宋体" w:hAnsi="宋体" w:cs="仿宋"/>
          <w:color w:val="auto"/>
          <w:szCs w:val="21"/>
          <w:highlight w:val="none"/>
        </w:rPr>
      </w:pPr>
      <w:r>
        <w:rPr>
          <w:rFonts w:hint="eastAsia" w:ascii="宋体" w:hAnsi="宋体" w:cs="仿宋"/>
          <w:color w:val="auto"/>
          <w:szCs w:val="21"/>
          <w:highlight w:val="none"/>
        </w:rPr>
        <w:t>9.1.3 委托人要求监理人进行外出考察、试验检测、专项咨询或专家评审时，相应费用不含 在合同价格之中，由委托人另行支付。</w:t>
      </w:r>
    </w:p>
    <w:p w14:paraId="4EDAE6D2">
      <w:pPr>
        <w:pStyle w:val="6"/>
        <w:spacing w:before="0" w:after="0" w:line="360" w:lineRule="auto"/>
        <w:rPr>
          <w:rFonts w:hAnsi="宋体" w:eastAsia="宋体" w:cs="仿宋"/>
          <w:color w:val="auto"/>
          <w:sz w:val="21"/>
          <w:szCs w:val="21"/>
          <w:highlight w:val="none"/>
        </w:rPr>
      </w:pPr>
      <w:bookmarkStart w:id="358" w:name="_bookmark145"/>
      <w:bookmarkEnd w:id="358"/>
      <w:bookmarkStart w:id="359" w:name="_Toc18060989"/>
      <w:bookmarkStart w:id="360" w:name="_Toc20388292"/>
      <w:r>
        <w:rPr>
          <w:rFonts w:hint="eastAsia" w:hAnsi="宋体" w:eastAsia="宋体" w:cs="仿宋"/>
          <w:color w:val="auto"/>
          <w:sz w:val="21"/>
          <w:szCs w:val="21"/>
          <w:highlight w:val="none"/>
        </w:rPr>
        <w:t>9.2 预付款</w:t>
      </w:r>
      <w:bookmarkEnd w:id="359"/>
      <w:bookmarkEnd w:id="360"/>
    </w:p>
    <w:p w14:paraId="2F46D6A6">
      <w:pPr>
        <w:tabs>
          <w:tab w:val="left" w:pos="180"/>
          <w:tab w:val="left" w:pos="1620"/>
        </w:tabs>
        <w:spacing w:line="360" w:lineRule="auto"/>
        <w:ind w:firstLine="420" w:firstLineChars="200"/>
        <w:rPr>
          <w:rFonts w:ascii="宋体" w:hAnsi="宋体" w:cs="宋体"/>
          <w:color w:val="auto"/>
          <w:szCs w:val="21"/>
          <w:highlight w:val="none"/>
        </w:rPr>
      </w:pPr>
      <w:bookmarkStart w:id="361" w:name="_bookmark147"/>
      <w:bookmarkEnd w:id="361"/>
      <w:bookmarkStart w:id="362" w:name="_Toc18060991"/>
      <w:bookmarkStart w:id="363" w:name="_Toc20388294"/>
      <w:r>
        <w:rPr>
          <w:rFonts w:hint="eastAsia" w:ascii="宋体" w:hAnsi="宋体" w:cs="宋体"/>
          <w:color w:val="auto"/>
          <w:szCs w:val="21"/>
          <w:highlight w:val="none"/>
        </w:rPr>
        <w:t xml:space="preserve">预付款的额度： 监理合同金额的 30% 。自合同生效之日起工程正式开工，监理人员按投标承诺到位，发包人收到监理机构正式付款申请、相应金额的商业发票后10个工作日内审批支付。 </w:t>
      </w:r>
    </w:p>
    <w:p w14:paraId="35E6F0DD">
      <w:pPr>
        <w:tabs>
          <w:tab w:val="left" w:pos="180"/>
          <w:tab w:val="left" w:pos="16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支付方式：银行转帐。 </w:t>
      </w:r>
    </w:p>
    <w:p w14:paraId="5E544455">
      <w:pPr>
        <w:tabs>
          <w:tab w:val="left" w:pos="180"/>
          <w:tab w:val="left" w:pos="16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监理服务费按每季度支付一次，每次支付额为本期实际完成且验收合格的工程建安投资占总投资的比例×监理合同额×80%。委托人收到监理机构正式付款申请、相应金额的商业发票后30日内审批支付。</w:t>
      </w:r>
    </w:p>
    <w:p w14:paraId="4BECEC6D">
      <w:pPr>
        <w:tabs>
          <w:tab w:val="left" w:pos="180"/>
          <w:tab w:val="left" w:pos="162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监理服务费累计支付至（监理合同额+施工变更价款计算的监理服务费）的90%时暂停支付，待工程施工完毕并经委托人验收合格后监理人向委托人提交支付申请及相应金额的商业发票后30日内支付监理服务费至（监理合同额+施工变更价款计算的监理服务费）的95%。</w:t>
      </w:r>
    </w:p>
    <w:p w14:paraId="4C209BA5">
      <w:pPr>
        <w:pStyle w:val="6"/>
        <w:spacing w:before="0" w:after="0" w:line="360" w:lineRule="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机构提交监理资料、施工监理报告和监理结算资料，并通过发包人委托的审价机构（或指定的审核单位）审定后，项目整体竣工验收合格；监理单位向委托人提交支付申请30日内，委托人需向监理人累计支付监理结算价的97%。工程缺陷责任期满，监理人向施工承包人签发缺陷责任终止证书之日起15日内，委托人将监理结算价剩余的服务费全部付清。</w:t>
      </w:r>
    </w:p>
    <w:p w14:paraId="369B4F0F">
      <w:pPr>
        <w:pStyle w:val="6"/>
        <w:spacing w:before="0" w:after="0" w:line="360" w:lineRule="auto"/>
        <w:rPr>
          <w:rFonts w:hAnsi="宋体" w:eastAsia="宋体" w:cs="仿宋"/>
          <w:color w:val="auto"/>
          <w:sz w:val="21"/>
          <w:szCs w:val="21"/>
          <w:highlight w:val="none"/>
        </w:rPr>
      </w:pPr>
      <w:r>
        <w:rPr>
          <w:rFonts w:hint="eastAsia" w:hAnsi="宋体" w:eastAsia="宋体" w:cs="仿宋"/>
          <w:color w:val="auto"/>
          <w:sz w:val="21"/>
          <w:szCs w:val="21"/>
          <w:highlight w:val="none"/>
        </w:rPr>
        <w:t>9.4 费用结算</w:t>
      </w:r>
      <w:bookmarkEnd w:id="362"/>
      <w:bookmarkEnd w:id="363"/>
    </w:p>
    <w:p w14:paraId="46F76E0E">
      <w:pPr>
        <w:pStyle w:val="2"/>
        <w:spacing w:after="0" w:line="360" w:lineRule="auto"/>
        <w:ind w:left="100" w:right="111" w:firstLine="419"/>
        <w:rPr>
          <w:rFonts w:ascii="宋体" w:hAnsi="宋体" w:cs="仿宋"/>
          <w:color w:val="auto"/>
          <w:szCs w:val="21"/>
          <w:highlight w:val="none"/>
        </w:rPr>
      </w:pPr>
      <w:r>
        <w:rPr>
          <w:rFonts w:hint="eastAsia" w:ascii="宋体" w:hAnsi="宋体" w:cs="仿宋"/>
          <w:color w:val="auto"/>
          <w:szCs w:val="21"/>
          <w:highlight w:val="none"/>
        </w:rPr>
        <w:t>9.4.1 合同工作完成后，监理人可按专用合同条款约定的份数和期限，向委托人提交监理费用结算申请，并提供相关证明材料。</w:t>
      </w:r>
    </w:p>
    <w:p w14:paraId="55777BD5">
      <w:pPr>
        <w:pStyle w:val="2"/>
        <w:spacing w:after="0" w:line="360" w:lineRule="auto"/>
        <w:ind w:left="100" w:right="111" w:firstLine="419"/>
        <w:rPr>
          <w:rFonts w:ascii="宋体" w:hAnsi="宋体" w:cs="仿宋"/>
          <w:color w:val="auto"/>
          <w:szCs w:val="21"/>
          <w:highlight w:val="none"/>
        </w:rPr>
      </w:pPr>
      <w:r>
        <w:rPr>
          <w:rFonts w:hint="eastAsia" w:ascii="宋体" w:hAnsi="宋体" w:cs="仿宋"/>
          <w:color w:val="auto"/>
          <w:szCs w:val="21"/>
          <w:highlight w:val="none"/>
        </w:rPr>
        <w:t>9.4.2 委托人应在收到费用结算申请后的 28 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14:paraId="6ADC5515">
      <w:pPr>
        <w:pStyle w:val="2"/>
        <w:spacing w:after="0" w:line="360" w:lineRule="auto"/>
        <w:ind w:left="100" w:right="111" w:firstLine="419"/>
        <w:rPr>
          <w:rFonts w:ascii="宋体" w:hAnsi="宋体" w:cs="仿宋"/>
          <w:color w:val="auto"/>
          <w:szCs w:val="21"/>
          <w:highlight w:val="none"/>
        </w:rPr>
      </w:pPr>
      <w:r>
        <w:rPr>
          <w:rFonts w:hint="eastAsia" w:ascii="宋体" w:hAnsi="宋体" w:cs="仿宋"/>
          <w:color w:val="auto"/>
          <w:szCs w:val="21"/>
          <w:highlight w:val="none"/>
        </w:rPr>
        <w:t>9.4.3 委托人对费用结算申请内容有异议的，有权要求监理人进行修正和提供补充资料，由监理人重新提交。监理人对此有异议的，按第 12 条的约定执行。</w:t>
      </w:r>
    </w:p>
    <w:p w14:paraId="1138CDB7">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9.4.4 最终结清付款涉及政府投资资金的，按第 9.3.3 项的约定执行。</w:t>
      </w:r>
    </w:p>
    <w:p w14:paraId="74BB6960">
      <w:pPr>
        <w:pStyle w:val="5"/>
        <w:spacing w:before="0" w:after="0" w:line="360" w:lineRule="auto"/>
        <w:rPr>
          <w:rFonts w:ascii="宋体" w:hAnsi="宋体" w:cs="仿宋"/>
          <w:color w:val="auto"/>
          <w:sz w:val="21"/>
          <w:szCs w:val="21"/>
          <w:highlight w:val="none"/>
        </w:rPr>
      </w:pPr>
      <w:bookmarkStart w:id="364" w:name="_bookmark148"/>
      <w:bookmarkEnd w:id="364"/>
      <w:bookmarkStart w:id="365" w:name="_Toc18060992"/>
      <w:bookmarkStart w:id="366" w:name="_Toc129859385"/>
      <w:bookmarkStart w:id="367" w:name="_Toc129859508"/>
      <w:bookmarkStart w:id="368" w:name="_Toc20388295"/>
      <w:r>
        <w:rPr>
          <w:rFonts w:hint="eastAsia" w:ascii="宋体" w:hAnsi="宋体" w:cs="仿宋"/>
          <w:color w:val="auto"/>
          <w:sz w:val="21"/>
          <w:szCs w:val="21"/>
          <w:highlight w:val="none"/>
        </w:rPr>
        <w:t>10.  不可抗力</w:t>
      </w:r>
      <w:bookmarkEnd w:id="365"/>
      <w:bookmarkEnd w:id="366"/>
      <w:bookmarkEnd w:id="367"/>
      <w:bookmarkEnd w:id="368"/>
    </w:p>
    <w:p w14:paraId="66DE0E26">
      <w:pPr>
        <w:pStyle w:val="6"/>
        <w:spacing w:before="0" w:after="0" w:line="360" w:lineRule="auto"/>
        <w:rPr>
          <w:rFonts w:hAnsi="宋体" w:eastAsia="宋体" w:cs="仿宋"/>
          <w:color w:val="auto"/>
          <w:sz w:val="21"/>
          <w:szCs w:val="21"/>
          <w:highlight w:val="none"/>
        </w:rPr>
      </w:pPr>
      <w:bookmarkStart w:id="369" w:name="_bookmark149"/>
      <w:bookmarkEnd w:id="369"/>
      <w:bookmarkStart w:id="370" w:name="_Toc20388296"/>
      <w:bookmarkStart w:id="371" w:name="_Toc18060993"/>
      <w:r>
        <w:rPr>
          <w:rFonts w:hint="eastAsia" w:hAnsi="宋体" w:eastAsia="宋体" w:cs="仿宋"/>
          <w:color w:val="auto"/>
          <w:sz w:val="21"/>
          <w:szCs w:val="21"/>
          <w:highlight w:val="none"/>
        </w:rPr>
        <w:t>10.1 不可抗力的确认</w:t>
      </w:r>
      <w:bookmarkEnd w:id="370"/>
      <w:bookmarkEnd w:id="371"/>
    </w:p>
    <w:p w14:paraId="77C68DA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10.1.1 不可抗力是指监理人和委托人在订立合同时不可预见，在履行合同过程中不可避免 发生并不能克服的自然灾害和社会性突发事件，如地震、海啸、瘟疫、水灾、骚乱、暴动、战争和专用合同条款约定的其他情形。</w:t>
      </w:r>
    </w:p>
    <w:p w14:paraId="3B273CDC">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10.1.2 不可抗力发生后，委托人和监理人应及时认真统计所造成的损失，收集不可抗力造 成损失的证据。合同双方对是否属于不可抗力或其损失的意见不一致的，由合同双方协商确定。</w:t>
      </w:r>
    </w:p>
    <w:p w14:paraId="777BB282">
      <w:pPr>
        <w:pStyle w:val="6"/>
        <w:spacing w:before="0" w:after="0" w:line="360" w:lineRule="auto"/>
        <w:rPr>
          <w:rFonts w:hAnsi="宋体" w:eastAsia="宋体" w:cs="仿宋"/>
          <w:color w:val="auto"/>
          <w:sz w:val="21"/>
          <w:szCs w:val="21"/>
          <w:highlight w:val="none"/>
        </w:rPr>
      </w:pPr>
      <w:bookmarkStart w:id="372" w:name="_bookmark150"/>
      <w:bookmarkEnd w:id="372"/>
      <w:bookmarkStart w:id="373" w:name="_Toc18060994"/>
      <w:bookmarkStart w:id="374" w:name="_Toc20388297"/>
      <w:r>
        <w:rPr>
          <w:rFonts w:hint="eastAsia" w:hAnsi="宋体" w:eastAsia="宋体" w:cs="仿宋"/>
          <w:color w:val="auto"/>
          <w:sz w:val="21"/>
          <w:szCs w:val="21"/>
          <w:highlight w:val="none"/>
        </w:rPr>
        <w:t>10.2 不可抗力的通知</w:t>
      </w:r>
      <w:bookmarkEnd w:id="373"/>
      <w:bookmarkEnd w:id="374"/>
    </w:p>
    <w:p w14:paraId="1411B593">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10.2.1 合同一方当事人遇到不可抗力事件，使其履行合同义务受到阻碍时，应立即通知合同另一方当事人，书面说明不可抗力和受阻碍的详细情况，并提供必要的证明。</w:t>
      </w:r>
    </w:p>
    <w:p w14:paraId="3FE3383F">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10.2.2 如不可抗力持续发生，合同一方当事人应及时向合同另一方当事人提交中间报告，说明不可抗力和履行合同受阻的情况，并于不可抗力事件结束后 28 天内提交最终报告及有关资料。</w:t>
      </w:r>
    </w:p>
    <w:p w14:paraId="170F9A99">
      <w:pPr>
        <w:pStyle w:val="6"/>
        <w:spacing w:before="0" w:after="0" w:line="360" w:lineRule="auto"/>
        <w:rPr>
          <w:rFonts w:hAnsi="宋体" w:eastAsia="宋体" w:cs="仿宋"/>
          <w:color w:val="auto"/>
          <w:sz w:val="21"/>
          <w:szCs w:val="21"/>
          <w:highlight w:val="none"/>
        </w:rPr>
      </w:pPr>
      <w:bookmarkStart w:id="375" w:name="_bookmark151"/>
      <w:bookmarkEnd w:id="375"/>
      <w:bookmarkStart w:id="376" w:name="_Toc18060995"/>
      <w:bookmarkStart w:id="377" w:name="_Toc20388298"/>
      <w:r>
        <w:rPr>
          <w:rFonts w:hint="eastAsia" w:hAnsi="宋体" w:eastAsia="宋体" w:cs="仿宋"/>
          <w:color w:val="auto"/>
          <w:sz w:val="21"/>
          <w:szCs w:val="21"/>
          <w:highlight w:val="none"/>
        </w:rPr>
        <w:t>10.3 不可抗力后果及其处理</w:t>
      </w:r>
      <w:bookmarkEnd w:id="376"/>
      <w:bookmarkEnd w:id="377"/>
    </w:p>
    <w:p w14:paraId="4F369538">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10.3.1 不可抗力引起的后果及其损失，应由合同当事人依据法律规定各自承担。不可抗力发生前已完成的监理工作，应当按照合同约定进行支付。</w:t>
      </w:r>
    </w:p>
    <w:p w14:paraId="1DB5846C">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10.3.2 不可抗力发生后，合同当事人应当采取有效措施避免损失进一步扩大，如未采取有效措施致使损失扩大的，应当自行承担扩大部分的损失。</w:t>
      </w:r>
    </w:p>
    <w:p w14:paraId="34499C97">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10.3.3 因一方当事人迟延履行合同义务，致使迟延履行期间遭遇不可抗力的，应由该当事人承担全部损失。</w:t>
      </w:r>
    </w:p>
    <w:p w14:paraId="21286080">
      <w:pPr>
        <w:pStyle w:val="5"/>
        <w:spacing w:before="0" w:after="0" w:line="360" w:lineRule="auto"/>
        <w:jc w:val="left"/>
        <w:rPr>
          <w:rFonts w:ascii="宋体" w:hAnsi="宋体" w:cs="仿宋"/>
          <w:color w:val="auto"/>
          <w:sz w:val="21"/>
          <w:szCs w:val="21"/>
          <w:highlight w:val="none"/>
        </w:rPr>
      </w:pPr>
      <w:bookmarkStart w:id="378" w:name="_bookmark152"/>
      <w:bookmarkEnd w:id="378"/>
      <w:bookmarkStart w:id="379" w:name="_Toc129859386"/>
      <w:bookmarkStart w:id="380" w:name="_Toc20388299"/>
      <w:bookmarkStart w:id="381" w:name="_Toc129859509"/>
      <w:bookmarkStart w:id="382" w:name="_Toc18060996"/>
      <w:r>
        <w:rPr>
          <w:rFonts w:hint="eastAsia" w:ascii="宋体" w:hAnsi="宋体" w:cs="仿宋"/>
          <w:color w:val="auto"/>
          <w:sz w:val="21"/>
          <w:szCs w:val="21"/>
          <w:highlight w:val="none"/>
        </w:rPr>
        <w:t>11.  违约</w:t>
      </w:r>
      <w:bookmarkEnd w:id="379"/>
      <w:bookmarkEnd w:id="380"/>
      <w:bookmarkEnd w:id="381"/>
      <w:bookmarkEnd w:id="382"/>
    </w:p>
    <w:p w14:paraId="59F6D795">
      <w:pPr>
        <w:pStyle w:val="6"/>
        <w:spacing w:before="0" w:after="0" w:line="360" w:lineRule="auto"/>
        <w:rPr>
          <w:rFonts w:hAnsi="宋体" w:eastAsia="宋体" w:cs="仿宋"/>
          <w:color w:val="auto"/>
          <w:sz w:val="21"/>
          <w:szCs w:val="21"/>
          <w:highlight w:val="none"/>
        </w:rPr>
      </w:pPr>
      <w:bookmarkStart w:id="383" w:name="_bookmark153"/>
      <w:bookmarkEnd w:id="383"/>
      <w:bookmarkStart w:id="384" w:name="_Toc20388300"/>
      <w:bookmarkStart w:id="385" w:name="_Toc18060997"/>
      <w:r>
        <w:rPr>
          <w:rFonts w:hint="eastAsia" w:hAnsi="宋体" w:eastAsia="宋体" w:cs="仿宋"/>
          <w:color w:val="auto"/>
          <w:sz w:val="21"/>
          <w:szCs w:val="21"/>
          <w:highlight w:val="none"/>
        </w:rPr>
        <w:t>11.1 监理人违约</w:t>
      </w:r>
      <w:bookmarkEnd w:id="384"/>
      <w:bookmarkEnd w:id="385"/>
    </w:p>
    <w:p w14:paraId="48872287">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11.1.1 合同履行中发生下列情况之一的，属监理人违约：</w:t>
      </w:r>
    </w:p>
    <w:p w14:paraId="7CC87DAC">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（1）监理文件不符合规范标准以及合同约定；</w:t>
      </w:r>
    </w:p>
    <w:p w14:paraId="1144023E">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（2）监理人转让监理工作；</w:t>
      </w:r>
    </w:p>
    <w:p w14:paraId="5DED08A4">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（3）监理人未按合同约定实施监理并造成工程损失；</w:t>
      </w:r>
    </w:p>
    <w:p w14:paraId="7FF16E35">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（4）监理人无法履行或停止履行合同；</w:t>
      </w:r>
    </w:p>
    <w:p w14:paraId="2C4D638F">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（5）监理人不履行合同约定的其他义务。</w:t>
      </w:r>
    </w:p>
    <w:p w14:paraId="6D7EA481">
      <w:pPr>
        <w:pStyle w:val="2"/>
        <w:spacing w:after="0" w:line="360" w:lineRule="auto"/>
        <w:ind w:left="100" w:right="114" w:firstLine="419"/>
        <w:rPr>
          <w:rFonts w:ascii="宋体" w:hAnsi="宋体" w:cs="仿宋"/>
          <w:color w:val="auto"/>
          <w:szCs w:val="21"/>
          <w:highlight w:val="none"/>
        </w:rPr>
      </w:pPr>
      <w:r>
        <w:rPr>
          <w:rFonts w:hint="eastAsia" w:ascii="宋体" w:hAnsi="宋体" w:cs="仿宋"/>
          <w:color w:val="auto"/>
          <w:szCs w:val="21"/>
          <w:highlight w:val="none"/>
        </w:rPr>
        <w:t>11.1.2 监理人发生违约情况时，委托人可向监理人发出整改通知，要求其在限定期限内纠 正；逾期仍不纠正的，委托人有权解除合同并向监理人发出解除合同通知。监理人应当承担由于违约所造成的费用增加、周期延误和委托人损失等。</w:t>
      </w:r>
    </w:p>
    <w:p w14:paraId="2F217CC4">
      <w:pPr>
        <w:pStyle w:val="6"/>
        <w:spacing w:before="0" w:after="0" w:line="360" w:lineRule="auto"/>
        <w:rPr>
          <w:rFonts w:hAnsi="宋体" w:eastAsia="宋体" w:cs="仿宋"/>
          <w:color w:val="auto"/>
          <w:sz w:val="21"/>
          <w:szCs w:val="21"/>
          <w:highlight w:val="none"/>
        </w:rPr>
      </w:pPr>
      <w:bookmarkStart w:id="386" w:name="_bookmark154"/>
      <w:bookmarkEnd w:id="386"/>
      <w:bookmarkStart w:id="387" w:name="_Toc20388301"/>
      <w:bookmarkStart w:id="388" w:name="_Toc18060998"/>
      <w:r>
        <w:rPr>
          <w:rFonts w:hint="eastAsia" w:hAnsi="宋体" w:eastAsia="宋体" w:cs="仿宋"/>
          <w:color w:val="auto"/>
          <w:sz w:val="21"/>
          <w:szCs w:val="21"/>
          <w:highlight w:val="none"/>
        </w:rPr>
        <w:t>11.2 委托人违约</w:t>
      </w:r>
      <w:bookmarkEnd w:id="387"/>
      <w:bookmarkEnd w:id="388"/>
    </w:p>
    <w:p w14:paraId="25AC5132">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11.2.1 合同履行中发生下列情况之一的，属委托人违约：</w:t>
      </w:r>
    </w:p>
    <w:p w14:paraId="5B9E9BE8">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（1）委托人未按合同约定支付监理报酬；</w:t>
      </w:r>
    </w:p>
    <w:p w14:paraId="0552D248">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（2）委托人原因造成监理停止；</w:t>
      </w:r>
    </w:p>
    <w:p w14:paraId="293C717A">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（3）委托人无法履行或停止履行合同；</w:t>
      </w:r>
    </w:p>
    <w:p w14:paraId="50F43DDD">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（4）委托人不履行合同约定的其他义务。</w:t>
      </w:r>
    </w:p>
    <w:p w14:paraId="3F429DBC">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11.2.2 委托人发生违约情况时，监理人可向委托人发出暂停监理通知，要求其在限定期限 内纠正；逾期仍不纠正的，监理人有权解除合同并向委托人发出解除合同通知。委托人应当承担由于违约所造成的费用增加、周期延误和监理人损失等。</w:t>
      </w:r>
    </w:p>
    <w:p w14:paraId="233A304C">
      <w:pPr>
        <w:pStyle w:val="6"/>
        <w:spacing w:before="0" w:after="0" w:line="360" w:lineRule="auto"/>
        <w:rPr>
          <w:rFonts w:hAnsi="宋体" w:eastAsia="宋体" w:cs="仿宋"/>
          <w:color w:val="auto"/>
          <w:sz w:val="21"/>
          <w:szCs w:val="21"/>
          <w:highlight w:val="none"/>
        </w:rPr>
      </w:pPr>
      <w:bookmarkStart w:id="389" w:name="_bookmark155"/>
      <w:bookmarkEnd w:id="389"/>
      <w:bookmarkStart w:id="390" w:name="_Toc20388302"/>
      <w:bookmarkStart w:id="391" w:name="_Toc18060999"/>
      <w:r>
        <w:rPr>
          <w:rFonts w:hint="eastAsia" w:hAnsi="宋体" w:eastAsia="宋体" w:cs="仿宋"/>
          <w:color w:val="auto"/>
          <w:sz w:val="21"/>
          <w:szCs w:val="21"/>
          <w:highlight w:val="none"/>
        </w:rPr>
        <w:t>11.3 第三人造成的违约</w:t>
      </w:r>
      <w:bookmarkEnd w:id="390"/>
      <w:bookmarkEnd w:id="391"/>
    </w:p>
    <w:p w14:paraId="77A299DD">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在履行合同过程中，一方当事人因第三人的原因造成违约的，应当向对方当事人承担违约责任。一方当事人和第三人之间的纠纷，依照法律规定或者按照约定解决。</w:t>
      </w:r>
    </w:p>
    <w:p w14:paraId="029DBDB9">
      <w:pPr>
        <w:pStyle w:val="5"/>
        <w:spacing w:before="0" w:after="0" w:line="360" w:lineRule="auto"/>
        <w:rPr>
          <w:rFonts w:ascii="宋体" w:hAnsi="宋体" w:cs="仿宋"/>
          <w:color w:val="auto"/>
          <w:sz w:val="21"/>
          <w:szCs w:val="21"/>
          <w:highlight w:val="none"/>
        </w:rPr>
      </w:pPr>
      <w:bookmarkStart w:id="392" w:name="_bookmark156"/>
      <w:bookmarkEnd w:id="392"/>
      <w:bookmarkStart w:id="393" w:name="_Toc18061000"/>
      <w:bookmarkStart w:id="394" w:name="_Toc20388303"/>
      <w:bookmarkStart w:id="395" w:name="_Toc129859387"/>
      <w:bookmarkStart w:id="396" w:name="_Toc129859510"/>
      <w:r>
        <w:rPr>
          <w:rFonts w:hint="eastAsia" w:ascii="宋体" w:hAnsi="宋体" w:cs="仿宋"/>
          <w:color w:val="auto"/>
          <w:sz w:val="21"/>
          <w:szCs w:val="21"/>
          <w:highlight w:val="none"/>
        </w:rPr>
        <w:t>12. 争议的解决</w:t>
      </w:r>
      <w:bookmarkEnd w:id="393"/>
      <w:bookmarkEnd w:id="394"/>
      <w:bookmarkEnd w:id="395"/>
      <w:bookmarkEnd w:id="396"/>
    </w:p>
    <w:p w14:paraId="63D4AEC1">
      <w:pPr>
        <w:pStyle w:val="2"/>
        <w:spacing w:after="0" w:line="360" w:lineRule="auto"/>
        <w:ind w:left="100" w:right="113" w:firstLine="419"/>
        <w:rPr>
          <w:rFonts w:ascii="宋体" w:hAnsi="宋体" w:cs="仿宋"/>
          <w:color w:val="auto"/>
          <w:szCs w:val="21"/>
          <w:highlight w:val="none"/>
        </w:rPr>
      </w:pPr>
      <w:r>
        <w:rPr>
          <w:rFonts w:hint="eastAsia" w:ascii="宋体" w:hAnsi="宋体" w:cs="仿宋"/>
          <w:color w:val="auto"/>
          <w:szCs w:val="21"/>
          <w:highlight w:val="none"/>
        </w:rPr>
        <w:t>委托人和监理人在履行合同中发生争议的，可以友好协商解决。合同当事人友好协商解决不成的，可在专用合同条款中约定下列一种方式解决：</w:t>
      </w:r>
    </w:p>
    <w:p w14:paraId="6D213AC7">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（1）向约定的仲裁委员会申请仲裁；</w:t>
      </w:r>
    </w:p>
    <w:p w14:paraId="1E53D69E">
      <w:pPr>
        <w:spacing w:line="360" w:lineRule="auto"/>
        <w:ind w:firstLine="493" w:firstLineChars="235"/>
        <w:rPr>
          <w:color w:val="auto"/>
          <w:highlight w:val="none"/>
        </w:rPr>
      </w:pPr>
      <w:r>
        <w:rPr>
          <w:rFonts w:hint="eastAsia" w:ascii="宋体" w:hAnsi="宋体" w:cs="仿宋"/>
          <w:color w:val="auto"/>
          <w:szCs w:val="21"/>
          <w:highlight w:val="none"/>
        </w:rPr>
        <w:t>（2）向有管辖权的人民法院提起诉讼。</w:t>
      </w:r>
      <w:bookmarkEnd w:id="193"/>
      <w:bookmarkEnd w:id="194"/>
      <w:bookmarkEnd w:id="195"/>
      <w:bookmarkStart w:id="397" w:name="_Toc18061001"/>
      <w:bookmarkStart w:id="398" w:name="_Toc20388304"/>
    </w:p>
    <w:p w14:paraId="35D62E1C">
      <w:pPr>
        <w:pStyle w:val="4"/>
        <w:spacing w:line="400" w:lineRule="exact"/>
        <w:jc w:val="center"/>
        <w:rPr>
          <w:rFonts w:ascii="宋体" w:hAnsi="宋体" w:cs="仿宋"/>
          <w:color w:val="auto"/>
          <w:highlight w:val="none"/>
        </w:rPr>
      </w:pPr>
      <w:bookmarkStart w:id="399" w:name="_Toc129859511"/>
      <w:bookmarkStart w:id="400" w:name="_Toc129859388"/>
      <w:r>
        <w:rPr>
          <w:rFonts w:hint="eastAsia" w:ascii="宋体" w:hAnsi="宋体" w:cs="仿宋"/>
          <w:color w:val="auto"/>
          <w:highlight w:val="none"/>
        </w:rPr>
        <w:t>第二节  专用合同条款</w:t>
      </w:r>
      <w:bookmarkEnd w:id="397"/>
      <w:bookmarkEnd w:id="398"/>
      <w:bookmarkEnd w:id="399"/>
      <w:bookmarkEnd w:id="400"/>
    </w:p>
    <w:p w14:paraId="168F199C">
      <w:pPr>
        <w:pStyle w:val="5"/>
        <w:spacing w:before="0" w:after="0" w:line="360" w:lineRule="auto"/>
        <w:jc w:val="left"/>
        <w:rPr>
          <w:rFonts w:ascii="宋体" w:hAnsi="宋体" w:cs="仿宋"/>
          <w:color w:val="auto"/>
          <w:sz w:val="21"/>
          <w:szCs w:val="21"/>
          <w:highlight w:val="none"/>
        </w:rPr>
      </w:pPr>
      <w:bookmarkStart w:id="401" w:name="_Toc129859389"/>
      <w:bookmarkStart w:id="402" w:name="_Toc20388305"/>
      <w:bookmarkStart w:id="403" w:name="_Toc129859512"/>
      <w:r>
        <w:rPr>
          <w:rFonts w:hint="eastAsia" w:ascii="宋体" w:hAnsi="宋体" w:cs="仿宋"/>
          <w:color w:val="auto"/>
          <w:sz w:val="21"/>
          <w:szCs w:val="21"/>
          <w:highlight w:val="none"/>
        </w:rPr>
        <w:t>1. 一般约定</w:t>
      </w:r>
      <w:bookmarkEnd w:id="401"/>
      <w:bookmarkEnd w:id="402"/>
      <w:bookmarkEnd w:id="403"/>
    </w:p>
    <w:p w14:paraId="2C187BCF">
      <w:pPr>
        <w:pStyle w:val="6"/>
        <w:spacing w:before="0" w:after="0" w:line="360" w:lineRule="auto"/>
        <w:rPr>
          <w:rFonts w:hAnsi="宋体" w:eastAsia="宋体" w:cs="仿宋"/>
          <w:b w:val="0"/>
          <w:color w:val="auto"/>
          <w:sz w:val="21"/>
          <w:szCs w:val="21"/>
          <w:highlight w:val="none"/>
        </w:rPr>
      </w:pPr>
      <w:bookmarkStart w:id="404" w:name="1.3_适用法律"/>
      <w:bookmarkEnd w:id="404"/>
      <w:bookmarkStart w:id="405" w:name="_Toc20388306"/>
      <w:r>
        <w:rPr>
          <w:rFonts w:hint="eastAsia" w:hAnsi="宋体" w:eastAsia="宋体" w:cs="仿宋"/>
          <w:color w:val="auto"/>
          <w:sz w:val="21"/>
          <w:szCs w:val="21"/>
          <w:highlight w:val="none"/>
        </w:rPr>
        <w:t>1.1 适用法律</w:t>
      </w:r>
      <w:bookmarkEnd w:id="405"/>
    </w:p>
    <w:p w14:paraId="2431920B">
      <w:pPr>
        <w:tabs>
          <w:tab w:val="left" w:pos="5892"/>
        </w:tabs>
        <w:spacing w:line="360" w:lineRule="auto"/>
        <w:ind w:left="644" w:right="110"/>
        <w:rPr>
          <w:rFonts w:ascii="宋体" w:hAnsi="宋体" w:cs="仿宋"/>
          <w:color w:val="auto"/>
          <w:szCs w:val="21"/>
          <w:highlight w:val="none"/>
        </w:rPr>
      </w:pPr>
      <w:r>
        <w:rPr>
          <w:rFonts w:hint="eastAsia" w:ascii="宋体" w:hAnsi="宋体" w:cs="仿宋"/>
          <w:color w:val="auto"/>
          <w:szCs w:val="21"/>
          <w:highlight w:val="none"/>
        </w:rPr>
        <w:t>本合同适用的其他规范性文件</w:t>
      </w:r>
      <w:r>
        <w:rPr>
          <w:rFonts w:hint="eastAsia" w:ascii="宋体" w:hAnsi="宋体" w:cs="仿宋"/>
          <w:color w:val="auto"/>
          <w:w w:val="95"/>
          <w:szCs w:val="21"/>
          <w:highlight w:val="none"/>
        </w:rPr>
        <w:t>：</w:t>
      </w:r>
      <w:r>
        <w:rPr>
          <w:rFonts w:hint="eastAsia" w:ascii="宋体" w:hAnsi="宋体" w:cs="仿宋"/>
          <w:color w:val="auto"/>
          <w:w w:val="95"/>
          <w:szCs w:val="21"/>
          <w:highlight w:val="none"/>
          <w:u w:val="single" w:color="000000"/>
        </w:rPr>
        <w:t xml:space="preserve">             </w:t>
      </w:r>
      <w:r>
        <w:rPr>
          <w:rFonts w:hint="eastAsia" w:ascii="宋体" w:hAnsi="宋体" w:cs="仿宋"/>
          <w:color w:val="auto"/>
          <w:szCs w:val="21"/>
          <w:highlight w:val="none"/>
        </w:rPr>
        <w:t>。</w:t>
      </w:r>
    </w:p>
    <w:p w14:paraId="6804CDC6">
      <w:pPr>
        <w:pStyle w:val="6"/>
        <w:spacing w:before="0" w:after="0" w:line="360" w:lineRule="auto"/>
        <w:rPr>
          <w:rFonts w:hAnsi="宋体" w:eastAsia="宋体" w:cs="仿宋"/>
          <w:b w:val="0"/>
          <w:color w:val="auto"/>
          <w:sz w:val="21"/>
          <w:szCs w:val="21"/>
          <w:highlight w:val="none"/>
        </w:rPr>
      </w:pPr>
      <w:bookmarkStart w:id="406" w:name="1.4_合同文件的优先顺序"/>
      <w:bookmarkEnd w:id="406"/>
      <w:bookmarkStart w:id="407" w:name="_Toc20388307"/>
      <w:r>
        <w:rPr>
          <w:rFonts w:hint="eastAsia" w:hAnsi="宋体" w:eastAsia="宋体" w:cs="仿宋"/>
          <w:color w:val="auto"/>
          <w:sz w:val="21"/>
          <w:szCs w:val="21"/>
          <w:highlight w:val="none"/>
        </w:rPr>
        <w:t>1.2 合同文件的优先顺序</w:t>
      </w:r>
      <w:bookmarkEnd w:id="407"/>
    </w:p>
    <w:p w14:paraId="2903FC90">
      <w:pPr>
        <w:tabs>
          <w:tab w:val="left" w:pos="5698"/>
        </w:tabs>
        <w:spacing w:line="360" w:lineRule="auto"/>
        <w:ind w:left="552" w:right="110"/>
        <w:rPr>
          <w:rFonts w:ascii="宋体" w:hAnsi="宋体" w:cs="仿宋"/>
          <w:color w:val="auto"/>
          <w:szCs w:val="21"/>
          <w:highlight w:val="none"/>
        </w:rPr>
      </w:pPr>
      <w:r>
        <w:rPr>
          <w:rFonts w:hint="eastAsia" w:ascii="宋体" w:hAnsi="宋体" w:cs="仿宋"/>
          <w:color w:val="auto"/>
          <w:szCs w:val="21"/>
          <w:highlight w:val="none"/>
        </w:rPr>
        <w:t>关于合同文件优先顺序的约定</w:t>
      </w:r>
      <w:r>
        <w:rPr>
          <w:rFonts w:hint="eastAsia" w:ascii="宋体" w:hAnsi="宋体" w:cs="仿宋"/>
          <w:color w:val="auto"/>
          <w:w w:val="95"/>
          <w:szCs w:val="21"/>
          <w:highlight w:val="none"/>
        </w:rPr>
        <w:t>：</w:t>
      </w:r>
      <w:r>
        <w:rPr>
          <w:rFonts w:hint="eastAsia" w:ascii="宋体" w:hAnsi="宋体" w:cs="仿宋"/>
          <w:color w:val="auto"/>
          <w:w w:val="95"/>
          <w:szCs w:val="21"/>
          <w:highlight w:val="none"/>
          <w:u w:val="single" w:color="000000"/>
        </w:rPr>
        <w:t xml:space="preserve">              </w:t>
      </w:r>
      <w:r>
        <w:rPr>
          <w:rFonts w:hint="eastAsia" w:ascii="宋体" w:hAnsi="宋体" w:cs="仿宋"/>
          <w:color w:val="auto"/>
          <w:szCs w:val="21"/>
          <w:highlight w:val="none"/>
        </w:rPr>
        <w:t>。</w:t>
      </w:r>
    </w:p>
    <w:p w14:paraId="7DEFC92A">
      <w:pPr>
        <w:pStyle w:val="6"/>
        <w:spacing w:before="0" w:after="0" w:line="360" w:lineRule="auto"/>
        <w:rPr>
          <w:rFonts w:hAnsi="宋体" w:eastAsia="宋体" w:cs="仿宋"/>
          <w:color w:val="auto"/>
          <w:sz w:val="21"/>
          <w:szCs w:val="21"/>
          <w:highlight w:val="none"/>
        </w:rPr>
      </w:pPr>
      <w:bookmarkStart w:id="408" w:name="1.5_合同协议书"/>
      <w:bookmarkEnd w:id="408"/>
      <w:bookmarkStart w:id="409" w:name="_Toc20388308"/>
      <w:r>
        <w:rPr>
          <w:rFonts w:hint="eastAsia" w:hAnsi="宋体" w:eastAsia="宋体" w:cs="仿宋"/>
          <w:color w:val="auto"/>
          <w:sz w:val="21"/>
          <w:szCs w:val="21"/>
          <w:highlight w:val="none"/>
        </w:rPr>
        <w:t>1.3合同协议书</w:t>
      </w:r>
      <w:bookmarkEnd w:id="409"/>
    </w:p>
    <w:p w14:paraId="322FBEBA">
      <w:pPr>
        <w:tabs>
          <w:tab w:val="left" w:pos="5472"/>
        </w:tabs>
        <w:spacing w:line="360" w:lineRule="auto"/>
        <w:ind w:left="538" w:right="110"/>
        <w:rPr>
          <w:rFonts w:ascii="宋体" w:hAnsi="宋体" w:cs="仿宋"/>
          <w:color w:val="auto"/>
          <w:szCs w:val="21"/>
          <w:highlight w:val="none"/>
        </w:rPr>
      </w:pPr>
      <w:r>
        <w:rPr>
          <w:rFonts w:hint="eastAsia" w:ascii="宋体" w:hAnsi="宋体" w:cs="仿宋"/>
          <w:color w:val="auto"/>
          <w:szCs w:val="21"/>
          <w:highlight w:val="none"/>
        </w:rPr>
        <w:t>关于合同生效时间的约定</w:t>
      </w:r>
      <w:r>
        <w:rPr>
          <w:rFonts w:hint="eastAsia" w:ascii="宋体" w:hAnsi="宋体" w:cs="仿宋"/>
          <w:color w:val="auto"/>
          <w:w w:val="95"/>
          <w:szCs w:val="21"/>
          <w:highlight w:val="none"/>
        </w:rPr>
        <w:t>：</w:t>
      </w:r>
      <w:r>
        <w:rPr>
          <w:rFonts w:hint="eastAsia" w:ascii="宋体" w:hAnsi="宋体" w:cs="仿宋"/>
          <w:color w:val="auto"/>
          <w:w w:val="95"/>
          <w:szCs w:val="21"/>
          <w:highlight w:val="none"/>
          <w:u w:val="single" w:color="000000"/>
        </w:rPr>
        <w:t xml:space="preserve"> </w:t>
      </w:r>
      <w:r>
        <w:rPr>
          <w:rFonts w:hint="eastAsia" w:ascii="宋体" w:hAnsi="宋体" w:cs="仿宋"/>
          <w:color w:val="auto"/>
          <w:w w:val="95"/>
          <w:szCs w:val="21"/>
          <w:highlight w:val="none"/>
          <w:u w:val="single" w:color="000000"/>
        </w:rPr>
        <w:tab/>
      </w:r>
      <w:r>
        <w:rPr>
          <w:rFonts w:hint="eastAsia" w:ascii="宋体" w:hAnsi="宋体" w:cs="仿宋"/>
          <w:color w:val="auto"/>
          <w:szCs w:val="21"/>
          <w:highlight w:val="none"/>
        </w:rPr>
        <w:t>。</w:t>
      </w:r>
    </w:p>
    <w:p w14:paraId="4287DB16">
      <w:pPr>
        <w:pStyle w:val="6"/>
        <w:spacing w:before="0" w:after="0" w:line="360" w:lineRule="auto"/>
        <w:rPr>
          <w:rFonts w:hAnsi="宋体" w:eastAsia="宋体" w:cs="仿宋"/>
          <w:b w:val="0"/>
          <w:color w:val="auto"/>
          <w:sz w:val="21"/>
          <w:szCs w:val="21"/>
          <w:highlight w:val="none"/>
        </w:rPr>
      </w:pPr>
      <w:bookmarkStart w:id="410" w:name="1.6_文件的提供和照管"/>
      <w:bookmarkEnd w:id="410"/>
      <w:bookmarkStart w:id="411" w:name="_Toc20388309"/>
      <w:r>
        <w:rPr>
          <w:rFonts w:hint="eastAsia" w:hAnsi="宋体" w:eastAsia="宋体" w:cs="仿宋"/>
          <w:color w:val="auto"/>
          <w:sz w:val="21"/>
          <w:szCs w:val="21"/>
          <w:highlight w:val="none"/>
        </w:rPr>
        <w:t>1.4 文件的提供和照管</w:t>
      </w:r>
      <w:bookmarkEnd w:id="411"/>
    </w:p>
    <w:p w14:paraId="000BAD20">
      <w:pPr>
        <w:spacing w:line="360" w:lineRule="auto"/>
        <w:ind w:left="136" w:leftChars="65" w:right="110" w:firstLine="350" w:firstLineChars="167"/>
        <w:rPr>
          <w:rFonts w:ascii="宋体" w:hAnsi="宋体" w:cs="仿宋"/>
          <w:color w:val="auto"/>
          <w:szCs w:val="21"/>
          <w:highlight w:val="none"/>
        </w:rPr>
      </w:pPr>
      <w:r>
        <w:rPr>
          <w:rFonts w:hint="eastAsia" w:ascii="宋体" w:hAnsi="宋体" w:cs="仿宋"/>
          <w:color w:val="auto"/>
          <w:szCs w:val="21"/>
          <w:highlight w:val="none"/>
        </w:rPr>
        <w:t>1.4.1 监理文件的提供监理人应在合理的期限内按照国家、水利行业现行标准、规范、规定，《水利工程施工监理规范》及施工承包合同约定向委托人提供监理文件。合同约定监理文件应经委托人批复的，委托人应当在合同约定的期限内批复或提出修改意见</w:t>
      </w:r>
      <w:r>
        <w:rPr>
          <w:rFonts w:hint="eastAsia" w:ascii="宋体" w:hAnsi="宋体" w:cs="仿宋"/>
          <w:color w:val="auto"/>
          <w:spacing w:val="-11"/>
          <w:szCs w:val="21"/>
          <w:highlight w:val="none"/>
        </w:rPr>
        <w:t xml:space="preserve"> </w:t>
      </w:r>
      <w:r>
        <w:rPr>
          <w:rFonts w:hint="eastAsia" w:ascii="宋体" w:hAnsi="宋体" w:cs="仿宋"/>
          <w:color w:val="auto"/>
          <w:szCs w:val="21"/>
          <w:highlight w:val="none"/>
        </w:rPr>
        <w:t>。</w:t>
      </w:r>
    </w:p>
    <w:p w14:paraId="18604878">
      <w:pPr>
        <w:spacing w:line="360" w:lineRule="auto"/>
        <w:ind w:left="538" w:right="110"/>
        <w:rPr>
          <w:rFonts w:ascii="宋体" w:hAnsi="宋体" w:cs="仿宋"/>
          <w:color w:val="auto"/>
          <w:szCs w:val="21"/>
          <w:highlight w:val="none"/>
        </w:rPr>
      </w:pPr>
      <w:r>
        <w:rPr>
          <w:rFonts w:hint="eastAsia" w:ascii="宋体" w:hAnsi="宋体" w:cs="仿宋"/>
          <w:color w:val="auto"/>
          <w:szCs w:val="21"/>
          <w:highlight w:val="none"/>
        </w:rPr>
        <w:t>1.4.2</w:t>
      </w:r>
      <w:r>
        <w:rPr>
          <w:rFonts w:hint="eastAsia" w:ascii="宋体" w:hAnsi="宋体" w:cs="仿宋"/>
          <w:color w:val="auto"/>
          <w:spacing w:val="-9"/>
          <w:szCs w:val="21"/>
          <w:highlight w:val="none"/>
        </w:rPr>
        <w:t xml:space="preserve"> </w:t>
      </w:r>
      <w:r>
        <w:rPr>
          <w:rFonts w:hint="eastAsia" w:ascii="宋体" w:hAnsi="宋体" w:cs="仿宋"/>
          <w:color w:val="auto"/>
          <w:szCs w:val="21"/>
          <w:highlight w:val="none"/>
        </w:rPr>
        <w:t>委托人提供的文件</w:t>
      </w:r>
    </w:p>
    <w:p w14:paraId="2B70FBF4">
      <w:pPr>
        <w:tabs>
          <w:tab w:val="left" w:pos="3372"/>
        </w:tabs>
        <w:spacing w:line="360" w:lineRule="auto"/>
        <w:ind w:left="118" w:right="112" w:firstLine="420"/>
        <w:rPr>
          <w:rFonts w:ascii="宋体" w:hAnsi="宋体" w:cs="仿宋"/>
          <w:color w:val="auto"/>
          <w:szCs w:val="21"/>
          <w:highlight w:val="none"/>
        </w:rPr>
      </w:pPr>
      <w:r>
        <w:rPr>
          <w:rFonts w:hint="eastAsia" w:ascii="宋体" w:hAnsi="宋体" w:cs="仿宋"/>
          <w:color w:val="auto"/>
          <w:szCs w:val="21"/>
          <w:highlight w:val="none"/>
        </w:rPr>
        <w:t>委托人在监理合同签订后</w:t>
      </w:r>
      <w:r>
        <w:rPr>
          <w:rFonts w:hint="eastAsia" w:ascii="宋体" w:hAnsi="宋体" w:cs="仿宋"/>
          <w:color w:val="auto"/>
          <w:szCs w:val="21"/>
          <w:highlight w:val="none"/>
          <w:u w:val="single"/>
        </w:rPr>
        <w:t>15</w:t>
      </w:r>
      <w:r>
        <w:rPr>
          <w:rFonts w:hint="eastAsia" w:ascii="宋体" w:hAnsi="宋体" w:cs="仿宋"/>
          <w:color w:val="auto"/>
          <w:szCs w:val="21"/>
          <w:highlight w:val="none"/>
        </w:rPr>
        <w:t>日内将工程承包合同、勘察文件、设计文件等资料提供给监理人，监理工作所需规范标准由监理人自行提供。</w:t>
      </w:r>
    </w:p>
    <w:p w14:paraId="7D88A632">
      <w:pPr>
        <w:pStyle w:val="6"/>
        <w:spacing w:before="0" w:after="0" w:line="360" w:lineRule="auto"/>
        <w:rPr>
          <w:rFonts w:hAnsi="宋体" w:eastAsia="宋体" w:cs="仿宋"/>
          <w:b w:val="0"/>
          <w:color w:val="auto"/>
          <w:sz w:val="21"/>
          <w:szCs w:val="21"/>
          <w:highlight w:val="none"/>
        </w:rPr>
      </w:pPr>
      <w:bookmarkStart w:id="412" w:name="1.8_转让"/>
      <w:bookmarkEnd w:id="412"/>
      <w:bookmarkStart w:id="413" w:name="_Toc20388310"/>
      <w:r>
        <w:rPr>
          <w:rFonts w:hint="eastAsia" w:hAnsi="宋体" w:eastAsia="宋体" w:cs="仿宋"/>
          <w:color w:val="auto"/>
          <w:sz w:val="21"/>
          <w:szCs w:val="21"/>
          <w:highlight w:val="none"/>
        </w:rPr>
        <w:t>1.5 转让</w:t>
      </w:r>
      <w:bookmarkEnd w:id="413"/>
    </w:p>
    <w:p w14:paraId="3AEEC2EC">
      <w:pPr>
        <w:tabs>
          <w:tab w:val="left" w:pos="4527"/>
        </w:tabs>
        <w:spacing w:line="360" w:lineRule="auto"/>
        <w:ind w:left="538" w:right="110"/>
        <w:rPr>
          <w:rFonts w:ascii="宋体" w:hAnsi="宋体" w:cs="仿宋"/>
          <w:color w:val="auto"/>
          <w:szCs w:val="21"/>
          <w:highlight w:val="none"/>
        </w:rPr>
      </w:pPr>
      <w:r>
        <w:rPr>
          <w:rFonts w:hint="eastAsia" w:ascii="宋体" w:hAnsi="宋体" w:cs="仿宋"/>
          <w:color w:val="auto"/>
          <w:szCs w:val="21"/>
          <w:highlight w:val="none"/>
        </w:rPr>
        <w:t>关于转让的约定</w:t>
      </w:r>
      <w:r>
        <w:rPr>
          <w:rFonts w:hint="eastAsia" w:ascii="宋体" w:hAnsi="宋体" w:cs="仿宋"/>
          <w:color w:val="auto"/>
          <w:w w:val="95"/>
          <w:szCs w:val="21"/>
          <w:highlight w:val="none"/>
        </w:rPr>
        <w:t>：</w:t>
      </w:r>
      <w:r>
        <w:rPr>
          <w:rFonts w:hint="eastAsia" w:ascii="宋体" w:hAnsi="宋体" w:cs="仿宋"/>
          <w:color w:val="auto"/>
          <w:w w:val="95"/>
          <w:szCs w:val="21"/>
          <w:highlight w:val="none"/>
          <w:u w:val="single" w:color="000000"/>
        </w:rPr>
        <w:t xml:space="preserve"> </w:t>
      </w:r>
      <w:r>
        <w:rPr>
          <w:rFonts w:hint="eastAsia" w:ascii="宋体" w:hAnsi="宋体" w:cs="仿宋"/>
          <w:color w:val="auto"/>
          <w:w w:val="95"/>
          <w:szCs w:val="21"/>
          <w:highlight w:val="none"/>
          <w:u w:val="single" w:color="000000"/>
        </w:rPr>
        <w:tab/>
      </w:r>
      <w:r>
        <w:rPr>
          <w:rFonts w:hint="eastAsia" w:ascii="宋体" w:hAnsi="宋体" w:cs="仿宋"/>
          <w:color w:val="auto"/>
          <w:szCs w:val="21"/>
          <w:highlight w:val="none"/>
        </w:rPr>
        <w:t>。</w:t>
      </w:r>
    </w:p>
    <w:p w14:paraId="02C4E06E">
      <w:pPr>
        <w:pStyle w:val="6"/>
        <w:spacing w:before="0" w:after="0" w:line="360" w:lineRule="auto"/>
        <w:rPr>
          <w:rFonts w:hAnsi="宋体" w:eastAsia="宋体" w:cs="仿宋"/>
          <w:b w:val="0"/>
          <w:color w:val="auto"/>
          <w:sz w:val="21"/>
          <w:szCs w:val="21"/>
          <w:highlight w:val="none"/>
        </w:rPr>
      </w:pPr>
      <w:bookmarkStart w:id="414" w:name="1.10_知识产权"/>
      <w:bookmarkEnd w:id="414"/>
      <w:bookmarkStart w:id="415" w:name="_Toc20388311"/>
      <w:r>
        <w:rPr>
          <w:rFonts w:hint="eastAsia" w:hAnsi="宋体" w:eastAsia="宋体" w:cs="仿宋"/>
          <w:color w:val="auto"/>
          <w:sz w:val="21"/>
          <w:szCs w:val="21"/>
          <w:highlight w:val="none"/>
        </w:rPr>
        <w:t>1.6 知识产权</w:t>
      </w:r>
      <w:bookmarkEnd w:id="415"/>
    </w:p>
    <w:p w14:paraId="3D690203">
      <w:pPr>
        <w:spacing w:line="360" w:lineRule="auto"/>
        <w:ind w:firstLine="398" w:firstLineChars="200"/>
        <w:rPr>
          <w:rFonts w:ascii="宋体" w:hAnsi="宋体" w:cs="仿宋"/>
          <w:color w:val="auto"/>
          <w:szCs w:val="21"/>
          <w:highlight w:val="none"/>
        </w:rPr>
      </w:pPr>
      <w:r>
        <w:rPr>
          <w:rFonts w:hint="eastAsia" w:ascii="宋体" w:hAnsi="宋体" w:cs="仿宋"/>
          <w:color w:val="auto"/>
          <w:w w:val="95"/>
          <w:szCs w:val="21"/>
          <w:highlight w:val="none"/>
        </w:rPr>
        <w:t>1.6.1</w:t>
      </w:r>
      <w:r>
        <w:rPr>
          <w:rFonts w:hint="eastAsia" w:ascii="宋体" w:hAnsi="宋体" w:cs="仿宋"/>
          <w:color w:val="auto"/>
          <w:w w:val="95"/>
          <w:szCs w:val="21"/>
          <w:highlight w:val="none"/>
        </w:rPr>
        <w:tab/>
      </w:r>
      <w:r>
        <w:rPr>
          <w:rFonts w:hint="eastAsia" w:ascii="宋体" w:hAnsi="宋体" w:cs="仿宋"/>
          <w:color w:val="auto"/>
          <w:szCs w:val="21"/>
          <w:highlight w:val="none"/>
        </w:rPr>
        <w:t>是否约定监理人完成的监理工作成果，除署名权以外的著作权和其他知识产权均归委 托人享有</w:t>
      </w:r>
      <w:r>
        <w:rPr>
          <w:rFonts w:hint="eastAsia" w:ascii="宋体" w:hAnsi="宋体" w:cs="仿宋"/>
          <w:color w:val="auto"/>
          <w:w w:val="95"/>
          <w:szCs w:val="21"/>
          <w:highlight w:val="none"/>
        </w:rPr>
        <w:t>：</w:t>
      </w:r>
      <w:r>
        <w:rPr>
          <w:rFonts w:hint="eastAsia" w:ascii="宋体" w:hAnsi="宋体" w:cs="仿宋"/>
          <w:color w:val="auto"/>
          <w:w w:val="95"/>
          <w:szCs w:val="21"/>
          <w:highlight w:val="none"/>
          <w:u w:val="single" w:color="000000"/>
        </w:rPr>
        <w:t xml:space="preserve"> </w:t>
      </w:r>
      <w:r>
        <w:rPr>
          <w:rFonts w:hint="eastAsia" w:ascii="宋体" w:hAnsi="宋体" w:cs="仿宋"/>
          <w:color w:val="auto"/>
          <w:w w:val="95"/>
          <w:szCs w:val="21"/>
          <w:highlight w:val="none"/>
          <w:u w:val="single" w:color="000000"/>
        </w:rPr>
        <w:tab/>
      </w:r>
      <w:r>
        <w:rPr>
          <w:rFonts w:hint="eastAsia" w:ascii="宋体" w:hAnsi="宋体" w:cs="仿宋"/>
          <w:color w:val="auto"/>
          <w:w w:val="95"/>
          <w:szCs w:val="21"/>
          <w:highlight w:val="none"/>
          <w:u w:val="single" w:color="000000"/>
        </w:rPr>
        <w:tab/>
      </w:r>
      <w:r>
        <w:rPr>
          <w:rFonts w:hint="eastAsia" w:ascii="宋体" w:hAnsi="宋体" w:cs="仿宋"/>
          <w:color w:val="auto"/>
          <w:szCs w:val="21"/>
          <w:highlight w:val="none"/>
        </w:rPr>
        <w:t>。</w:t>
      </w:r>
      <w:bookmarkStart w:id="416" w:name="_Toc20388312"/>
    </w:p>
    <w:p w14:paraId="31230702">
      <w:pPr>
        <w:pStyle w:val="26"/>
        <w:ind w:firstLine="210"/>
        <w:rPr>
          <w:color w:val="auto"/>
          <w:highlight w:val="none"/>
        </w:rPr>
      </w:pPr>
    </w:p>
    <w:p w14:paraId="4361A842">
      <w:pPr>
        <w:pStyle w:val="5"/>
        <w:spacing w:before="0" w:after="0" w:line="360" w:lineRule="auto"/>
        <w:jc w:val="left"/>
        <w:rPr>
          <w:rFonts w:ascii="宋体" w:hAnsi="宋体" w:cs="仿宋"/>
          <w:color w:val="auto"/>
          <w:sz w:val="21"/>
          <w:szCs w:val="21"/>
          <w:highlight w:val="none"/>
        </w:rPr>
      </w:pPr>
      <w:bookmarkStart w:id="417" w:name="_Toc129859390"/>
      <w:bookmarkStart w:id="418" w:name="_Toc129859513"/>
      <w:r>
        <w:rPr>
          <w:rFonts w:hint="eastAsia" w:ascii="宋体" w:hAnsi="宋体" w:cs="仿宋"/>
          <w:color w:val="auto"/>
          <w:sz w:val="21"/>
          <w:szCs w:val="21"/>
          <w:highlight w:val="none"/>
        </w:rPr>
        <w:t>2. 委托人义务</w:t>
      </w:r>
      <w:bookmarkEnd w:id="416"/>
      <w:bookmarkEnd w:id="417"/>
      <w:bookmarkEnd w:id="418"/>
    </w:p>
    <w:p w14:paraId="5637FBC8">
      <w:pPr>
        <w:pStyle w:val="6"/>
        <w:spacing w:before="0" w:after="0" w:line="360" w:lineRule="auto"/>
        <w:rPr>
          <w:rFonts w:hAnsi="宋体" w:eastAsia="宋体" w:cs="仿宋"/>
          <w:b w:val="0"/>
          <w:color w:val="auto"/>
          <w:sz w:val="21"/>
          <w:szCs w:val="21"/>
          <w:highlight w:val="none"/>
        </w:rPr>
      </w:pPr>
      <w:bookmarkStart w:id="419" w:name="2.2_发出开始监理通知"/>
      <w:bookmarkEnd w:id="419"/>
      <w:bookmarkStart w:id="420" w:name="_Toc20388313"/>
      <w:r>
        <w:rPr>
          <w:rFonts w:hint="eastAsia" w:hAnsi="宋体" w:eastAsia="宋体" w:cs="仿宋"/>
          <w:color w:val="auto"/>
          <w:sz w:val="21"/>
          <w:szCs w:val="21"/>
          <w:highlight w:val="none"/>
        </w:rPr>
        <w:t>2.1 发出开始监理通知</w:t>
      </w:r>
      <w:bookmarkEnd w:id="420"/>
    </w:p>
    <w:p w14:paraId="522185A8">
      <w:pPr>
        <w:spacing w:line="360" w:lineRule="auto"/>
        <w:ind w:left="538" w:right="110"/>
        <w:rPr>
          <w:rFonts w:ascii="宋体" w:hAnsi="宋体" w:cs="仿宋"/>
          <w:color w:val="auto"/>
          <w:szCs w:val="21"/>
          <w:highlight w:val="none"/>
        </w:rPr>
      </w:pPr>
      <w:r>
        <w:rPr>
          <w:rFonts w:hint="eastAsia" w:ascii="宋体" w:hAnsi="宋体" w:cs="仿宋"/>
          <w:color w:val="auto"/>
          <w:szCs w:val="21"/>
          <w:highlight w:val="none"/>
        </w:rPr>
        <w:t>委托人为监理人的现场人员提供的设施、设备：</w:t>
      </w:r>
      <w:r>
        <w:rPr>
          <w:rFonts w:hint="eastAsia" w:ascii="宋体" w:hAnsi="宋体" w:cs="仿宋"/>
          <w:color w:val="auto"/>
          <w:szCs w:val="21"/>
          <w:highlight w:val="none"/>
          <w:u w:val="single"/>
        </w:rPr>
        <w:t xml:space="preserve">无。  </w:t>
      </w:r>
    </w:p>
    <w:p w14:paraId="72B2E563">
      <w:pPr>
        <w:spacing w:line="360" w:lineRule="auto"/>
        <w:ind w:firstLine="420" w:firstLineChars="200"/>
        <w:jc w:val="center"/>
        <w:rPr>
          <w:rFonts w:ascii="宋体" w:hAnsi="宋体" w:cs="仿宋"/>
          <w:color w:val="auto"/>
          <w:szCs w:val="21"/>
          <w:highlight w:val="none"/>
        </w:rPr>
      </w:pPr>
      <w:r>
        <w:rPr>
          <w:rFonts w:hint="eastAsia" w:ascii="宋体" w:hAnsi="宋体" w:cs="仿宋"/>
          <w:color w:val="auto"/>
          <w:szCs w:val="21"/>
          <w:highlight w:val="none"/>
        </w:rPr>
        <w:t>委托人为监理人的现场人员提供的设施、设备表</w:t>
      </w:r>
    </w:p>
    <w:tbl>
      <w:tblPr>
        <w:tblStyle w:val="28"/>
        <w:tblW w:w="9016" w:type="dxa"/>
        <w:tblInd w:w="135" w:type="dxa"/>
        <w:tblLayout w:type="fixed"/>
        <w:tblCellMar>
          <w:top w:w="0" w:type="dxa"/>
          <w:left w:w="0" w:type="dxa"/>
          <w:bottom w:w="0" w:type="dxa"/>
          <w:right w:w="0" w:type="dxa"/>
        </w:tblCellMar>
      </w:tblPr>
      <w:tblGrid>
        <w:gridCol w:w="678"/>
        <w:gridCol w:w="2184"/>
        <w:gridCol w:w="833"/>
        <w:gridCol w:w="900"/>
        <w:gridCol w:w="1236"/>
        <w:gridCol w:w="1080"/>
        <w:gridCol w:w="1246"/>
        <w:gridCol w:w="859"/>
      </w:tblGrid>
      <w:tr w14:paraId="3ABC6F80">
        <w:tblPrEx>
          <w:tblCellMar>
            <w:top w:w="0" w:type="dxa"/>
            <w:left w:w="0" w:type="dxa"/>
            <w:bottom w:w="0" w:type="dxa"/>
            <w:right w:w="0" w:type="dxa"/>
          </w:tblCellMar>
        </w:tblPrEx>
        <w:trPr>
          <w:trHeight w:val="505" w:hRule="exact"/>
        </w:trPr>
        <w:tc>
          <w:tcPr>
            <w:tcW w:w="678" w:type="dxa"/>
            <w:tcBorders>
              <w:top w:val="single" w:color="000000" w:sz="4" w:space="0"/>
              <w:left w:val="single" w:color="000000" w:sz="4" w:space="0"/>
              <w:bottom w:val="single" w:color="000000" w:sz="4" w:space="0"/>
              <w:right w:val="single" w:color="000000" w:sz="4" w:space="0"/>
            </w:tcBorders>
            <w:vAlign w:val="center"/>
          </w:tcPr>
          <w:p w14:paraId="2CF39956">
            <w:pPr>
              <w:spacing w:line="360" w:lineRule="auto"/>
              <w:ind w:right="1"/>
              <w:jc w:val="center"/>
              <w:rPr>
                <w:rFonts w:ascii="宋体" w:hAnsi="宋体" w:cs="仿宋"/>
                <w:color w:val="auto"/>
                <w:szCs w:val="21"/>
                <w:highlight w:val="none"/>
              </w:rPr>
            </w:pPr>
            <w:r>
              <w:rPr>
                <w:rFonts w:hint="eastAsia" w:ascii="宋体" w:hAnsi="宋体" w:cs="仿宋"/>
                <w:color w:val="auto"/>
                <w:szCs w:val="21"/>
                <w:highlight w:val="none"/>
              </w:rPr>
              <w:t>序号</w:t>
            </w:r>
          </w:p>
        </w:tc>
        <w:tc>
          <w:tcPr>
            <w:tcW w:w="2184" w:type="dxa"/>
            <w:tcBorders>
              <w:top w:val="single" w:color="000000" w:sz="4" w:space="0"/>
              <w:left w:val="single" w:color="000000" w:sz="4" w:space="0"/>
              <w:bottom w:val="single" w:color="000000" w:sz="4" w:space="0"/>
              <w:right w:val="single" w:color="000000" w:sz="4" w:space="0"/>
            </w:tcBorders>
            <w:vAlign w:val="center"/>
          </w:tcPr>
          <w:p w14:paraId="0A536885">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名称</w:t>
            </w:r>
          </w:p>
        </w:tc>
        <w:tc>
          <w:tcPr>
            <w:tcW w:w="833" w:type="dxa"/>
            <w:tcBorders>
              <w:top w:val="single" w:color="000000" w:sz="4" w:space="0"/>
              <w:left w:val="single" w:color="000000" w:sz="4" w:space="0"/>
              <w:bottom w:val="single" w:color="000000" w:sz="4" w:space="0"/>
              <w:right w:val="single" w:color="000000" w:sz="4" w:space="0"/>
            </w:tcBorders>
            <w:vAlign w:val="center"/>
          </w:tcPr>
          <w:p w14:paraId="2C4D1F80">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单位</w:t>
            </w:r>
          </w:p>
        </w:tc>
        <w:tc>
          <w:tcPr>
            <w:tcW w:w="900" w:type="dxa"/>
            <w:tcBorders>
              <w:top w:val="single" w:color="000000" w:sz="4" w:space="0"/>
              <w:left w:val="single" w:color="000000" w:sz="4" w:space="0"/>
              <w:bottom w:val="single" w:color="000000" w:sz="4" w:space="0"/>
              <w:right w:val="single" w:color="000000" w:sz="4" w:space="0"/>
            </w:tcBorders>
            <w:vAlign w:val="center"/>
          </w:tcPr>
          <w:p w14:paraId="3A87DFDA">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数量</w:t>
            </w:r>
          </w:p>
        </w:tc>
        <w:tc>
          <w:tcPr>
            <w:tcW w:w="1236" w:type="dxa"/>
            <w:tcBorders>
              <w:top w:val="single" w:color="000000" w:sz="4" w:space="0"/>
              <w:left w:val="single" w:color="000000" w:sz="4" w:space="0"/>
              <w:bottom w:val="single" w:color="000000" w:sz="4" w:space="0"/>
              <w:right w:val="single" w:color="000000" w:sz="4" w:space="0"/>
            </w:tcBorders>
            <w:vAlign w:val="center"/>
          </w:tcPr>
          <w:p w14:paraId="50DF820A">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提供时间</w:t>
            </w:r>
          </w:p>
        </w:tc>
        <w:tc>
          <w:tcPr>
            <w:tcW w:w="1080" w:type="dxa"/>
            <w:tcBorders>
              <w:top w:val="single" w:color="000000" w:sz="4" w:space="0"/>
              <w:left w:val="single" w:color="000000" w:sz="4" w:space="0"/>
              <w:bottom w:val="single" w:color="000000" w:sz="4" w:space="0"/>
              <w:right w:val="single" w:color="000000" w:sz="4" w:space="0"/>
            </w:tcBorders>
            <w:vAlign w:val="center"/>
          </w:tcPr>
          <w:p w14:paraId="7992FB52">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交还时间</w:t>
            </w:r>
          </w:p>
        </w:tc>
        <w:tc>
          <w:tcPr>
            <w:tcW w:w="1246" w:type="dxa"/>
            <w:tcBorders>
              <w:top w:val="single" w:color="000000" w:sz="4" w:space="0"/>
              <w:left w:val="single" w:color="000000" w:sz="4" w:space="0"/>
              <w:bottom w:val="single" w:color="000000" w:sz="4" w:space="0"/>
              <w:right w:val="single" w:color="000000" w:sz="4" w:space="0"/>
            </w:tcBorders>
            <w:vAlign w:val="center"/>
          </w:tcPr>
          <w:p w14:paraId="44F3429A">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管理要求</w:t>
            </w:r>
          </w:p>
        </w:tc>
        <w:tc>
          <w:tcPr>
            <w:tcW w:w="859" w:type="dxa"/>
            <w:tcBorders>
              <w:top w:val="single" w:color="000000" w:sz="4" w:space="0"/>
              <w:left w:val="single" w:color="000000" w:sz="4" w:space="0"/>
              <w:bottom w:val="single" w:color="000000" w:sz="4" w:space="0"/>
              <w:right w:val="single" w:color="000000" w:sz="4" w:space="0"/>
            </w:tcBorders>
            <w:vAlign w:val="center"/>
          </w:tcPr>
          <w:p w14:paraId="28A29D2B">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备注</w:t>
            </w:r>
          </w:p>
        </w:tc>
      </w:tr>
      <w:tr w14:paraId="32961C7C">
        <w:tblPrEx>
          <w:tblCellMar>
            <w:top w:w="0" w:type="dxa"/>
            <w:left w:w="0" w:type="dxa"/>
            <w:bottom w:w="0" w:type="dxa"/>
            <w:right w:w="0" w:type="dxa"/>
          </w:tblCellMar>
        </w:tblPrEx>
        <w:trPr>
          <w:trHeight w:val="490" w:hRule="exact"/>
        </w:trPr>
        <w:tc>
          <w:tcPr>
            <w:tcW w:w="678" w:type="dxa"/>
            <w:tcBorders>
              <w:top w:val="single" w:color="000000" w:sz="4" w:space="0"/>
              <w:left w:val="single" w:color="000000" w:sz="4" w:space="0"/>
              <w:bottom w:val="single" w:color="000000" w:sz="4" w:space="0"/>
              <w:right w:val="single" w:color="000000" w:sz="4" w:space="0"/>
            </w:tcBorders>
            <w:vAlign w:val="center"/>
          </w:tcPr>
          <w:p w14:paraId="30A6ACEE">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1</w:t>
            </w:r>
          </w:p>
        </w:tc>
        <w:tc>
          <w:tcPr>
            <w:tcW w:w="2184" w:type="dxa"/>
            <w:tcBorders>
              <w:top w:val="single" w:color="000000" w:sz="4" w:space="0"/>
              <w:left w:val="single" w:color="000000" w:sz="4" w:space="0"/>
              <w:bottom w:val="single" w:color="000000" w:sz="4" w:space="0"/>
              <w:right w:val="single" w:color="000000" w:sz="4" w:space="0"/>
            </w:tcBorders>
            <w:vAlign w:val="center"/>
          </w:tcPr>
          <w:p w14:paraId="4286F619">
            <w:pPr>
              <w:spacing w:line="360" w:lineRule="auto"/>
              <w:jc w:val="left"/>
              <w:rPr>
                <w:rFonts w:ascii="宋体" w:hAnsi="宋体" w:cs="仿宋_GB2312"/>
                <w:color w:val="auto"/>
                <w:szCs w:val="21"/>
                <w:highlight w:val="none"/>
              </w:rPr>
            </w:pPr>
            <w:r>
              <w:rPr>
                <w:rFonts w:hint="eastAsia" w:ascii="宋体" w:hAnsi="宋体" w:cs="仿宋_GB2312"/>
                <w:color w:val="auto"/>
                <w:szCs w:val="21"/>
                <w:highlight w:val="none"/>
              </w:rPr>
              <w:t>生活、办公用房…</w:t>
            </w:r>
          </w:p>
        </w:tc>
        <w:tc>
          <w:tcPr>
            <w:tcW w:w="833" w:type="dxa"/>
            <w:tcBorders>
              <w:top w:val="single" w:color="000000" w:sz="4" w:space="0"/>
              <w:left w:val="single" w:color="000000" w:sz="4" w:space="0"/>
              <w:bottom w:val="single" w:color="000000" w:sz="4" w:space="0"/>
              <w:right w:val="single" w:color="000000" w:sz="4" w:space="0"/>
            </w:tcBorders>
            <w:vAlign w:val="center"/>
          </w:tcPr>
          <w:p w14:paraId="09B4341D">
            <w:pPr>
              <w:spacing w:line="360" w:lineRule="auto"/>
              <w:ind w:firstLine="462" w:firstLineChars="220"/>
              <w:jc w:val="center"/>
              <w:rPr>
                <w:rFonts w:ascii="宋体" w:hAnsi="宋体" w:cs="仿宋_GB2312"/>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DD916E0">
            <w:pPr>
              <w:spacing w:line="360" w:lineRule="auto"/>
              <w:ind w:firstLine="462" w:firstLineChars="220"/>
              <w:jc w:val="center"/>
              <w:rPr>
                <w:rFonts w:ascii="宋体" w:hAnsi="宋体" w:cs="仿宋_GB2312"/>
                <w:color w:val="auto"/>
                <w:szCs w:val="21"/>
                <w:highlight w:val="none"/>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5E7A4263">
            <w:pPr>
              <w:spacing w:line="360" w:lineRule="auto"/>
              <w:ind w:firstLine="462" w:firstLineChars="220"/>
              <w:jc w:val="center"/>
              <w:rPr>
                <w:rFonts w:ascii="宋体" w:hAnsi="宋体" w:cs="仿宋_GB2312"/>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E00B8CA">
            <w:pPr>
              <w:spacing w:line="360" w:lineRule="auto"/>
              <w:ind w:firstLine="462" w:firstLineChars="220"/>
              <w:jc w:val="center"/>
              <w:rPr>
                <w:rFonts w:ascii="宋体" w:hAnsi="宋体" w:cs="仿宋_GB2312"/>
                <w:color w:val="auto"/>
                <w:szCs w:val="21"/>
                <w:highlight w:val="none"/>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51075B26">
            <w:pPr>
              <w:spacing w:line="360" w:lineRule="auto"/>
              <w:ind w:firstLine="462" w:firstLineChars="220"/>
              <w:jc w:val="center"/>
              <w:rPr>
                <w:rFonts w:ascii="宋体" w:hAnsi="宋体" w:cs="仿宋_GB2312"/>
                <w:color w:val="auto"/>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23647EC">
            <w:pPr>
              <w:spacing w:line="360" w:lineRule="auto"/>
              <w:ind w:left="-90"/>
              <w:jc w:val="center"/>
              <w:rPr>
                <w:rFonts w:ascii="宋体" w:hAnsi="宋体" w:cs="仿宋_GB2312"/>
                <w:color w:val="auto"/>
                <w:szCs w:val="21"/>
                <w:highlight w:val="none"/>
              </w:rPr>
            </w:pPr>
            <w:r>
              <w:rPr>
                <w:rFonts w:hint="eastAsia" w:ascii="宋体" w:hAnsi="宋体" w:cs="仿宋_GB2312"/>
                <w:color w:val="auto"/>
                <w:szCs w:val="21"/>
                <w:highlight w:val="none"/>
              </w:rPr>
              <w:t>无</w:t>
            </w:r>
          </w:p>
        </w:tc>
      </w:tr>
      <w:tr w14:paraId="53D3CB38">
        <w:tblPrEx>
          <w:tblCellMar>
            <w:top w:w="0" w:type="dxa"/>
            <w:left w:w="0" w:type="dxa"/>
            <w:bottom w:w="0" w:type="dxa"/>
            <w:right w:w="0" w:type="dxa"/>
          </w:tblCellMar>
        </w:tblPrEx>
        <w:trPr>
          <w:trHeight w:val="490" w:hRule="exact"/>
        </w:trPr>
        <w:tc>
          <w:tcPr>
            <w:tcW w:w="678" w:type="dxa"/>
            <w:tcBorders>
              <w:top w:val="single" w:color="000000" w:sz="4" w:space="0"/>
              <w:left w:val="single" w:color="000000" w:sz="4" w:space="0"/>
              <w:bottom w:val="single" w:color="000000" w:sz="4" w:space="0"/>
              <w:right w:val="single" w:color="000000" w:sz="4" w:space="0"/>
            </w:tcBorders>
            <w:vAlign w:val="center"/>
          </w:tcPr>
          <w:p w14:paraId="7AD07782">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2</w:t>
            </w:r>
          </w:p>
        </w:tc>
        <w:tc>
          <w:tcPr>
            <w:tcW w:w="2184" w:type="dxa"/>
            <w:tcBorders>
              <w:top w:val="single" w:color="000000" w:sz="4" w:space="0"/>
              <w:left w:val="single" w:color="000000" w:sz="4" w:space="0"/>
              <w:bottom w:val="single" w:color="000000" w:sz="4" w:space="0"/>
              <w:right w:val="single" w:color="000000" w:sz="4" w:space="0"/>
            </w:tcBorders>
            <w:vAlign w:val="center"/>
          </w:tcPr>
          <w:p w14:paraId="524EA9FB">
            <w:pPr>
              <w:spacing w:line="360" w:lineRule="auto"/>
              <w:jc w:val="left"/>
              <w:rPr>
                <w:rFonts w:ascii="宋体" w:hAnsi="宋体" w:cs="仿宋_GB2312"/>
                <w:color w:val="auto"/>
                <w:szCs w:val="21"/>
                <w:highlight w:val="none"/>
              </w:rPr>
            </w:pPr>
            <w:r>
              <w:rPr>
                <w:rFonts w:hint="eastAsia" w:ascii="宋体" w:hAnsi="宋体" w:cs="仿宋_GB2312"/>
                <w:color w:val="auto"/>
                <w:szCs w:val="21"/>
                <w:highlight w:val="none"/>
              </w:rPr>
              <w:t>办公设施、设备…</w:t>
            </w:r>
          </w:p>
        </w:tc>
        <w:tc>
          <w:tcPr>
            <w:tcW w:w="833" w:type="dxa"/>
            <w:tcBorders>
              <w:top w:val="single" w:color="000000" w:sz="4" w:space="0"/>
              <w:left w:val="single" w:color="000000" w:sz="4" w:space="0"/>
              <w:bottom w:val="single" w:color="000000" w:sz="4" w:space="0"/>
              <w:right w:val="single" w:color="000000" w:sz="4" w:space="0"/>
            </w:tcBorders>
            <w:vAlign w:val="center"/>
          </w:tcPr>
          <w:p w14:paraId="32E23090">
            <w:pPr>
              <w:spacing w:line="360" w:lineRule="auto"/>
              <w:ind w:firstLine="462" w:firstLineChars="220"/>
              <w:jc w:val="center"/>
              <w:rPr>
                <w:rFonts w:ascii="宋体" w:hAnsi="宋体" w:cs="仿宋_GB2312"/>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7673F50">
            <w:pPr>
              <w:spacing w:line="360" w:lineRule="auto"/>
              <w:ind w:firstLine="462" w:firstLineChars="220"/>
              <w:jc w:val="center"/>
              <w:rPr>
                <w:rFonts w:ascii="宋体" w:hAnsi="宋体" w:cs="仿宋_GB2312"/>
                <w:color w:val="auto"/>
                <w:szCs w:val="21"/>
                <w:highlight w:val="none"/>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317696E8">
            <w:pPr>
              <w:spacing w:line="360" w:lineRule="auto"/>
              <w:ind w:firstLine="462" w:firstLineChars="220"/>
              <w:jc w:val="center"/>
              <w:rPr>
                <w:rFonts w:ascii="宋体" w:hAnsi="宋体" w:cs="仿宋_GB2312"/>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83DA3C8">
            <w:pPr>
              <w:spacing w:line="360" w:lineRule="auto"/>
              <w:ind w:firstLine="462" w:firstLineChars="220"/>
              <w:jc w:val="center"/>
              <w:rPr>
                <w:rFonts w:ascii="宋体" w:hAnsi="宋体" w:cs="仿宋_GB2312"/>
                <w:color w:val="auto"/>
                <w:szCs w:val="21"/>
                <w:highlight w:val="none"/>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10E2CB22">
            <w:pPr>
              <w:spacing w:line="360" w:lineRule="auto"/>
              <w:ind w:firstLine="462" w:firstLineChars="220"/>
              <w:jc w:val="center"/>
              <w:rPr>
                <w:rFonts w:ascii="宋体" w:hAnsi="宋体" w:cs="仿宋_GB2312"/>
                <w:color w:val="auto"/>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B80A3E0">
            <w:pPr>
              <w:spacing w:line="360" w:lineRule="auto"/>
              <w:ind w:left="-90"/>
              <w:jc w:val="center"/>
              <w:rPr>
                <w:rFonts w:ascii="宋体" w:hAnsi="宋体" w:cs="仿宋_GB2312"/>
                <w:color w:val="auto"/>
                <w:szCs w:val="21"/>
                <w:highlight w:val="none"/>
              </w:rPr>
            </w:pPr>
            <w:r>
              <w:rPr>
                <w:rFonts w:hint="eastAsia" w:ascii="宋体" w:hAnsi="宋体" w:cs="仿宋_GB2312"/>
                <w:color w:val="auto"/>
                <w:szCs w:val="21"/>
                <w:highlight w:val="none"/>
              </w:rPr>
              <w:t>无</w:t>
            </w:r>
          </w:p>
        </w:tc>
      </w:tr>
      <w:tr w14:paraId="36D4630F">
        <w:tblPrEx>
          <w:tblCellMar>
            <w:top w:w="0" w:type="dxa"/>
            <w:left w:w="0" w:type="dxa"/>
            <w:bottom w:w="0" w:type="dxa"/>
            <w:right w:w="0" w:type="dxa"/>
          </w:tblCellMar>
        </w:tblPrEx>
        <w:trPr>
          <w:trHeight w:val="827" w:hRule="exact"/>
        </w:trPr>
        <w:tc>
          <w:tcPr>
            <w:tcW w:w="678" w:type="dxa"/>
            <w:tcBorders>
              <w:top w:val="single" w:color="000000" w:sz="4" w:space="0"/>
              <w:left w:val="single" w:color="000000" w:sz="4" w:space="0"/>
              <w:bottom w:val="single" w:color="000000" w:sz="4" w:space="0"/>
              <w:right w:val="single" w:color="000000" w:sz="4" w:space="0"/>
            </w:tcBorders>
            <w:vAlign w:val="center"/>
          </w:tcPr>
          <w:p w14:paraId="5B89B47A">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3</w:t>
            </w:r>
          </w:p>
        </w:tc>
        <w:tc>
          <w:tcPr>
            <w:tcW w:w="2184" w:type="dxa"/>
            <w:tcBorders>
              <w:top w:val="single" w:color="000000" w:sz="4" w:space="0"/>
              <w:left w:val="single" w:color="000000" w:sz="4" w:space="0"/>
              <w:bottom w:val="single" w:color="000000" w:sz="4" w:space="0"/>
              <w:right w:val="single" w:color="000000" w:sz="4" w:space="0"/>
            </w:tcBorders>
            <w:vAlign w:val="center"/>
          </w:tcPr>
          <w:p w14:paraId="0E0500C6">
            <w:pPr>
              <w:spacing w:line="360" w:lineRule="auto"/>
              <w:jc w:val="left"/>
              <w:rPr>
                <w:rFonts w:ascii="宋体" w:hAnsi="宋体" w:cs="仿宋_GB2312"/>
                <w:color w:val="auto"/>
                <w:szCs w:val="21"/>
                <w:highlight w:val="none"/>
              </w:rPr>
            </w:pPr>
            <w:r>
              <w:rPr>
                <w:rFonts w:hint="eastAsia" w:ascii="宋体" w:hAnsi="宋体" w:cs="仿宋_GB2312"/>
                <w:color w:val="auto"/>
                <w:szCs w:val="21"/>
                <w:highlight w:val="none"/>
              </w:rPr>
              <w:t>检验、测试设备…</w:t>
            </w:r>
          </w:p>
        </w:tc>
        <w:tc>
          <w:tcPr>
            <w:tcW w:w="833" w:type="dxa"/>
            <w:tcBorders>
              <w:top w:val="single" w:color="000000" w:sz="4" w:space="0"/>
              <w:left w:val="single" w:color="000000" w:sz="4" w:space="0"/>
              <w:bottom w:val="single" w:color="000000" w:sz="4" w:space="0"/>
              <w:right w:val="single" w:color="000000" w:sz="4" w:space="0"/>
            </w:tcBorders>
            <w:vAlign w:val="center"/>
          </w:tcPr>
          <w:p w14:paraId="14595A99">
            <w:pPr>
              <w:spacing w:line="360" w:lineRule="auto"/>
              <w:ind w:firstLine="462" w:firstLineChars="220"/>
              <w:jc w:val="center"/>
              <w:rPr>
                <w:rFonts w:ascii="宋体" w:hAnsi="宋体" w:cs="仿宋_GB2312"/>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461296F">
            <w:pPr>
              <w:spacing w:line="360" w:lineRule="auto"/>
              <w:ind w:firstLine="462" w:firstLineChars="220"/>
              <w:jc w:val="center"/>
              <w:rPr>
                <w:rFonts w:ascii="宋体" w:hAnsi="宋体" w:cs="仿宋_GB2312"/>
                <w:color w:val="auto"/>
                <w:szCs w:val="21"/>
                <w:highlight w:val="none"/>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69E18D3B">
            <w:pPr>
              <w:spacing w:line="360" w:lineRule="auto"/>
              <w:ind w:firstLine="462" w:firstLineChars="220"/>
              <w:jc w:val="center"/>
              <w:rPr>
                <w:rFonts w:ascii="宋体" w:hAnsi="宋体" w:cs="仿宋_GB2312"/>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940AF35">
            <w:pPr>
              <w:spacing w:line="360" w:lineRule="auto"/>
              <w:ind w:firstLine="462" w:firstLineChars="220"/>
              <w:jc w:val="center"/>
              <w:rPr>
                <w:rFonts w:ascii="宋体" w:hAnsi="宋体" w:cs="仿宋_GB2312"/>
                <w:color w:val="auto"/>
                <w:szCs w:val="21"/>
                <w:highlight w:val="none"/>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59FE10FB">
            <w:pPr>
              <w:spacing w:line="360" w:lineRule="auto"/>
              <w:ind w:firstLine="462" w:firstLineChars="220"/>
              <w:jc w:val="center"/>
              <w:rPr>
                <w:rFonts w:ascii="宋体" w:hAnsi="宋体" w:cs="仿宋_GB2312"/>
                <w:color w:val="auto"/>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EDA3B42">
            <w:pPr>
              <w:spacing w:line="360" w:lineRule="auto"/>
              <w:ind w:left="-90"/>
              <w:jc w:val="center"/>
              <w:rPr>
                <w:rFonts w:ascii="宋体" w:hAnsi="宋体" w:cs="仿宋_GB2312"/>
                <w:color w:val="auto"/>
                <w:szCs w:val="21"/>
                <w:highlight w:val="none"/>
              </w:rPr>
            </w:pPr>
            <w:r>
              <w:rPr>
                <w:rFonts w:hint="eastAsia" w:ascii="宋体" w:hAnsi="宋体" w:cs="仿宋_GB2312"/>
                <w:color w:val="auto"/>
                <w:szCs w:val="21"/>
                <w:highlight w:val="none"/>
              </w:rPr>
              <w:t>无</w:t>
            </w:r>
          </w:p>
        </w:tc>
      </w:tr>
      <w:tr w14:paraId="2BB39E33">
        <w:tblPrEx>
          <w:tblCellMar>
            <w:top w:w="0" w:type="dxa"/>
            <w:left w:w="0" w:type="dxa"/>
            <w:bottom w:w="0" w:type="dxa"/>
            <w:right w:w="0" w:type="dxa"/>
          </w:tblCellMar>
        </w:tblPrEx>
        <w:trPr>
          <w:trHeight w:val="827" w:hRule="exact"/>
        </w:trPr>
        <w:tc>
          <w:tcPr>
            <w:tcW w:w="678" w:type="dxa"/>
            <w:tcBorders>
              <w:top w:val="single" w:color="000000" w:sz="4" w:space="0"/>
              <w:left w:val="single" w:color="000000" w:sz="4" w:space="0"/>
              <w:bottom w:val="single" w:color="000000" w:sz="4" w:space="0"/>
              <w:right w:val="single" w:color="000000" w:sz="4" w:space="0"/>
            </w:tcBorders>
            <w:vAlign w:val="center"/>
          </w:tcPr>
          <w:p w14:paraId="39CF1D8D">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4</w:t>
            </w:r>
          </w:p>
        </w:tc>
        <w:tc>
          <w:tcPr>
            <w:tcW w:w="2184" w:type="dxa"/>
            <w:tcBorders>
              <w:top w:val="single" w:color="000000" w:sz="4" w:space="0"/>
              <w:left w:val="single" w:color="000000" w:sz="4" w:space="0"/>
              <w:bottom w:val="single" w:color="000000" w:sz="4" w:space="0"/>
              <w:right w:val="single" w:color="000000" w:sz="4" w:space="0"/>
            </w:tcBorders>
            <w:vAlign w:val="center"/>
          </w:tcPr>
          <w:p w14:paraId="73A7FB66">
            <w:pPr>
              <w:spacing w:line="360" w:lineRule="auto"/>
              <w:jc w:val="left"/>
              <w:rPr>
                <w:rFonts w:ascii="宋体" w:hAnsi="宋体" w:cs="仿宋_GB2312"/>
                <w:color w:val="auto"/>
                <w:szCs w:val="21"/>
                <w:highlight w:val="none"/>
              </w:rPr>
            </w:pPr>
            <w:r>
              <w:rPr>
                <w:rFonts w:hint="eastAsia" w:ascii="宋体" w:hAnsi="宋体" w:cs="仿宋_GB2312"/>
                <w:color w:val="auto"/>
                <w:szCs w:val="21"/>
                <w:highlight w:val="none"/>
              </w:rPr>
              <w:t>交通工具…</w:t>
            </w:r>
          </w:p>
        </w:tc>
        <w:tc>
          <w:tcPr>
            <w:tcW w:w="833" w:type="dxa"/>
            <w:tcBorders>
              <w:top w:val="single" w:color="000000" w:sz="4" w:space="0"/>
              <w:left w:val="single" w:color="000000" w:sz="4" w:space="0"/>
              <w:bottom w:val="single" w:color="000000" w:sz="4" w:space="0"/>
              <w:right w:val="single" w:color="000000" w:sz="4" w:space="0"/>
            </w:tcBorders>
            <w:vAlign w:val="center"/>
          </w:tcPr>
          <w:p w14:paraId="70A4AF39">
            <w:pPr>
              <w:spacing w:line="360" w:lineRule="auto"/>
              <w:ind w:firstLine="462" w:firstLineChars="220"/>
              <w:jc w:val="center"/>
              <w:rPr>
                <w:rFonts w:ascii="宋体" w:hAnsi="宋体" w:cs="仿宋_GB2312"/>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5A6F591">
            <w:pPr>
              <w:spacing w:line="360" w:lineRule="auto"/>
              <w:ind w:firstLine="462" w:firstLineChars="220"/>
              <w:jc w:val="center"/>
              <w:rPr>
                <w:rFonts w:ascii="宋体" w:hAnsi="宋体" w:cs="仿宋_GB2312"/>
                <w:color w:val="auto"/>
                <w:szCs w:val="21"/>
                <w:highlight w:val="none"/>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4210B1FC">
            <w:pPr>
              <w:spacing w:line="360" w:lineRule="auto"/>
              <w:ind w:firstLine="462" w:firstLineChars="220"/>
              <w:jc w:val="center"/>
              <w:rPr>
                <w:rFonts w:ascii="宋体" w:hAnsi="宋体" w:cs="仿宋_GB2312"/>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C052B5C">
            <w:pPr>
              <w:spacing w:line="360" w:lineRule="auto"/>
              <w:ind w:firstLine="462" w:firstLineChars="220"/>
              <w:jc w:val="center"/>
              <w:rPr>
                <w:rFonts w:ascii="宋体" w:hAnsi="宋体" w:cs="仿宋_GB2312"/>
                <w:color w:val="auto"/>
                <w:szCs w:val="21"/>
                <w:highlight w:val="none"/>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19DD2E01">
            <w:pPr>
              <w:spacing w:line="360" w:lineRule="auto"/>
              <w:ind w:firstLine="462" w:firstLineChars="220"/>
              <w:jc w:val="center"/>
              <w:rPr>
                <w:rFonts w:ascii="宋体" w:hAnsi="宋体" w:cs="仿宋_GB2312"/>
                <w:color w:val="auto"/>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15046F9">
            <w:pPr>
              <w:spacing w:line="360" w:lineRule="auto"/>
              <w:ind w:left="-90"/>
              <w:jc w:val="center"/>
              <w:rPr>
                <w:rFonts w:ascii="宋体" w:hAnsi="宋体" w:cs="仿宋_GB2312"/>
                <w:color w:val="auto"/>
                <w:szCs w:val="21"/>
                <w:highlight w:val="none"/>
              </w:rPr>
            </w:pPr>
            <w:r>
              <w:rPr>
                <w:rFonts w:hint="eastAsia" w:ascii="宋体" w:hAnsi="宋体" w:cs="仿宋_GB2312"/>
                <w:color w:val="auto"/>
                <w:szCs w:val="21"/>
                <w:highlight w:val="none"/>
              </w:rPr>
              <w:t>无</w:t>
            </w:r>
          </w:p>
        </w:tc>
      </w:tr>
      <w:tr w14:paraId="1BB7C326">
        <w:tblPrEx>
          <w:tblCellMar>
            <w:top w:w="0" w:type="dxa"/>
            <w:left w:w="0" w:type="dxa"/>
            <w:bottom w:w="0" w:type="dxa"/>
            <w:right w:w="0" w:type="dxa"/>
          </w:tblCellMar>
        </w:tblPrEx>
        <w:trPr>
          <w:trHeight w:val="620" w:hRule="exact"/>
        </w:trPr>
        <w:tc>
          <w:tcPr>
            <w:tcW w:w="678" w:type="dxa"/>
            <w:tcBorders>
              <w:top w:val="single" w:color="000000" w:sz="4" w:space="0"/>
              <w:left w:val="single" w:color="000000" w:sz="4" w:space="0"/>
              <w:bottom w:val="single" w:color="000000" w:sz="4" w:space="0"/>
              <w:right w:val="single" w:color="000000" w:sz="4" w:space="0"/>
            </w:tcBorders>
            <w:vAlign w:val="center"/>
          </w:tcPr>
          <w:p w14:paraId="608FCB7D">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5</w:t>
            </w:r>
          </w:p>
        </w:tc>
        <w:tc>
          <w:tcPr>
            <w:tcW w:w="2184" w:type="dxa"/>
            <w:tcBorders>
              <w:top w:val="single" w:color="000000" w:sz="4" w:space="0"/>
              <w:left w:val="single" w:color="000000" w:sz="4" w:space="0"/>
              <w:bottom w:val="single" w:color="000000" w:sz="4" w:space="0"/>
              <w:right w:val="single" w:color="000000" w:sz="4" w:space="0"/>
            </w:tcBorders>
            <w:vAlign w:val="center"/>
          </w:tcPr>
          <w:p w14:paraId="09EA4623">
            <w:pPr>
              <w:spacing w:line="360" w:lineRule="auto"/>
              <w:ind w:leftChars="-10" w:hanging="21" w:hangingChars="10"/>
              <w:jc w:val="left"/>
              <w:rPr>
                <w:rFonts w:ascii="宋体" w:hAnsi="宋体" w:cs="仿宋_GB2312"/>
                <w:color w:val="auto"/>
                <w:szCs w:val="21"/>
                <w:highlight w:val="none"/>
              </w:rPr>
            </w:pPr>
            <w:r>
              <w:rPr>
                <w:rFonts w:hint="eastAsia" w:ascii="宋体" w:hAnsi="宋体" w:cs="仿宋_GB2312"/>
                <w:color w:val="auto"/>
                <w:szCs w:val="21"/>
                <w:highlight w:val="none"/>
              </w:rPr>
              <w:t>通讯设施</w:t>
            </w:r>
          </w:p>
        </w:tc>
        <w:tc>
          <w:tcPr>
            <w:tcW w:w="833" w:type="dxa"/>
            <w:tcBorders>
              <w:top w:val="single" w:color="000000" w:sz="4" w:space="0"/>
              <w:left w:val="single" w:color="000000" w:sz="4" w:space="0"/>
              <w:bottom w:val="single" w:color="000000" w:sz="4" w:space="0"/>
              <w:right w:val="single" w:color="000000" w:sz="4" w:space="0"/>
            </w:tcBorders>
            <w:vAlign w:val="center"/>
          </w:tcPr>
          <w:p w14:paraId="377E75D9">
            <w:pPr>
              <w:spacing w:line="360" w:lineRule="auto"/>
              <w:ind w:firstLine="462" w:firstLineChars="220"/>
              <w:jc w:val="center"/>
              <w:rPr>
                <w:rFonts w:ascii="宋体" w:hAnsi="宋体" w:cs="仿宋_GB2312"/>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FDFC26E">
            <w:pPr>
              <w:spacing w:line="360" w:lineRule="auto"/>
              <w:ind w:firstLine="462" w:firstLineChars="220"/>
              <w:jc w:val="center"/>
              <w:rPr>
                <w:rFonts w:ascii="宋体" w:hAnsi="宋体" w:cs="仿宋_GB2312"/>
                <w:color w:val="auto"/>
                <w:szCs w:val="21"/>
                <w:highlight w:val="none"/>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4BC42395">
            <w:pPr>
              <w:spacing w:line="360" w:lineRule="auto"/>
              <w:ind w:firstLine="462" w:firstLineChars="220"/>
              <w:jc w:val="center"/>
              <w:rPr>
                <w:rFonts w:ascii="宋体" w:hAnsi="宋体" w:cs="仿宋_GB2312"/>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C2AB1E9">
            <w:pPr>
              <w:spacing w:line="360" w:lineRule="auto"/>
              <w:ind w:firstLine="462" w:firstLineChars="220"/>
              <w:jc w:val="center"/>
              <w:rPr>
                <w:rFonts w:ascii="宋体" w:hAnsi="宋体" w:cs="仿宋_GB2312"/>
                <w:color w:val="auto"/>
                <w:szCs w:val="21"/>
                <w:highlight w:val="none"/>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26A60643">
            <w:pPr>
              <w:spacing w:line="360" w:lineRule="auto"/>
              <w:ind w:firstLine="462" w:firstLineChars="220"/>
              <w:jc w:val="center"/>
              <w:rPr>
                <w:rFonts w:ascii="宋体" w:hAnsi="宋体" w:cs="仿宋_GB2312"/>
                <w:color w:val="auto"/>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CCECE57">
            <w:pPr>
              <w:spacing w:line="360" w:lineRule="auto"/>
              <w:ind w:left="-90"/>
              <w:jc w:val="center"/>
              <w:rPr>
                <w:rFonts w:ascii="宋体" w:hAnsi="宋体" w:cs="仿宋_GB2312"/>
                <w:color w:val="auto"/>
                <w:szCs w:val="21"/>
                <w:highlight w:val="none"/>
              </w:rPr>
            </w:pPr>
            <w:r>
              <w:rPr>
                <w:rFonts w:hint="eastAsia" w:ascii="宋体" w:hAnsi="宋体" w:cs="仿宋_GB2312"/>
                <w:color w:val="auto"/>
                <w:szCs w:val="21"/>
                <w:highlight w:val="none"/>
              </w:rPr>
              <w:t>无</w:t>
            </w:r>
          </w:p>
        </w:tc>
      </w:tr>
      <w:tr w14:paraId="728FFB2B">
        <w:tblPrEx>
          <w:tblCellMar>
            <w:top w:w="0" w:type="dxa"/>
            <w:left w:w="0" w:type="dxa"/>
            <w:bottom w:w="0" w:type="dxa"/>
            <w:right w:w="0" w:type="dxa"/>
          </w:tblCellMar>
        </w:tblPrEx>
        <w:trPr>
          <w:trHeight w:val="620" w:hRule="exact"/>
        </w:trPr>
        <w:tc>
          <w:tcPr>
            <w:tcW w:w="678" w:type="dxa"/>
            <w:tcBorders>
              <w:top w:val="single" w:color="000000" w:sz="4" w:space="0"/>
              <w:left w:val="single" w:color="000000" w:sz="4" w:space="0"/>
              <w:bottom w:val="single" w:color="000000" w:sz="4" w:space="0"/>
              <w:right w:val="single" w:color="000000" w:sz="4" w:space="0"/>
            </w:tcBorders>
            <w:vAlign w:val="center"/>
          </w:tcPr>
          <w:p w14:paraId="490B528B">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6</w:t>
            </w:r>
          </w:p>
        </w:tc>
        <w:tc>
          <w:tcPr>
            <w:tcW w:w="2184" w:type="dxa"/>
            <w:tcBorders>
              <w:top w:val="single" w:color="000000" w:sz="4" w:space="0"/>
              <w:left w:val="single" w:color="000000" w:sz="4" w:space="0"/>
              <w:bottom w:val="single" w:color="000000" w:sz="4" w:space="0"/>
              <w:right w:val="single" w:color="000000" w:sz="4" w:space="0"/>
            </w:tcBorders>
            <w:vAlign w:val="center"/>
          </w:tcPr>
          <w:p w14:paraId="1BC38446">
            <w:pPr>
              <w:spacing w:line="360" w:lineRule="auto"/>
              <w:ind w:leftChars="-10" w:hanging="21" w:hangingChars="10"/>
              <w:jc w:val="left"/>
              <w:rPr>
                <w:rFonts w:ascii="宋体" w:hAnsi="宋体" w:cs="仿宋_GB2312"/>
                <w:color w:val="auto"/>
                <w:szCs w:val="21"/>
                <w:highlight w:val="none"/>
              </w:rPr>
            </w:pPr>
            <w:r>
              <w:rPr>
                <w:rFonts w:hint="eastAsia" w:ascii="宋体" w:hAnsi="宋体" w:cs="仿宋_GB2312"/>
                <w:color w:val="auto"/>
                <w:szCs w:val="21"/>
                <w:highlight w:val="none"/>
              </w:rPr>
              <w:t>其他（水、电等）</w:t>
            </w:r>
          </w:p>
        </w:tc>
        <w:tc>
          <w:tcPr>
            <w:tcW w:w="833" w:type="dxa"/>
            <w:tcBorders>
              <w:top w:val="single" w:color="000000" w:sz="4" w:space="0"/>
              <w:left w:val="single" w:color="000000" w:sz="4" w:space="0"/>
              <w:bottom w:val="single" w:color="000000" w:sz="4" w:space="0"/>
              <w:right w:val="single" w:color="000000" w:sz="4" w:space="0"/>
            </w:tcBorders>
            <w:vAlign w:val="center"/>
          </w:tcPr>
          <w:p w14:paraId="21FEB72E">
            <w:pPr>
              <w:spacing w:line="360" w:lineRule="auto"/>
              <w:ind w:firstLine="462" w:firstLineChars="220"/>
              <w:jc w:val="center"/>
              <w:rPr>
                <w:rFonts w:ascii="宋体" w:hAnsi="宋体" w:cs="仿宋_GB2312"/>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1646FED">
            <w:pPr>
              <w:spacing w:line="360" w:lineRule="auto"/>
              <w:ind w:firstLine="462" w:firstLineChars="220"/>
              <w:jc w:val="center"/>
              <w:rPr>
                <w:rFonts w:ascii="宋体" w:hAnsi="宋体" w:cs="仿宋_GB2312"/>
                <w:color w:val="auto"/>
                <w:szCs w:val="21"/>
                <w:highlight w:val="none"/>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09EB0F7">
            <w:pPr>
              <w:spacing w:line="360" w:lineRule="auto"/>
              <w:ind w:firstLine="462" w:firstLineChars="220"/>
              <w:jc w:val="center"/>
              <w:rPr>
                <w:rFonts w:ascii="宋体" w:hAnsi="宋体" w:cs="仿宋_GB2312"/>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1437C4A">
            <w:pPr>
              <w:spacing w:line="360" w:lineRule="auto"/>
              <w:ind w:firstLine="462" w:firstLineChars="220"/>
              <w:jc w:val="center"/>
              <w:rPr>
                <w:rFonts w:ascii="宋体" w:hAnsi="宋体" w:cs="仿宋_GB2312"/>
                <w:color w:val="auto"/>
                <w:szCs w:val="21"/>
                <w:highlight w:val="none"/>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70EB14B3">
            <w:pPr>
              <w:spacing w:line="360" w:lineRule="auto"/>
              <w:ind w:firstLine="462" w:firstLineChars="220"/>
              <w:jc w:val="center"/>
              <w:rPr>
                <w:rFonts w:ascii="宋体" w:hAnsi="宋体" w:cs="仿宋_GB2312"/>
                <w:color w:val="auto"/>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6A173D7">
            <w:pPr>
              <w:spacing w:line="360" w:lineRule="auto"/>
              <w:ind w:left="-90"/>
              <w:jc w:val="center"/>
              <w:rPr>
                <w:rFonts w:ascii="宋体" w:hAnsi="宋体" w:cs="仿宋_GB2312"/>
                <w:color w:val="auto"/>
                <w:szCs w:val="21"/>
                <w:highlight w:val="none"/>
              </w:rPr>
            </w:pPr>
            <w:r>
              <w:rPr>
                <w:rFonts w:hint="eastAsia" w:ascii="宋体" w:hAnsi="宋体" w:cs="仿宋_GB2312"/>
                <w:color w:val="auto"/>
                <w:szCs w:val="21"/>
                <w:highlight w:val="none"/>
              </w:rPr>
              <w:t>无</w:t>
            </w:r>
          </w:p>
        </w:tc>
      </w:tr>
    </w:tbl>
    <w:p w14:paraId="1EDF5DDF">
      <w:pPr>
        <w:spacing w:line="360" w:lineRule="auto"/>
        <w:rPr>
          <w:rFonts w:ascii="宋体" w:hAnsi="宋体" w:cs="仿宋"/>
          <w:color w:val="auto"/>
          <w:szCs w:val="21"/>
          <w:highlight w:val="none"/>
        </w:rPr>
      </w:pPr>
    </w:p>
    <w:p w14:paraId="78DD55F0">
      <w:pPr>
        <w:pStyle w:val="5"/>
        <w:spacing w:before="0" w:after="0" w:line="360" w:lineRule="auto"/>
        <w:jc w:val="left"/>
        <w:rPr>
          <w:rFonts w:ascii="宋体" w:hAnsi="宋体" w:cs="仿宋"/>
          <w:color w:val="auto"/>
          <w:sz w:val="21"/>
          <w:szCs w:val="21"/>
          <w:highlight w:val="none"/>
        </w:rPr>
      </w:pPr>
      <w:bookmarkStart w:id="421" w:name="3._委托人管理"/>
      <w:bookmarkEnd w:id="421"/>
      <w:bookmarkStart w:id="422" w:name="_bookmark195"/>
      <w:bookmarkEnd w:id="422"/>
      <w:bookmarkStart w:id="423" w:name="_Toc129859391"/>
      <w:bookmarkStart w:id="424" w:name="_Toc129859514"/>
      <w:bookmarkStart w:id="425" w:name="_Toc20388314"/>
      <w:r>
        <w:rPr>
          <w:rFonts w:hint="eastAsia" w:ascii="宋体" w:hAnsi="宋体" w:cs="仿宋"/>
          <w:color w:val="auto"/>
          <w:sz w:val="21"/>
          <w:szCs w:val="21"/>
          <w:highlight w:val="none"/>
        </w:rPr>
        <w:t>3. 委托人管理</w:t>
      </w:r>
      <w:bookmarkEnd w:id="423"/>
      <w:bookmarkEnd w:id="424"/>
      <w:bookmarkEnd w:id="425"/>
    </w:p>
    <w:p w14:paraId="6315D185">
      <w:pPr>
        <w:pStyle w:val="6"/>
        <w:spacing w:before="0" w:after="0" w:line="360" w:lineRule="auto"/>
        <w:rPr>
          <w:rFonts w:hAnsi="宋体" w:eastAsia="宋体" w:cs="仿宋"/>
          <w:b w:val="0"/>
          <w:color w:val="auto"/>
          <w:sz w:val="21"/>
          <w:szCs w:val="21"/>
          <w:highlight w:val="none"/>
        </w:rPr>
      </w:pPr>
      <w:bookmarkStart w:id="426" w:name="_bookmark196"/>
      <w:bookmarkEnd w:id="426"/>
      <w:bookmarkStart w:id="427" w:name="3.1_委托人代表"/>
      <w:bookmarkEnd w:id="427"/>
      <w:bookmarkStart w:id="428" w:name="_Toc20388315"/>
      <w:r>
        <w:rPr>
          <w:rFonts w:hint="eastAsia" w:hAnsi="宋体" w:eastAsia="宋体" w:cs="仿宋"/>
          <w:color w:val="auto"/>
          <w:sz w:val="21"/>
          <w:szCs w:val="21"/>
          <w:highlight w:val="none"/>
        </w:rPr>
        <w:t>3.1 委托人代表</w:t>
      </w:r>
      <w:bookmarkEnd w:id="428"/>
    </w:p>
    <w:p w14:paraId="638C1DD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3.1.1</w:t>
      </w:r>
      <w:r>
        <w:rPr>
          <w:rFonts w:hint="eastAsia" w:ascii="宋体" w:hAnsi="宋体" w:cs="仿宋"/>
          <w:color w:val="auto"/>
          <w:spacing w:val="-58"/>
          <w:szCs w:val="21"/>
          <w:highlight w:val="none"/>
        </w:rPr>
        <w:t xml:space="preserve"> </w:t>
      </w:r>
      <w:r>
        <w:rPr>
          <w:rFonts w:hint="eastAsia" w:ascii="宋体" w:hAnsi="宋体" w:cs="仿宋"/>
          <w:color w:val="auto"/>
          <w:spacing w:val="14"/>
          <w:szCs w:val="21"/>
          <w:highlight w:val="none"/>
        </w:rPr>
        <w:t>将委托人代表的姓名、职务、联系方式、授权范围和授权期限书面通知监理人的时限</w:t>
      </w:r>
      <w:r>
        <w:rPr>
          <w:rFonts w:hint="eastAsia" w:ascii="宋体" w:hAnsi="宋体" w:cs="仿宋"/>
          <w:color w:val="auto"/>
          <w:w w:val="95"/>
          <w:szCs w:val="21"/>
          <w:highlight w:val="none"/>
        </w:rPr>
        <w:t>：</w:t>
      </w:r>
      <w:r>
        <w:rPr>
          <w:rFonts w:hint="eastAsia" w:ascii="宋体" w:hAnsi="宋体" w:cs="仿宋"/>
          <w:color w:val="auto"/>
          <w:w w:val="95"/>
          <w:szCs w:val="21"/>
          <w:highlight w:val="none"/>
          <w:u w:val="single" w:color="000000"/>
        </w:rPr>
        <w:t xml:space="preserve">            </w:t>
      </w:r>
      <w:r>
        <w:rPr>
          <w:rFonts w:hint="eastAsia" w:ascii="宋体" w:hAnsi="宋体" w:cs="仿宋"/>
          <w:color w:val="auto"/>
          <w:w w:val="95"/>
          <w:szCs w:val="21"/>
          <w:highlight w:val="none"/>
          <w:u w:val="single" w:color="000000"/>
        </w:rPr>
        <w:tab/>
      </w:r>
      <w:r>
        <w:rPr>
          <w:rFonts w:hint="eastAsia" w:ascii="宋体" w:hAnsi="宋体" w:cs="仿宋"/>
          <w:color w:val="auto"/>
          <w:szCs w:val="21"/>
          <w:highlight w:val="none"/>
        </w:rPr>
        <w:t>。</w:t>
      </w:r>
    </w:p>
    <w:p w14:paraId="1DFCA64F">
      <w:pPr>
        <w:pStyle w:val="6"/>
        <w:spacing w:before="0" w:after="0" w:line="360" w:lineRule="auto"/>
        <w:rPr>
          <w:rFonts w:hAnsi="宋体" w:eastAsia="宋体" w:cs="仿宋"/>
          <w:b w:val="0"/>
          <w:color w:val="auto"/>
          <w:sz w:val="21"/>
          <w:szCs w:val="21"/>
          <w:highlight w:val="none"/>
        </w:rPr>
      </w:pPr>
      <w:bookmarkStart w:id="429" w:name="_bookmark197"/>
      <w:bookmarkEnd w:id="429"/>
      <w:bookmarkStart w:id="430" w:name="3.3_决定或答复"/>
      <w:bookmarkEnd w:id="430"/>
      <w:bookmarkStart w:id="431" w:name="_Toc20388316"/>
      <w:r>
        <w:rPr>
          <w:rFonts w:hint="eastAsia" w:hAnsi="宋体" w:eastAsia="宋体" w:cs="仿宋"/>
          <w:color w:val="auto"/>
          <w:sz w:val="21"/>
          <w:szCs w:val="21"/>
          <w:highlight w:val="none"/>
        </w:rPr>
        <w:t>3.3 决定或答复</w:t>
      </w:r>
      <w:bookmarkEnd w:id="431"/>
    </w:p>
    <w:p w14:paraId="60857A5F">
      <w:pPr>
        <w:tabs>
          <w:tab w:val="left" w:pos="7927"/>
        </w:tabs>
        <w:spacing w:line="360" w:lineRule="auto"/>
        <w:ind w:left="579"/>
        <w:rPr>
          <w:rFonts w:ascii="宋体" w:hAnsi="宋体" w:cs="仿宋"/>
          <w:color w:val="auto"/>
          <w:szCs w:val="21"/>
          <w:highlight w:val="none"/>
        </w:rPr>
      </w:pPr>
      <w:r>
        <w:rPr>
          <w:rFonts w:hint="eastAsia" w:ascii="宋体" w:hAnsi="宋体" w:cs="仿宋"/>
          <w:color w:val="auto"/>
          <w:szCs w:val="21"/>
          <w:highlight w:val="none"/>
        </w:rPr>
        <w:t>3.2.1</w:t>
      </w:r>
      <w:r>
        <w:rPr>
          <w:rFonts w:hint="eastAsia" w:ascii="宋体" w:hAnsi="宋体" w:cs="仿宋"/>
          <w:color w:val="auto"/>
          <w:spacing w:val="-18"/>
          <w:szCs w:val="21"/>
          <w:highlight w:val="none"/>
        </w:rPr>
        <w:t xml:space="preserve"> </w:t>
      </w:r>
      <w:r>
        <w:rPr>
          <w:rFonts w:hint="eastAsia" w:ascii="宋体" w:hAnsi="宋体" w:cs="仿宋"/>
          <w:color w:val="auto"/>
          <w:szCs w:val="21"/>
          <w:highlight w:val="none"/>
        </w:rPr>
        <w:t>委托人对监理人书面提出的事项作出书面答复的时限：一般文件</w:t>
      </w:r>
      <w:r>
        <w:rPr>
          <w:rFonts w:hint="eastAsia" w:ascii="宋体" w:hAnsi="宋体" w:cs="仿宋"/>
          <w:color w:val="auto"/>
          <w:szCs w:val="21"/>
          <w:highlight w:val="none"/>
          <w:u w:val="single" w:color="000000"/>
        </w:rPr>
        <w:t xml:space="preserve"> 7</w:t>
      </w:r>
      <w:r>
        <w:rPr>
          <w:rFonts w:hint="eastAsia" w:ascii="宋体" w:hAnsi="宋体" w:cs="仿宋"/>
          <w:color w:val="auto"/>
          <w:szCs w:val="21"/>
          <w:highlight w:val="none"/>
        </w:rPr>
        <w:t>天；紧急事项</w:t>
      </w:r>
      <w:r>
        <w:rPr>
          <w:rFonts w:hint="eastAsia" w:ascii="宋体" w:hAnsi="宋体" w:cs="仿宋"/>
          <w:i/>
          <w:iCs/>
          <w:color w:val="auto"/>
          <w:szCs w:val="21"/>
          <w:highlight w:val="none"/>
          <w:u w:val="single"/>
        </w:rPr>
        <w:t>2</w:t>
      </w:r>
      <w:r>
        <w:rPr>
          <w:rFonts w:hint="eastAsia" w:ascii="宋体" w:hAnsi="宋体" w:cs="仿宋"/>
          <w:color w:val="auto"/>
          <w:szCs w:val="21"/>
          <w:highlight w:val="none"/>
        </w:rPr>
        <w:t>天</w:t>
      </w:r>
      <w:r>
        <w:rPr>
          <w:rFonts w:hint="eastAsia" w:ascii="宋体" w:hAnsi="宋体" w:cs="仿宋"/>
          <w:color w:val="auto"/>
          <w:w w:val="95"/>
          <w:szCs w:val="21"/>
          <w:highlight w:val="none"/>
        </w:rPr>
        <w:t>；</w:t>
      </w:r>
      <w:r>
        <w:rPr>
          <w:rFonts w:hint="eastAsia" w:ascii="宋体" w:hAnsi="宋体" w:cs="仿宋"/>
          <w:color w:val="auto"/>
          <w:szCs w:val="21"/>
          <w:highlight w:val="none"/>
        </w:rPr>
        <w:t>变更文件</w:t>
      </w:r>
      <w:r>
        <w:rPr>
          <w:rFonts w:hint="eastAsia" w:ascii="宋体" w:hAnsi="宋体" w:cs="仿宋"/>
          <w:color w:val="auto"/>
          <w:w w:val="95"/>
          <w:szCs w:val="21"/>
          <w:highlight w:val="none"/>
          <w:u w:val="single" w:color="000000"/>
        </w:rPr>
        <w:t>14</w:t>
      </w:r>
      <w:r>
        <w:rPr>
          <w:rFonts w:hint="eastAsia" w:ascii="宋体" w:hAnsi="宋体" w:cs="仿宋"/>
          <w:color w:val="auto"/>
          <w:szCs w:val="21"/>
          <w:highlight w:val="none"/>
        </w:rPr>
        <w:t>天。</w:t>
      </w:r>
    </w:p>
    <w:p w14:paraId="17C1D527">
      <w:pPr>
        <w:pStyle w:val="5"/>
        <w:spacing w:before="0" w:after="0" w:line="360" w:lineRule="auto"/>
        <w:jc w:val="left"/>
        <w:rPr>
          <w:rFonts w:ascii="宋体" w:hAnsi="宋体" w:cs="仿宋"/>
          <w:color w:val="auto"/>
          <w:sz w:val="21"/>
          <w:szCs w:val="21"/>
          <w:highlight w:val="none"/>
        </w:rPr>
      </w:pPr>
      <w:bookmarkStart w:id="432" w:name="_Toc20388317"/>
      <w:bookmarkStart w:id="433" w:name="_Toc129859515"/>
      <w:bookmarkStart w:id="434" w:name="_Toc129859392"/>
      <w:r>
        <w:rPr>
          <w:rFonts w:hint="eastAsia" w:ascii="宋体" w:hAnsi="宋体" w:cs="仿宋"/>
          <w:color w:val="auto"/>
          <w:sz w:val="21"/>
          <w:szCs w:val="21"/>
          <w:highlight w:val="none"/>
        </w:rPr>
        <w:t>4. 监理人义务</w:t>
      </w:r>
      <w:bookmarkEnd w:id="432"/>
      <w:bookmarkEnd w:id="433"/>
      <w:bookmarkEnd w:id="434"/>
    </w:p>
    <w:p w14:paraId="23D96387">
      <w:pPr>
        <w:pStyle w:val="6"/>
        <w:spacing w:before="0" w:after="0" w:line="360" w:lineRule="auto"/>
        <w:rPr>
          <w:rFonts w:hAnsi="宋体" w:eastAsia="宋体" w:cs="仿宋"/>
          <w:b w:val="0"/>
          <w:color w:val="auto"/>
          <w:sz w:val="21"/>
          <w:szCs w:val="21"/>
          <w:highlight w:val="none"/>
        </w:rPr>
      </w:pPr>
      <w:bookmarkStart w:id="435" w:name="_bookmark199"/>
      <w:bookmarkEnd w:id="435"/>
      <w:bookmarkStart w:id="436" w:name="4.1_监理人的一般义务"/>
      <w:bookmarkEnd w:id="436"/>
      <w:bookmarkStart w:id="437" w:name="_Toc20388318"/>
      <w:r>
        <w:rPr>
          <w:rFonts w:hint="eastAsia" w:hAnsi="宋体" w:eastAsia="宋体" w:cs="仿宋"/>
          <w:color w:val="auto"/>
          <w:sz w:val="21"/>
          <w:szCs w:val="21"/>
          <w:highlight w:val="none"/>
        </w:rPr>
        <w:t>4.1 监理人的一般义务</w:t>
      </w:r>
      <w:bookmarkEnd w:id="437"/>
    </w:p>
    <w:p w14:paraId="2F4BE714">
      <w:pPr>
        <w:spacing w:line="360" w:lineRule="auto"/>
        <w:ind w:left="113" w:leftChars="54" w:right="98" w:firstLine="420" w:firstLineChars="200"/>
        <w:rPr>
          <w:rFonts w:ascii="宋体" w:hAnsi="宋体" w:cs="仿宋"/>
          <w:color w:val="auto"/>
          <w:szCs w:val="21"/>
          <w:highlight w:val="none"/>
        </w:rPr>
      </w:pPr>
      <w:r>
        <w:rPr>
          <w:rFonts w:hint="eastAsia" w:ascii="宋体" w:hAnsi="宋体" w:cs="仿宋"/>
          <w:color w:val="auto"/>
          <w:szCs w:val="21"/>
          <w:highlight w:val="none"/>
        </w:rPr>
        <w:t>4.1.4</w:t>
      </w:r>
      <w:r>
        <w:rPr>
          <w:rFonts w:hint="eastAsia" w:ascii="宋体" w:hAnsi="宋体" w:cs="仿宋"/>
          <w:color w:val="auto"/>
          <w:spacing w:val="-7"/>
          <w:szCs w:val="21"/>
          <w:highlight w:val="none"/>
        </w:rPr>
        <w:t xml:space="preserve">  </w:t>
      </w:r>
      <w:r>
        <w:rPr>
          <w:rFonts w:hint="eastAsia" w:ascii="宋体" w:hAnsi="宋体" w:cs="仿宋"/>
          <w:color w:val="auto"/>
          <w:szCs w:val="21"/>
          <w:highlight w:val="none"/>
        </w:rPr>
        <w:t>其他义务</w:t>
      </w:r>
    </w:p>
    <w:p w14:paraId="301B6A87">
      <w:pPr>
        <w:tabs>
          <w:tab w:val="left" w:pos="5158"/>
        </w:tabs>
        <w:spacing w:line="360" w:lineRule="auto"/>
        <w:ind w:left="538" w:right="98"/>
        <w:rPr>
          <w:rFonts w:ascii="宋体" w:hAnsi="宋体" w:cs="仿宋"/>
          <w:color w:val="auto"/>
          <w:szCs w:val="21"/>
          <w:highlight w:val="none"/>
        </w:rPr>
      </w:pPr>
      <w:r>
        <w:rPr>
          <w:rFonts w:hint="eastAsia" w:ascii="宋体" w:hAnsi="宋体" w:cs="仿宋"/>
          <w:color w:val="auto"/>
          <w:szCs w:val="21"/>
          <w:highlight w:val="none"/>
        </w:rPr>
        <w:t>监理人应履行的其他义务：</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w:t>
      </w:r>
    </w:p>
    <w:p w14:paraId="27A33C7F">
      <w:pPr>
        <w:pStyle w:val="6"/>
        <w:spacing w:before="0" w:after="0" w:line="360" w:lineRule="auto"/>
        <w:rPr>
          <w:rFonts w:hAnsi="宋体" w:eastAsia="宋体" w:cs="仿宋"/>
          <w:b w:val="0"/>
          <w:color w:val="auto"/>
          <w:sz w:val="21"/>
          <w:szCs w:val="21"/>
          <w:highlight w:val="none"/>
        </w:rPr>
      </w:pPr>
      <w:bookmarkStart w:id="438" w:name="4.2_履约保证金"/>
      <w:bookmarkEnd w:id="438"/>
      <w:bookmarkStart w:id="439" w:name="_bookmark200"/>
      <w:bookmarkEnd w:id="439"/>
      <w:bookmarkStart w:id="440" w:name="_Toc20388319"/>
      <w:r>
        <w:rPr>
          <w:rFonts w:hint="eastAsia" w:hAnsi="宋体" w:eastAsia="宋体" w:cs="仿宋"/>
          <w:color w:val="auto"/>
          <w:sz w:val="21"/>
          <w:szCs w:val="21"/>
          <w:highlight w:val="none"/>
        </w:rPr>
        <w:t>4.2 履约保证金</w:t>
      </w:r>
      <w:bookmarkEnd w:id="440"/>
      <w:r>
        <w:rPr>
          <w:rFonts w:hint="eastAsia" w:hAnsi="宋体" w:eastAsia="宋体" w:cs="仿宋"/>
          <w:color w:val="auto"/>
          <w:sz w:val="21"/>
          <w:szCs w:val="21"/>
          <w:highlight w:val="none"/>
        </w:rPr>
        <w:t>：无</w:t>
      </w:r>
    </w:p>
    <w:p w14:paraId="72AAD80F">
      <w:pPr>
        <w:pStyle w:val="6"/>
        <w:spacing w:before="0" w:after="0" w:line="360" w:lineRule="auto"/>
        <w:rPr>
          <w:rFonts w:hAnsi="宋体" w:eastAsia="宋体" w:cs="仿宋"/>
          <w:b w:val="0"/>
          <w:color w:val="auto"/>
          <w:sz w:val="21"/>
          <w:szCs w:val="21"/>
          <w:highlight w:val="none"/>
        </w:rPr>
      </w:pPr>
      <w:bookmarkStart w:id="441" w:name="_bookmark201"/>
      <w:bookmarkEnd w:id="441"/>
      <w:bookmarkStart w:id="442" w:name="4.4_总监理工程师_"/>
      <w:bookmarkEnd w:id="442"/>
      <w:bookmarkStart w:id="443" w:name="_Toc20388320"/>
      <w:r>
        <w:rPr>
          <w:rFonts w:hint="eastAsia" w:hAnsi="宋体" w:eastAsia="宋体" w:cs="仿宋"/>
          <w:color w:val="auto"/>
          <w:sz w:val="21"/>
          <w:szCs w:val="21"/>
          <w:highlight w:val="none"/>
        </w:rPr>
        <w:t>4.3 总监理工程师</w:t>
      </w:r>
      <w:bookmarkEnd w:id="443"/>
    </w:p>
    <w:p w14:paraId="0FD6EE8B">
      <w:pPr>
        <w:spacing w:line="360" w:lineRule="auto"/>
        <w:ind w:left="118" w:right="98" w:firstLine="489"/>
        <w:rPr>
          <w:rFonts w:ascii="宋体" w:hAnsi="宋体" w:cs="仿宋"/>
          <w:color w:val="auto"/>
          <w:szCs w:val="21"/>
          <w:highlight w:val="none"/>
        </w:rPr>
      </w:pPr>
      <w:r>
        <w:rPr>
          <w:rFonts w:hint="eastAsia" w:ascii="宋体" w:hAnsi="宋体" w:cs="仿宋"/>
          <w:color w:val="auto"/>
          <w:szCs w:val="21"/>
          <w:highlight w:val="none"/>
        </w:rPr>
        <w:t>4.3.1</w:t>
      </w:r>
      <w:r>
        <w:rPr>
          <w:rFonts w:hint="eastAsia" w:ascii="宋体" w:hAnsi="宋体" w:cs="仿宋"/>
          <w:color w:val="auto"/>
          <w:spacing w:val="-49"/>
          <w:szCs w:val="21"/>
          <w:highlight w:val="none"/>
        </w:rPr>
        <w:t xml:space="preserve">   </w:t>
      </w:r>
      <w:r>
        <w:rPr>
          <w:rFonts w:hint="eastAsia" w:ascii="宋体" w:hAnsi="宋体" w:cs="仿宋"/>
          <w:color w:val="auto"/>
          <w:szCs w:val="21"/>
          <w:highlight w:val="none"/>
        </w:rPr>
        <w:t>投标文件承诺的监理部主要监理人员在主体工程施工期间原则上不得更换。如发生下列 情形之一的，应当办理书面手续后方能变更人员：</w:t>
      </w:r>
    </w:p>
    <w:p w14:paraId="4B923393">
      <w:pPr>
        <w:spacing w:line="360" w:lineRule="auto"/>
        <w:ind w:left="118" w:right="198" w:firstLine="405"/>
        <w:rPr>
          <w:rFonts w:ascii="宋体" w:hAnsi="宋体" w:cs="仿宋"/>
          <w:color w:val="auto"/>
          <w:szCs w:val="21"/>
          <w:highlight w:val="none"/>
        </w:rPr>
      </w:pPr>
      <w:r>
        <w:rPr>
          <w:rFonts w:hint="eastAsia" w:ascii="宋体" w:hAnsi="宋体" w:cs="仿宋"/>
          <w:color w:val="auto"/>
          <w:szCs w:val="21"/>
          <w:highlight w:val="none"/>
        </w:rPr>
        <w:t>（1）因管理人员重大疾病、死亡、调离所在单位、辞职、犯罪、移民等特殊原因确须变更,提供相关证明材料，且经发包方同意更换的；</w:t>
      </w:r>
    </w:p>
    <w:p w14:paraId="462DE2F2">
      <w:pPr>
        <w:spacing w:line="360" w:lineRule="auto"/>
        <w:ind w:left="524" w:right="182"/>
        <w:rPr>
          <w:rFonts w:ascii="宋体" w:hAnsi="宋体" w:cs="仿宋"/>
          <w:color w:val="auto"/>
          <w:szCs w:val="21"/>
          <w:highlight w:val="none"/>
        </w:rPr>
      </w:pPr>
      <w:r>
        <w:rPr>
          <w:rFonts w:hint="eastAsia" w:ascii="宋体" w:hAnsi="宋体" w:cs="仿宋"/>
          <w:color w:val="auto"/>
          <w:szCs w:val="21"/>
          <w:highlight w:val="none"/>
        </w:rPr>
        <w:t>（2）因不可抗力等特殊情况必须更换的。</w:t>
      </w:r>
    </w:p>
    <w:p w14:paraId="12A88A6B">
      <w:pPr>
        <w:spacing w:line="360" w:lineRule="auto"/>
        <w:ind w:left="118" w:right="196" w:firstLine="422"/>
        <w:rPr>
          <w:rFonts w:ascii="宋体" w:hAnsi="宋体" w:cs="仿宋"/>
          <w:color w:val="auto"/>
          <w:szCs w:val="21"/>
          <w:highlight w:val="none"/>
        </w:rPr>
      </w:pPr>
      <w:r>
        <w:rPr>
          <w:rFonts w:hint="eastAsia" w:ascii="宋体" w:hAnsi="宋体" w:cs="仿宋"/>
          <w:color w:val="auto"/>
          <w:szCs w:val="21"/>
          <w:highlight w:val="none"/>
        </w:rPr>
        <w:t>监理人进行上述人员更换的，均需通过发包人批准，发包人认为人员资格、能力不能满足施工需要或低于原人员资格、能力的，发包人有权要求承包人再更换，承包人不能满足要求的，发包人有权解除合同，监理人还应承担监理服务酬金</w:t>
      </w:r>
      <w:r>
        <w:rPr>
          <w:rFonts w:hint="eastAsia" w:ascii="宋体" w:hAnsi="宋体" w:cs="仿宋"/>
          <w:color w:val="auto"/>
          <w:spacing w:val="-67"/>
          <w:szCs w:val="21"/>
          <w:highlight w:val="none"/>
        </w:rPr>
        <w:t xml:space="preserve"> </w:t>
      </w:r>
      <w:r>
        <w:rPr>
          <w:rFonts w:hint="eastAsia" w:ascii="宋体" w:hAnsi="宋体" w:cs="仿宋"/>
          <w:color w:val="auto"/>
          <w:szCs w:val="21"/>
          <w:highlight w:val="none"/>
        </w:rPr>
        <w:t>3%的违约金。</w:t>
      </w:r>
    </w:p>
    <w:p w14:paraId="01F9F10D">
      <w:pPr>
        <w:tabs>
          <w:tab w:val="left" w:pos="5310"/>
        </w:tabs>
        <w:spacing w:line="360" w:lineRule="auto"/>
        <w:ind w:right="182" w:firstLine="420" w:firstLineChars="200"/>
        <w:rPr>
          <w:rFonts w:ascii="宋体" w:hAnsi="宋体" w:cs="宋体"/>
          <w:color w:val="auto"/>
          <w:szCs w:val="21"/>
          <w:highlight w:val="none"/>
          <w:u w:val="single"/>
        </w:rPr>
      </w:pPr>
      <w:r>
        <w:rPr>
          <w:rFonts w:hint="eastAsia" w:ascii="宋体" w:hAnsi="宋体" w:cs="宋体"/>
          <w:color w:val="auto"/>
          <w:szCs w:val="21"/>
          <w:highlight w:val="none"/>
        </w:rPr>
        <w:t>4.3.2   总监理工程师可以授权其下属人员履行其职责的范围：</w:t>
      </w:r>
      <w:r>
        <w:rPr>
          <w:rFonts w:hint="eastAsia" w:ascii="宋体" w:hAnsi="宋体" w:cs="宋体"/>
          <w:color w:val="auto"/>
          <w:szCs w:val="21"/>
          <w:highlight w:val="none"/>
          <w:u w:val="single"/>
        </w:rPr>
        <w:t>设计交底、组织核查并签发施工图纸、主持监理例会和监理专题会议、签发监理机构的文件等（《水利工程施工监理规范》SL288-2014执行）职责，但事先应将这些人员的姓名和授权范围书面通知委托人和承包人。</w:t>
      </w:r>
    </w:p>
    <w:p w14:paraId="1B348901">
      <w:pPr>
        <w:pStyle w:val="6"/>
        <w:spacing w:before="0" w:after="0" w:line="360" w:lineRule="auto"/>
        <w:rPr>
          <w:rFonts w:hAnsi="宋体" w:eastAsia="宋体" w:cs="仿宋"/>
          <w:b w:val="0"/>
          <w:color w:val="auto"/>
          <w:sz w:val="21"/>
          <w:szCs w:val="21"/>
          <w:highlight w:val="none"/>
        </w:rPr>
      </w:pPr>
      <w:bookmarkStart w:id="444" w:name="4.5_监理人员的管理"/>
      <w:bookmarkEnd w:id="444"/>
      <w:bookmarkStart w:id="445" w:name="_bookmark202"/>
      <w:bookmarkEnd w:id="445"/>
      <w:bookmarkStart w:id="446" w:name="_Toc20388321"/>
      <w:r>
        <w:rPr>
          <w:rFonts w:hint="eastAsia" w:hAnsi="宋体" w:eastAsia="宋体" w:cs="仿宋"/>
          <w:color w:val="auto"/>
          <w:sz w:val="21"/>
          <w:szCs w:val="21"/>
          <w:highlight w:val="none"/>
        </w:rPr>
        <w:t>4.4 监理人员的管理</w:t>
      </w:r>
      <w:bookmarkEnd w:id="446"/>
    </w:p>
    <w:p w14:paraId="7949B0B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4.4.1 监理人应在接到开始监理通知之日起 日内组建监理机构，并按照投标文件中的人员进 场计划安排有关人员进驻现场，且进场人员必须能够满足工程建设监理工作需要。</w:t>
      </w:r>
    </w:p>
    <w:p w14:paraId="5011FD57">
      <w:pPr>
        <w:tabs>
          <w:tab w:val="left" w:pos="7519"/>
        </w:tabs>
        <w:spacing w:line="360" w:lineRule="auto"/>
        <w:ind w:left="538" w:right="182"/>
        <w:rPr>
          <w:rFonts w:ascii="宋体" w:hAnsi="宋体" w:cs="仿宋"/>
          <w:color w:val="auto"/>
          <w:szCs w:val="21"/>
          <w:highlight w:val="none"/>
        </w:rPr>
      </w:pPr>
      <w:r>
        <w:rPr>
          <w:rFonts w:hint="eastAsia" w:ascii="宋体" w:hAnsi="宋体" w:cs="仿宋"/>
          <w:color w:val="auto"/>
          <w:szCs w:val="21"/>
          <w:highlight w:val="none"/>
        </w:rPr>
        <w:t>4.4.2</w:t>
      </w:r>
      <w:r>
        <w:rPr>
          <w:rFonts w:hint="eastAsia" w:ascii="宋体" w:hAnsi="宋体" w:cs="仿宋"/>
          <w:color w:val="auto"/>
          <w:spacing w:val="-69"/>
          <w:szCs w:val="21"/>
          <w:highlight w:val="none"/>
        </w:rPr>
        <w:t xml:space="preserve"> </w:t>
      </w:r>
      <w:r>
        <w:rPr>
          <w:rFonts w:hint="eastAsia" w:ascii="宋体" w:hAnsi="宋体" w:cs="仿宋"/>
          <w:color w:val="auto"/>
          <w:szCs w:val="21"/>
          <w:highlight w:val="none"/>
        </w:rPr>
        <w:t>主要监理人员包括：总监理工程师、专业监理工程师、</w:t>
      </w:r>
      <w:r>
        <w:rPr>
          <w:rFonts w:hint="eastAsia" w:ascii="宋体" w:hAnsi="宋体" w:cs="仿宋"/>
          <w:color w:val="auto"/>
          <w:szCs w:val="21"/>
          <w:highlight w:val="none"/>
          <w:u w:val="single" w:color="000000"/>
        </w:rPr>
        <w:t>监理员</w:t>
      </w:r>
      <w:r>
        <w:rPr>
          <w:rFonts w:hint="eastAsia" w:ascii="宋体" w:hAnsi="宋体" w:cs="仿宋"/>
          <w:color w:val="auto"/>
          <w:szCs w:val="21"/>
          <w:highlight w:val="none"/>
        </w:rPr>
        <w:t>。</w:t>
      </w:r>
    </w:p>
    <w:p w14:paraId="0DD6F6D7">
      <w:pPr>
        <w:pStyle w:val="6"/>
        <w:spacing w:before="0" w:after="0" w:line="360" w:lineRule="auto"/>
        <w:rPr>
          <w:rFonts w:hAnsi="宋体" w:eastAsia="宋体" w:cs="仿宋"/>
          <w:b w:val="0"/>
          <w:color w:val="auto"/>
          <w:sz w:val="21"/>
          <w:szCs w:val="21"/>
          <w:highlight w:val="none"/>
        </w:rPr>
      </w:pPr>
      <w:bookmarkStart w:id="447" w:name="_Toc20388322"/>
      <w:r>
        <w:rPr>
          <w:rFonts w:hint="eastAsia" w:hAnsi="宋体" w:eastAsia="宋体" w:cs="仿宋"/>
          <w:color w:val="auto"/>
          <w:sz w:val="21"/>
          <w:szCs w:val="21"/>
          <w:highlight w:val="none"/>
        </w:rPr>
        <w:t>4.5 保障人员的合法权益</w:t>
      </w:r>
      <w:bookmarkEnd w:id="447"/>
    </w:p>
    <w:p w14:paraId="7B0E81E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4.5.1</w:t>
      </w:r>
      <w:r>
        <w:rPr>
          <w:rFonts w:hint="eastAsia" w:ascii="宋体" w:hAnsi="宋体" w:cs="仿宋"/>
          <w:color w:val="auto"/>
          <w:spacing w:val="-17"/>
          <w:szCs w:val="21"/>
          <w:highlight w:val="none"/>
        </w:rPr>
        <w:t xml:space="preserve"> </w:t>
      </w:r>
      <w:r>
        <w:rPr>
          <w:rFonts w:hint="eastAsia" w:ascii="宋体" w:hAnsi="宋体" w:cs="仿宋"/>
          <w:color w:val="auto"/>
          <w:szCs w:val="21"/>
          <w:highlight w:val="none"/>
        </w:rPr>
        <w:t>监理人还应为其现场监理人员投保人身意外伤害险和第三者责任险。</w:t>
      </w:r>
    </w:p>
    <w:p w14:paraId="5C9B3345">
      <w:pPr>
        <w:spacing w:line="360" w:lineRule="auto"/>
        <w:ind w:firstLine="420" w:firstLineChars="200"/>
        <w:rPr>
          <w:rFonts w:ascii="宋体" w:hAnsi="宋体" w:cs="仿宋"/>
          <w:color w:val="auto"/>
          <w:szCs w:val="21"/>
          <w:highlight w:val="none"/>
        </w:rPr>
      </w:pPr>
    </w:p>
    <w:p w14:paraId="1BF1E612">
      <w:pPr>
        <w:pStyle w:val="5"/>
        <w:spacing w:before="0" w:after="0" w:line="360" w:lineRule="auto"/>
        <w:jc w:val="left"/>
        <w:rPr>
          <w:rFonts w:ascii="宋体" w:hAnsi="宋体" w:cs="仿宋"/>
          <w:color w:val="auto"/>
          <w:sz w:val="21"/>
          <w:szCs w:val="21"/>
          <w:highlight w:val="none"/>
        </w:rPr>
      </w:pPr>
      <w:bookmarkStart w:id="448" w:name="_bookmark204"/>
      <w:bookmarkEnd w:id="448"/>
      <w:bookmarkStart w:id="449" w:name="5._监理要求"/>
      <w:bookmarkEnd w:id="449"/>
      <w:bookmarkStart w:id="450" w:name="_Toc129859393"/>
      <w:bookmarkStart w:id="451" w:name="_Toc129859516"/>
      <w:bookmarkStart w:id="452" w:name="_Toc20388323"/>
      <w:r>
        <w:rPr>
          <w:rFonts w:hint="eastAsia" w:ascii="宋体" w:hAnsi="宋体" w:cs="仿宋"/>
          <w:color w:val="auto"/>
          <w:sz w:val="21"/>
          <w:szCs w:val="21"/>
          <w:highlight w:val="none"/>
        </w:rPr>
        <w:t>5. 监理要求</w:t>
      </w:r>
      <w:bookmarkEnd w:id="450"/>
      <w:bookmarkEnd w:id="451"/>
      <w:bookmarkEnd w:id="452"/>
    </w:p>
    <w:p w14:paraId="74C1AF26">
      <w:pPr>
        <w:pStyle w:val="6"/>
        <w:spacing w:before="0" w:after="0" w:line="360" w:lineRule="auto"/>
        <w:rPr>
          <w:rFonts w:hAnsi="宋体" w:eastAsia="宋体" w:cs="仿宋"/>
          <w:color w:val="auto"/>
          <w:sz w:val="21"/>
          <w:szCs w:val="21"/>
          <w:highlight w:val="none"/>
        </w:rPr>
      </w:pPr>
      <w:bookmarkStart w:id="453" w:name="_bookmark205"/>
      <w:bookmarkEnd w:id="453"/>
      <w:bookmarkStart w:id="454" w:name="5.1_监理范围"/>
      <w:bookmarkEnd w:id="454"/>
      <w:bookmarkStart w:id="455" w:name="_Toc20388324"/>
      <w:r>
        <w:rPr>
          <w:rFonts w:hint="eastAsia" w:hAnsi="宋体" w:eastAsia="宋体" w:cs="仿宋"/>
          <w:color w:val="auto"/>
          <w:sz w:val="21"/>
          <w:szCs w:val="21"/>
          <w:highlight w:val="none"/>
        </w:rPr>
        <w:t>5.1 监理范围</w:t>
      </w:r>
      <w:bookmarkEnd w:id="455"/>
    </w:p>
    <w:p w14:paraId="0AC75D8E">
      <w:pPr>
        <w:tabs>
          <w:tab w:val="left" w:pos="5310"/>
        </w:tabs>
        <w:spacing w:line="360" w:lineRule="auto"/>
        <w:ind w:right="182" w:firstLine="420" w:firstLineChars="200"/>
        <w:rPr>
          <w:rFonts w:ascii="宋体" w:hAnsi="宋体" w:cs="仿宋"/>
          <w:color w:val="auto"/>
          <w:szCs w:val="21"/>
          <w:highlight w:val="none"/>
        </w:rPr>
      </w:pPr>
      <w:r>
        <w:rPr>
          <w:rFonts w:hint="eastAsia" w:ascii="宋体" w:hAnsi="宋体" w:cs="仿宋"/>
          <w:color w:val="auto"/>
          <w:szCs w:val="21"/>
          <w:highlight w:val="none"/>
        </w:rPr>
        <w:t>5.1.1</w:t>
      </w:r>
      <w:r>
        <w:rPr>
          <w:rFonts w:hint="eastAsia" w:ascii="宋体" w:hAnsi="宋体" w:cs="仿宋"/>
          <w:color w:val="auto"/>
          <w:spacing w:val="-61"/>
          <w:szCs w:val="21"/>
          <w:highlight w:val="none"/>
        </w:rPr>
        <w:t xml:space="preserve"> </w:t>
      </w:r>
      <w:r>
        <w:rPr>
          <w:rFonts w:hint="eastAsia" w:ascii="宋体" w:hAnsi="宋体" w:cs="仿宋"/>
          <w:color w:val="auto"/>
          <w:szCs w:val="21"/>
          <w:highlight w:val="none"/>
        </w:rPr>
        <w:t>监理的工程范围：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w:t>
      </w:r>
    </w:p>
    <w:p w14:paraId="1AB05CA5">
      <w:pPr>
        <w:tabs>
          <w:tab w:val="left" w:pos="5367"/>
        </w:tabs>
        <w:spacing w:line="360" w:lineRule="auto"/>
        <w:ind w:right="182" w:firstLine="420" w:firstLineChars="200"/>
        <w:rPr>
          <w:rFonts w:ascii="宋体" w:hAnsi="宋体" w:cs="仿宋"/>
          <w:color w:val="auto"/>
          <w:szCs w:val="21"/>
          <w:highlight w:val="none"/>
        </w:rPr>
      </w:pPr>
      <w:r>
        <w:rPr>
          <w:rFonts w:hint="eastAsia" w:ascii="宋体" w:hAnsi="宋体" w:cs="仿宋"/>
          <w:color w:val="auto"/>
          <w:szCs w:val="21"/>
          <w:highlight w:val="none"/>
        </w:rPr>
        <w:t>5.1.2</w:t>
      </w:r>
      <w:r>
        <w:rPr>
          <w:rFonts w:hint="eastAsia" w:ascii="宋体" w:hAnsi="宋体" w:cs="仿宋"/>
          <w:color w:val="auto"/>
          <w:spacing w:val="-7"/>
          <w:szCs w:val="21"/>
          <w:highlight w:val="none"/>
        </w:rPr>
        <w:t xml:space="preserve"> </w:t>
      </w:r>
      <w:r>
        <w:rPr>
          <w:rFonts w:hint="eastAsia" w:ascii="宋体" w:hAnsi="宋体" w:cs="仿宋"/>
          <w:color w:val="auto"/>
          <w:szCs w:val="21"/>
          <w:highlight w:val="none"/>
        </w:rPr>
        <w:t>监理的阶段范围：</w:t>
      </w:r>
      <w:r>
        <w:rPr>
          <w:rFonts w:hint="eastAsia" w:ascii="宋体" w:hAnsi="宋体" w:cs="仿宋"/>
          <w:color w:val="auto"/>
          <w:szCs w:val="21"/>
          <w:highlight w:val="none"/>
          <w:u w:val="single"/>
        </w:rPr>
        <w:t>工程建设程序中的施工阶段及缺陷责任期</w:t>
      </w:r>
      <w:r>
        <w:rPr>
          <w:rFonts w:hint="eastAsia" w:ascii="宋体" w:hAnsi="宋体" w:cs="仿宋"/>
          <w:color w:val="auto"/>
          <w:szCs w:val="21"/>
          <w:highlight w:val="none"/>
        </w:rPr>
        <w:t>。</w:t>
      </w:r>
    </w:p>
    <w:p w14:paraId="1A1F3BB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5.1.3 监理的工作范围</w:t>
      </w:r>
      <w:r>
        <w:rPr>
          <w:rFonts w:hint="eastAsia" w:ascii="宋体" w:hAnsi="宋体" w:cs="仿宋"/>
          <w:color w:val="auto"/>
          <w:spacing w:val="1"/>
          <w:w w:val="99"/>
          <w:szCs w:val="21"/>
          <w:highlight w:val="none"/>
        </w:rPr>
        <w:t>：</w:t>
      </w:r>
      <w:r>
        <w:rPr>
          <w:rFonts w:hint="eastAsia" w:ascii="宋体" w:hAnsi="宋体" w:cs="仿宋"/>
          <w:color w:val="auto"/>
          <w:szCs w:val="21"/>
          <w:highlight w:val="none"/>
          <w:u w:val="single"/>
        </w:rPr>
        <w:t>监理工作中的质量控制、进度控制、投资控制、合同管理、信息管理、组织协调和安全监理、</w:t>
      </w:r>
      <w:r>
        <w:rPr>
          <w:rFonts w:hint="eastAsia" w:ascii="宋体" w:hAnsi="宋体" w:cs="仿宋"/>
          <w:color w:val="auto"/>
          <w:szCs w:val="21"/>
          <w:highlight w:val="none"/>
          <w:u w:val="single"/>
          <w:lang w:eastAsia="zh-CN"/>
        </w:rPr>
        <w:t>水保监理</w:t>
      </w:r>
      <w:r>
        <w:rPr>
          <w:rFonts w:hint="eastAsia" w:ascii="宋体" w:hAnsi="宋体" w:cs="仿宋"/>
          <w:color w:val="auto"/>
          <w:szCs w:val="21"/>
          <w:highlight w:val="none"/>
          <w:u w:val="single"/>
        </w:rPr>
        <w:t>等项工作</w:t>
      </w:r>
      <w:r>
        <w:rPr>
          <w:rFonts w:hint="eastAsia" w:ascii="宋体" w:hAnsi="宋体" w:cs="仿宋"/>
          <w:color w:val="auto"/>
          <w:szCs w:val="21"/>
          <w:highlight w:val="none"/>
        </w:rPr>
        <w:t>。（说明：指监理工作中的质量控制、进度控制、投资控制、合同管理、信息管理、组织协调和安全监理、</w:t>
      </w:r>
      <w:r>
        <w:rPr>
          <w:rFonts w:hint="eastAsia" w:ascii="宋体" w:hAnsi="宋体" w:cs="仿宋"/>
          <w:color w:val="auto"/>
          <w:szCs w:val="21"/>
          <w:highlight w:val="none"/>
          <w:lang w:eastAsia="zh-CN"/>
        </w:rPr>
        <w:t>水保监理</w:t>
      </w:r>
      <w:r>
        <w:rPr>
          <w:rFonts w:hint="eastAsia" w:ascii="宋体" w:hAnsi="宋体" w:cs="仿宋"/>
          <w:color w:val="auto"/>
          <w:szCs w:val="21"/>
          <w:highlight w:val="none"/>
        </w:rPr>
        <w:t>中的一项或者多项工作，具体范围由招标人选择）</w:t>
      </w:r>
    </w:p>
    <w:p w14:paraId="4B8F233B">
      <w:pPr>
        <w:spacing w:line="360" w:lineRule="auto"/>
        <w:ind w:right="182" w:firstLine="420" w:firstLineChars="200"/>
        <w:rPr>
          <w:rFonts w:ascii="宋体" w:hAnsi="宋体" w:cs="仿宋"/>
          <w:color w:val="auto"/>
          <w:szCs w:val="21"/>
          <w:highlight w:val="none"/>
        </w:rPr>
      </w:pPr>
      <w:r>
        <w:rPr>
          <w:rFonts w:hint="eastAsia" w:ascii="宋体" w:hAnsi="宋体" w:cs="仿宋"/>
          <w:color w:val="auto"/>
          <w:szCs w:val="21"/>
          <w:highlight w:val="none"/>
        </w:rPr>
        <w:t>5.1.4 监理人要积极配合委托人对监理工作所进行的监督、检查；工程建设中质量、安全、投资、进度方面的重大问题要报委托人审批后方可实施。</w:t>
      </w:r>
    </w:p>
    <w:p w14:paraId="68438705">
      <w:pPr>
        <w:pStyle w:val="6"/>
        <w:spacing w:before="0" w:after="0" w:line="360" w:lineRule="auto"/>
        <w:rPr>
          <w:rFonts w:hAnsi="宋体" w:eastAsia="宋体" w:cs="仿宋"/>
          <w:b w:val="0"/>
          <w:color w:val="auto"/>
          <w:sz w:val="21"/>
          <w:szCs w:val="21"/>
          <w:highlight w:val="none"/>
        </w:rPr>
      </w:pPr>
      <w:bookmarkStart w:id="456" w:name="_bookmark206"/>
      <w:bookmarkEnd w:id="456"/>
      <w:bookmarkStart w:id="457" w:name="5.2_监理依据"/>
      <w:bookmarkEnd w:id="457"/>
      <w:bookmarkStart w:id="458" w:name="_Toc20388325"/>
      <w:r>
        <w:rPr>
          <w:rFonts w:hint="eastAsia" w:hAnsi="宋体" w:eastAsia="宋体" w:cs="仿宋"/>
          <w:color w:val="auto"/>
          <w:sz w:val="21"/>
          <w:szCs w:val="21"/>
          <w:highlight w:val="none"/>
        </w:rPr>
        <w:t>5.2 监理依据</w:t>
      </w:r>
      <w:bookmarkEnd w:id="458"/>
    </w:p>
    <w:p w14:paraId="51C57B34">
      <w:pPr>
        <w:spacing w:line="360" w:lineRule="auto"/>
        <w:ind w:left="142" w:right="182" w:firstLine="283" w:firstLineChars="135"/>
        <w:rPr>
          <w:rFonts w:ascii="宋体" w:hAnsi="宋体" w:cs="仿宋"/>
          <w:color w:val="auto"/>
          <w:szCs w:val="21"/>
          <w:highlight w:val="none"/>
        </w:rPr>
      </w:pPr>
      <w:r>
        <w:rPr>
          <w:rFonts w:hint="eastAsia" w:ascii="宋体" w:hAnsi="宋体" w:cs="仿宋"/>
          <w:color w:val="auto"/>
          <w:szCs w:val="21"/>
          <w:highlight w:val="none"/>
        </w:rPr>
        <w:t>除通用合同条款规定的监理依据外，本合同的监理依据还应包括以下内容（但不限于）：</w:t>
      </w:r>
      <w:r>
        <w:rPr>
          <w:rFonts w:hint="eastAsia" w:ascii="宋体" w:hAnsi="宋体" w:cs="仿宋"/>
          <w:color w:val="auto"/>
          <w:w w:val="99"/>
          <w:szCs w:val="21"/>
          <w:highlight w:val="none"/>
        </w:rPr>
        <w:t xml:space="preserve"> </w:t>
      </w:r>
      <w:r>
        <w:rPr>
          <w:rFonts w:hint="eastAsia" w:ascii="宋体" w:hAnsi="宋体" w:cs="仿宋"/>
          <w:color w:val="auto"/>
          <w:szCs w:val="21"/>
          <w:highlight w:val="none"/>
          <w:u w:val="single" w:color="000000"/>
        </w:rPr>
        <w:t>国家和</w:t>
      </w:r>
      <w:r>
        <w:rPr>
          <w:rFonts w:hint="eastAsia" w:ascii="宋体" w:hAnsi="宋体" w:cs="仿宋"/>
          <w:color w:val="auto"/>
          <w:szCs w:val="21"/>
          <w:highlight w:val="none"/>
        </w:rPr>
        <w:t>国务院水行政主管部门有关</w:t>
      </w:r>
      <w:r>
        <w:rPr>
          <w:rFonts w:hint="eastAsia" w:ascii="宋体" w:hAnsi="宋体" w:cs="仿宋"/>
          <w:color w:val="auto"/>
          <w:szCs w:val="21"/>
          <w:highlight w:val="none"/>
          <w:u w:val="single" w:color="000000"/>
        </w:rPr>
        <w:t>工程建设的法律、法规及规章</w:t>
      </w:r>
      <w:r>
        <w:rPr>
          <w:rFonts w:hint="eastAsia" w:ascii="宋体" w:hAnsi="宋体" w:cs="仿宋"/>
          <w:color w:val="auto"/>
          <w:szCs w:val="21"/>
          <w:highlight w:val="none"/>
        </w:rPr>
        <w:t>； 工程建设标准强制性条文(水利工程部分)；</w:t>
      </w:r>
    </w:p>
    <w:p w14:paraId="60EE3F5E">
      <w:pPr>
        <w:spacing w:line="360" w:lineRule="auto"/>
        <w:ind w:left="142" w:firstLine="283" w:firstLineChars="135"/>
        <w:rPr>
          <w:rFonts w:ascii="宋体" w:hAnsi="宋体" w:cs="仿宋"/>
          <w:color w:val="auto"/>
          <w:szCs w:val="21"/>
          <w:highlight w:val="none"/>
        </w:rPr>
      </w:pPr>
      <w:r>
        <w:rPr>
          <w:rFonts w:hint="eastAsia" w:ascii="宋体" w:hAnsi="宋体" w:cs="仿宋"/>
          <w:color w:val="auto"/>
          <w:szCs w:val="21"/>
          <w:highlight w:val="none"/>
        </w:rPr>
        <w:t>合同条款中列明的监理依据均以最新版本为准。</w:t>
      </w:r>
    </w:p>
    <w:p w14:paraId="2BE3867E">
      <w:pPr>
        <w:pStyle w:val="6"/>
        <w:spacing w:before="0" w:after="0" w:line="360" w:lineRule="auto"/>
        <w:rPr>
          <w:rFonts w:hAnsi="宋体" w:eastAsia="宋体" w:cs="仿宋"/>
          <w:b w:val="0"/>
          <w:color w:val="auto"/>
          <w:sz w:val="21"/>
          <w:szCs w:val="21"/>
          <w:highlight w:val="none"/>
        </w:rPr>
      </w:pPr>
      <w:bookmarkStart w:id="459" w:name="5.3_监理内容"/>
      <w:bookmarkEnd w:id="459"/>
      <w:bookmarkStart w:id="460" w:name="_bookmark207"/>
      <w:bookmarkEnd w:id="460"/>
      <w:bookmarkStart w:id="461" w:name="_Toc20388326"/>
      <w:r>
        <w:rPr>
          <w:rFonts w:hint="eastAsia" w:hAnsi="宋体" w:eastAsia="宋体" w:cs="仿宋"/>
          <w:color w:val="auto"/>
          <w:sz w:val="21"/>
          <w:szCs w:val="21"/>
          <w:highlight w:val="none"/>
        </w:rPr>
        <w:t>5.3 监理内容</w:t>
      </w:r>
      <w:bookmarkEnd w:id="461"/>
    </w:p>
    <w:p w14:paraId="2DC5A4D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本条修改：</w:t>
      </w:r>
    </w:p>
    <w:p w14:paraId="2E9951EC">
      <w:pPr>
        <w:pStyle w:val="2"/>
        <w:spacing w:after="0" w:line="360" w:lineRule="auto"/>
        <w:ind w:left="520" w:right="113"/>
        <w:rPr>
          <w:rFonts w:ascii="宋体" w:hAnsi="宋体" w:cs="仿宋"/>
          <w:color w:val="auto"/>
          <w:szCs w:val="21"/>
          <w:highlight w:val="none"/>
        </w:rPr>
      </w:pPr>
      <w:r>
        <w:rPr>
          <w:rFonts w:hint="eastAsia" w:ascii="宋体" w:hAnsi="宋体" w:cs="仿宋"/>
          <w:color w:val="auto"/>
          <w:szCs w:val="21"/>
          <w:highlight w:val="none"/>
        </w:rPr>
        <w:t>（11）按《水利工程施工监理规范》签发开工通知、批复工程开工；</w:t>
      </w:r>
    </w:p>
    <w:p w14:paraId="49BFB36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（17）验收隐蔽工程、分部分项工程、分部工程；</w:t>
      </w:r>
    </w:p>
    <w:p w14:paraId="48D86D16">
      <w:pPr>
        <w:spacing w:line="360" w:lineRule="auto"/>
        <w:ind w:left="136" w:leftChars="65" w:firstLine="489" w:firstLineChars="233"/>
        <w:rPr>
          <w:rFonts w:ascii="宋体" w:hAnsi="宋体" w:cs="仿宋"/>
          <w:color w:val="auto"/>
          <w:szCs w:val="21"/>
          <w:highlight w:val="none"/>
        </w:rPr>
      </w:pPr>
      <w:r>
        <w:rPr>
          <w:rFonts w:hint="eastAsia" w:ascii="宋体" w:hAnsi="宋体" w:cs="仿宋"/>
          <w:color w:val="auto"/>
          <w:szCs w:val="21"/>
          <w:highlight w:val="none"/>
        </w:rPr>
        <w:t xml:space="preserve">除通用合同条款规定的监理内容外，监理工作内容还包括： </w:t>
      </w:r>
      <w:r>
        <w:rPr>
          <w:rFonts w:hint="eastAsia" w:ascii="宋体" w:hAnsi="宋体" w:cs="仿宋"/>
          <w:color w:val="auto"/>
          <w:spacing w:val="-2"/>
          <w:szCs w:val="21"/>
          <w:highlight w:val="none"/>
        </w:rPr>
        <w:t>审批施工质量缺陷处理措施计划,监督、检查施工质量缺陷处理情况,组织施工质量缺陷备案表的</w:t>
      </w:r>
      <w:r>
        <w:rPr>
          <w:rFonts w:hint="eastAsia" w:ascii="宋体" w:hAnsi="宋体" w:cs="仿宋"/>
          <w:color w:val="auto"/>
          <w:szCs w:val="21"/>
          <w:highlight w:val="none"/>
        </w:rPr>
        <w:t>填写。</w:t>
      </w:r>
    </w:p>
    <w:p w14:paraId="24A37071">
      <w:pPr>
        <w:spacing w:line="360" w:lineRule="auto"/>
        <w:ind w:left="538"/>
        <w:rPr>
          <w:rFonts w:ascii="宋体" w:hAnsi="宋体" w:cs="仿宋"/>
          <w:color w:val="auto"/>
          <w:szCs w:val="21"/>
          <w:highlight w:val="none"/>
        </w:rPr>
      </w:pPr>
      <w:r>
        <w:rPr>
          <w:rFonts w:hint="eastAsia" w:ascii="宋体" w:hAnsi="宋体" w:cs="仿宋"/>
          <w:color w:val="auto"/>
          <w:szCs w:val="21"/>
          <w:highlight w:val="none"/>
        </w:rPr>
        <w:t>按有关规定进行工程质量评定。</w:t>
      </w:r>
    </w:p>
    <w:p w14:paraId="0A4CF7A6">
      <w:pPr>
        <w:spacing w:line="360" w:lineRule="auto"/>
        <w:ind w:left="564" w:right="3874" w:hanging="27"/>
        <w:rPr>
          <w:rFonts w:ascii="宋体" w:hAnsi="宋体" w:cs="仿宋"/>
          <w:color w:val="auto"/>
          <w:szCs w:val="21"/>
          <w:highlight w:val="none"/>
        </w:rPr>
      </w:pPr>
      <w:r>
        <w:rPr>
          <w:rFonts w:hint="eastAsia" w:ascii="宋体" w:hAnsi="宋体" w:cs="仿宋"/>
          <w:color w:val="auto"/>
          <w:szCs w:val="21"/>
          <w:highlight w:val="none"/>
        </w:rPr>
        <w:t>按有关规定组织或参加工程验收。</w:t>
      </w:r>
    </w:p>
    <w:p w14:paraId="176859D8">
      <w:pPr>
        <w:spacing w:line="360" w:lineRule="auto"/>
        <w:ind w:left="564" w:right="96" w:hanging="27"/>
        <w:rPr>
          <w:rFonts w:ascii="宋体" w:hAnsi="宋体" w:cs="仿宋"/>
          <w:color w:val="auto"/>
          <w:szCs w:val="21"/>
          <w:highlight w:val="none"/>
        </w:rPr>
      </w:pPr>
      <w:r>
        <w:rPr>
          <w:rFonts w:hint="eastAsia" w:ascii="宋体" w:hAnsi="宋体" w:cs="仿宋"/>
          <w:color w:val="auto"/>
          <w:szCs w:val="21"/>
          <w:highlight w:val="none"/>
        </w:rPr>
        <w:t xml:space="preserve">其他监理工作内容详见附件一。 </w:t>
      </w:r>
      <w:r>
        <w:rPr>
          <w:rFonts w:hint="eastAsia" w:ascii="宋体" w:hAnsi="宋体" w:cs="仿宋"/>
          <w:color w:val="auto"/>
          <w:w w:val="95"/>
          <w:szCs w:val="21"/>
          <w:highlight w:val="none"/>
        </w:rPr>
        <w:t>监理人在行使下列权利前，必须得到委托人的批准。</w:t>
      </w:r>
    </w:p>
    <w:p w14:paraId="7E7C8D6C">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（1）批准工程的分包；</w:t>
      </w:r>
    </w:p>
    <w:p w14:paraId="7E2C6285">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（2）确定延长完工期限；</w:t>
      </w:r>
    </w:p>
    <w:p w14:paraId="34BE28F4">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（3）作出变更决定；</w:t>
      </w:r>
    </w:p>
    <w:p w14:paraId="3441058D">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（4）作出涉及造价调整的工作联系单决定；</w:t>
      </w:r>
    </w:p>
    <w:p w14:paraId="33803207">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（5）作出估价决定；</w:t>
      </w:r>
    </w:p>
    <w:p w14:paraId="35E3FD5E">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（6）批准暂列金额（备用金）的使用；</w:t>
      </w:r>
    </w:p>
    <w:p w14:paraId="21663B98">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（7）作出采用新技术、新材料、新工艺的决定；</w:t>
      </w:r>
    </w:p>
    <w:p w14:paraId="2C928074">
      <w:pPr>
        <w:spacing w:line="360" w:lineRule="auto"/>
        <w:ind w:left="144" w:firstLine="420"/>
        <w:rPr>
          <w:rFonts w:ascii="宋体" w:hAnsi="宋体" w:cs="仿宋"/>
          <w:color w:val="auto"/>
          <w:szCs w:val="21"/>
          <w:highlight w:val="none"/>
        </w:rPr>
      </w:pPr>
      <w:r>
        <w:rPr>
          <w:rFonts w:hint="eastAsia" w:ascii="宋体" w:hAnsi="宋体" w:cs="仿宋"/>
          <w:color w:val="auto"/>
          <w:szCs w:val="21"/>
          <w:highlight w:val="none"/>
        </w:rPr>
        <w:t>（8）对承包人未能在监理人所发通知中规定的时间内修正某项缺陷，监理人对该缺陷的修正费用做出估算，并在支付款中扣留这笔款项；</w:t>
      </w:r>
    </w:p>
    <w:p w14:paraId="40AB0EA3">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（9）对不适合在本工程工作的承包人的职员或工人，监理人要求承包人将其调离；</w:t>
      </w:r>
    </w:p>
    <w:p w14:paraId="086ED6FD">
      <w:pPr>
        <w:spacing w:line="360" w:lineRule="auto"/>
        <w:ind w:left="564"/>
        <w:rPr>
          <w:rFonts w:ascii="宋体" w:hAnsi="宋体" w:cs="仿宋"/>
          <w:color w:val="auto"/>
          <w:szCs w:val="21"/>
          <w:highlight w:val="none"/>
        </w:rPr>
      </w:pPr>
      <w:r>
        <w:rPr>
          <w:rFonts w:hint="eastAsia" w:ascii="宋体" w:hAnsi="宋体" w:cs="仿宋"/>
          <w:color w:val="auto"/>
          <w:szCs w:val="21"/>
          <w:highlight w:val="none"/>
        </w:rPr>
        <w:t>（10）审批施工月、季度、年和总进度计划或投资计划；</w:t>
      </w:r>
    </w:p>
    <w:p w14:paraId="299E2A77">
      <w:pPr>
        <w:spacing w:line="360" w:lineRule="auto"/>
        <w:ind w:left="136" w:leftChars="65" w:firstLine="388" w:firstLineChars="185"/>
        <w:rPr>
          <w:rFonts w:ascii="宋体" w:hAnsi="宋体" w:cs="仿宋"/>
          <w:color w:val="auto"/>
          <w:szCs w:val="21"/>
          <w:highlight w:val="none"/>
        </w:rPr>
      </w:pPr>
      <w:r>
        <w:rPr>
          <w:rFonts w:hint="eastAsia" w:ascii="宋体" w:hAnsi="宋体" w:cs="仿宋"/>
          <w:color w:val="auto"/>
          <w:szCs w:val="21"/>
          <w:highlight w:val="none"/>
        </w:rPr>
        <w:t>（11）批准为合同永久工程施工需要进行的补充地质勘探。 尽管有以上规定，但当监理人认为出现了危及生命、工程及财产安全的紧急事件时，即使没有委托人的事先批准，监理人可以指示承包方实施为消除或减少这种危险所必须进行的工作。并通知承包方和抄送委托方。</w:t>
      </w:r>
    </w:p>
    <w:p w14:paraId="44F5D7E7">
      <w:pPr>
        <w:pStyle w:val="6"/>
        <w:spacing w:before="0" w:after="0" w:line="360" w:lineRule="auto"/>
        <w:rPr>
          <w:rFonts w:hAnsi="宋体" w:eastAsia="宋体" w:cs="仿宋"/>
          <w:b w:val="0"/>
          <w:color w:val="auto"/>
          <w:sz w:val="21"/>
          <w:szCs w:val="21"/>
          <w:highlight w:val="none"/>
        </w:rPr>
      </w:pPr>
      <w:bookmarkStart w:id="462" w:name="_bookmark208"/>
      <w:bookmarkEnd w:id="462"/>
      <w:bookmarkStart w:id="463" w:name="5.4_监理文件要求"/>
      <w:bookmarkEnd w:id="463"/>
      <w:bookmarkStart w:id="464" w:name="_Toc20388327"/>
      <w:r>
        <w:rPr>
          <w:rFonts w:hint="eastAsia" w:hAnsi="宋体" w:eastAsia="宋体" w:cs="仿宋"/>
          <w:color w:val="auto"/>
          <w:sz w:val="21"/>
          <w:szCs w:val="21"/>
          <w:highlight w:val="none"/>
        </w:rPr>
        <w:t>5.4 监理文件要求</w:t>
      </w:r>
      <w:bookmarkEnd w:id="464"/>
    </w:p>
    <w:p w14:paraId="460268A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5.4.1</w:t>
      </w:r>
      <w:r>
        <w:rPr>
          <w:rFonts w:hint="eastAsia" w:ascii="宋体" w:hAnsi="宋体" w:cs="仿宋"/>
          <w:color w:val="auto"/>
          <w:spacing w:val="-75"/>
          <w:szCs w:val="21"/>
          <w:highlight w:val="none"/>
        </w:rPr>
        <w:t xml:space="preserve">  </w:t>
      </w:r>
      <w:r>
        <w:rPr>
          <w:rFonts w:hint="eastAsia" w:ascii="宋体" w:hAnsi="宋体" w:cs="仿宋"/>
          <w:color w:val="auto"/>
          <w:szCs w:val="21"/>
          <w:highlight w:val="none"/>
        </w:rPr>
        <w:t>本工程监理文件的具类别、编制要求、编制内容、提交时间和份数等的约定：</w:t>
      </w:r>
      <w:r>
        <w:rPr>
          <w:rFonts w:hint="eastAsia" w:ascii="宋体" w:hAnsi="宋体" w:cs="仿宋"/>
          <w:color w:val="auto"/>
          <w:w w:val="99"/>
          <w:szCs w:val="21"/>
          <w:highlight w:val="none"/>
          <w:u w:val="single" w:color="000000"/>
        </w:rPr>
        <w:t xml:space="preserve"> </w:t>
      </w:r>
      <w:r>
        <w:rPr>
          <w:rFonts w:hint="eastAsia" w:ascii="宋体" w:hAnsi="宋体" w:cs="仿宋"/>
          <w:color w:val="auto"/>
          <w:szCs w:val="21"/>
          <w:highlight w:val="none"/>
          <w:u w:val="single" w:color="000000"/>
        </w:rPr>
        <w:t>监理规划在委托方提供有关资料齐全后10天内、监理细则在施工单位提供施工组织或相关工程的施工方案（施工措施计划）后10天内，各4份。监理月报每月25日提交，专项报告按工程需要及时提交。在本合同履行期内，监理人应在现场保留工作所用的图纸、报告及记录监理工作的相关文件。工程竣工后，应当按照档案管理规定将监理有关文件归档。</w:t>
      </w:r>
    </w:p>
    <w:p w14:paraId="4BA35FBC">
      <w:pPr>
        <w:spacing w:line="360" w:lineRule="auto"/>
        <w:ind w:firstLine="420" w:firstLineChars="200"/>
        <w:rPr>
          <w:rFonts w:ascii="宋体" w:hAnsi="宋体" w:cs="仿宋"/>
          <w:color w:val="auto"/>
          <w:szCs w:val="21"/>
          <w:highlight w:val="none"/>
        </w:rPr>
      </w:pPr>
    </w:p>
    <w:p w14:paraId="661630B5">
      <w:pPr>
        <w:pStyle w:val="5"/>
        <w:spacing w:before="0" w:after="0" w:line="360" w:lineRule="auto"/>
        <w:jc w:val="left"/>
        <w:rPr>
          <w:rFonts w:ascii="宋体" w:hAnsi="宋体" w:cs="仿宋"/>
          <w:color w:val="auto"/>
          <w:sz w:val="21"/>
          <w:szCs w:val="21"/>
          <w:highlight w:val="none"/>
        </w:rPr>
      </w:pPr>
      <w:bookmarkStart w:id="465" w:name="_bookmark209"/>
      <w:bookmarkEnd w:id="465"/>
      <w:bookmarkStart w:id="466" w:name="6._开始监理和完成监理"/>
      <w:bookmarkEnd w:id="466"/>
      <w:bookmarkStart w:id="467" w:name="_Toc129859517"/>
      <w:bookmarkStart w:id="468" w:name="_Toc129859394"/>
      <w:bookmarkStart w:id="469" w:name="_Toc20388328"/>
      <w:r>
        <w:rPr>
          <w:rFonts w:hint="eastAsia" w:ascii="宋体" w:hAnsi="宋体" w:cs="仿宋"/>
          <w:color w:val="auto"/>
          <w:sz w:val="21"/>
          <w:szCs w:val="21"/>
          <w:highlight w:val="none"/>
        </w:rPr>
        <w:t>6. 开始监理和完成监理</w:t>
      </w:r>
      <w:bookmarkEnd w:id="467"/>
      <w:bookmarkEnd w:id="468"/>
      <w:bookmarkEnd w:id="469"/>
    </w:p>
    <w:p w14:paraId="3A780802">
      <w:pPr>
        <w:pStyle w:val="6"/>
        <w:spacing w:before="0" w:after="0" w:line="360" w:lineRule="auto"/>
        <w:rPr>
          <w:rFonts w:hAnsi="宋体" w:eastAsia="宋体" w:cs="仿宋"/>
          <w:color w:val="auto"/>
          <w:sz w:val="21"/>
          <w:szCs w:val="21"/>
          <w:highlight w:val="none"/>
        </w:rPr>
      </w:pPr>
      <w:bookmarkStart w:id="470" w:name="_bookmark210"/>
      <w:bookmarkEnd w:id="470"/>
      <w:bookmarkStart w:id="471" w:name="6.1_开始监理"/>
      <w:bookmarkEnd w:id="471"/>
      <w:bookmarkStart w:id="472" w:name="_Toc20388329"/>
      <w:r>
        <w:rPr>
          <w:rFonts w:hint="eastAsia" w:hAnsi="宋体" w:eastAsia="宋体" w:cs="仿宋"/>
          <w:color w:val="auto"/>
          <w:sz w:val="21"/>
          <w:szCs w:val="21"/>
          <w:highlight w:val="none"/>
        </w:rPr>
        <w:t>6.1 开始监理</w:t>
      </w:r>
      <w:bookmarkEnd w:id="472"/>
    </w:p>
    <w:p w14:paraId="2B23DE0A">
      <w:pPr>
        <w:tabs>
          <w:tab w:val="left" w:pos="4685"/>
        </w:tabs>
        <w:spacing w:line="360" w:lineRule="auto"/>
        <w:ind w:left="538" w:right="110"/>
        <w:rPr>
          <w:rFonts w:ascii="宋体" w:hAnsi="宋体" w:cs="仿宋"/>
          <w:color w:val="auto"/>
          <w:szCs w:val="21"/>
          <w:highlight w:val="none"/>
        </w:rPr>
      </w:pPr>
      <w:r>
        <w:rPr>
          <w:rFonts w:hint="eastAsia" w:ascii="宋体" w:hAnsi="宋体" w:cs="仿宋"/>
          <w:color w:val="auto"/>
          <w:szCs w:val="21"/>
          <w:highlight w:val="none"/>
        </w:rPr>
        <w:t>6.1.1</w:t>
      </w:r>
      <w:r>
        <w:rPr>
          <w:rFonts w:hint="eastAsia" w:ascii="宋体" w:hAnsi="宋体" w:cs="仿宋"/>
          <w:color w:val="auto"/>
          <w:spacing w:val="-61"/>
          <w:szCs w:val="21"/>
          <w:highlight w:val="none"/>
        </w:rPr>
        <w:t xml:space="preserve">        </w:t>
      </w:r>
      <w:r>
        <w:rPr>
          <w:rFonts w:hint="eastAsia" w:ascii="宋体" w:hAnsi="宋体" w:cs="仿宋"/>
          <w:color w:val="auto"/>
          <w:szCs w:val="21"/>
          <w:highlight w:val="none"/>
        </w:rPr>
        <w:t>开始监理的条件：</w:t>
      </w:r>
      <w:r>
        <w:rPr>
          <w:rFonts w:hint="eastAsia" w:ascii="宋体" w:hAnsi="宋体" w:cs="仿宋"/>
          <w:color w:val="auto"/>
          <w:szCs w:val="21"/>
          <w:highlight w:val="none"/>
          <w:u w:val="single" w:color="000000"/>
        </w:rPr>
        <w:t>监理工作开始时间以委托人书面通知为准</w:t>
      </w:r>
      <w:r>
        <w:rPr>
          <w:rFonts w:hint="eastAsia" w:ascii="宋体" w:hAnsi="宋体" w:cs="仿宋"/>
          <w:color w:val="auto"/>
          <w:szCs w:val="21"/>
          <w:highlight w:val="none"/>
        </w:rPr>
        <w:t>。</w:t>
      </w:r>
    </w:p>
    <w:p w14:paraId="43512134">
      <w:pPr>
        <w:tabs>
          <w:tab w:val="left" w:pos="8465"/>
        </w:tabs>
        <w:spacing w:line="360" w:lineRule="auto"/>
        <w:ind w:left="538" w:right="110"/>
        <w:rPr>
          <w:rFonts w:ascii="宋体" w:hAnsi="宋体" w:cs="仿宋"/>
          <w:color w:val="auto"/>
          <w:szCs w:val="21"/>
          <w:highlight w:val="none"/>
        </w:rPr>
      </w:pPr>
      <w:r>
        <w:rPr>
          <w:rFonts w:hint="eastAsia" w:ascii="宋体" w:hAnsi="宋体" w:cs="仿宋"/>
          <w:color w:val="auto"/>
          <w:szCs w:val="21"/>
          <w:highlight w:val="none"/>
        </w:rPr>
        <w:t>6.1.2</w:t>
      </w:r>
      <w:r>
        <w:rPr>
          <w:rFonts w:hint="eastAsia" w:ascii="宋体" w:hAnsi="宋体" w:cs="仿宋"/>
          <w:color w:val="auto"/>
          <w:spacing w:val="-70"/>
          <w:szCs w:val="21"/>
          <w:highlight w:val="none"/>
        </w:rPr>
        <w:t xml:space="preserve">     </w:t>
      </w:r>
      <w:r>
        <w:rPr>
          <w:rFonts w:hint="eastAsia" w:ascii="宋体" w:hAnsi="宋体" w:cs="仿宋"/>
          <w:color w:val="auto"/>
          <w:szCs w:val="21"/>
          <w:highlight w:val="none"/>
        </w:rPr>
        <w:t>因委托人原因未能及时发出开始监理通知的，按照以下约定执行：</w:t>
      </w:r>
      <w:r>
        <w:rPr>
          <w:rFonts w:hint="eastAsia" w:ascii="宋体" w:hAnsi="宋体" w:cs="仿宋"/>
          <w:color w:val="auto"/>
          <w:szCs w:val="21"/>
          <w:highlight w:val="none"/>
          <w:u w:val="single" w:color="000000"/>
        </w:rPr>
        <w:t>监理服务期顺延</w:t>
      </w:r>
      <w:r>
        <w:rPr>
          <w:rFonts w:hint="eastAsia" w:ascii="宋体" w:hAnsi="宋体" w:cs="仿宋"/>
          <w:color w:val="auto"/>
          <w:szCs w:val="21"/>
          <w:highlight w:val="none"/>
        </w:rPr>
        <w:t>。</w:t>
      </w:r>
    </w:p>
    <w:p w14:paraId="67D3BFA8">
      <w:pPr>
        <w:pStyle w:val="6"/>
        <w:spacing w:before="0" w:after="0" w:line="360" w:lineRule="auto"/>
        <w:rPr>
          <w:rFonts w:hAnsi="宋体" w:eastAsia="宋体" w:cs="仿宋"/>
          <w:b w:val="0"/>
          <w:color w:val="auto"/>
          <w:sz w:val="21"/>
          <w:szCs w:val="21"/>
          <w:highlight w:val="none"/>
        </w:rPr>
      </w:pPr>
      <w:bookmarkStart w:id="473" w:name="_Toc20388330"/>
      <w:r>
        <w:rPr>
          <w:rFonts w:hint="eastAsia" w:hAnsi="宋体" w:eastAsia="宋体" w:cs="仿宋"/>
          <w:color w:val="auto"/>
          <w:sz w:val="21"/>
          <w:szCs w:val="21"/>
          <w:highlight w:val="none"/>
        </w:rPr>
        <w:t>6.2 监理周期延误</w:t>
      </w:r>
      <w:bookmarkEnd w:id="473"/>
    </w:p>
    <w:p w14:paraId="3710E45D">
      <w:pPr>
        <w:tabs>
          <w:tab w:val="left" w:pos="6468"/>
        </w:tabs>
        <w:spacing w:line="360" w:lineRule="auto"/>
        <w:ind w:left="479" w:leftChars="228" w:right="110"/>
        <w:rPr>
          <w:rFonts w:ascii="宋体" w:hAnsi="宋体" w:cs="仿宋"/>
          <w:color w:val="auto"/>
          <w:szCs w:val="21"/>
          <w:highlight w:val="none"/>
        </w:rPr>
      </w:pPr>
      <w:r>
        <w:rPr>
          <w:rFonts w:hint="eastAsia" w:ascii="宋体" w:hAnsi="宋体" w:cs="仿宋"/>
          <w:color w:val="auto"/>
          <w:spacing w:val="8"/>
          <w:szCs w:val="21"/>
          <w:highlight w:val="none"/>
        </w:rPr>
        <w:t>由于非监理人责任造成监理服务期限延误的，延长监理服务期限的计算方法</w:t>
      </w:r>
      <w:r>
        <w:rPr>
          <w:rFonts w:hint="eastAsia" w:ascii="宋体" w:hAnsi="宋体" w:cs="仿宋"/>
          <w:color w:val="auto"/>
          <w:w w:val="95"/>
          <w:szCs w:val="21"/>
          <w:highlight w:val="none"/>
        </w:rPr>
        <w:t xml:space="preserve">： </w:t>
      </w:r>
      <w:r>
        <w:rPr>
          <w:rFonts w:hint="eastAsia" w:ascii="宋体" w:hAnsi="宋体" w:cs="仿宋"/>
          <w:color w:val="auto"/>
          <w:szCs w:val="21"/>
          <w:highlight w:val="none"/>
        </w:rPr>
        <w:t>（1）委托人与被委托人双方约定延期留场人员数量。</w:t>
      </w:r>
    </w:p>
    <w:p w14:paraId="037C5265">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2）留场人员日费用标准：监理人员200元/人、监理工程师350元/人、总监理工程师500元/人计算；监理设施设备日费用标准：按照投标报价清单中的设施设备费总额折算每日的设施设备费用；管理费、利润和税金按照投标报价清单的相关费率进行核算。</w:t>
      </w:r>
    </w:p>
    <w:p w14:paraId="2A2DBB6D">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（3）委托人根据现场考核监理人情况并按日、按人据实支付补偿费，支付时，每个监理人员必须提交个人监理笔记日工作记录。</w:t>
      </w:r>
    </w:p>
    <w:p w14:paraId="370DCA9F">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（4）不可抗力引起的工期延期不纳入监理延期补偿范围。</w:t>
      </w:r>
    </w:p>
    <w:p w14:paraId="112F0574">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（5）监理延期补偿按季度支付至90%。</w:t>
      </w:r>
    </w:p>
    <w:p w14:paraId="2C8E8DE8">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（6）监理人必须理清导致整个项目工期延期所发生的日历期并注明原因，而且保存产生该原因的证据，否则按此延交资料时间倒扣监理费，计算方法按监理费合同额/合同总天数×延期提交资料天数。</w:t>
      </w:r>
    </w:p>
    <w:p w14:paraId="5F556178">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增加监理服务费用的计算方法：</w:t>
      </w:r>
    </w:p>
    <w:p w14:paraId="70936061">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（1）监理人员报酬＝额外工作日数×额外监理工作人数×合同人均日酬金额。</w:t>
      </w:r>
    </w:p>
    <w:p w14:paraId="5B4BE3B7">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（2）监理设施设备费用=额外工作日数×合同日均设施设备费。</w:t>
      </w:r>
    </w:p>
    <w:p w14:paraId="04F73ABC">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（3）管理费、利润和税金按照投标报价清单的相关费率进行核算。</w:t>
      </w:r>
    </w:p>
    <w:p w14:paraId="1B11BD8B">
      <w:pPr>
        <w:tabs>
          <w:tab w:val="left" w:pos="1679"/>
          <w:tab w:val="left" w:pos="6564"/>
        </w:tabs>
        <w:spacing w:line="360" w:lineRule="auto"/>
        <w:ind w:right="1687" w:firstLine="420" w:firstLineChars="200"/>
        <w:rPr>
          <w:rFonts w:ascii="宋体" w:hAnsi="宋体" w:cs="仿宋"/>
          <w:color w:val="auto"/>
          <w:szCs w:val="21"/>
          <w:highlight w:val="none"/>
        </w:rPr>
      </w:pPr>
      <w:r>
        <w:rPr>
          <w:rFonts w:hint="eastAsia" w:ascii="宋体" w:hAnsi="宋体" w:cs="仿宋"/>
          <w:color w:val="auto"/>
          <w:szCs w:val="21"/>
          <w:highlight w:val="none"/>
        </w:rPr>
        <w:t>。</w:t>
      </w:r>
    </w:p>
    <w:p w14:paraId="44252A5B">
      <w:pPr>
        <w:pStyle w:val="6"/>
        <w:spacing w:before="0" w:after="0" w:line="360" w:lineRule="auto"/>
        <w:rPr>
          <w:rFonts w:hAnsi="宋体" w:eastAsia="宋体" w:cs="仿宋"/>
          <w:color w:val="auto"/>
          <w:sz w:val="21"/>
          <w:szCs w:val="21"/>
          <w:highlight w:val="none"/>
        </w:rPr>
      </w:pPr>
      <w:bookmarkStart w:id="474" w:name="6.3_完成监理_"/>
      <w:bookmarkEnd w:id="474"/>
      <w:bookmarkStart w:id="475" w:name="_bookmark212"/>
      <w:bookmarkEnd w:id="475"/>
      <w:bookmarkStart w:id="476" w:name="_Toc20388331"/>
      <w:r>
        <w:rPr>
          <w:rFonts w:hint="eastAsia" w:hAnsi="宋体" w:eastAsia="宋体" w:cs="仿宋"/>
          <w:color w:val="auto"/>
          <w:sz w:val="21"/>
          <w:szCs w:val="21"/>
          <w:highlight w:val="none"/>
        </w:rPr>
        <w:t>6.3 完成监理</w:t>
      </w:r>
      <w:bookmarkEnd w:id="476"/>
    </w:p>
    <w:p w14:paraId="2B7E4D98">
      <w:pPr>
        <w:tabs>
          <w:tab w:val="left" w:pos="6468"/>
        </w:tabs>
        <w:spacing w:line="360" w:lineRule="auto"/>
        <w:ind w:left="538" w:right="110"/>
        <w:rPr>
          <w:rFonts w:ascii="宋体" w:hAnsi="宋体" w:cs="仿宋"/>
          <w:color w:val="auto"/>
          <w:szCs w:val="21"/>
          <w:highlight w:val="none"/>
        </w:rPr>
      </w:pPr>
      <w:r>
        <w:rPr>
          <w:rFonts w:hint="eastAsia" w:ascii="宋体" w:hAnsi="宋体" w:cs="仿宋"/>
          <w:color w:val="auto"/>
          <w:szCs w:val="21"/>
          <w:highlight w:val="none"/>
        </w:rPr>
        <w:t>6.3.2</w:t>
      </w:r>
      <w:r>
        <w:rPr>
          <w:rFonts w:hint="eastAsia" w:ascii="宋体" w:hAnsi="宋体" w:cs="仿宋"/>
          <w:color w:val="auto"/>
          <w:spacing w:val="-65"/>
          <w:szCs w:val="21"/>
          <w:highlight w:val="none"/>
        </w:rPr>
        <w:t xml:space="preserve"> </w:t>
      </w:r>
      <w:r>
        <w:rPr>
          <w:rFonts w:hint="eastAsia" w:ascii="宋体" w:hAnsi="宋体" w:cs="仿宋"/>
          <w:color w:val="auto"/>
          <w:szCs w:val="21"/>
          <w:highlight w:val="none"/>
        </w:rPr>
        <w:t>提前完成监理，监理报酬是否调整：</w:t>
      </w:r>
      <w:r>
        <w:rPr>
          <w:rFonts w:hint="eastAsia" w:ascii="宋体" w:hAnsi="宋体" w:cs="仿宋"/>
          <w:color w:val="auto"/>
          <w:szCs w:val="21"/>
          <w:highlight w:val="none"/>
          <w:u w:val="single" w:color="000000"/>
        </w:rPr>
        <w:t xml:space="preserve"> 否</w:t>
      </w:r>
      <w:r>
        <w:rPr>
          <w:rFonts w:hint="eastAsia" w:ascii="宋体" w:hAnsi="宋体" w:cs="仿宋"/>
          <w:color w:val="auto"/>
          <w:szCs w:val="21"/>
          <w:highlight w:val="none"/>
        </w:rPr>
        <w:t>。</w:t>
      </w:r>
    </w:p>
    <w:p w14:paraId="4B8621AE">
      <w:pPr>
        <w:tabs>
          <w:tab w:val="left" w:pos="6468"/>
        </w:tabs>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6.3.5本条修改为：监理文件包括纸质文件和电子文件两种形式，两者若有不一致时，应以纸质文件为准。纸质文件应当加盖单位章和总监理工程师签字，份数、纸幅、装订格式等要求，应符合文档装订规范要求及委托人要求；电子文件应使用光盘和U盘分别贮存。</w:t>
      </w:r>
    </w:p>
    <w:p w14:paraId="251CCC78">
      <w:pPr>
        <w:pStyle w:val="5"/>
        <w:spacing w:before="0" w:after="0" w:line="360" w:lineRule="auto"/>
        <w:jc w:val="left"/>
        <w:rPr>
          <w:rFonts w:ascii="宋体" w:hAnsi="宋体" w:cs="仿宋"/>
          <w:color w:val="auto"/>
          <w:sz w:val="21"/>
          <w:szCs w:val="21"/>
          <w:highlight w:val="none"/>
        </w:rPr>
      </w:pPr>
      <w:bookmarkStart w:id="477" w:name="8._合同变更"/>
      <w:bookmarkEnd w:id="477"/>
      <w:bookmarkStart w:id="478" w:name="_bookmark213"/>
      <w:bookmarkEnd w:id="478"/>
      <w:bookmarkStart w:id="479" w:name="_Toc129859395"/>
      <w:bookmarkStart w:id="480" w:name="_Toc129859518"/>
      <w:bookmarkStart w:id="481" w:name="_Toc20388332"/>
      <w:r>
        <w:rPr>
          <w:rFonts w:hint="eastAsia" w:ascii="宋体" w:hAnsi="宋体" w:cs="仿宋"/>
          <w:color w:val="auto"/>
          <w:sz w:val="21"/>
          <w:szCs w:val="21"/>
          <w:highlight w:val="none"/>
        </w:rPr>
        <w:t>8. 合同变更</w:t>
      </w:r>
      <w:bookmarkEnd w:id="479"/>
      <w:bookmarkEnd w:id="480"/>
      <w:bookmarkEnd w:id="481"/>
    </w:p>
    <w:p w14:paraId="6F7F0B27">
      <w:pPr>
        <w:pStyle w:val="6"/>
        <w:spacing w:before="0" w:after="0" w:line="360" w:lineRule="auto"/>
        <w:rPr>
          <w:rFonts w:hAnsi="宋体" w:eastAsia="宋体" w:cs="仿宋"/>
          <w:color w:val="auto"/>
          <w:sz w:val="21"/>
          <w:szCs w:val="21"/>
          <w:highlight w:val="none"/>
        </w:rPr>
      </w:pPr>
      <w:bookmarkStart w:id="482" w:name="_bookmark214"/>
      <w:bookmarkEnd w:id="482"/>
      <w:bookmarkStart w:id="483" w:name="8.1_变更情形"/>
      <w:bookmarkEnd w:id="483"/>
      <w:bookmarkStart w:id="484" w:name="_Toc20388333"/>
      <w:r>
        <w:rPr>
          <w:rFonts w:hint="eastAsia" w:hAnsi="宋体" w:eastAsia="宋体" w:cs="仿宋"/>
          <w:color w:val="auto"/>
          <w:sz w:val="21"/>
          <w:szCs w:val="21"/>
          <w:highlight w:val="none"/>
        </w:rPr>
        <w:t>8.1 变更情形</w:t>
      </w:r>
      <w:bookmarkEnd w:id="484"/>
    </w:p>
    <w:p w14:paraId="04D925B3">
      <w:pPr>
        <w:tabs>
          <w:tab w:val="left" w:pos="6646"/>
        </w:tabs>
        <w:spacing w:line="360" w:lineRule="auto"/>
        <w:ind w:left="113" w:leftChars="54" w:right="215" w:firstLine="525" w:firstLineChars="250"/>
        <w:rPr>
          <w:rFonts w:ascii="宋体" w:hAnsi="宋体" w:cs="仿宋"/>
          <w:color w:val="auto"/>
          <w:szCs w:val="21"/>
          <w:highlight w:val="none"/>
        </w:rPr>
      </w:pPr>
      <w:r>
        <w:rPr>
          <w:rFonts w:hint="eastAsia" w:ascii="宋体" w:hAnsi="宋体" w:cs="仿宋"/>
          <w:color w:val="auto"/>
          <w:szCs w:val="21"/>
          <w:highlight w:val="none"/>
        </w:rPr>
        <w:t>8.1.1</w:t>
      </w:r>
      <w:r>
        <w:rPr>
          <w:rFonts w:hint="eastAsia" w:ascii="宋体" w:hAnsi="宋体" w:cs="仿宋"/>
          <w:color w:val="auto"/>
          <w:spacing w:val="-61"/>
          <w:szCs w:val="21"/>
          <w:highlight w:val="none"/>
        </w:rPr>
        <w:t xml:space="preserve"> </w:t>
      </w:r>
      <w:r>
        <w:rPr>
          <w:rFonts w:hint="eastAsia" w:ascii="宋体" w:hAnsi="宋体" w:cs="仿宋"/>
          <w:color w:val="auto"/>
          <w:spacing w:val="2"/>
          <w:szCs w:val="21"/>
          <w:highlight w:val="none"/>
        </w:rPr>
        <w:t>合同变更时，监理服务期限的调整方法：</w:t>
      </w:r>
      <w:r>
        <w:rPr>
          <w:rFonts w:hint="eastAsia" w:ascii="宋体" w:hAnsi="宋体" w:cs="仿宋"/>
          <w:color w:val="auto"/>
          <w:spacing w:val="2"/>
          <w:szCs w:val="21"/>
          <w:highlight w:val="none"/>
          <w:u w:val="single" w:color="000000"/>
        </w:rPr>
        <w:t>双方协商</w:t>
      </w:r>
      <w:r>
        <w:rPr>
          <w:rFonts w:hint="eastAsia" w:ascii="宋体" w:hAnsi="宋体" w:cs="仿宋"/>
          <w:color w:val="auto"/>
          <w:spacing w:val="2"/>
          <w:w w:val="95"/>
          <w:szCs w:val="21"/>
          <w:highlight w:val="none"/>
        </w:rPr>
        <w:t>；</w:t>
      </w:r>
      <w:r>
        <w:rPr>
          <w:rFonts w:hint="eastAsia" w:ascii="宋体" w:hAnsi="宋体" w:cs="仿宋"/>
          <w:color w:val="auto"/>
          <w:szCs w:val="21"/>
          <w:highlight w:val="none"/>
        </w:rPr>
        <w:t>监理报酬的调整方法：监 理工作报酬按照增加的监理工作所需要的监理人员和主要设施、设备等费用增加情况，按本合同中</w:t>
      </w:r>
      <w:r>
        <w:rPr>
          <w:rFonts w:hint="eastAsia" w:ascii="宋体" w:hAnsi="宋体" w:cs="仿宋"/>
          <w:color w:val="auto"/>
          <w:szCs w:val="21"/>
          <w:highlight w:val="none"/>
          <w:u w:val="single" w:color="000000"/>
        </w:rPr>
        <w:t xml:space="preserve"> （7）</w:t>
      </w:r>
      <w:r>
        <w:rPr>
          <w:rFonts w:hint="eastAsia" w:ascii="宋体" w:hAnsi="宋体" w:cs="仿宋"/>
          <w:color w:val="auto"/>
          <w:szCs w:val="21"/>
          <w:highlight w:val="none"/>
        </w:rPr>
        <w:t>监理报酬清单相应价格进行计算。</w:t>
      </w:r>
    </w:p>
    <w:p w14:paraId="6FDC4CB7">
      <w:pPr>
        <w:spacing w:line="360" w:lineRule="auto"/>
        <w:ind w:left="118" w:right="216" w:firstLine="420"/>
        <w:rPr>
          <w:rFonts w:ascii="宋体" w:hAnsi="宋体" w:cs="仿宋"/>
          <w:color w:val="auto"/>
          <w:szCs w:val="21"/>
          <w:highlight w:val="none"/>
        </w:rPr>
      </w:pPr>
      <w:r>
        <w:rPr>
          <w:rFonts w:hint="eastAsia" w:ascii="宋体" w:hAnsi="宋体" w:cs="仿宋"/>
          <w:color w:val="auto"/>
          <w:szCs w:val="21"/>
          <w:highlight w:val="none"/>
        </w:rPr>
        <w:t>监理范围和监理服务期限如未发生变化，监理服务费用在合同实施期间不予变更；监理范围明显增加或减少的，合同双方参照以上计算调整增加或核减监理报酬；因工程提前完成导致监理服务期限缩短，且在监理人已履行本合同规定义务的情况下，委托人不能以监理人提前完成监理而减少监理报酬。</w:t>
      </w:r>
    </w:p>
    <w:p w14:paraId="0081D5AF">
      <w:pPr>
        <w:pStyle w:val="6"/>
        <w:spacing w:before="0" w:after="0" w:line="360" w:lineRule="auto"/>
        <w:rPr>
          <w:rFonts w:hAnsi="宋体" w:eastAsia="宋体" w:cs="仿宋"/>
          <w:b w:val="0"/>
          <w:color w:val="auto"/>
          <w:sz w:val="21"/>
          <w:szCs w:val="21"/>
          <w:highlight w:val="none"/>
        </w:rPr>
      </w:pPr>
      <w:bookmarkStart w:id="485" w:name="8.2_合理化建议"/>
      <w:bookmarkEnd w:id="485"/>
      <w:bookmarkStart w:id="486" w:name="_bookmark215"/>
      <w:bookmarkEnd w:id="486"/>
      <w:bookmarkStart w:id="487" w:name="_Toc20388334"/>
      <w:r>
        <w:rPr>
          <w:rFonts w:hint="eastAsia" w:hAnsi="宋体" w:eastAsia="宋体" w:cs="仿宋"/>
          <w:color w:val="auto"/>
          <w:sz w:val="21"/>
          <w:szCs w:val="21"/>
          <w:highlight w:val="none"/>
        </w:rPr>
        <w:t>8.2 合理化建议</w:t>
      </w:r>
      <w:bookmarkEnd w:id="487"/>
    </w:p>
    <w:p w14:paraId="005E656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8.2.1 监理人提出的合理化建议降低了工程投资、缩短了施工期限或者提高了工程经济效益的，委托人给予监理人如下奖励</w:t>
      </w:r>
      <w:r>
        <w:rPr>
          <w:rFonts w:hint="eastAsia" w:ascii="宋体" w:hAnsi="宋体" w:cs="仿宋"/>
          <w:color w:val="auto"/>
          <w:w w:val="95"/>
          <w:szCs w:val="21"/>
          <w:highlight w:val="none"/>
        </w:rPr>
        <w:t>：</w:t>
      </w:r>
      <w:r>
        <w:rPr>
          <w:rFonts w:hint="eastAsia" w:ascii="宋体" w:hAnsi="宋体" w:cs="仿宋"/>
          <w:color w:val="auto"/>
          <w:w w:val="95"/>
          <w:szCs w:val="21"/>
          <w:highlight w:val="none"/>
          <w:u w:val="single" w:color="000000"/>
        </w:rPr>
        <w:t xml:space="preserve"> </w:t>
      </w:r>
      <w:r>
        <w:rPr>
          <w:rFonts w:hint="eastAsia" w:ascii="宋体" w:hAnsi="宋体" w:cs="仿宋"/>
          <w:b/>
          <w:bCs/>
          <w:color w:val="auto"/>
          <w:szCs w:val="21"/>
          <w:highlight w:val="none"/>
          <w:u w:val="single" w:color="000000"/>
          <w:lang w:eastAsia="zh-CN"/>
        </w:rPr>
        <w:t>无</w:t>
      </w:r>
      <w:r>
        <w:rPr>
          <w:rFonts w:hint="eastAsia" w:ascii="宋体" w:hAnsi="宋体" w:cs="仿宋"/>
          <w:color w:val="auto"/>
          <w:w w:val="95"/>
          <w:szCs w:val="21"/>
          <w:highlight w:val="none"/>
          <w:u w:val="single" w:color="000000"/>
        </w:rPr>
        <w:tab/>
      </w:r>
      <w:r>
        <w:rPr>
          <w:rFonts w:hint="eastAsia" w:ascii="宋体" w:hAnsi="宋体" w:cs="仿宋"/>
          <w:color w:val="auto"/>
          <w:szCs w:val="21"/>
          <w:highlight w:val="none"/>
        </w:rPr>
        <w:t>。</w:t>
      </w:r>
    </w:p>
    <w:p w14:paraId="57452D26">
      <w:pPr>
        <w:spacing w:line="360" w:lineRule="auto"/>
        <w:rPr>
          <w:rFonts w:ascii="宋体" w:hAnsi="宋体" w:cs="仿宋"/>
          <w:color w:val="auto"/>
          <w:szCs w:val="21"/>
          <w:highlight w:val="none"/>
        </w:rPr>
      </w:pPr>
    </w:p>
    <w:p w14:paraId="29446CEF">
      <w:pPr>
        <w:pStyle w:val="5"/>
        <w:spacing w:before="0" w:after="0" w:line="360" w:lineRule="auto"/>
        <w:jc w:val="left"/>
        <w:rPr>
          <w:rFonts w:ascii="宋体" w:hAnsi="宋体" w:cs="仿宋"/>
          <w:color w:val="auto"/>
          <w:sz w:val="21"/>
          <w:szCs w:val="21"/>
          <w:highlight w:val="none"/>
        </w:rPr>
      </w:pPr>
      <w:bookmarkStart w:id="488" w:name="9.合同价格与支付"/>
      <w:bookmarkEnd w:id="488"/>
      <w:bookmarkStart w:id="489" w:name="_bookmark216"/>
      <w:bookmarkEnd w:id="489"/>
      <w:bookmarkStart w:id="490" w:name="_Toc129859396"/>
      <w:bookmarkStart w:id="491" w:name="_Toc129859519"/>
      <w:bookmarkStart w:id="492" w:name="_Toc20388335"/>
      <w:r>
        <w:rPr>
          <w:rFonts w:hint="eastAsia" w:ascii="宋体" w:hAnsi="宋体" w:cs="仿宋"/>
          <w:color w:val="auto"/>
          <w:sz w:val="21"/>
          <w:szCs w:val="21"/>
          <w:highlight w:val="none"/>
        </w:rPr>
        <w:t>9. 合同价格与支付</w:t>
      </w:r>
      <w:bookmarkEnd w:id="490"/>
      <w:bookmarkEnd w:id="491"/>
      <w:bookmarkEnd w:id="492"/>
    </w:p>
    <w:p w14:paraId="5C828A19">
      <w:pPr>
        <w:pStyle w:val="6"/>
        <w:spacing w:before="0" w:after="0" w:line="360" w:lineRule="auto"/>
        <w:rPr>
          <w:rFonts w:hAnsi="宋体" w:eastAsia="宋体" w:cs="仿宋"/>
          <w:b w:val="0"/>
          <w:color w:val="auto"/>
          <w:sz w:val="21"/>
          <w:szCs w:val="21"/>
          <w:highlight w:val="none"/>
        </w:rPr>
      </w:pPr>
      <w:bookmarkStart w:id="493" w:name="_bookmark217"/>
      <w:bookmarkEnd w:id="493"/>
      <w:bookmarkStart w:id="494" w:name="9.1_合同价格"/>
      <w:bookmarkEnd w:id="494"/>
      <w:bookmarkStart w:id="495" w:name="_Toc20388336"/>
      <w:r>
        <w:rPr>
          <w:rFonts w:hint="eastAsia" w:hAnsi="宋体" w:eastAsia="宋体" w:cs="仿宋"/>
          <w:color w:val="auto"/>
          <w:sz w:val="21"/>
          <w:szCs w:val="21"/>
          <w:highlight w:val="none"/>
        </w:rPr>
        <w:t>9.1 合同价格</w:t>
      </w:r>
      <w:bookmarkEnd w:id="495"/>
    </w:p>
    <w:p w14:paraId="3A3F29F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9.1.1</w:t>
      </w:r>
      <w:r>
        <w:rPr>
          <w:rFonts w:hint="eastAsia" w:ascii="宋体" w:hAnsi="宋体" w:cs="仿宋"/>
          <w:color w:val="auto"/>
          <w:spacing w:val="-78"/>
          <w:szCs w:val="21"/>
          <w:highlight w:val="none"/>
        </w:rPr>
        <w:t xml:space="preserve"> </w:t>
      </w:r>
      <w:r>
        <w:rPr>
          <w:rFonts w:hint="eastAsia" w:ascii="宋体" w:hAnsi="宋体" w:cs="仿宋"/>
          <w:color w:val="auto"/>
          <w:szCs w:val="21"/>
          <w:highlight w:val="none"/>
        </w:rPr>
        <w:t>本项目的的</w:t>
      </w:r>
      <w:r>
        <w:rPr>
          <w:rFonts w:hint="eastAsia" w:ascii="宋体" w:hAnsi="宋体" w:cs="仿宋"/>
          <w:color w:val="auto"/>
          <w:szCs w:val="21"/>
          <w:highlight w:val="none"/>
          <w:lang w:eastAsia="zh-CN"/>
        </w:rPr>
        <w:t>合同</w:t>
      </w:r>
      <w:r>
        <w:rPr>
          <w:rFonts w:hint="eastAsia" w:ascii="宋体" w:hAnsi="宋体" w:cs="仿宋"/>
          <w:color w:val="auto"/>
          <w:szCs w:val="21"/>
          <w:highlight w:val="none"/>
        </w:rPr>
        <w:t>价</w:t>
      </w:r>
      <w:r>
        <w:rPr>
          <w:rFonts w:hint="eastAsia" w:ascii="宋体" w:hAnsi="宋体" w:cs="仿宋"/>
          <w:color w:val="auto"/>
          <w:szCs w:val="21"/>
          <w:highlight w:val="none"/>
          <w:lang w:eastAsia="zh-CN"/>
        </w:rPr>
        <w:t>格为</w:t>
      </w:r>
      <w:r>
        <w:rPr>
          <w:rFonts w:hint="eastAsia" w:ascii="宋体" w:hAnsi="宋体" w:cs="仿宋"/>
          <w:color w:val="auto"/>
          <w:szCs w:val="21"/>
          <w:highlight w:val="none"/>
          <w:u w:val="single"/>
          <w:lang w:val="en-US" w:eastAsia="zh-CN"/>
        </w:rPr>
        <w:t xml:space="preserve">       （合同价格=预算金额</w:t>
      </w:r>
      <w:r>
        <w:rPr>
          <w:rFonts w:hint="default" w:ascii="Arial" w:hAnsi="Arial" w:cs="Arial"/>
          <w:color w:val="auto"/>
          <w:szCs w:val="21"/>
          <w:highlight w:val="none"/>
          <w:u w:val="single"/>
          <w:lang w:val="en-US" w:eastAsia="zh-CN"/>
        </w:rPr>
        <w:t>×</w:t>
      </w:r>
      <w:r>
        <w:rPr>
          <w:rFonts w:hint="eastAsia" w:ascii="宋体" w:hAnsi="宋体" w:cs="仿宋"/>
          <w:color w:val="auto"/>
          <w:szCs w:val="21"/>
          <w:highlight w:val="none"/>
          <w:u w:val="single"/>
          <w:lang w:val="en-US" w:eastAsia="zh-CN"/>
        </w:rPr>
        <w:t>中标费率）</w:t>
      </w:r>
      <w:r>
        <w:rPr>
          <w:rFonts w:hint="eastAsia" w:ascii="宋体" w:hAnsi="宋体" w:cs="仿宋"/>
          <w:color w:val="auto"/>
          <w:szCs w:val="21"/>
          <w:highlight w:val="none"/>
        </w:rPr>
        <w:t>。合同价格是监理人按照合同约定完成</w:t>
      </w:r>
      <w:r>
        <w:rPr>
          <w:rFonts w:hint="eastAsia" w:ascii="宋体" w:hAnsi="宋体" w:cs="仿宋"/>
          <w:color w:val="auto"/>
          <w:szCs w:val="21"/>
          <w:highlight w:val="none"/>
          <w:u w:val="single"/>
        </w:rPr>
        <w:t>施工阶段及缺陷责任期</w:t>
      </w:r>
      <w:r>
        <w:rPr>
          <w:rFonts w:hint="eastAsia" w:ascii="宋体" w:hAnsi="宋体" w:cs="仿宋"/>
          <w:color w:val="auto"/>
          <w:szCs w:val="21"/>
          <w:highlight w:val="none"/>
        </w:rPr>
        <w:t>阶段监理服务所需</w:t>
      </w:r>
      <w:r>
        <w:rPr>
          <w:rFonts w:hint="eastAsia" w:ascii="宋体" w:hAnsi="宋体" w:cs="仿宋"/>
          <w:color w:val="auto"/>
          <w:spacing w:val="-2"/>
          <w:szCs w:val="21"/>
          <w:highlight w:val="none"/>
        </w:rPr>
        <w:t>的全部费用，应按投标文件格式中监理报酬清单的内容和格式填报。监理服务费包括以下组成部分：</w:t>
      </w:r>
    </w:p>
    <w:p w14:paraId="59CAACF5">
      <w:pPr>
        <w:spacing w:line="360" w:lineRule="auto"/>
        <w:ind w:left="538" w:right="54"/>
        <w:rPr>
          <w:rFonts w:ascii="宋体" w:hAnsi="宋体" w:cs="仿宋"/>
          <w:color w:val="auto"/>
          <w:szCs w:val="21"/>
          <w:highlight w:val="none"/>
        </w:rPr>
      </w:pPr>
      <w:r>
        <w:rPr>
          <w:rFonts w:hint="eastAsia" w:ascii="宋体" w:hAnsi="宋体" w:cs="仿宋"/>
          <w:color w:val="auto"/>
          <w:szCs w:val="21"/>
          <w:highlight w:val="none"/>
        </w:rPr>
        <w:t>监理人员服务费；</w:t>
      </w:r>
    </w:p>
    <w:p w14:paraId="667A439B">
      <w:pPr>
        <w:spacing w:line="360" w:lineRule="auto"/>
        <w:ind w:left="538" w:right="54"/>
        <w:rPr>
          <w:rFonts w:ascii="宋体" w:hAnsi="宋体" w:cs="仿宋"/>
          <w:color w:val="auto"/>
          <w:szCs w:val="21"/>
          <w:highlight w:val="none"/>
        </w:rPr>
      </w:pPr>
      <w:r>
        <w:rPr>
          <w:rFonts w:hint="eastAsia" w:ascii="宋体" w:hAnsi="宋体" w:cs="仿宋"/>
          <w:color w:val="auto"/>
          <w:szCs w:val="21"/>
          <w:highlight w:val="none"/>
        </w:rPr>
        <w:t>监理办公设施费；</w:t>
      </w:r>
    </w:p>
    <w:p w14:paraId="7C4CA7E5">
      <w:pPr>
        <w:spacing w:line="360" w:lineRule="auto"/>
        <w:ind w:left="539" w:right="567"/>
        <w:rPr>
          <w:rFonts w:ascii="宋体" w:hAnsi="宋体" w:cs="仿宋"/>
          <w:color w:val="auto"/>
          <w:szCs w:val="21"/>
          <w:highlight w:val="none"/>
        </w:rPr>
      </w:pPr>
      <w:r>
        <w:rPr>
          <w:rFonts w:hint="eastAsia" w:ascii="宋体" w:hAnsi="宋体" w:cs="仿宋"/>
          <w:color w:val="auto"/>
          <w:szCs w:val="21"/>
          <w:highlight w:val="none"/>
        </w:rPr>
        <w:t xml:space="preserve">监理交通设费； </w:t>
      </w:r>
    </w:p>
    <w:p w14:paraId="74A1F9C1">
      <w:pPr>
        <w:spacing w:line="360" w:lineRule="auto"/>
        <w:ind w:left="539" w:right="567"/>
        <w:rPr>
          <w:rFonts w:ascii="宋体" w:hAnsi="宋体" w:cs="仿宋"/>
          <w:color w:val="auto"/>
          <w:szCs w:val="21"/>
          <w:highlight w:val="none"/>
        </w:rPr>
      </w:pPr>
      <w:r>
        <w:rPr>
          <w:rFonts w:hint="eastAsia" w:ascii="宋体" w:hAnsi="宋体" w:cs="仿宋"/>
          <w:color w:val="auto"/>
          <w:szCs w:val="21"/>
          <w:highlight w:val="none"/>
        </w:rPr>
        <w:t>监理生活设费。</w:t>
      </w:r>
    </w:p>
    <w:p w14:paraId="220DA16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上述费用包括企业管理费、利润、税金、保险等监理服务所需的全部费用。 监理人员服务费应填报各级监理人员的人月单价及为完成监理服务所需要的总人月数量。各类监理人员的人月单价应包括监理人员履行监理服务时由于施工工艺的连续性导致不可避免的加班费用，在上述情况发生时，委托人将不考虑另行支付监理人员的加班费用。</w:t>
      </w:r>
    </w:p>
    <w:p w14:paraId="1121DF90">
      <w:pPr>
        <w:spacing w:line="360" w:lineRule="auto"/>
        <w:ind w:right="110" w:firstLine="420" w:firstLineChars="200"/>
        <w:rPr>
          <w:rFonts w:ascii="宋体" w:hAnsi="宋体" w:cs="仿宋"/>
          <w:color w:val="auto"/>
          <w:szCs w:val="21"/>
          <w:highlight w:val="none"/>
        </w:rPr>
      </w:pPr>
      <w:r>
        <w:rPr>
          <w:rFonts w:hint="eastAsia" w:ascii="宋体" w:hAnsi="宋体" w:cs="仿宋"/>
          <w:color w:val="auto"/>
          <w:szCs w:val="21"/>
          <w:highlight w:val="none"/>
        </w:rPr>
        <w:t>本项目监理人按照监理规范要求委托具有相应资质的工程质量检测机构进行的平行检测费不包含在监理服务费中，监理人按照经委托人批准的平行检测合同执行，相关费用由委托人支付。</w:t>
      </w:r>
    </w:p>
    <w:p w14:paraId="6DDC4B51">
      <w:pPr>
        <w:spacing w:line="360" w:lineRule="auto"/>
        <w:ind w:right="110" w:firstLine="420" w:firstLineChars="200"/>
        <w:rPr>
          <w:rFonts w:ascii="宋体" w:hAnsi="宋体" w:cs="仿宋"/>
          <w:color w:val="auto"/>
          <w:szCs w:val="21"/>
          <w:highlight w:val="none"/>
        </w:rPr>
      </w:pPr>
      <w:bookmarkStart w:id="496" w:name="9.2_预付款"/>
      <w:bookmarkEnd w:id="496"/>
      <w:bookmarkStart w:id="497" w:name="_bookmark218"/>
      <w:bookmarkEnd w:id="497"/>
      <w:bookmarkStart w:id="498" w:name="_Toc20388337"/>
      <w:r>
        <w:rPr>
          <w:rFonts w:hint="eastAsia" w:ascii="宋体" w:hAnsi="宋体" w:cs="仿宋"/>
          <w:color w:val="auto"/>
          <w:szCs w:val="21"/>
          <w:highlight w:val="none"/>
        </w:rPr>
        <w:t>除本合同第6.2条监理周期延误、第8条约定的变更情形外，本监理合同的监理服务费用在合同实施期间一律不予调整。</w:t>
      </w:r>
    </w:p>
    <w:p w14:paraId="05448409">
      <w:pPr>
        <w:pStyle w:val="6"/>
        <w:spacing w:before="0" w:after="0" w:line="360" w:lineRule="auto"/>
        <w:rPr>
          <w:rFonts w:hAnsi="宋体" w:eastAsia="宋体" w:cs="仿宋"/>
          <w:b w:val="0"/>
          <w:color w:val="auto"/>
          <w:sz w:val="21"/>
          <w:szCs w:val="21"/>
          <w:highlight w:val="none"/>
        </w:rPr>
      </w:pPr>
      <w:r>
        <w:rPr>
          <w:rFonts w:hint="eastAsia" w:hAnsi="宋体" w:eastAsia="宋体" w:cs="仿宋"/>
          <w:color w:val="auto"/>
          <w:sz w:val="21"/>
          <w:szCs w:val="21"/>
          <w:highlight w:val="none"/>
        </w:rPr>
        <w:t xml:space="preserve">9.2 </w:t>
      </w:r>
      <w:bookmarkEnd w:id="498"/>
      <w:bookmarkStart w:id="499" w:name="_Toc20388339"/>
      <w:r>
        <w:rPr>
          <w:rFonts w:hint="eastAsia" w:hAnsi="宋体" w:eastAsia="宋体" w:cs="仿宋"/>
          <w:color w:val="auto"/>
          <w:sz w:val="21"/>
          <w:szCs w:val="21"/>
          <w:highlight w:val="none"/>
        </w:rPr>
        <w:t>费用结算</w:t>
      </w:r>
      <w:bookmarkEnd w:id="499"/>
    </w:p>
    <w:p w14:paraId="1A506E52">
      <w:pPr>
        <w:numPr>
          <w:ilvl w:val="0"/>
          <w:numId w:val="6"/>
        </w:numPr>
        <w:tabs>
          <w:tab w:val="left" w:pos="7954"/>
        </w:tabs>
        <w:spacing w:line="360" w:lineRule="auto"/>
        <w:ind w:left="142" w:right="110" w:firstLine="424" w:firstLineChars="202"/>
        <w:rPr>
          <w:rFonts w:hint="eastAsia" w:ascii="宋体" w:hAnsi="宋体"/>
          <w:color w:val="auto"/>
          <w:szCs w:val="21"/>
          <w:highlight w:val="none"/>
        </w:rPr>
      </w:pPr>
      <w:r>
        <w:rPr>
          <w:rFonts w:hint="eastAsia" w:ascii="宋体" w:hAnsi="宋体"/>
          <w:color w:val="auto"/>
          <w:szCs w:val="21"/>
          <w:highlight w:val="none"/>
        </w:rPr>
        <w:t>本工程监理费预付款为：合同总价款30%，签订合同后15个工作日内支付。</w:t>
      </w:r>
    </w:p>
    <w:p w14:paraId="09E6BC38">
      <w:pPr>
        <w:numPr>
          <w:ilvl w:val="0"/>
          <w:numId w:val="6"/>
        </w:numPr>
        <w:tabs>
          <w:tab w:val="left" w:pos="7954"/>
        </w:tabs>
        <w:spacing w:line="360" w:lineRule="auto"/>
        <w:ind w:left="142" w:leftChars="0" w:right="110" w:firstLine="424" w:firstLineChars="202"/>
        <w:rPr>
          <w:rFonts w:hint="eastAsia" w:ascii="宋体" w:hAnsi="宋体"/>
          <w:color w:val="auto"/>
          <w:szCs w:val="21"/>
          <w:highlight w:val="none"/>
        </w:rPr>
      </w:pPr>
      <w:r>
        <w:rPr>
          <w:rFonts w:hint="eastAsia" w:ascii="宋体" w:hAnsi="宋体"/>
          <w:color w:val="auto"/>
          <w:szCs w:val="21"/>
          <w:highlight w:val="none"/>
        </w:rPr>
        <w:t>每个付款周期按实际完成工程量支付工程进度款。付至总合同金额的95%止暂停支付(含预付款)。</w:t>
      </w:r>
    </w:p>
    <w:p w14:paraId="7362D7AB">
      <w:pPr>
        <w:numPr>
          <w:ilvl w:val="-1"/>
          <w:numId w:val="0"/>
        </w:numPr>
        <w:tabs>
          <w:tab w:val="left" w:pos="7954"/>
        </w:tabs>
        <w:spacing w:line="360" w:lineRule="auto"/>
        <w:ind w:left="424" w:leftChars="202" w:right="11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3、在工程竣工验收合后，支付至合同金额的100%</w:t>
      </w:r>
      <w:r>
        <w:rPr>
          <w:rFonts w:hint="eastAsia" w:ascii="宋体" w:hAnsi="宋体"/>
          <w:color w:val="auto"/>
          <w:szCs w:val="21"/>
          <w:highlight w:val="none"/>
          <w:lang w:eastAsia="zh-CN"/>
        </w:rPr>
        <w:t>。</w:t>
      </w:r>
    </w:p>
    <w:p w14:paraId="3123A468">
      <w:pPr>
        <w:tabs>
          <w:tab w:val="left" w:pos="7954"/>
        </w:tabs>
        <w:spacing w:line="360" w:lineRule="auto"/>
        <w:ind w:left="142" w:right="110" w:firstLine="424" w:firstLineChars="202"/>
        <w:rPr>
          <w:rFonts w:ascii="宋体" w:hAnsi="宋体" w:cs="仿宋"/>
          <w:color w:val="auto"/>
          <w:spacing w:val="-28"/>
          <w:szCs w:val="21"/>
          <w:highlight w:val="none"/>
        </w:rPr>
      </w:pPr>
      <w:r>
        <w:rPr>
          <w:rFonts w:hint="eastAsia" w:ascii="宋体" w:hAnsi="宋体"/>
          <w:color w:val="auto"/>
          <w:szCs w:val="21"/>
          <w:highlight w:val="none"/>
        </w:rPr>
        <w:t>双方同意用转帐支付报酬，每次转帐时，监理人均应提供相应数额的正式税务发票。</w:t>
      </w:r>
    </w:p>
    <w:p w14:paraId="026B0F3A">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9.2.1 委托人不按期支付而向监理人支付逾期付款违约金的计算办法：</w:t>
      </w:r>
      <w:r>
        <w:rPr>
          <w:rFonts w:hint="eastAsia" w:ascii="宋体" w:hAnsi="宋体" w:cs="仿宋"/>
          <w:color w:val="auto"/>
          <w:szCs w:val="21"/>
          <w:highlight w:val="none"/>
          <w:u w:val="single"/>
          <w:lang w:eastAsia="zh-CN"/>
        </w:rPr>
        <w:t>无</w:t>
      </w:r>
      <w:r>
        <w:rPr>
          <w:rFonts w:hint="eastAsia" w:ascii="宋体" w:hAnsi="宋体" w:cs="仿宋"/>
          <w:color w:val="auto"/>
          <w:szCs w:val="21"/>
          <w:highlight w:val="none"/>
          <w:u w:val="single"/>
        </w:rPr>
        <w:t>。</w:t>
      </w:r>
    </w:p>
    <w:p w14:paraId="3332C252">
      <w:pPr>
        <w:pStyle w:val="6"/>
        <w:spacing w:before="0" w:after="0" w:line="360" w:lineRule="auto"/>
        <w:rPr>
          <w:rFonts w:hAnsi="宋体" w:eastAsia="宋体" w:cs="仿宋"/>
          <w:b w:val="0"/>
          <w:color w:val="auto"/>
          <w:sz w:val="21"/>
          <w:szCs w:val="21"/>
          <w:highlight w:val="none"/>
        </w:rPr>
      </w:pPr>
      <w:bookmarkStart w:id="500" w:name="_bookmark221"/>
      <w:bookmarkEnd w:id="500"/>
      <w:bookmarkStart w:id="501" w:name="9.5_暂列金"/>
      <w:bookmarkEnd w:id="501"/>
      <w:bookmarkStart w:id="502" w:name="_Toc20388340"/>
      <w:r>
        <w:rPr>
          <w:rFonts w:hint="eastAsia" w:hAnsi="宋体" w:eastAsia="宋体" w:cs="仿宋"/>
          <w:color w:val="auto"/>
          <w:sz w:val="21"/>
          <w:szCs w:val="21"/>
          <w:highlight w:val="none"/>
        </w:rPr>
        <w:t>9.3 暂列金</w:t>
      </w:r>
      <w:bookmarkEnd w:id="502"/>
    </w:p>
    <w:p w14:paraId="5F90B9F2">
      <w:pPr>
        <w:tabs>
          <w:tab w:val="left" w:pos="3706"/>
        </w:tabs>
        <w:spacing w:line="360" w:lineRule="auto"/>
        <w:ind w:left="118" w:right="176" w:firstLine="420"/>
        <w:rPr>
          <w:rFonts w:ascii="宋体" w:hAnsi="宋体" w:cs="仿宋"/>
          <w:color w:val="auto"/>
          <w:szCs w:val="21"/>
          <w:highlight w:val="none"/>
        </w:rPr>
      </w:pPr>
      <w:r>
        <w:rPr>
          <w:rFonts w:hint="eastAsia" w:ascii="宋体" w:hAnsi="宋体" w:cs="仿宋"/>
          <w:color w:val="auto"/>
          <w:szCs w:val="21"/>
          <w:highlight w:val="none"/>
        </w:rPr>
        <w:t>本合同的暂列金为：</w:t>
      </w:r>
      <w:r>
        <w:rPr>
          <w:rFonts w:hint="eastAsia" w:ascii="宋体" w:hAnsi="宋体" w:cs="仿宋"/>
          <w:color w:val="auto"/>
          <w:szCs w:val="21"/>
          <w:highlight w:val="none"/>
          <w:u w:val="single" w:color="000000"/>
        </w:rPr>
        <w:t xml:space="preserve"> / </w:t>
      </w:r>
      <w:r>
        <w:rPr>
          <w:rFonts w:hint="eastAsia" w:ascii="宋体" w:hAnsi="宋体" w:cs="仿宋"/>
          <w:color w:val="auto"/>
          <w:szCs w:val="21"/>
          <w:highlight w:val="none"/>
        </w:rPr>
        <w:t>元。暂列金应按委托人的书面指示全部或部分地使用，或根本不予动用。暂列金主要用于监理范围和监理服务期变更产生的费用支付及其他不可预见情况发生的费用。</w:t>
      </w:r>
    </w:p>
    <w:p w14:paraId="1CCBF1B9">
      <w:pPr>
        <w:tabs>
          <w:tab w:val="left" w:pos="3706"/>
        </w:tabs>
        <w:spacing w:line="360" w:lineRule="auto"/>
        <w:ind w:left="118" w:right="176" w:firstLine="420"/>
        <w:rPr>
          <w:rFonts w:ascii="宋体" w:hAnsi="宋体" w:cs="仿宋"/>
          <w:color w:val="auto"/>
          <w:szCs w:val="21"/>
          <w:highlight w:val="none"/>
        </w:rPr>
      </w:pPr>
    </w:p>
    <w:p w14:paraId="3F4A0055">
      <w:pPr>
        <w:pStyle w:val="5"/>
        <w:spacing w:before="0" w:after="0" w:line="360" w:lineRule="auto"/>
        <w:jc w:val="left"/>
        <w:rPr>
          <w:rFonts w:ascii="宋体" w:hAnsi="宋体" w:cs="仿宋"/>
          <w:color w:val="auto"/>
          <w:sz w:val="21"/>
          <w:szCs w:val="21"/>
          <w:highlight w:val="none"/>
        </w:rPr>
      </w:pPr>
      <w:bookmarkStart w:id="503" w:name="10._不可抗力"/>
      <w:bookmarkEnd w:id="503"/>
      <w:bookmarkStart w:id="504" w:name="_bookmark222"/>
      <w:bookmarkEnd w:id="504"/>
      <w:bookmarkStart w:id="505" w:name="_Toc129859520"/>
      <w:bookmarkStart w:id="506" w:name="_Toc129859397"/>
      <w:bookmarkStart w:id="507" w:name="_Toc20388341"/>
      <w:r>
        <w:rPr>
          <w:rFonts w:hint="eastAsia" w:ascii="宋体" w:hAnsi="宋体" w:cs="仿宋"/>
          <w:color w:val="auto"/>
          <w:sz w:val="21"/>
          <w:szCs w:val="21"/>
          <w:highlight w:val="none"/>
        </w:rPr>
        <w:t>10. 不可抗力</w:t>
      </w:r>
      <w:bookmarkEnd w:id="505"/>
      <w:bookmarkEnd w:id="506"/>
      <w:bookmarkEnd w:id="507"/>
    </w:p>
    <w:p w14:paraId="296280E0">
      <w:pPr>
        <w:pStyle w:val="6"/>
        <w:spacing w:before="0" w:after="0" w:line="360" w:lineRule="auto"/>
        <w:rPr>
          <w:rFonts w:hAnsi="宋体" w:eastAsia="宋体" w:cs="仿宋"/>
          <w:color w:val="auto"/>
          <w:sz w:val="21"/>
          <w:szCs w:val="21"/>
          <w:highlight w:val="none"/>
        </w:rPr>
      </w:pPr>
      <w:bookmarkStart w:id="508" w:name="_bookmark223"/>
      <w:bookmarkEnd w:id="508"/>
      <w:bookmarkStart w:id="509" w:name="10.1_不可抗力的确认"/>
      <w:bookmarkEnd w:id="509"/>
      <w:bookmarkStart w:id="510" w:name="_Toc20388342"/>
      <w:r>
        <w:rPr>
          <w:rFonts w:hint="eastAsia" w:hAnsi="宋体" w:eastAsia="宋体" w:cs="仿宋"/>
          <w:color w:val="auto"/>
          <w:sz w:val="21"/>
          <w:szCs w:val="21"/>
          <w:highlight w:val="none"/>
        </w:rPr>
        <w:t>10.1 不可抗力的确认</w:t>
      </w:r>
      <w:bookmarkEnd w:id="510"/>
    </w:p>
    <w:p w14:paraId="359FD44D">
      <w:pPr>
        <w:tabs>
          <w:tab w:val="left" w:pos="5734"/>
        </w:tabs>
        <w:spacing w:line="360" w:lineRule="auto"/>
        <w:ind w:left="538" w:right="168"/>
        <w:rPr>
          <w:rFonts w:ascii="宋体" w:hAnsi="宋体" w:cs="仿宋"/>
          <w:color w:val="auto"/>
          <w:szCs w:val="21"/>
          <w:highlight w:val="none"/>
        </w:rPr>
      </w:pPr>
      <w:r>
        <w:rPr>
          <w:rFonts w:hint="eastAsia" w:ascii="宋体" w:hAnsi="宋体" w:cs="仿宋"/>
          <w:color w:val="auto"/>
          <w:szCs w:val="21"/>
          <w:highlight w:val="none"/>
        </w:rPr>
        <w:t>10.1.1</w:t>
      </w:r>
      <w:r>
        <w:rPr>
          <w:rFonts w:hint="eastAsia" w:ascii="宋体" w:hAnsi="宋体" w:cs="仿宋"/>
          <w:color w:val="auto"/>
          <w:spacing w:val="-61"/>
          <w:szCs w:val="21"/>
          <w:highlight w:val="none"/>
        </w:rPr>
        <w:t xml:space="preserve"> </w:t>
      </w:r>
      <w:r>
        <w:rPr>
          <w:rFonts w:hint="eastAsia" w:ascii="宋体" w:hAnsi="宋体" w:cs="仿宋"/>
          <w:color w:val="auto"/>
          <w:szCs w:val="21"/>
          <w:highlight w:val="none"/>
        </w:rPr>
        <w:t>不可抗力的其他情形：</w:t>
      </w:r>
      <w:r>
        <w:rPr>
          <w:rFonts w:hint="eastAsia" w:ascii="宋体" w:hAnsi="宋体" w:cs="仿宋"/>
          <w:color w:val="auto"/>
          <w:szCs w:val="21"/>
          <w:highlight w:val="none"/>
          <w:u w:val="single" w:color="000000"/>
        </w:rPr>
        <w:t xml:space="preserve">     </w:t>
      </w:r>
      <w:r>
        <w:rPr>
          <w:rFonts w:hint="eastAsia" w:ascii="宋体" w:hAnsi="宋体" w:cs="仿宋"/>
          <w:color w:val="auto"/>
          <w:szCs w:val="21"/>
          <w:highlight w:val="none"/>
        </w:rPr>
        <w:t>。</w:t>
      </w:r>
      <w:bookmarkStart w:id="511" w:name="_bookmark224"/>
      <w:bookmarkEnd w:id="511"/>
      <w:bookmarkStart w:id="512" w:name="11._违约"/>
      <w:bookmarkEnd w:id="512"/>
    </w:p>
    <w:p w14:paraId="3484B76A">
      <w:pPr>
        <w:tabs>
          <w:tab w:val="left" w:pos="5734"/>
        </w:tabs>
        <w:spacing w:line="360" w:lineRule="auto"/>
        <w:ind w:left="538" w:right="168"/>
        <w:rPr>
          <w:rFonts w:ascii="宋体" w:hAnsi="宋体" w:cs="仿宋"/>
          <w:color w:val="auto"/>
          <w:szCs w:val="21"/>
          <w:highlight w:val="none"/>
        </w:rPr>
      </w:pPr>
    </w:p>
    <w:p w14:paraId="7730C0BF">
      <w:pPr>
        <w:pStyle w:val="5"/>
        <w:spacing w:before="0" w:after="0" w:line="360" w:lineRule="auto"/>
        <w:jc w:val="left"/>
        <w:rPr>
          <w:rFonts w:ascii="宋体" w:hAnsi="宋体" w:cs="仿宋"/>
          <w:color w:val="auto"/>
          <w:sz w:val="21"/>
          <w:szCs w:val="21"/>
          <w:highlight w:val="none"/>
        </w:rPr>
      </w:pPr>
      <w:bookmarkStart w:id="513" w:name="_Toc129859398"/>
      <w:bookmarkStart w:id="514" w:name="_Toc129859521"/>
      <w:bookmarkStart w:id="515" w:name="_Toc20388343"/>
      <w:r>
        <w:rPr>
          <w:rFonts w:hint="eastAsia" w:ascii="宋体" w:hAnsi="宋体" w:cs="仿宋"/>
          <w:color w:val="auto"/>
          <w:sz w:val="21"/>
          <w:szCs w:val="21"/>
          <w:highlight w:val="none"/>
        </w:rPr>
        <w:t>11. 违约</w:t>
      </w:r>
      <w:bookmarkEnd w:id="513"/>
      <w:bookmarkEnd w:id="514"/>
      <w:bookmarkEnd w:id="515"/>
    </w:p>
    <w:p w14:paraId="746B6D92">
      <w:pPr>
        <w:pStyle w:val="6"/>
        <w:spacing w:before="0" w:after="0" w:line="360" w:lineRule="auto"/>
        <w:rPr>
          <w:rFonts w:hAnsi="宋体" w:eastAsia="宋体" w:cs="仿宋"/>
          <w:color w:val="auto"/>
          <w:sz w:val="21"/>
          <w:szCs w:val="21"/>
          <w:highlight w:val="none"/>
        </w:rPr>
      </w:pPr>
      <w:bookmarkStart w:id="516" w:name="11.1_监理人违约"/>
      <w:bookmarkEnd w:id="516"/>
      <w:bookmarkStart w:id="517" w:name="_bookmark225"/>
      <w:bookmarkEnd w:id="517"/>
      <w:bookmarkStart w:id="518" w:name="_Toc20388344"/>
      <w:r>
        <w:rPr>
          <w:rFonts w:hint="eastAsia" w:hAnsi="宋体" w:eastAsia="宋体" w:cs="仿宋"/>
          <w:color w:val="auto"/>
          <w:sz w:val="21"/>
          <w:szCs w:val="21"/>
          <w:highlight w:val="none"/>
        </w:rPr>
        <w:t>11.1 监理人违约</w:t>
      </w:r>
      <w:bookmarkEnd w:id="518"/>
    </w:p>
    <w:p w14:paraId="3594D31A">
      <w:pPr>
        <w:spacing w:line="360" w:lineRule="auto"/>
        <w:ind w:left="579" w:right="168"/>
        <w:rPr>
          <w:rFonts w:ascii="宋体" w:hAnsi="宋体" w:cs="仿宋"/>
          <w:color w:val="auto"/>
          <w:szCs w:val="21"/>
          <w:highlight w:val="none"/>
        </w:rPr>
      </w:pPr>
      <w:r>
        <w:rPr>
          <w:rFonts w:hint="eastAsia" w:ascii="宋体" w:hAnsi="宋体" w:cs="仿宋"/>
          <w:color w:val="auto"/>
          <w:szCs w:val="21"/>
          <w:highlight w:val="none"/>
        </w:rPr>
        <w:t>11.1.1 违约的具体情形和处理（说明：具体由招标人制定）</w:t>
      </w:r>
    </w:p>
    <w:p w14:paraId="0B732D52">
      <w:pPr>
        <w:tabs>
          <w:tab w:val="left" w:pos="8448"/>
        </w:tabs>
        <w:spacing w:line="360" w:lineRule="auto"/>
        <w:ind w:right="101" w:firstLine="210" w:firstLineChars="100"/>
        <w:rPr>
          <w:rFonts w:ascii="宋体" w:hAnsi="宋体" w:cs="仿宋"/>
          <w:color w:val="auto"/>
          <w:szCs w:val="21"/>
          <w:highlight w:val="none"/>
        </w:rPr>
      </w:pPr>
      <w:r>
        <w:rPr>
          <w:rFonts w:hint="eastAsia" w:ascii="宋体" w:hAnsi="宋体" w:cs="仿宋"/>
          <w:color w:val="auto"/>
          <w:szCs w:val="21"/>
          <w:highlight w:val="none"/>
        </w:rPr>
        <w:t>（1）监理人接到开始监理通知后没有按时进场，每延迟一日扣以监理服务费总额</w:t>
      </w:r>
      <w:r>
        <w:rPr>
          <w:rFonts w:hint="eastAsia" w:ascii="宋体" w:hAnsi="宋体" w:cs="仿宋"/>
          <w:color w:val="auto"/>
          <w:szCs w:val="21"/>
          <w:highlight w:val="none"/>
          <w:u w:val="single" w:color="000000"/>
        </w:rPr>
        <w:t xml:space="preserve"> 0.1 </w:t>
      </w:r>
      <w:r>
        <w:rPr>
          <w:rFonts w:hint="eastAsia" w:ascii="宋体" w:hAnsi="宋体" w:cs="仿宋"/>
          <w:color w:val="auto"/>
          <w:szCs w:val="21"/>
          <w:highlight w:val="none"/>
        </w:rPr>
        <w:t>%的违约金。</w:t>
      </w:r>
    </w:p>
    <w:p w14:paraId="28484392">
      <w:pPr>
        <w:tabs>
          <w:tab w:val="left" w:pos="5659"/>
          <w:tab w:val="left" w:pos="7423"/>
        </w:tabs>
        <w:spacing w:line="360" w:lineRule="auto"/>
        <w:ind w:right="101" w:firstLine="420" w:firstLineChars="200"/>
        <w:rPr>
          <w:rFonts w:ascii="宋体" w:hAnsi="宋体" w:cs="仿宋"/>
          <w:color w:val="auto"/>
          <w:szCs w:val="21"/>
          <w:highlight w:val="none"/>
        </w:rPr>
      </w:pPr>
      <w:r>
        <w:rPr>
          <w:rFonts w:hint="eastAsia" w:ascii="宋体" w:hAnsi="宋体" w:cs="仿宋"/>
          <w:color w:val="auto"/>
          <w:szCs w:val="21"/>
          <w:highlight w:val="none"/>
        </w:rPr>
        <w:t>（2）总监理工程师每月驻工地现场工作时间不少于</w:t>
      </w:r>
      <w:r>
        <w:rPr>
          <w:rFonts w:hint="eastAsia" w:ascii="宋体" w:hAnsi="宋体" w:cs="仿宋"/>
          <w:color w:val="auto"/>
          <w:spacing w:val="-1"/>
          <w:w w:val="95"/>
          <w:szCs w:val="21"/>
          <w:highlight w:val="none"/>
          <w:u w:val="single" w:color="000000"/>
        </w:rPr>
        <w:t>22</w:t>
      </w:r>
      <w:r>
        <w:rPr>
          <w:rFonts w:hint="eastAsia" w:ascii="宋体" w:hAnsi="宋体" w:cs="仿宋"/>
          <w:color w:val="auto"/>
          <w:szCs w:val="21"/>
          <w:highlight w:val="none"/>
        </w:rPr>
        <w:t>日</w:t>
      </w:r>
      <w:r>
        <w:rPr>
          <w:rFonts w:hint="eastAsia" w:ascii="宋体" w:hAnsi="宋体" w:cs="仿宋"/>
          <w:color w:val="auto"/>
          <w:spacing w:val="-3"/>
          <w:w w:val="95"/>
          <w:szCs w:val="21"/>
          <w:highlight w:val="none"/>
        </w:rPr>
        <w:t>，</w:t>
      </w:r>
      <w:r>
        <w:rPr>
          <w:rFonts w:hint="eastAsia" w:ascii="宋体" w:hAnsi="宋体" w:cs="仿宋"/>
          <w:color w:val="auto"/>
          <w:szCs w:val="21"/>
          <w:highlight w:val="none"/>
        </w:rPr>
        <w:t>否则扣</w:t>
      </w:r>
      <w:r>
        <w:rPr>
          <w:rFonts w:hint="eastAsia" w:ascii="宋体" w:hAnsi="宋体" w:cs="仿宋"/>
          <w:color w:val="auto"/>
          <w:szCs w:val="21"/>
          <w:highlight w:val="none"/>
          <w:u w:val="single"/>
        </w:rPr>
        <w:t>2</w:t>
      </w:r>
      <w:r>
        <w:rPr>
          <w:rFonts w:hint="eastAsia" w:ascii="宋体" w:hAnsi="宋体" w:cs="仿宋"/>
          <w:color w:val="auto"/>
          <w:spacing w:val="-3"/>
          <w:w w:val="95"/>
          <w:szCs w:val="21"/>
          <w:highlight w:val="none"/>
          <w:u w:val="single" w:color="000000"/>
        </w:rPr>
        <w:t>00</w:t>
      </w:r>
      <w:r>
        <w:rPr>
          <w:rFonts w:hint="eastAsia" w:ascii="宋体" w:hAnsi="宋体" w:cs="仿宋"/>
          <w:color w:val="auto"/>
          <w:spacing w:val="-2"/>
          <w:szCs w:val="21"/>
          <w:highlight w:val="none"/>
        </w:rPr>
        <w:t>元/日的违约金；其</w:t>
      </w:r>
      <w:r>
        <w:rPr>
          <w:rFonts w:hint="eastAsia" w:ascii="宋体" w:hAnsi="宋体" w:cs="仿宋"/>
          <w:color w:val="auto"/>
          <w:szCs w:val="21"/>
          <w:highlight w:val="none"/>
        </w:rPr>
        <w:t>他主要监理人员每月驻工地现场工作时间不少于</w:t>
      </w:r>
      <w:r>
        <w:rPr>
          <w:rFonts w:hint="eastAsia" w:ascii="宋体" w:hAnsi="宋体" w:cs="仿宋"/>
          <w:color w:val="auto"/>
          <w:szCs w:val="21"/>
          <w:highlight w:val="none"/>
          <w:u w:val="single" w:color="000000"/>
        </w:rPr>
        <w:t xml:space="preserve"> 22</w:t>
      </w:r>
      <w:r>
        <w:rPr>
          <w:rFonts w:hint="eastAsia" w:ascii="宋体" w:hAnsi="宋体" w:cs="仿宋"/>
          <w:color w:val="auto"/>
          <w:szCs w:val="21"/>
          <w:highlight w:val="none"/>
        </w:rPr>
        <w:t>日（按照监理人员进场计划进行考勤），否则扣以100元/（日·人）的违约金。主要监理人员必须到委托人处进行签到考勤，不签到视为不到岗。</w:t>
      </w:r>
    </w:p>
    <w:p w14:paraId="702EE410">
      <w:pPr>
        <w:tabs>
          <w:tab w:val="left" w:pos="8873"/>
        </w:tabs>
        <w:spacing w:line="360" w:lineRule="auto"/>
        <w:ind w:left="479" w:leftChars="228" w:right="101"/>
        <w:rPr>
          <w:rFonts w:ascii="宋体" w:hAnsi="宋体" w:cs="仿宋"/>
          <w:color w:val="auto"/>
          <w:szCs w:val="21"/>
          <w:highlight w:val="none"/>
        </w:rPr>
      </w:pPr>
      <w:r>
        <w:rPr>
          <w:rFonts w:hint="eastAsia" w:ascii="宋体" w:hAnsi="宋体" w:cs="仿宋"/>
          <w:color w:val="auto"/>
          <w:szCs w:val="21"/>
          <w:highlight w:val="none"/>
        </w:rPr>
        <w:t>（3）承诺的仪器和设备应根据工程建设需要和委托人要求进场</w:t>
      </w:r>
      <w:r>
        <w:rPr>
          <w:rFonts w:hint="eastAsia" w:ascii="宋体" w:hAnsi="宋体" w:cs="仿宋"/>
          <w:color w:val="auto"/>
          <w:spacing w:val="-20"/>
          <w:szCs w:val="21"/>
          <w:highlight w:val="none"/>
        </w:rPr>
        <w:t xml:space="preserve"> </w:t>
      </w:r>
      <w:r>
        <w:rPr>
          <w:rFonts w:hint="eastAsia" w:ascii="宋体" w:hAnsi="宋体" w:cs="仿宋"/>
          <w:color w:val="auto"/>
          <w:szCs w:val="21"/>
          <w:highlight w:val="none"/>
        </w:rPr>
        <w:t>，拖延到位的，扣以</w:t>
      </w:r>
      <w:r>
        <w:rPr>
          <w:rFonts w:hint="eastAsia" w:ascii="宋体" w:hAnsi="宋体" w:cs="仿宋"/>
          <w:color w:val="auto"/>
          <w:szCs w:val="21"/>
          <w:highlight w:val="none"/>
          <w:u w:val="single" w:color="000000"/>
        </w:rPr>
        <w:t xml:space="preserve"> 200</w:t>
      </w:r>
      <w:r>
        <w:rPr>
          <w:rFonts w:hint="eastAsia" w:ascii="宋体" w:hAnsi="宋体" w:cs="仿宋"/>
          <w:color w:val="auto"/>
          <w:szCs w:val="21"/>
          <w:highlight w:val="none"/>
        </w:rPr>
        <w:t>元（日·项）的违约金。</w:t>
      </w:r>
      <w:r>
        <w:rPr>
          <w:rFonts w:hint="eastAsia" w:ascii="宋体" w:hAnsi="宋体" w:cs="仿宋"/>
          <w:color w:val="auto"/>
          <w:szCs w:val="21"/>
          <w:highlight w:val="none"/>
        </w:rPr>
        <w:tab/>
      </w:r>
    </w:p>
    <w:p w14:paraId="21A54A87">
      <w:pPr>
        <w:spacing w:line="360" w:lineRule="auto"/>
        <w:ind w:right="173" w:firstLine="420" w:firstLineChars="200"/>
        <w:rPr>
          <w:rFonts w:ascii="宋体" w:hAnsi="宋体" w:cs="仿宋"/>
          <w:color w:val="auto"/>
          <w:szCs w:val="21"/>
          <w:highlight w:val="none"/>
        </w:rPr>
      </w:pPr>
      <w:r>
        <w:rPr>
          <w:rFonts w:hint="eastAsia" w:ascii="宋体" w:hAnsi="宋体" w:cs="仿宋"/>
          <w:color w:val="auto"/>
          <w:szCs w:val="21"/>
          <w:highlight w:val="none"/>
        </w:rPr>
        <w:t>（4）监理人应及时做好工程施工过程各种监理信息的收集、整理和归档，并保证现场记录、检查等资料的完整和真实。应编制《监理日志》，并向委托人提交监理月报、监理专题报告、监理工作报告和监理工作总结报告，监理人未及时向委托人提交上述资料的，扣以</w:t>
      </w:r>
      <w:r>
        <w:rPr>
          <w:rFonts w:hint="eastAsia" w:ascii="宋体" w:hAnsi="宋体" w:cs="仿宋"/>
          <w:color w:val="auto"/>
          <w:szCs w:val="21"/>
          <w:highlight w:val="none"/>
          <w:u w:val="single"/>
        </w:rPr>
        <w:t>2000</w:t>
      </w:r>
      <w:r>
        <w:rPr>
          <w:rFonts w:hint="eastAsia" w:ascii="宋体" w:hAnsi="宋体" w:cs="仿宋"/>
          <w:color w:val="auto"/>
          <w:szCs w:val="21"/>
          <w:highlight w:val="none"/>
        </w:rPr>
        <w:t>元/次的违约金。</w:t>
      </w:r>
    </w:p>
    <w:p w14:paraId="4E2DB0D4">
      <w:pPr>
        <w:spacing w:line="360" w:lineRule="auto"/>
        <w:ind w:right="173" w:firstLine="420" w:firstLineChars="200"/>
        <w:rPr>
          <w:rFonts w:ascii="宋体" w:hAnsi="宋体" w:cs="仿宋"/>
          <w:color w:val="auto"/>
          <w:szCs w:val="21"/>
          <w:highlight w:val="none"/>
        </w:rPr>
      </w:pPr>
      <w:r>
        <w:rPr>
          <w:rFonts w:hint="eastAsia" w:ascii="宋体" w:hAnsi="宋体" w:cs="仿宋"/>
          <w:color w:val="auto"/>
          <w:szCs w:val="21"/>
          <w:highlight w:val="none"/>
        </w:rPr>
        <w:t>（5）合同履行期间变更主要监理人员的，企业应当于变更</w:t>
      </w:r>
      <w:r>
        <w:rPr>
          <w:rFonts w:hint="eastAsia" w:ascii="宋体" w:hAnsi="宋体" w:cs="仿宋"/>
          <w:color w:val="auto"/>
          <w:spacing w:val="-78"/>
          <w:szCs w:val="21"/>
          <w:highlight w:val="none"/>
        </w:rPr>
        <w:t xml:space="preserve"> </w:t>
      </w:r>
      <w:r>
        <w:rPr>
          <w:rFonts w:hint="eastAsia" w:ascii="宋体" w:hAnsi="宋体" w:cs="仿宋"/>
          <w:color w:val="auto"/>
          <w:szCs w:val="21"/>
          <w:highlight w:val="none"/>
        </w:rPr>
        <w:t>5</w:t>
      </w:r>
      <w:r>
        <w:rPr>
          <w:rFonts w:hint="eastAsia" w:ascii="宋体" w:hAnsi="宋体" w:cs="仿宋"/>
          <w:color w:val="auto"/>
          <w:spacing w:val="-80"/>
          <w:szCs w:val="21"/>
          <w:highlight w:val="none"/>
        </w:rPr>
        <w:t xml:space="preserve"> </w:t>
      </w:r>
      <w:r>
        <w:rPr>
          <w:rFonts w:hint="eastAsia" w:ascii="宋体" w:hAnsi="宋体" w:cs="仿宋"/>
          <w:color w:val="auto"/>
          <w:szCs w:val="21"/>
          <w:highlight w:val="none"/>
        </w:rPr>
        <w:t>个工作日内报有关部门及时进行网上变</w:t>
      </w:r>
      <w:bookmarkStart w:id="519" w:name="第三节__附件"/>
      <w:bookmarkEnd w:id="519"/>
      <w:r>
        <w:rPr>
          <w:rFonts w:hint="eastAsia" w:ascii="宋体" w:hAnsi="宋体" w:cs="仿宋"/>
          <w:color w:val="auto"/>
          <w:szCs w:val="21"/>
          <w:highlight w:val="none"/>
        </w:rPr>
        <w:t>更。</w:t>
      </w:r>
    </w:p>
    <w:p w14:paraId="3640161C">
      <w:pPr>
        <w:spacing w:line="360" w:lineRule="auto"/>
        <w:ind w:right="101" w:firstLine="420" w:firstLineChars="200"/>
        <w:rPr>
          <w:rFonts w:ascii="宋体" w:hAnsi="宋体" w:cs="仿宋"/>
          <w:color w:val="auto"/>
          <w:szCs w:val="21"/>
          <w:highlight w:val="none"/>
        </w:rPr>
      </w:pPr>
      <w:r>
        <w:rPr>
          <w:rFonts w:hint="eastAsia" w:ascii="宋体" w:hAnsi="宋体" w:cs="仿宋"/>
          <w:color w:val="auto"/>
          <w:szCs w:val="21"/>
          <w:highlight w:val="none"/>
        </w:rPr>
        <w:t>合同履行期间变更总监理工程师的，企业应当于总监理工程师变更</w:t>
      </w:r>
      <w:r>
        <w:rPr>
          <w:rFonts w:hint="eastAsia" w:ascii="宋体" w:hAnsi="宋体" w:cs="仿宋"/>
          <w:color w:val="auto"/>
          <w:spacing w:val="-78"/>
          <w:szCs w:val="21"/>
          <w:highlight w:val="none"/>
        </w:rPr>
        <w:t xml:space="preserve"> </w:t>
      </w:r>
      <w:r>
        <w:rPr>
          <w:rFonts w:hint="eastAsia" w:ascii="宋体" w:hAnsi="宋体" w:cs="仿宋"/>
          <w:color w:val="auto"/>
          <w:szCs w:val="21"/>
          <w:highlight w:val="none"/>
        </w:rPr>
        <w:t>5</w:t>
      </w:r>
      <w:r>
        <w:rPr>
          <w:rFonts w:hint="eastAsia" w:ascii="宋体" w:hAnsi="宋体" w:cs="仿宋"/>
          <w:color w:val="auto"/>
          <w:spacing w:val="-80"/>
          <w:szCs w:val="21"/>
          <w:highlight w:val="none"/>
        </w:rPr>
        <w:t xml:space="preserve"> </w:t>
      </w:r>
      <w:r>
        <w:rPr>
          <w:rFonts w:hint="eastAsia" w:ascii="宋体" w:hAnsi="宋体" w:cs="仿宋"/>
          <w:color w:val="auto"/>
          <w:szCs w:val="21"/>
          <w:highlight w:val="none"/>
        </w:rPr>
        <w:t>个工作日内报行政主管部门和有关部门及时进行网上变更。</w:t>
      </w:r>
    </w:p>
    <w:p w14:paraId="077C8F61">
      <w:pPr>
        <w:pStyle w:val="5"/>
        <w:spacing w:before="0" w:after="0" w:line="360" w:lineRule="auto"/>
        <w:jc w:val="left"/>
        <w:rPr>
          <w:rFonts w:ascii="宋体" w:hAnsi="宋体" w:cs="仿宋"/>
          <w:color w:val="auto"/>
          <w:sz w:val="21"/>
          <w:szCs w:val="21"/>
          <w:highlight w:val="none"/>
        </w:rPr>
      </w:pPr>
      <w:bookmarkStart w:id="520" w:name="_bookmark226"/>
      <w:bookmarkEnd w:id="520"/>
      <w:bookmarkStart w:id="521" w:name="12._争议的解决"/>
      <w:bookmarkEnd w:id="521"/>
      <w:bookmarkStart w:id="522" w:name="_Toc129859399"/>
      <w:bookmarkStart w:id="523" w:name="_Toc20388345"/>
      <w:bookmarkStart w:id="524" w:name="_Toc129859522"/>
      <w:r>
        <w:rPr>
          <w:rFonts w:hint="eastAsia" w:ascii="宋体" w:hAnsi="宋体" w:cs="仿宋"/>
          <w:color w:val="auto"/>
          <w:sz w:val="21"/>
          <w:szCs w:val="21"/>
          <w:highlight w:val="none"/>
        </w:rPr>
        <w:t>13. 争议的解决</w:t>
      </w:r>
      <w:bookmarkEnd w:id="522"/>
      <w:bookmarkEnd w:id="523"/>
      <w:bookmarkEnd w:id="524"/>
    </w:p>
    <w:p w14:paraId="521AD31D">
      <w:pPr>
        <w:tabs>
          <w:tab w:val="left" w:pos="2007"/>
        </w:tabs>
        <w:spacing w:line="360" w:lineRule="auto"/>
        <w:ind w:right="117" w:firstLine="420" w:firstLineChars="200"/>
        <w:rPr>
          <w:rFonts w:ascii="宋体" w:hAnsi="宋体" w:cs="仿宋"/>
          <w:color w:val="auto"/>
          <w:szCs w:val="21"/>
          <w:highlight w:val="none"/>
        </w:rPr>
      </w:pPr>
      <w:r>
        <w:rPr>
          <w:rFonts w:hint="eastAsia" w:ascii="宋体" w:hAnsi="宋体" w:cs="仿宋"/>
          <w:color w:val="auto"/>
          <w:szCs w:val="21"/>
          <w:highlight w:val="none"/>
        </w:rPr>
        <w:t>委托人和监理人在履行合同中发生争议的，可以友好协商解决。合同当事人友好协商解决不成的，选择下列</w:t>
      </w:r>
      <w:r>
        <w:rPr>
          <w:rFonts w:hint="eastAsia" w:ascii="宋体" w:hAnsi="宋体" w:cs="仿宋"/>
          <w:color w:val="auto"/>
          <w:w w:val="95"/>
          <w:szCs w:val="21"/>
          <w:highlight w:val="none"/>
          <w:u w:val="single" w:color="000000"/>
        </w:rPr>
        <w:t xml:space="preserve"> </w:t>
      </w:r>
      <w:r>
        <w:rPr>
          <w:rFonts w:hint="eastAsia" w:ascii="宋体" w:hAnsi="宋体" w:cs="仿宋"/>
          <w:color w:val="auto"/>
          <w:w w:val="95"/>
          <w:szCs w:val="21"/>
          <w:highlight w:val="none"/>
          <w:u w:val="single" w:color="000000"/>
        </w:rPr>
        <w:tab/>
      </w:r>
      <w:r>
        <w:rPr>
          <w:rFonts w:hint="eastAsia" w:ascii="宋体" w:hAnsi="宋体" w:cs="仿宋"/>
          <w:color w:val="auto"/>
          <w:szCs w:val="21"/>
          <w:highlight w:val="none"/>
        </w:rPr>
        <w:t>方式解决：</w:t>
      </w:r>
    </w:p>
    <w:p w14:paraId="1EAAB478">
      <w:pPr>
        <w:tabs>
          <w:tab w:val="left" w:pos="1798"/>
        </w:tabs>
        <w:spacing w:line="360" w:lineRule="auto"/>
        <w:ind w:left="538"/>
        <w:rPr>
          <w:rFonts w:ascii="宋体" w:hAnsi="宋体" w:cs="仿宋"/>
          <w:color w:val="auto"/>
          <w:szCs w:val="21"/>
          <w:highlight w:val="none"/>
        </w:rPr>
      </w:pPr>
      <w:r>
        <w:rPr>
          <w:rFonts w:hint="eastAsia" w:ascii="宋体" w:hAnsi="宋体" w:cs="仿宋"/>
          <w:color w:val="auto"/>
          <w:szCs w:val="21"/>
          <w:highlight w:val="none"/>
        </w:rPr>
        <w:t>（1）向</w:t>
      </w:r>
      <w:r>
        <w:rPr>
          <w:rFonts w:hint="eastAsia" w:ascii="宋体" w:hAnsi="宋体" w:cs="仿宋"/>
          <w:color w:val="auto"/>
          <w:w w:val="100"/>
          <w:szCs w:val="21"/>
          <w:highlight w:val="none"/>
          <w:u w:val="single" w:color="auto"/>
        </w:rPr>
        <w:t>玉林市</w:t>
      </w:r>
      <w:r>
        <w:rPr>
          <w:rFonts w:hint="eastAsia" w:ascii="宋体" w:hAnsi="宋体" w:cs="仿宋"/>
          <w:color w:val="auto"/>
          <w:szCs w:val="21"/>
          <w:highlight w:val="none"/>
        </w:rPr>
        <w:t>仲裁委员会申请仲裁；</w:t>
      </w:r>
    </w:p>
    <w:p w14:paraId="050B8154">
      <w:pPr>
        <w:tabs>
          <w:tab w:val="left" w:pos="1798"/>
        </w:tabs>
        <w:spacing w:line="360" w:lineRule="auto"/>
        <w:ind w:left="538"/>
        <w:rPr>
          <w:color w:val="auto"/>
          <w:highlight w:val="none"/>
        </w:rPr>
      </w:pPr>
      <w:r>
        <w:rPr>
          <w:rFonts w:hint="eastAsia" w:ascii="宋体" w:hAnsi="宋体" w:cs="仿宋"/>
          <w:color w:val="auto"/>
          <w:szCs w:val="21"/>
          <w:highlight w:val="none"/>
        </w:rPr>
        <w:t>（2）向</w:t>
      </w:r>
      <w:r>
        <w:rPr>
          <w:rFonts w:hint="eastAsia" w:ascii="宋体" w:hAnsi="宋体" w:cs="仿宋"/>
          <w:color w:val="auto"/>
          <w:szCs w:val="21"/>
          <w:highlight w:val="none"/>
          <w:u w:val="single"/>
        </w:rPr>
        <w:t>玉林市</w:t>
      </w:r>
      <w:r>
        <w:rPr>
          <w:rFonts w:hint="eastAsia" w:ascii="宋体" w:hAnsi="宋体" w:cs="仿宋"/>
          <w:color w:val="auto"/>
          <w:szCs w:val="21"/>
          <w:highlight w:val="none"/>
        </w:rPr>
        <w:t>人民法院提起诉讼。</w:t>
      </w:r>
    </w:p>
    <w:p w14:paraId="41FC0BA1">
      <w:pPr>
        <w:pStyle w:val="26"/>
        <w:ind w:firstLine="210"/>
        <w:rPr>
          <w:color w:val="auto"/>
          <w:highlight w:val="none"/>
        </w:rPr>
      </w:pPr>
    </w:p>
    <w:p w14:paraId="7972551D">
      <w:pPr>
        <w:pStyle w:val="26"/>
        <w:ind w:firstLine="210"/>
        <w:rPr>
          <w:color w:val="auto"/>
          <w:highlight w:val="none"/>
        </w:rPr>
      </w:pPr>
    </w:p>
    <w:p w14:paraId="061B6808">
      <w:pPr>
        <w:pStyle w:val="26"/>
        <w:ind w:firstLine="210"/>
        <w:rPr>
          <w:color w:val="auto"/>
          <w:highlight w:val="none"/>
        </w:rPr>
      </w:pPr>
    </w:p>
    <w:p w14:paraId="79A5FE69">
      <w:pPr>
        <w:pStyle w:val="26"/>
        <w:ind w:firstLine="0" w:firstLineChars="0"/>
        <w:rPr>
          <w:color w:val="auto"/>
          <w:highlight w:val="none"/>
        </w:rPr>
      </w:pPr>
    </w:p>
    <w:p w14:paraId="2457AB4C">
      <w:pPr>
        <w:pStyle w:val="26"/>
        <w:ind w:firstLine="0" w:firstLineChars="0"/>
        <w:rPr>
          <w:color w:val="auto"/>
          <w:highlight w:val="none"/>
        </w:rPr>
      </w:pPr>
    </w:p>
    <w:p w14:paraId="791986F9">
      <w:pPr>
        <w:pStyle w:val="26"/>
        <w:ind w:firstLine="0" w:firstLineChars="0"/>
        <w:rPr>
          <w:color w:val="auto"/>
          <w:highlight w:val="none"/>
        </w:rPr>
      </w:pPr>
    </w:p>
    <w:p w14:paraId="118C4292">
      <w:pPr>
        <w:pStyle w:val="26"/>
        <w:ind w:firstLine="0" w:firstLineChars="0"/>
        <w:rPr>
          <w:color w:val="auto"/>
          <w:highlight w:val="none"/>
        </w:rPr>
      </w:pPr>
    </w:p>
    <w:p w14:paraId="4D11498F">
      <w:pPr>
        <w:pStyle w:val="26"/>
        <w:ind w:firstLine="0" w:firstLineChars="0"/>
        <w:rPr>
          <w:color w:val="auto"/>
          <w:highlight w:val="none"/>
        </w:rPr>
      </w:pPr>
    </w:p>
    <w:p w14:paraId="59C4F737">
      <w:pPr>
        <w:pStyle w:val="26"/>
        <w:ind w:firstLine="0" w:firstLineChars="0"/>
        <w:rPr>
          <w:color w:val="auto"/>
          <w:highlight w:val="none"/>
        </w:rPr>
      </w:pPr>
    </w:p>
    <w:p w14:paraId="3C0E94D7">
      <w:pPr>
        <w:pStyle w:val="26"/>
        <w:ind w:firstLine="0" w:firstLineChars="0"/>
        <w:rPr>
          <w:color w:val="auto"/>
          <w:highlight w:val="none"/>
        </w:rPr>
      </w:pPr>
    </w:p>
    <w:p w14:paraId="56F215DF">
      <w:pPr>
        <w:pStyle w:val="26"/>
        <w:ind w:firstLine="0" w:firstLineChars="0"/>
        <w:rPr>
          <w:color w:val="auto"/>
          <w:highlight w:val="none"/>
        </w:rPr>
      </w:pPr>
    </w:p>
    <w:p w14:paraId="62C95D7F">
      <w:pPr>
        <w:pStyle w:val="26"/>
        <w:ind w:firstLine="0" w:firstLineChars="0"/>
        <w:rPr>
          <w:color w:val="auto"/>
          <w:highlight w:val="none"/>
        </w:rPr>
      </w:pPr>
    </w:p>
    <w:p w14:paraId="4D1E09C7">
      <w:pPr>
        <w:pStyle w:val="26"/>
        <w:ind w:firstLine="0" w:firstLineChars="0"/>
        <w:rPr>
          <w:color w:val="auto"/>
          <w:highlight w:val="none"/>
        </w:rPr>
      </w:pPr>
    </w:p>
    <w:p w14:paraId="46D86621">
      <w:pPr>
        <w:pStyle w:val="26"/>
        <w:ind w:firstLine="0" w:firstLineChars="0"/>
        <w:rPr>
          <w:color w:val="auto"/>
          <w:highlight w:val="none"/>
        </w:rPr>
      </w:pPr>
    </w:p>
    <w:p w14:paraId="0C1AD811">
      <w:pPr>
        <w:pStyle w:val="26"/>
        <w:ind w:firstLine="0" w:firstLineChars="0"/>
        <w:rPr>
          <w:color w:val="auto"/>
          <w:highlight w:val="none"/>
        </w:rPr>
      </w:pPr>
    </w:p>
    <w:p w14:paraId="031DD8CD">
      <w:pPr>
        <w:pStyle w:val="26"/>
        <w:ind w:firstLine="0" w:firstLineChars="0"/>
        <w:rPr>
          <w:color w:val="auto"/>
          <w:highlight w:val="none"/>
        </w:rPr>
      </w:pPr>
    </w:p>
    <w:p w14:paraId="01E92BA8">
      <w:pPr>
        <w:pStyle w:val="26"/>
        <w:ind w:firstLine="0" w:firstLineChars="0"/>
        <w:rPr>
          <w:color w:val="auto"/>
          <w:highlight w:val="none"/>
        </w:rPr>
      </w:pPr>
    </w:p>
    <w:p w14:paraId="2CE85F11">
      <w:pPr>
        <w:pStyle w:val="26"/>
        <w:ind w:firstLine="0" w:firstLineChars="0"/>
        <w:rPr>
          <w:color w:val="auto"/>
          <w:highlight w:val="none"/>
        </w:rPr>
      </w:pPr>
    </w:p>
    <w:p w14:paraId="1D94C62A">
      <w:pPr>
        <w:pStyle w:val="26"/>
        <w:ind w:firstLine="0" w:firstLineChars="0"/>
        <w:rPr>
          <w:color w:val="auto"/>
          <w:highlight w:val="none"/>
        </w:rPr>
      </w:pPr>
    </w:p>
    <w:p w14:paraId="4B5560B8">
      <w:pPr>
        <w:pStyle w:val="26"/>
        <w:ind w:firstLine="0" w:firstLineChars="0"/>
        <w:rPr>
          <w:color w:val="auto"/>
          <w:highlight w:val="none"/>
        </w:rPr>
      </w:pPr>
    </w:p>
    <w:p w14:paraId="0264B398">
      <w:pPr>
        <w:pStyle w:val="26"/>
        <w:ind w:firstLine="0" w:firstLineChars="0"/>
        <w:rPr>
          <w:color w:val="auto"/>
          <w:highlight w:val="none"/>
        </w:rPr>
      </w:pPr>
    </w:p>
    <w:p w14:paraId="2E84C9DF">
      <w:pPr>
        <w:pStyle w:val="26"/>
        <w:ind w:firstLine="0" w:firstLineChars="0"/>
        <w:rPr>
          <w:color w:val="auto"/>
          <w:highlight w:val="none"/>
        </w:rPr>
      </w:pPr>
    </w:p>
    <w:p w14:paraId="6B5A8F59">
      <w:pPr>
        <w:pStyle w:val="26"/>
        <w:ind w:firstLine="0" w:firstLineChars="0"/>
        <w:rPr>
          <w:color w:val="auto"/>
          <w:highlight w:val="none"/>
        </w:rPr>
      </w:pPr>
    </w:p>
    <w:p w14:paraId="76CD1BED">
      <w:pPr>
        <w:pStyle w:val="26"/>
        <w:ind w:firstLine="0" w:firstLineChars="0"/>
        <w:rPr>
          <w:color w:val="auto"/>
          <w:highlight w:val="none"/>
        </w:rPr>
      </w:pPr>
    </w:p>
    <w:p w14:paraId="74FA7B9E">
      <w:pPr>
        <w:pStyle w:val="26"/>
        <w:ind w:firstLine="0" w:firstLineChars="0"/>
        <w:rPr>
          <w:color w:val="auto"/>
          <w:highlight w:val="none"/>
        </w:rPr>
      </w:pPr>
    </w:p>
    <w:p w14:paraId="5E67D099">
      <w:pPr>
        <w:pStyle w:val="26"/>
        <w:ind w:firstLine="0" w:firstLineChars="0"/>
        <w:rPr>
          <w:color w:val="auto"/>
          <w:highlight w:val="none"/>
        </w:rPr>
      </w:pPr>
    </w:p>
    <w:p w14:paraId="0C609F5C">
      <w:pPr>
        <w:pStyle w:val="26"/>
        <w:ind w:firstLine="0" w:firstLineChars="0"/>
        <w:rPr>
          <w:color w:val="auto"/>
          <w:highlight w:val="none"/>
        </w:rPr>
      </w:pPr>
    </w:p>
    <w:p w14:paraId="12B842BC">
      <w:pPr>
        <w:pStyle w:val="26"/>
        <w:ind w:firstLine="210"/>
        <w:rPr>
          <w:color w:val="auto"/>
          <w:highlight w:val="none"/>
        </w:rPr>
      </w:pPr>
    </w:p>
    <w:p w14:paraId="5F31E6AC">
      <w:pPr>
        <w:ind w:firstLine="3373" w:firstLineChars="1050"/>
        <w:rPr>
          <w:rFonts w:hint="eastAsia" w:ascii="宋体" w:hAnsi="宋体" w:cs="仿宋"/>
          <w:b/>
          <w:color w:val="auto"/>
          <w:sz w:val="32"/>
          <w:szCs w:val="32"/>
          <w:highlight w:val="none"/>
        </w:rPr>
      </w:pPr>
      <w:bookmarkStart w:id="525" w:name="_Toc20388346"/>
      <w:bookmarkStart w:id="526" w:name="_Toc129859400"/>
      <w:bookmarkStart w:id="527" w:name="_Toc18061002"/>
    </w:p>
    <w:p w14:paraId="2223372A">
      <w:pPr>
        <w:ind w:firstLine="3373" w:firstLineChars="1050"/>
        <w:rPr>
          <w:rFonts w:hint="eastAsia" w:ascii="宋体" w:hAnsi="宋体" w:cs="仿宋"/>
          <w:b/>
          <w:color w:val="auto"/>
          <w:sz w:val="32"/>
          <w:szCs w:val="32"/>
          <w:highlight w:val="none"/>
        </w:rPr>
      </w:pPr>
    </w:p>
    <w:p w14:paraId="6306ACF6">
      <w:pPr>
        <w:ind w:firstLine="3373" w:firstLineChars="1050"/>
        <w:rPr>
          <w:rFonts w:hint="eastAsia" w:ascii="宋体" w:hAnsi="宋体" w:cs="仿宋"/>
          <w:b/>
          <w:color w:val="auto"/>
          <w:sz w:val="32"/>
          <w:szCs w:val="32"/>
          <w:highlight w:val="none"/>
        </w:rPr>
      </w:pPr>
    </w:p>
    <w:p w14:paraId="0FAD14DB">
      <w:pPr>
        <w:ind w:firstLine="3373" w:firstLineChars="1050"/>
        <w:rPr>
          <w:rFonts w:hint="eastAsia" w:ascii="宋体" w:hAnsi="宋体" w:cs="仿宋"/>
          <w:b/>
          <w:color w:val="auto"/>
          <w:sz w:val="32"/>
          <w:szCs w:val="32"/>
          <w:highlight w:val="none"/>
        </w:rPr>
      </w:pPr>
    </w:p>
    <w:p w14:paraId="6521CD99">
      <w:pPr>
        <w:ind w:firstLine="3373" w:firstLineChars="1050"/>
        <w:rPr>
          <w:rFonts w:hint="eastAsia" w:ascii="宋体" w:hAnsi="宋体" w:cs="仿宋"/>
          <w:b/>
          <w:color w:val="auto"/>
          <w:sz w:val="32"/>
          <w:szCs w:val="32"/>
          <w:highlight w:val="none"/>
        </w:rPr>
      </w:pPr>
    </w:p>
    <w:p w14:paraId="17504DDF">
      <w:pPr>
        <w:ind w:firstLine="3373" w:firstLineChars="1050"/>
        <w:rPr>
          <w:rFonts w:ascii="宋体" w:hAnsi="宋体" w:cs="仿宋"/>
          <w:b/>
          <w:color w:val="auto"/>
          <w:sz w:val="32"/>
          <w:szCs w:val="32"/>
          <w:highlight w:val="none"/>
        </w:rPr>
      </w:pPr>
      <w:r>
        <w:rPr>
          <w:rFonts w:hint="eastAsia" w:ascii="宋体" w:hAnsi="宋体" w:cs="仿宋"/>
          <w:b/>
          <w:color w:val="auto"/>
          <w:sz w:val="32"/>
          <w:szCs w:val="32"/>
          <w:highlight w:val="none"/>
        </w:rPr>
        <w:t>第三节  合同附件格式</w:t>
      </w:r>
      <w:bookmarkEnd w:id="525"/>
      <w:bookmarkEnd w:id="526"/>
      <w:bookmarkEnd w:id="527"/>
    </w:p>
    <w:p w14:paraId="11D431D9">
      <w:pPr>
        <w:widowControl/>
        <w:spacing w:line="415" w:lineRule="auto"/>
        <w:jc w:val="left"/>
        <w:rPr>
          <w:rFonts w:ascii="宋体" w:hAnsi="宋体" w:cs="仿宋"/>
          <w:b/>
          <w:bCs/>
          <w:color w:val="auto"/>
          <w:sz w:val="32"/>
          <w:szCs w:val="32"/>
          <w:highlight w:val="none"/>
        </w:rPr>
        <w:sectPr>
          <w:pgSz w:w="12240" w:h="15840"/>
          <w:pgMar w:top="1417" w:right="1417" w:bottom="1417" w:left="1417" w:header="720" w:footer="720" w:gutter="0"/>
          <w:pgNumType w:fmt="numberInDash"/>
          <w:cols w:space="720" w:num="1"/>
        </w:sectPr>
      </w:pPr>
    </w:p>
    <w:p w14:paraId="131AB429">
      <w:pPr>
        <w:rPr>
          <w:rFonts w:ascii="宋体" w:hAnsi="宋体" w:cs="仿宋"/>
          <w:color w:val="auto"/>
          <w:sz w:val="30"/>
          <w:szCs w:val="30"/>
          <w:highlight w:val="none"/>
        </w:rPr>
      </w:pPr>
      <w:bookmarkStart w:id="528" w:name="_Toc129859401"/>
      <w:bookmarkStart w:id="529" w:name="_Toc18061003"/>
      <w:bookmarkStart w:id="530" w:name="_Toc20388347"/>
      <w:r>
        <w:rPr>
          <w:rFonts w:hint="eastAsia" w:ascii="宋体" w:hAnsi="宋体" w:cs="仿宋"/>
          <w:color w:val="auto"/>
          <w:sz w:val="30"/>
          <w:szCs w:val="30"/>
          <w:highlight w:val="none"/>
        </w:rPr>
        <w:t>附件一：合同协议书</w:t>
      </w:r>
      <w:bookmarkEnd w:id="528"/>
      <w:bookmarkEnd w:id="529"/>
      <w:bookmarkEnd w:id="530"/>
    </w:p>
    <w:p w14:paraId="52A96316">
      <w:pPr>
        <w:pStyle w:val="2"/>
        <w:spacing w:after="0" w:line="360" w:lineRule="auto"/>
        <w:ind w:right="114"/>
        <w:jc w:val="center"/>
        <w:rPr>
          <w:rFonts w:ascii="宋体" w:hAnsi="宋体" w:cs="仿宋"/>
          <w:color w:val="auto"/>
          <w:szCs w:val="21"/>
          <w:highlight w:val="none"/>
        </w:rPr>
      </w:pPr>
      <w:r>
        <w:rPr>
          <w:rFonts w:hint="eastAsia" w:ascii="宋体" w:hAnsi="宋体" w:cs="仿宋"/>
          <w:color w:val="auto"/>
          <w:szCs w:val="21"/>
          <w:highlight w:val="none"/>
        </w:rPr>
        <w:t>合同协议书</w:t>
      </w:r>
    </w:p>
    <w:p w14:paraId="61A6FBA3">
      <w:pPr>
        <w:pStyle w:val="2"/>
        <w:tabs>
          <w:tab w:val="left" w:pos="2457"/>
          <w:tab w:val="left" w:pos="3592"/>
          <w:tab w:val="left" w:pos="8320"/>
        </w:tabs>
        <w:spacing w:after="0" w:line="360" w:lineRule="auto"/>
        <w:ind w:right="50" w:firstLine="447" w:firstLineChars="213"/>
        <w:rPr>
          <w:rFonts w:ascii="宋体" w:hAnsi="宋体"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（委托人名称，以下简称“委托人”）为实施</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（项目名称），已接受</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u w:val="single"/>
        </w:rPr>
        <w:tab/>
      </w:r>
      <w:r>
        <w:rPr>
          <w:rFonts w:hint="eastAsia" w:ascii="宋体" w:hAnsi="宋体" w:cs="仿宋"/>
          <w:color w:val="auto"/>
          <w:szCs w:val="21"/>
          <w:highlight w:val="none"/>
        </w:rPr>
        <w:t xml:space="preserve">（监理人名称，以下简称“监理人”）对该项目监理投标。    </w:t>
      </w:r>
    </w:p>
    <w:p w14:paraId="56BEFB53">
      <w:pPr>
        <w:pStyle w:val="2"/>
        <w:tabs>
          <w:tab w:val="left" w:pos="2457"/>
          <w:tab w:val="left" w:pos="3592"/>
          <w:tab w:val="left" w:pos="8320"/>
        </w:tabs>
        <w:spacing w:after="0" w:line="360" w:lineRule="auto"/>
        <w:ind w:right="50" w:firstLine="359"/>
        <w:rPr>
          <w:rFonts w:ascii="宋体" w:hAnsi="宋体" w:cs="仿宋"/>
          <w:color w:val="auto"/>
          <w:szCs w:val="21"/>
          <w:highlight w:val="none"/>
        </w:rPr>
      </w:pPr>
      <w:r>
        <w:rPr>
          <w:rFonts w:hint="eastAsia" w:ascii="宋体" w:hAnsi="宋体" w:cs="仿宋"/>
          <w:color w:val="auto"/>
          <w:szCs w:val="21"/>
          <w:highlight w:val="none"/>
        </w:rPr>
        <w:t>委托人和监理人共同达成如下协议。</w:t>
      </w:r>
    </w:p>
    <w:p w14:paraId="58098E0F">
      <w:pPr>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w:t>
      </w:r>
      <w:bookmarkStart w:id="531" w:name="_Toc19193975"/>
      <w:r>
        <w:rPr>
          <w:rFonts w:hint="eastAsia" w:ascii="宋体" w:hAnsi="宋体" w:cs="仿宋"/>
          <w:color w:val="auto"/>
          <w:szCs w:val="21"/>
          <w:highlight w:val="none"/>
        </w:rPr>
        <w:t>1. 本协议书与下列文件一起构成合同文件：</w:t>
      </w:r>
      <w:bookmarkEnd w:id="531"/>
    </w:p>
    <w:p w14:paraId="15422C50">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（1）中标通知书；</w:t>
      </w:r>
    </w:p>
    <w:p w14:paraId="19ACB208">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（2）投标函及投标函附录；</w:t>
      </w:r>
    </w:p>
    <w:p w14:paraId="6E27748F">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（3）专用合同条款；</w:t>
      </w:r>
    </w:p>
    <w:p w14:paraId="107FFEC2">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（4）通用合同条款；</w:t>
      </w:r>
    </w:p>
    <w:p w14:paraId="74E76F93">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（5）委托人要求；</w:t>
      </w:r>
    </w:p>
    <w:p w14:paraId="64AAE38D">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（6）监理报酬清单；</w:t>
      </w:r>
    </w:p>
    <w:p w14:paraId="52206B2A">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（7）监理大纲；</w:t>
      </w:r>
    </w:p>
    <w:p w14:paraId="5C8B9E30">
      <w:pPr>
        <w:pStyle w:val="2"/>
        <w:spacing w:after="0" w:line="360" w:lineRule="auto"/>
        <w:ind w:right="108" w:firstLine="210" w:firstLineChars="100"/>
        <w:rPr>
          <w:rFonts w:ascii="宋体" w:hAnsi="宋体" w:cs="仿宋"/>
          <w:color w:val="auto"/>
          <w:szCs w:val="21"/>
          <w:highlight w:val="none"/>
        </w:rPr>
      </w:pPr>
      <w:r>
        <w:rPr>
          <w:rFonts w:hint="eastAsia" w:ascii="宋体" w:hAnsi="宋体" w:cs="仿宋"/>
          <w:color w:val="auto"/>
          <w:szCs w:val="21"/>
          <w:highlight w:val="none"/>
        </w:rPr>
        <w:t>（8）其他合同文件。</w:t>
      </w:r>
    </w:p>
    <w:p w14:paraId="50563653">
      <w:pPr>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w:t>
      </w:r>
      <w:bookmarkStart w:id="532" w:name="_Toc19193976"/>
      <w:r>
        <w:rPr>
          <w:rFonts w:hint="eastAsia" w:ascii="宋体" w:hAnsi="宋体" w:cs="仿宋"/>
          <w:color w:val="auto"/>
          <w:szCs w:val="21"/>
          <w:highlight w:val="none"/>
        </w:rPr>
        <w:t>2. 上述合同文件互相补充和解释。如果合同文件之间存在矛盾或不一致之处，以上述文件的排列顺序在先者为准。</w:t>
      </w:r>
      <w:bookmarkEnd w:id="532"/>
    </w:p>
    <w:p w14:paraId="3B629933">
      <w:pPr>
        <w:pStyle w:val="2"/>
        <w:tabs>
          <w:tab w:val="left" w:pos="4984"/>
          <w:tab w:val="left" w:pos="6768"/>
        </w:tabs>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3. 签约合同价：人民币（大写）</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w:t>
      </w:r>
      <w:r>
        <w:rPr>
          <w:rFonts w:ascii="宋体" w:hAnsi="宋体" w:cs="Calibri"/>
          <w:color w:val="auto"/>
          <w:szCs w:val="21"/>
          <w:highlight w:val="none"/>
        </w:rPr>
        <w:t>¥</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w:t>
      </w:r>
    </w:p>
    <w:p w14:paraId="07B47FA1">
      <w:pPr>
        <w:pStyle w:val="2"/>
        <w:tabs>
          <w:tab w:val="left" w:pos="3304"/>
        </w:tabs>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4. 总监理工程师：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w:t>
      </w:r>
    </w:p>
    <w:p w14:paraId="6E24702C">
      <w:pPr>
        <w:pStyle w:val="2"/>
        <w:tabs>
          <w:tab w:val="left" w:pos="6348"/>
        </w:tabs>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5. 监理工作质量符合的标准和要求：</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w:t>
      </w:r>
    </w:p>
    <w:p w14:paraId="14527AC5">
      <w:pPr>
        <w:pStyle w:val="2"/>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6. 监理人承诺按合同约定承担工程的监理工作。</w:t>
      </w:r>
    </w:p>
    <w:p w14:paraId="62D5210B">
      <w:pPr>
        <w:pStyle w:val="2"/>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7. 委托人承诺按合同约定的条件、时间和方式向监理人支付合同价款。</w:t>
      </w:r>
    </w:p>
    <w:p w14:paraId="2E84D346">
      <w:pPr>
        <w:pStyle w:val="2"/>
        <w:tabs>
          <w:tab w:val="left" w:pos="4718"/>
        </w:tabs>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8. 监理人计划开始监理日期：</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，实际日期按照委托人在开始监理通知中载明的开始监理日期为准。监理服务期限为</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天。</w:t>
      </w:r>
    </w:p>
    <w:p w14:paraId="62B6F2F3">
      <w:pPr>
        <w:pStyle w:val="2"/>
        <w:tabs>
          <w:tab w:val="left" w:pos="3199"/>
          <w:tab w:val="left" w:pos="5614"/>
        </w:tabs>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9. 本合同协议书一式</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份，合同双方各执</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份。</w:t>
      </w:r>
    </w:p>
    <w:p w14:paraId="5F8F4B0B">
      <w:pPr>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w:t>
      </w:r>
      <w:bookmarkStart w:id="533" w:name="_Toc19193977"/>
      <w:r>
        <w:rPr>
          <w:rFonts w:hint="eastAsia" w:ascii="宋体" w:hAnsi="宋体" w:cs="仿宋"/>
          <w:color w:val="auto"/>
          <w:szCs w:val="21"/>
          <w:highlight w:val="none"/>
        </w:rPr>
        <w:t>10. 合同未尽事宜，双方另行签订补充协议。补充协议是合同的组成部分。</w:t>
      </w:r>
      <w:bookmarkEnd w:id="533"/>
    </w:p>
    <w:p w14:paraId="36341CAD">
      <w:pPr>
        <w:pStyle w:val="2"/>
        <w:spacing w:after="0" w:line="360" w:lineRule="auto"/>
        <w:rPr>
          <w:rFonts w:ascii="宋体" w:hAnsi="宋体" w:cs="仿宋"/>
          <w:color w:val="auto"/>
          <w:szCs w:val="21"/>
          <w:highlight w:val="none"/>
        </w:rPr>
      </w:pPr>
    </w:p>
    <w:p w14:paraId="116FF73F">
      <w:pPr>
        <w:pStyle w:val="2"/>
        <w:tabs>
          <w:tab w:val="left" w:pos="2620"/>
          <w:tab w:val="left" w:pos="4350"/>
          <w:tab w:val="left" w:pos="7185"/>
        </w:tabs>
        <w:spacing w:after="0" w:line="360" w:lineRule="auto"/>
        <w:ind w:left="100"/>
        <w:rPr>
          <w:rFonts w:ascii="宋体" w:hAnsi="宋体" w:cs="仿宋"/>
          <w:color w:val="auto"/>
          <w:szCs w:val="21"/>
          <w:highlight w:val="none"/>
        </w:rPr>
      </w:pPr>
      <w:r>
        <w:rPr>
          <w:rFonts w:hint="eastAsia" w:ascii="宋体" w:hAnsi="宋体" w:cs="仿宋"/>
          <w:color w:val="auto"/>
          <w:szCs w:val="21"/>
          <w:highlight w:val="none"/>
        </w:rPr>
        <w:t>委托人：</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（盖单位公章）</w:t>
      </w:r>
      <w:r>
        <w:rPr>
          <w:rFonts w:hint="eastAsia" w:ascii="宋体" w:hAnsi="宋体" w:cs="仿宋"/>
          <w:color w:val="auto"/>
          <w:szCs w:val="21"/>
          <w:highlight w:val="none"/>
        </w:rPr>
        <w:tab/>
      </w:r>
      <w:r>
        <w:rPr>
          <w:rFonts w:hint="eastAsia" w:ascii="宋体" w:hAnsi="宋体" w:cs="仿宋"/>
          <w:color w:val="auto"/>
          <w:szCs w:val="21"/>
          <w:highlight w:val="none"/>
        </w:rPr>
        <w:t>监理人：</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（盖单位公章）</w:t>
      </w:r>
    </w:p>
    <w:p w14:paraId="63B71C3E">
      <w:pPr>
        <w:pStyle w:val="2"/>
        <w:tabs>
          <w:tab w:val="left" w:pos="3250"/>
          <w:tab w:val="left" w:pos="4730"/>
          <w:tab w:val="left" w:pos="7877"/>
        </w:tabs>
        <w:spacing w:after="0" w:line="360" w:lineRule="auto"/>
        <w:ind w:left="100"/>
        <w:rPr>
          <w:rFonts w:ascii="宋体" w:hAnsi="宋体" w:cs="仿宋"/>
          <w:color w:val="auto"/>
          <w:szCs w:val="21"/>
          <w:highlight w:val="none"/>
        </w:rPr>
      </w:pPr>
      <w:r>
        <w:rPr>
          <w:rFonts w:hint="eastAsia" w:ascii="宋体" w:hAnsi="宋体" w:cs="仿宋"/>
          <w:color w:val="auto"/>
          <w:szCs w:val="21"/>
          <w:highlight w:val="none"/>
        </w:rPr>
        <w:t>法定代表人或其委托代理人：</w:t>
      </w:r>
      <w:r>
        <w:rPr>
          <w:rFonts w:hint="eastAsia" w:ascii="宋体" w:hAnsi="宋体" w:cs="仿宋"/>
          <w:color w:val="auto"/>
          <w:szCs w:val="21"/>
          <w:highlight w:val="none"/>
          <w:u w:val="single"/>
        </w:rPr>
        <w:t xml:space="preserve"> </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（签字）法定代表人或其委托代理人：</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（签字）</w:t>
      </w:r>
    </w:p>
    <w:p w14:paraId="36DFCD9F">
      <w:pPr>
        <w:rPr>
          <w:rFonts w:ascii="宋体" w:hAnsi="宋体" w:cs="仿宋"/>
          <w:color w:val="auto"/>
          <w:sz w:val="30"/>
          <w:szCs w:val="30"/>
          <w:highlight w:val="none"/>
        </w:rPr>
      </w:pPr>
      <w:r>
        <w:rPr>
          <w:rFonts w:hint="eastAsia" w:ascii="宋体" w:hAnsi="宋体" w:cs="仿宋"/>
          <w:b/>
          <w:bCs/>
          <w:color w:val="auto"/>
          <w:szCs w:val="21"/>
          <w:highlight w:val="none"/>
        </w:rPr>
        <w:t xml:space="preserve"> </w:t>
      </w:r>
      <w:r>
        <w:rPr>
          <w:rFonts w:hint="eastAsia" w:ascii="宋体" w:hAnsi="宋体" w:cs="仿宋"/>
          <w:color w:val="auto"/>
          <w:szCs w:val="21"/>
          <w:highlight w:val="none"/>
        </w:rPr>
        <w:t xml:space="preserve">              </w:t>
      </w:r>
      <w:bookmarkStart w:id="534" w:name="_Toc129859402"/>
      <w:r>
        <w:rPr>
          <w:rFonts w:hint="eastAsia" w:ascii="宋体" w:hAnsi="宋体" w:cs="仿宋"/>
          <w:color w:val="auto"/>
          <w:szCs w:val="21"/>
          <w:highlight w:val="none"/>
        </w:rPr>
        <w:t>年      月       日</w:t>
      </w:r>
      <w:r>
        <w:rPr>
          <w:rFonts w:hint="eastAsia" w:ascii="宋体" w:hAnsi="宋体" w:cs="仿宋"/>
          <w:color w:val="auto"/>
          <w:szCs w:val="21"/>
          <w:highlight w:val="none"/>
        </w:rPr>
        <w:tab/>
      </w:r>
      <w:r>
        <w:rPr>
          <w:rFonts w:hint="eastAsia" w:ascii="宋体" w:hAnsi="宋体" w:cs="仿宋"/>
          <w:color w:val="auto"/>
          <w:szCs w:val="21"/>
          <w:highlight w:val="none"/>
        </w:rPr>
        <w:t xml:space="preserve">                  年       月       日</w:t>
      </w:r>
      <w:r>
        <w:rPr>
          <w:rFonts w:hint="eastAsia" w:ascii="宋体" w:hAnsi="宋体" w:cs="仿宋"/>
          <w:color w:val="auto"/>
          <w:highlight w:val="none"/>
        </w:rPr>
        <w:br w:type="page"/>
      </w:r>
      <w:bookmarkStart w:id="535" w:name="_Toc18061004"/>
      <w:bookmarkStart w:id="536" w:name="_Toc20388348"/>
      <w:r>
        <w:rPr>
          <w:rFonts w:hint="eastAsia" w:ascii="宋体" w:hAnsi="宋体" w:cs="仿宋"/>
          <w:color w:val="auto"/>
          <w:sz w:val="30"/>
          <w:szCs w:val="30"/>
          <w:highlight w:val="none"/>
        </w:rPr>
        <w:t>附件二：履约保证金格式</w:t>
      </w:r>
      <w:bookmarkEnd w:id="534"/>
      <w:bookmarkEnd w:id="535"/>
      <w:bookmarkEnd w:id="536"/>
    </w:p>
    <w:p w14:paraId="45554874">
      <w:pPr>
        <w:pStyle w:val="2"/>
        <w:spacing w:after="0" w:line="360" w:lineRule="auto"/>
        <w:ind w:right="-17" w:firstLine="420" w:firstLineChars="200"/>
        <w:rPr>
          <w:rFonts w:ascii="宋体" w:hAnsi="宋体" w:cs="仿宋"/>
          <w:color w:val="auto"/>
          <w:szCs w:val="21"/>
          <w:highlight w:val="none"/>
        </w:rPr>
      </w:pPr>
      <w:r>
        <w:rPr>
          <w:rFonts w:hint="eastAsia" w:ascii="宋体" w:hAnsi="宋体" w:cs="仿宋"/>
          <w:color w:val="auto"/>
          <w:szCs w:val="21"/>
          <w:highlight w:val="none"/>
        </w:rPr>
        <w:t>如采用银行保函，格式如下。</w:t>
      </w:r>
    </w:p>
    <w:p w14:paraId="557C90DA">
      <w:pPr>
        <w:spacing w:line="360" w:lineRule="auto"/>
        <w:ind w:left="100"/>
        <w:jc w:val="center"/>
        <w:rPr>
          <w:rFonts w:ascii="宋体" w:hAnsi="宋体" w:cs="仿宋"/>
          <w:color w:val="auto"/>
          <w:szCs w:val="21"/>
          <w:highlight w:val="none"/>
        </w:rPr>
      </w:pPr>
      <w:r>
        <w:rPr>
          <w:rFonts w:hint="eastAsia" w:ascii="宋体" w:hAnsi="宋体" w:cs="仿宋"/>
          <w:color w:val="auto"/>
          <w:szCs w:val="21"/>
          <w:highlight w:val="none"/>
        </w:rPr>
        <w:t>履约保证金</w:t>
      </w:r>
    </w:p>
    <w:p w14:paraId="2C831F42">
      <w:pPr>
        <w:spacing w:line="360" w:lineRule="auto"/>
        <w:ind w:left="100"/>
        <w:jc w:val="center"/>
        <w:rPr>
          <w:rFonts w:ascii="宋体" w:hAnsi="宋体" w:cs="仿宋"/>
          <w:color w:val="auto"/>
          <w:szCs w:val="21"/>
          <w:highlight w:val="none"/>
        </w:rPr>
      </w:pPr>
    </w:p>
    <w:p w14:paraId="3BF5D0A4">
      <w:pPr>
        <w:pStyle w:val="2"/>
        <w:tabs>
          <w:tab w:val="left" w:pos="2305"/>
        </w:tabs>
        <w:spacing w:after="0" w:line="360" w:lineRule="auto"/>
        <w:ind w:left="100" w:right="108"/>
        <w:rPr>
          <w:rFonts w:ascii="宋体" w:hAnsi="宋体"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（委托人名称）:</w:t>
      </w:r>
    </w:p>
    <w:p w14:paraId="4B26F480">
      <w:pPr>
        <w:pStyle w:val="2"/>
        <w:tabs>
          <w:tab w:val="left" w:pos="7901"/>
          <w:tab w:val="left" w:pos="8530"/>
        </w:tabs>
        <w:spacing w:after="0" w:line="360" w:lineRule="auto"/>
        <w:ind w:right="108" w:firstLine="539" w:firstLineChars="257"/>
        <w:rPr>
          <w:rFonts w:ascii="宋体" w:hAnsi="宋体" w:cs="仿宋"/>
          <w:color w:val="auto"/>
          <w:szCs w:val="21"/>
          <w:highlight w:val="none"/>
        </w:rPr>
      </w:pPr>
      <w:r>
        <w:rPr>
          <w:rFonts w:hint="eastAsia" w:ascii="宋体" w:hAnsi="宋体" w:cs="仿宋"/>
          <w:color w:val="auto"/>
          <w:szCs w:val="21"/>
          <w:highlight w:val="none"/>
        </w:rPr>
        <w:t>鉴于（委托人名称，以下简称“委托人”）接受（监理人名称，以下称“监理人”）于____  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日参加</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（项目名称）监理招标项目的投标。我方愿意无条件地、不可撤销地就监理人履行与你方订立的合同，向你方提供担保。</w:t>
      </w:r>
    </w:p>
    <w:p w14:paraId="3703ACF4">
      <w:pPr>
        <w:pStyle w:val="2"/>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1. 担保金额人民币（大写）</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w:t>
      </w:r>
      <w:r>
        <w:rPr>
          <w:rFonts w:ascii="宋体" w:hAnsi="宋体" w:cs="Calibri"/>
          <w:color w:val="auto"/>
          <w:szCs w:val="21"/>
          <w:highlight w:val="none"/>
        </w:rPr>
        <w:t>¥</w:t>
      </w:r>
      <w:r>
        <w:rPr>
          <w:rFonts w:hint="eastAsia" w:ascii="宋体" w:hAnsi="宋体" w:cs="仿宋"/>
          <w:color w:val="auto"/>
          <w:szCs w:val="21"/>
          <w:highlight w:val="none"/>
        </w:rPr>
        <w:t>）</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w:t>
      </w:r>
    </w:p>
    <w:p w14:paraId="14B85FB4">
      <w:pPr>
        <w:pStyle w:val="2"/>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2. 担保有效期自委托人与监理人签订的合同生效之日起至委托人签发竣工验收证书之日起 28日后失效。</w:t>
      </w:r>
    </w:p>
    <w:p w14:paraId="05AFAACF">
      <w:pPr>
        <w:pStyle w:val="2"/>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3. 在本担保有效期内，如果监理人不履行合同约定的义务或其履行不符合合同的约定，我方在收到你方以书面形式提出的在担保金额内的赔偿要求后，在 7 日内无条件支付。</w:t>
      </w:r>
    </w:p>
    <w:p w14:paraId="14DEC136">
      <w:pPr>
        <w:pStyle w:val="2"/>
        <w:spacing w:after="0" w:line="360" w:lineRule="auto"/>
        <w:ind w:right="108" w:firstLine="420" w:firstLineChars="200"/>
        <w:rPr>
          <w:rFonts w:ascii="宋体" w:hAnsi="宋体" w:cs="仿宋"/>
          <w:color w:val="auto"/>
          <w:szCs w:val="21"/>
          <w:highlight w:val="none"/>
        </w:rPr>
      </w:pPr>
      <w:r>
        <w:rPr>
          <w:rFonts w:hint="eastAsia" w:ascii="宋体" w:hAnsi="宋体" w:cs="仿宋"/>
          <w:color w:val="auto"/>
          <w:szCs w:val="21"/>
          <w:highlight w:val="none"/>
        </w:rPr>
        <w:t>4. 委托人和监理人变更合同时，无论我方是否收到该变更，我方承担本担保规定的义务不变。</w:t>
      </w:r>
    </w:p>
    <w:p w14:paraId="3B12239F">
      <w:pPr>
        <w:pStyle w:val="2"/>
        <w:tabs>
          <w:tab w:val="left" w:pos="7589"/>
        </w:tabs>
        <w:spacing w:after="0" w:line="360" w:lineRule="auto"/>
        <w:ind w:left="2412" w:right="21"/>
        <w:rPr>
          <w:rFonts w:ascii="宋体" w:hAnsi="宋体" w:cs="仿宋"/>
          <w:color w:val="auto"/>
          <w:szCs w:val="21"/>
          <w:highlight w:val="none"/>
        </w:rPr>
      </w:pPr>
      <w:r>
        <w:rPr>
          <w:rFonts w:hint="eastAsia" w:ascii="宋体" w:hAnsi="宋体" w:cs="仿宋"/>
          <w:color w:val="auto"/>
          <w:szCs w:val="21"/>
          <w:highlight w:val="none"/>
        </w:rPr>
        <w:t>担保人名称 ：</w:t>
      </w:r>
      <w:r>
        <w:rPr>
          <w:rFonts w:hint="eastAsia" w:ascii="宋体" w:hAnsi="宋体" w:cs="仿宋"/>
          <w:color w:val="auto"/>
          <w:szCs w:val="21"/>
          <w:highlight w:val="none"/>
          <w:u w:val="single"/>
        </w:rPr>
        <w:tab/>
      </w:r>
      <w:r>
        <w:rPr>
          <w:rFonts w:hint="eastAsia" w:ascii="宋体" w:hAnsi="宋体" w:cs="仿宋"/>
          <w:color w:val="auto"/>
          <w:szCs w:val="21"/>
          <w:highlight w:val="none"/>
          <w:u w:val="single"/>
        </w:rPr>
        <w:t>（</w:t>
      </w:r>
      <w:r>
        <w:rPr>
          <w:rFonts w:hint="eastAsia" w:ascii="宋体" w:hAnsi="宋体" w:cs="仿宋"/>
          <w:color w:val="auto"/>
          <w:szCs w:val="21"/>
          <w:highlight w:val="none"/>
        </w:rPr>
        <w:t>盖单位章）</w:t>
      </w:r>
    </w:p>
    <w:p w14:paraId="69759A39">
      <w:pPr>
        <w:pStyle w:val="2"/>
        <w:tabs>
          <w:tab w:val="left" w:pos="7985"/>
        </w:tabs>
        <w:spacing w:after="0" w:line="360" w:lineRule="auto"/>
        <w:ind w:left="2412" w:right="108"/>
        <w:rPr>
          <w:rFonts w:ascii="宋体" w:hAnsi="宋体" w:cs="仿宋"/>
          <w:color w:val="auto"/>
          <w:szCs w:val="21"/>
          <w:highlight w:val="none"/>
        </w:rPr>
      </w:pPr>
      <w:r>
        <w:rPr>
          <w:rFonts w:hint="eastAsia" w:ascii="宋体" w:hAnsi="宋体" w:cs="仿宋"/>
          <w:color w:val="auto"/>
          <w:szCs w:val="21"/>
          <w:highlight w:val="none"/>
        </w:rPr>
        <w:t>法定代表人或其委托代理人：</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r>
        <w:rPr>
          <w:rFonts w:hint="eastAsia" w:ascii="宋体" w:hAnsi="宋体" w:cs="仿宋"/>
          <w:color w:val="auto"/>
          <w:szCs w:val="21"/>
          <w:highlight w:val="none"/>
        </w:rPr>
        <w:t>（签字）</w:t>
      </w:r>
    </w:p>
    <w:p w14:paraId="0CA15B55">
      <w:pPr>
        <w:pStyle w:val="2"/>
        <w:tabs>
          <w:tab w:val="left" w:pos="3043"/>
          <w:tab w:val="left" w:pos="8760"/>
        </w:tabs>
        <w:spacing w:after="0" w:line="360" w:lineRule="auto"/>
        <w:ind w:left="2412" w:right="108"/>
        <w:rPr>
          <w:rFonts w:ascii="宋体" w:hAnsi="宋体" w:cs="仿宋"/>
          <w:color w:val="auto"/>
          <w:szCs w:val="21"/>
          <w:highlight w:val="none"/>
        </w:rPr>
      </w:pPr>
      <w:r>
        <w:rPr>
          <w:rFonts w:hint="eastAsia" w:ascii="宋体" w:hAnsi="宋体" w:cs="仿宋"/>
          <w:color w:val="auto"/>
          <w:szCs w:val="21"/>
          <w:highlight w:val="none"/>
        </w:rPr>
        <w:t>地</w:t>
      </w:r>
      <w:r>
        <w:rPr>
          <w:rFonts w:hint="eastAsia" w:ascii="宋体" w:hAnsi="宋体" w:cs="仿宋"/>
          <w:color w:val="auto"/>
          <w:szCs w:val="21"/>
          <w:highlight w:val="none"/>
        </w:rPr>
        <w:tab/>
      </w:r>
      <w:r>
        <w:rPr>
          <w:rFonts w:hint="eastAsia" w:ascii="宋体" w:hAnsi="宋体" w:cs="仿宋"/>
          <w:color w:val="auto"/>
          <w:szCs w:val="21"/>
          <w:highlight w:val="none"/>
        </w:rPr>
        <w:t>址：</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p>
    <w:p w14:paraId="6EE2E74E">
      <w:pPr>
        <w:pStyle w:val="2"/>
        <w:tabs>
          <w:tab w:val="left" w:pos="8760"/>
        </w:tabs>
        <w:spacing w:after="0" w:line="360" w:lineRule="auto"/>
        <w:ind w:left="2412" w:right="108"/>
        <w:rPr>
          <w:rFonts w:ascii="宋体" w:hAnsi="宋体" w:cs="仿宋"/>
          <w:color w:val="auto"/>
          <w:szCs w:val="21"/>
          <w:highlight w:val="none"/>
        </w:rPr>
      </w:pPr>
      <w:r>
        <w:rPr>
          <w:rFonts w:hint="eastAsia" w:ascii="宋体" w:hAnsi="宋体" w:cs="仿宋"/>
          <w:color w:val="auto"/>
          <w:szCs w:val="21"/>
          <w:highlight w:val="none"/>
        </w:rPr>
        <w:t>邮政编码：</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p>
    <w:p w14:paraId="54D2CBBA">
      <w:pPr>
        <w:pStyle w:val="2"/>
        <w:tabs>
          <w:tab w:val="left" w:pos="3043"/>
          <w:tab w:val="left" w:pos="8760"/>
        </w:tabs>
        <w:spacing w:after="0" w:line="360" w:lineRule="auto"/>
        <w:ind w:left="2412" w:right="108"/>
        <w:rPr>
          <w:rFonts w:ascii="宋体" w:hAnsi="宋体" w:cs="仿宋"/>
          <w:color w:val="auto"/>
          <w:szCs w:val="21"/>
          <w:highlight w:val="none"/>
          <w:u w:val="single"/>
        </w:rPr>
      </w:pPr>
      <w:r>
        <w:rPr>
          <w:rFonts w:hint="eastAsia" w:ascii="宋体" w:hAnsi="宋体" w:cs="仿宋"/>
          <w:color w:val="auto"/>
          <w:szCs w:val="21"/>
          <w:highlight w:val="none"/>
        </w:rPr>
        <w:t>电</w:t>
      </w:r>
      <w:r>
        <w:rPr>
          <w:rFonts w:hint="eastAsia" w:ascii="宋体" w:hAnsi="宋体" w:cs="仿宋"/>
          <w:color w:val="auto"/>
          <w:szCs w:val="21"/>
          <w:highlight w:val="none"/>
        </w:rPr>
        <w:tab/>
      </w:r>
      <w:r>
        <w:rPr>
          <w:rFonts w:hint="eastAsia" w:ascii="宋体" w:hAnsi="宋体" w:cs="仿宋"/>
          <w:color w:val="auto"/>
          <w:szCs w:val="21"/>
          <w:highlight w:val="none"/>
        </w:rPr>
        <w:t>话：</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rPr>
        <w:tab/>
      </w:r>
    </w:p>
    <w:p w14:paraId="78F246FA">
      <w:pPr>
        <w:spacing w:line="360" w:lineRule="auto"/>
        <w:ind w:firstLine="4830" w:firstLineChars="2300"/>
        <w:jc w:val="left"/>
        <w:rPr>
          <w:rFonts w:ascii="宋体" w:hAnsi="宋体"/>
          <w:color w:val="auto"/>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w:t>
      </w:r>
    </w:p>
    <w:p w14:paraId="427DC6AB">
      <w:pPr>
        <w:rPr>
          <w:color w:val="auto"/>
          <w:sz w:val="28"/>
          <w:szCs w:val="28"/>
          <w:highlight w:val="none"/>
        </w:rPr>
      </w:pPr>
    </w:p>
    <w:sectPr>
      <w:footerReference r:id="rId9" w:type="first"/>
      <w:footerReference r:id="rId8"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D"/>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EDBFD">
    <w:pPr>
      <w:pStyle w:val="20"/>
      <w:tabs>
        <w:tab w:val="center" w:pos="4439"/>
        <w:tab w:val="clear" w:pos="4153"/>
      </w:tabs>
      <w:jc w:val="both"/>
    </w:pPr>
  </w:p>
  <w:p w14:paraId="6054888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07A8D">
    <w:pPr>
      <w:pStyle w:val="20"/>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EE844">
                          <w:pPr>
                            <w:pStyle w:val="2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12EE844">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7B11FBF1">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7379">
    <w:pPr>
      <w:pStyle w:val="20"/>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3574F">
    <w:pPr>
      <w:pStyle w:val="20"/>
      <w:jc w:val="center"/>
    </w:pPr>
    <w:r>
      <w:pict>
        <v:shape id="文本框 5121" o:spid="_x0000_s3076" o:spt="202" type="#_x0000_t202" style="position:absolute;left:0pt;margin-top:0pt;height:10.35pt;width:14.3pt;mso-position-horizontal:center;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14:paraId="369D8DD4">
                <w:pPr>
                  <w:pStyle w:val="20"/>
                  <w:jc w:val="center"/>
                </w:pPr>
                <w:r>
                  <w:fldChar w:fldCharType="begin"/>
                </w:r>
                <w:r>
                  <w:instrText xml:space="preserve"> PAGE  \* MERGEFORMAT </w:instrText>
                </w:r>
                <w:r>
                  <w:fldChar w:fldCharType="separate"/>
                </w:r>
                <w:r>
                  <w:t>90</w:t>
                </w:r>
                <w:r>
                  <w:fldChar w:fldCharType="end"/>
                </w:r>
              </w:p>
            </w:txbxContent>
          </v:textbox>
        </v:shape>
      </w:pict>
    </w:r>
  </w:p>
  <w:p w14:paraId="658D1EBB">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F8F3">
    <w:pPr>
      <w:pStyle w:val="20"/>
    </w:pPr>
    <w:r>
      <w:pict>
        <v:shape id="文本框 5122"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33974E05">
                <w:pPr>
                  <w:pStyle w:val="20"/>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828B">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A3F6">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4C9A3"/>
    <w:multiLevelType w:val="singleLevel"/>
    <w:tmpl w:val="BB94C9A3"/>
    <w:lvl w:ilvl="0" w:tentative="0">
      <w:start w:val="1"/>
      <w:numFmt w:val="decimal"/>
      <w:suff w:val="nothing"/>
      <w:lvlText w:val="%1、"/>
      <w:lvlJc w:val="left"/>
    </w:lvl>
  </w:abstractNum>
  <w:abstractNum w:abstractNumId="1">
    <w:nsid w:val="EF74A01D"/>
    <w:multiLevelType w:val="singleLevel"/>
    <w:tmpl w:val="EF74A01D"/>
    <w:lvl w:ilvl="0" w:tentative="0">
      <w:start w:val="1"/>
      <w:numFmt w:val="decimal"/>
      <w:suff w:val="nothing"/>
      <w:lvlText w:val="（%1）"/>
      <w:lvlJc w:val="left"/>
    </w:lvl>
  </w:abstractNum>
  <w:abstractNum w:abstractNumId="2">
    <w:nsid w:val="0BF67291"/>
    <w:multiLevelType w:val="singleLevel"/>
    <w:tmpl w:val="0BF67291"/>
    <w:lvl w:ilvl="0" w:tentative="0">
      <w:start w:val="4"/>
      <w:numFmt w:val="decimal"/>
      <w:suff w:val="nothing"/>
      <w:lvlText w:val="（%1）"/>
      <w:lvlJc w:val="left"/>
    </w:lvl>
  </w:abstractNum>
  <w:abstractNum w:abstractNumId="3">
    <w:nsid w:val="2F1F9380"/>
    <w:multiLevelType w:val="singleLevel"/>
    <w:tmpl w:val="2F1F9380"/>
    <w:lvl w:ilvl="0" w:tentative="0">
      <w:start w:val="6"/>
      <w:numFmt w:val="chineseCounting"/>
      <w:suff w:val="space"/>
      <w:lvlText w:val="第%1章"/>
      <w:lvlJc w:val="left"/>
      <w:rPr>
        <w:rFonts w:hint="eastAsia"/>
      </w:rPr>
    </w:lvl>
  </w:abstractNum>
  <w:abstractNum w:abstractNumId="4">
    <w:nsid w:val="4C0D6B91"/>
    <w:multiLevelType w:val="singleLevel"/>
    <w:tmpl w:val="4C0D6B91"/>
    <w:lvl w:ilvl="0" w:tentative="0">
      <w:start w:val="1"/>
      <w:numFmt w:val="decimal"/>
      <w:suff w:val="nothing"/>
      <w:lvlText w:val="%1、"/>
      <w:lvlJc w:val="left"/>
    </w:lvl>
  </w:abstractNum>
  <w:abstractNum w:abstractNumId="5">
    <w:nsid w:val="5EC08F91"/>
    <w:multiLevelType w:val="singleLevel"/>
    <w:tmpl w:val="5EC08F91"/>
    <w:lvl w:ilvl="0" w:tentative="0">
      <w:start w:val="1"/>
      <w:numFmt w:val="decimal"/>
      <w:pStyle w:val="10"/>
      <w:lvlText w:val="%1."/>
      <w:lvlJc w:val="left"/>
      <w:pPr>
        <w:tabs>
          <w:tab w:val="left" w:pos="360"/>
        </w:tabs>
        <w:ind w:left="360" w:hanging="36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forms" w:enforcement="1" w:cryptProviderType="rsaFull" w:cryptAlgorithmClass="hash" w:cryptAlgorithmType="typeAny" w:cryptAlgorithmSid="4" w:cryptSpinCount="0" w:hash="x2XYRQvyYvBfiI7M8BsCYe3WCzQ=" w:salt="OOyZJrvvOQqNKqCb5uUeK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MzE4OTJlODJhNTYzYTJhODQ5ODMxY2FjOGIwNTQifQ=="/>
  </w:docVars>
  <w:rsids>
    <w:rsidRoot w:val="00F34B14"/>
    <w:rsid w:val="000002E0"/>
    <w:rsid w:val="00000672"/>
    <w:rsid w:val="00001013"/>
    <w:rsid w:val="00001722"/>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C6D"/>
    <w:rsid w:val="00012EA6"/>
    <w:rsid w:val="00013359"/>
    <w:rsid w:val="0001398A"/>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48B"/>
    <w:rsid w:val="00026855"/>
    <w:rsid w:val="00026886"/>
    <w:rsid w:val="0002785D"/>
    <w:rsid w:val="000307BE"/>
    <w:rsid w:val="000329E0"/>
    <w:rsid w:val="000350F9"/>
    <w:rsid w:val="000352E9"/>
    <w:rsid w:val="00035494"/>
    <w:rsid w:val="00036125"/>
    <w:rsid w:val="00036A07"/>
    <w:rsid w:val="0003780B"/>
    <w:rsid w:val="00040571"/>
    <w:rsid w:val="00040973"/>
    <w:rsid w:val="0004156E"/>
    <w:rsid w:val="00041713"/>
    <w:rsid w:val="0004440C"/>
    <w:rsid w:val="000445A9"/>
    <w:rsid w:val="00045A0F"/>
    <w:rsid w:val="00045C0A"/>
    <w:rsid w:val="00046B5E"/>
    <w:rsid w:val="000470CB"/>
    <w:rsid w:val="000509D9"/>
    <w:rsid w:val="000512AF"/>
    <w:rsid w:val="00051ACB"/>
    <w:rsid w:val="000533E7"/>
    <w:rsid w:val="000543B6"/>
    <w:rsid w:val="000544F1"/>
    <w:rsid w:val="00055D41"/>
    <w:rsid w:val="000560B8"/>
    <w:rsid w:val="00056EF6"/>
    <w:rsid w:val="00057CD6"/>
    <w:rsid w:val="00060DCE"/>
    <w:rsid w:val="000610E3"/>
    <w:rsid w:val="000614F3"/>
    <w:rsid w:val="00061965"/>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A48"/>
    <w:rsid w:val="00075B7E"/>
    <w:rsid w:val="000761E6"/>
    <w:rsid w:val="00077ACA"/>
    <w:rsid w:val="00077C70"/>
    <w:rsid w:val="00080F9E"/>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6A97"/>
    <w:rsid w:val="000871B8"/>
    <w:rsid w:val="00087B0A"/>
    <w:rsid w:val="00090AFD"/>
    <w:rsid w:val="00091524"/>
    <w:rsid w:val="000916DA"/>
    <w:rsid w:val="00091AAB"/>
    <w:rsid w:val="00092355"/>
    <w:rsid w:val="00092442"/>
    <w:rsid w:val="00092590"/>
    <w:rsid w:val="000929EF"/>
    <w:rsid w:val="00092C26"/>
    <w:rsid w:val="000933BE"/>
    <w:rsid w:val="000934EA"/>
    <w:rsid w:val="00094428"/>
    <w:rsid w:val="0009560F"/>
    <w:rsid w:val="0009588E"/>
    <w:rsid w:val="000959EE"/>
    <w:rsid w:val="00096DB9"/>
    <w:rsid w:val="00097183"/>
    <w:rsid w:val="0009726E"/>
    <w:rsid w:val="000972CB"/>
    <w:rsid w:val="00097608"/>
    <w:rsid w:val="000A0697"/>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0D23"/>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B7C76"/>
    <w:rsid w:val="000C1679"/>
    <w:rsid w:val="000C1EE3"/>
    <w:rsid w:val="000C3AE7"/>
    <w:rsid w:val="000C3CC9"/>
    <w:rsid w:val="000C4446"/>
    <w:rsid w:val="000C59C6"/>
    <w:rsid w:val="000C5D69"/>
    <w:rsid w:val="000C6DE4"/>
    <w:rsid w:val="000C70BD"/>
    <w:rsid w:val="000C7202"/>
    <w:rsid w:val="000D0A89"/>
    <w:rsid w:val="000D1389"/>
    <w:rsid w:val="000D14E1"/>
    <w:rsid w:val="000D1798"/>
    <w:rsid w:val="000D230C"/>
    <w:rsid w:val="000D2626"/>
    <w:rsid w:val="000D39F4"/>
    <w:rsid w:val="000D4016"/>
    <w:rsid w:val="000D411D"/>
    <w:rsid w:val="000D4321"/>
    <w:rsid w:val="000D4589"/>
    <w:rsid w:val="000D4809"/>
    <w:rsid w:val="000D73DD"/>
    <w:rsid w:val="000D74DC"/>
    <w:rsid w:val="000E1C51"/>
    <w:rsid w:val="000E28AB"/>
    <w:rsid w:val="000E2E3E"/>
    <w:rsid w:val="000E3583"/>
    <w:rsid w:val="000E3AF0"/>
    <w:rsid w:val="000E44D9"/>
    <w:rsid w:val="000E4E04"/>
    <w:rsid w:val="000E5782"/>
    <w:rsid w:val="000E5BDF"/>
    <w:rsid w:val="000E693B"/>
    <w:rsid w:val="000E6D5C"/>
    <w:rsid w:val="000E6EC9"/>
    <w:rsid w:val="000E70B4"/>
    <w:rsid w:val="000E7B62"/>
    <w:rsid w:val="000F0E1E"/>
    <w:rsid w:val="000F1A1B"/>
    <w:rsid w:val="000F2157"/>
    <w:rsid w:val="000F2A95"/>
    <w:rsid w:val="000F3281"/>
    <w:rsid w:val="000F32FD"/>
    <w:rsid w:val="000F3733"/>
    <w:rsid w:val="000F52A7"/>
    <w:rsid w:val="000F5F8B"/>
    <w:rsid w:val="000F6153"/>
    <w:rsid w:val="000F64AA"/>
    <w:rsid w:val="000F7639"/>
    <w:rsid w:val="000F78D0"/>
    <w:rsid w:val="000F7AF4"/>
    <w:rsid w:val="000F7C33"/>
    <w:rsid w:val="000F7F0C"/>
    <w:rsid w:val="001004D6"/>
    <w:rsid w:val="001010AC"/>
    <w:rsid w:val="00101D1B"/>
    <w:rsid w:val="00102676"/>
    <w:rsid w:val="00103646"/>
    <w:rsid w:val="00103918"/>
    <w:rsid w:val="00104897"/>
    <w:rsid w:val="00104EDE"/>
    <w:rsid w:val="00104F54"/>
    <w:rsid w:val="00105CDA"/>
    <w:rsid w:val="00106BEE"/>
    <w:rsid w:val="0010711C"/>
    <w:rsid w:val="00107368"/>
    <w:rsid w:val="00107701"/>
    <w:rsid w:val="00107BDF"/>
    <w:rsid w:val="00107C74"/>
    <w:rsid w:val="0011091C"/>
    <w:rsid w:val="00111266"/>
    <w:rsid w:val="001112EB"/>
    <w:rsid w:val="0011247D"/>
    <w:rsid w:val="00112D73"/>
    <w:rsid w:val="00113678"/>
    <w:rsid w:val="00113A7D"/>
    <w:rsid w:val="00113C3E"/>
    <w:rsid w:val="00115AB7"/>
    <w:rsid w:val="00115E11"/>
    <w:rsid w:val="00115EEE"/>
    <w:rsid w:val="00115F56"/>
    <w:rsid w:val="00116CA9"/>
    <w:rsid w:val="00116F38"/>
    <w:rsid w:val="001170A4"/>
    <w:rsid w:val="00117AE7"/>
    <w:rsid w:val="00117B85"/>
    <w:rsid w:val="00117CBD"/>
    <w:rsid w:val="0012006A"/>
    <w:rsid w:val="00121979"/>
    <w:rsid w:val="00121A2F"/>
    <w:rsid w:val="00122064"/>
    <w:rsid w:val="00124341"/>
    <w:rsid w:val="00124492"/>
    <w:rsid w:val="00124B12"/>
    <w:rsid w:val="001250A0"/>
    <w:rsid w:val="001263B8"/>
    <w:rsid w:val="00130217"/>
    <w:rsid w:val="00130783"/>
    <w:rsid w:val="00130A47"/>
    <w:rsid w:val="00130FB0"/>
    <w:rsid w:val="001319DB"/>
    <w:rsid w:val="00132B47"/>
    <w:rsid w:val="001337F8"/>
    <w:rsid w:val="001348B4"/>
    <w:rsid w:val="0013506E"/>
    <w:rsid w:val="001351CB"/>
    <w:rsid w:val="00135530"/>
    <w:rsid w:val="001355B3"/>
    <w:rsid w:val="00135947"/>
    <w:rsid w:val="001359A2"/>
    <w:rsid w:val="00135D5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5DE0"/>
    <w:rsid w:val="001476D3"/>
    <w:rsid w:val="001509CF"/>
    <w:rsid w:val="00150D1D"/>
    <w:rsid w:val="001523D2"/>
    <w:rsid w:val="001525AA"/>
    <w:rsid w:val="00152A87"/>
    <w:rsid w:val="00152AC1"/>
    <w:rsid w:val="00153213"/>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428A"/>
    <w:rsid w:val="001647C9"/>
    <w:rsid w:val="00164D08"/>
    <w:rsid w:val="00165627"/>
    <w:rsid w:val="001661A3"/>
    <w:rsid w:val="001661DE"/>
    <w:rsid w:val="00166998"/>
    <w:rsid w:val="00167226"/>
    <w:rsid w:val="0016782B"/>
    <w:rsid w:val="0016784D"/>
    <w:rsid w:val="00167853"/>
    <w:rsid w:val="00167887"/>
    <w:rsid w:val="00170C27"/>
    <w:rsid w:val="00172CA8"/>
    <w:rsid w:val="00173256"/>
    <w:rsid w:val="00173B0E"/>
    <w:rsid w:val="00173E03"/>
    <w:rsid w:val="0017512C"/>
    <w:rsid w:val="001756AF"/>
    <w:rsid w:val="0017586A"/>
    <w:rsid w:val="00175BA6"/>
    <w:rsid w:val="00176CA7"/>
    <w:rsid w:val="00176D0C"/>
    <w:rsid w:val="00176F8E"/>
    <w:rsid w:val="001778C5"/>
    <w:rsid w:val="00177E56"/>
    <w:rsid w:val="00177F0A"/>
    <w:rsid w:val="001807AD"/>
    <w:rsid w:val="00180C02"/>
    <w:rsid w:val="00180DA0"/>
    <w:rsid w:val="00181EAD"/>
    <w:rsid w:val="00182862"/>
    <w:rsid w:val="00183FC8"/>
    <w:rsid w:val="00184F57"/>
    <w:rsid w:val="00185091"/>
    <w:rsid w:val="00185544"/>
    <w:rsid w:val="00185617"/>
    <w:rsid w:val="00185E3F"/>
    <w:rsid w:val="001863B8"/>
    <w:rsid w:val="00186FE1"/>
    <w:rsid w:val="00187A14"/>
    <w:rsid w:val="0019171E"/>
    <w:rsid w:val="00192368"/>
    <w:rsid w:val="001923A0"/>
    <w:rsid w:val="001928B1"/>
    <w:rsid w:val="00193537"/>
    <w:rsid w:val="00193846"/>
    <w:rsid w:val="00193AB8"/>
    <w:rsid w:val="001948C4"/>
    <w:rsid w:val="00194AA3"/>
    <w:rsid w:val="00195424"/>
    <w:rsid w:val="001955FF"/>
    <w:rsid w:val="00196000"/>
    <w:rsid w:val="001975BE"/>
    <w:rsid w:val="00197EDD"/>
    <w:rsid w:val="001A02B3"/>
    <w:rsid w:val="001A04BB"/>
    <w:rsid w:val="001A08D0"/>
    <w:rsid w:val="001A1B39"/>
    <w:rsid w:val="001A2120"/>
    <w:rsid w:val="001A28C6"/>
    <w:rsid w:val="001A2E69"/>
    <w:rsid w:val="001A3934"/>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9F2"/>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526"/>
    <w:rsid w:val="001D0CFB"/>
    <w:rsid w:val="001D154A"/>
    <w:rsid w:val="001D1A0D"/>
    <w:rsid w:val="001D343C"/>
    <w:rsid w:val="001D53D1"/>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014F"/>
    <w:rsid w:val="001F0AC0"/>
    <w:rsid w:val="001F13FD"/>
    <w:rsid w:val="001F2A2E"/>
    <w:rsid w:val="001F3356"/>
    <w:rsid w:val="001F3C63"/>
    <w:rsid w:val="001F4460"/>
    <w:rsid w:val="001F44C1"/>
    <w:rsid w:val="001F5CF5"/>
    <w:rsid w:val="001F63C2"/>
    <w:rsid w:val="001F6C96"/>
    <w:rsid w:val="001F711A"/>
    <w:rsid w:val="001F75B0"/>
    <w:rsid w:val="0020057C"/>
    <w:rsid w:val="0020083C"/>
    <w:rsid w:val="00200CE5"/>
    <w:rsid w:val="00200F7C"/>
    <w:rsid w:val="002014DB"/>
    <w:rsid w:val="0020150B"/>
    <w:rsid w:val="00201539"/>
    <w:rsid w:val="00201E12"/>
    <w:rsid w:val="00202295"/>
    <w:rsid w:val="002033B5"/>
    <w:rsid w:val="0020382C"/>
    <w:rsid w:val="0020437A"/>
    <w:rsid w:val="0020454C"/>
    <w:rsid w:val="00204740"/>
    <w:rsid w:val="00205129"/>
    <w:rsid w:val="0020521F"/>
    <w:rsid w:val="0020532C"/>
    <w:rsid w:val="002055B4"/>
    <w:rsid w:val="00207477"/>
    <w:rsid w:val="002114C7"/>
    <w:rsid w:val="0021302C"/>
    <w:rsid w:val="00213B1C"/>
    <w:rsid w:val="00213F1E"/>
    <w:rsid w:val="00214202"/>
    <w:rsid w:val="002148E3"/>
    <w:rsid w:val="0021552D"/>
    <w:rsid w:val="002156AE"/>
    <w:rsid w:val="00215B95"/>
    <w:rsid w:val="00215E99"/>
    <w:rsid w:val="0021622B"/>
    <w:rsid w:val="00216B54"/>
    <w:rsid w:val="0022054D"/>
    <w:rsid w:val="0022107B"/>
    <w:rsid w:val="00223DDB"/>
    <w:rsid w:val="00223FA4"/>
    <w:rsid w:val="00223FB0"/>
    <w:rsid w:val="0022405A"/>
    <w:rsid w:val="00224060"/>
    <w:rsid w:val="00224067"/>
    <w:rsid w:val="0022421C"/>
    <w:rsid w:val="00224C4A"/>
    <w:rsid w:val="00224E83"/>
    <w:rsid w:val="00225664"/>
    <w:rsid w:val="0022663D"/>
    <w:rsid w:val="00227321"/>
    <w:rsid w:val="00227C56"/>
    <w:rsid w:val="00227F2D"/>
    <w:rsid w:val="00231851"/>
    <w:rsid w:val="002319FB"/>
    <w:rsid w:val="00231B89"/>
    <w:rsid w:val="00231F11"/>
    <w:rsid w:val="00231F5E"/>
    <w:rsid w:val="00233D90"/>
    <w:rsid w:val="0023467D"/>
    <w:rsid w:val="002346B4"/>
    <w:rsid w:val="00234F6E"/>
    <w:rsid w:val="002355BE"/>
    <w:rsid w:val="002358EA"/>
    <w:rsid w:val="00236578"/>
    <w:rsid w:val="00236DE9"/>
    <w:rsid w:val="00237342"/>
    <w:rsid w:val="00237D5A"/>
    <w:rsid w:val="00240D75"/>
    <w:rsid w:val="002415AE"/>
    <w:rsid w:val="00241D3C"/>
    <w:rsid w:val="00242109"/>
    <w:rsid w:val="0024310B"/>
    <w:rsid w:val="00243189"/>
    <w:rsid w:val="002439AB"/>
    <w:rsid w:val="00243C19"/>
    <w:rsid w:val="002445BC"/>
    <w:rsid w:val="00244AE8"/>
    <w:rsid w:val="00244DC9"/>
    <w:rsid w:val="00245587"/>
    <w:rsid w:val="00245A9F"/>
    <w:rsid w:val="00245F2B"/>
    <w:rsid w:val="002466CD"/>
    <w:rsid w:val="00246FED"/>
    <w:rsid w:val="00247F3A"/>
    <w:rsid w:val="00250122"/>
    <w:rsid w:val="0025024D"/>
    <w:rsid w:val="00250755"/>
    <w:rsid w:val="00251043"/>
    <w:rsid w:val="00251C4A"/>
    <w:rsid w:val="0025206A"/>
    <w:rsid w:val="0025271C"/>
    <w:rsid w:val="0025277A"/>
    <w:rsid w:val="00252B1A"/>
    <w:rsid w:val="002533CD"/>
    <w:rsid w:val="002535EA"/>
    <w:rsid w:val="0025391A"/>
    <w:rsid w:val="002546A0"/>
    <w:rsid w:val="00254EAB"/>
    <w:rsid w:val="002557AF"/>
    <w:rsid w:val="0025589C"/>
    <w:rsid w:val="00255B62"/>
    <w:rsid w:val="002566B1"/>
    <w:rsid w:val="002575E3"/>
    <w:rsid w:val="00257A74"/>
    <w:rsid w:val="00257C5D"/>
    <w:rsid w:val="002603C1"/>
    <w:rsid w:val="002609A1"/>
    <w:rsid w:val="002612B1"/>
    <w:rsid w:val="00262272"/>
    <w:rsid w:val="0026274F"/>
    <w:rsid w:val="00264973"/>
    <w:rsid w:val="00265A12"/>
    <w:rsid w:val="00265E49"/>
    <w:rsid w:val="00266165"/>
    <w:rsid w:val="00266F2C"/>
    <w:rsid w:val="00270110"/>
    <w:rsid w:val="0027125E"/>
    <w:rsid w:val="00271283"/>
    <w:rsid w:val="00271767"/>
    <w:rsid w:val="00272293"/>
    <w:rsid w:val="002723C8"/>
    <w:rsid w:val="00273633"/>
    <w:rsid w:val="00273C2A"/>
    <w:rsid w:val="00273CBE"/>
    <w:rsid w:val="00273E07"/>
    <w:rsid w:val="002746B1"/>
    <w:rsid w:val="00274BAD"/>
    <w:rsid w:val="00275736"/>
    <w:rsid w:val="002807B0"/>
    <w:rsid w:val="00280F74"/>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DE3"/>
    <w:rsid w:val="00296FB6"/>
    <w:rsid w:val="00297853"/>
    <w:rsid w:val="00297B47"/>
    <w:rsid w:val="002A0001"/>
    <w:rsid w:val="002A0BD9"/>
    <w:rsid w:val="002A0C3A"/>
    <w:rsid w:val="002A0DF8"/>
    <w:rsid w:val="002A0F1C"/>
    <w:rsid w:val="002A1130"/>
    <w:rsid w:val="002A1880"/>
    <w:rsid w:val="002A23B7"/>
    <w:rsid w:val="002A2554"/>
    <w:rsid w:val="002A3A57"/>
    <w:rsid w:val="002A3B3E"/>
    <w:rsid w:val="002A4B4F"/>
    <w:rsid w:val="002A5721"/>
    <w:rsid w:val="002A57A8"/>
    <w:rsid w:val="002A5BC4"/>
    <w:rsid w:val="002A6DEF"/>
    <w:rsid w:val="002A770B"/>
    <w:rsid w:val="002B013E"/>
    <w:rsid w:val="002B058D"/>
    <w:rsid w:val="002B0C16"/>
    <w:rsid w:val="002B0E0C"/>
    <w:rsid w:val="002B2456"/>
    <w:rsid w:val="002B2AC5"/>
    <w:rsid w:val="002B3528"/>
    <w:rsid w:val="002B3539"/>
    <w:rsid w:val="002B3741"/>
    <w:rsid w:val="002B4395"/>
    <w:rsid w:val="002B4532"/>
    <w:rsid w:val="002B4DD9"/>
    <w:rsid w:val="002B5042"/>
    <w:rsid w:val="002B69CC"/>
    <w:rsid w:val="002B6D71"/>
    <w:rsid w:val="002C03AE"/>
    <w:rsid w:val="002C0C1C"/>
    <w:rsid w:val="002C41BF"/>
    <w:rsid w:val="002C54C2"/>
    <w:rsid w:val="002C5D34"/>
    <w:rsid w:val="002C60BB"/>
    <w:rsid w:val="002C656A"/>
    <w:rsid w:val="002C661A"/>
    <w:rsid w:val="002D01F8"/>
    <w:rsid w:val="002D035E"/>
    <w:rsid w:val="002D0D6F"/>
    <w:rsid w:val="002D25FC"/>
    <w:rsid w:val="002D4AC6"/>
    <w:rsid w:val="002D59BF"/>
    <w:rsid w:val="002D5BF5"/>
    <w:rsid w:val="002D5EE8"/>
    <w:rsid w:val="002D7360"/>
    <w:rsid w:val="002D7379"/>
    <w:rsid w:val="002D7648"/>
    <w:rsid w:val="002D7C80"/>
    <w:rsid w:val="002E01A1"/>
    <w:rsid w:val="002E109C"/>
    <w:rsid w:val="002E193E"/>
    <w:rsid w:val="002E1A94"/>
    <w:rsid w:val="002E1D55"/>
    <w:rsid w:val="002E26C4"/>
    <w:rsid w:val="002E2734"/>
    <w:rsid w:val="002E30A5"/>
    <w:rsid w:val="002E47E4"/>
    <w:rsid w:val="002E4BF9"/>
    <w:rsid w:val="002E4D61"/>
    <w:rsid w:val="002E68A7"/>
    <w:rsid w:val="002E6A66"/>
    <w:rsid w:val="002E6E6C"/>
    <w:rsid w:val="002F016E"/>
    <w:rsid w:val="002F0522"/>
    <w:rsid w:val="002F16DD"/>
    <w:rsid w:val="002F199D"/>
    <w:rsid w:val="002F213C"/>
    <w:rsid w:val="002F2453"/>
    <w:rsid w:val="002F352D"/>
    <w:rsid w:val="002F381E"/>
    <w:rsid w:val="002F4084"/>
    <w:rsid w:val="002F4A08"/>
    <w:rsid w:val="002F4ADB"/>
    <w:rsid w:val="002F5239"/>
    <w:rsid w:val="002F531E"/>
    <w:rsid w:val="002F548D"/>
    <w:rsid w:val="002F5ACC"/>
    <w:rsid w:val="002F704B"/>
    <w:rsid w:val="002F72C3"/>
    <w:rsid w:val="002F73EA"/>
    <w:rsid w:val="002F768C"/>
    <w:rsid w:val="002F7D1E"/>
    <w:rsid w:val="00300201"/>
    <w:rsid w:val="0030025A"/>
    <w:rsid w:val="00302EFC"/>
    <w:rsid w:val="00303243"/>
    <w:rsid w:val="00303BCC"/>
    <w:rsid w:val="00303F2B"/>
    <w:rsid w:val="00303F8D"/>
    <w:rsid w:val="0030572D"/>
    <w:rsid w:val="0030586A"/>
    <w:rsid w:val="003058F9"/>
    <w:rsid w:val="0030622D"/>
    <w:rsid w:val="00306811"/>
    <w:rsid w:val="00306F32"/>
    <w:rsid w:val="003074C5"/>
    <w:rsid w:val="00307A3C"/>
    <w:rsid w:val="00307FA4"/>
    <w:rsid w:val="00310290"/>
    <w:rsid w:val="00310CC1"/>
    <w:rsid w:val="00312504"/>
    <w:rsid w:val="00312B89"/>
    <w:rsid w:val="00312BE9"/>
    <w:rsid w:val="00313026"/>
    <w:rsid w:val="00313913"/>
    <w:rsid w:val="0031421F"/>
    <w:rsid w:val="00314A7A"/>
    <w:rsid w:val="00314B31"/>
    <w:rsid w:val="00315A65"/>
    <w:rsid w:val="003165D7"/>
    <w:rsid w:val="0031666B"/>
    <w:rsid w:val="00316ABE"/>
    <w:rsid w:val="00317BA7"/>
    <w:rsid w:val="00320A42"/>
    <w:rsid w:val="00320BE2"/>
    <w:rsid w:val="00321886"/>
    <w:rsid w:val="00321EDC"/>
    <w:rsid w:val="00323694"/>
    <w:rsid w:val="00323BE7"/>
    <w:rsid w:val="00324C3A"/>
    <w:rsid w:val="00324D63"/>
    <w:rsid w:val="003255AF"/>
    <w:rsid w:val="003256EB"/>
    <w:rsid w:val="0032596C"/>
    <w:rsid w:val="003259DB"/>
    <w:rsid w:val="0032795B"/>
    <w:rsid w:val="00327F43"/>
    <w:rsid w:val="003303CD"/>
    <w:rsid w:val="003314D9"/>
    <w:rsid w:val="00331653"/>
    <w:rsid w:val="00331A48"/>
    <w:rsid w:val="00331BCC"/>
    <w:rsid w:val="003330C9"/>
    <w:rsid w:val="0033364C"/>
    <w:rsid w:val="00334415"/>
    <w:rsid w:val="00334458"/>
    <w:rsid w:val="00335EA1"/>
    <w:rsid w:val="0033691E"/>
    <w:rsid w:val="00336A6A"/>
    <w:rsid w:val="00336CCB"/>
    <w:rsid w:val="003411D1"/>
    <w:rsid w:val="003416BA"/>
    <w:rsid w:val="00342148"/>
    <w:rsid w:val="00342564"/>
    <w:rsid w:val="00342F99"/>
    <w:rsid w:val="003433FD"/>
    <w:rsid w:val="00344525"/>
    <w:rsid w:val="00344587"/>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5D6"/>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2B0"/>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7DD"/>
    <w:rsid w:val="00380874"/>
    <w:rsid w:val="00380BBE"/>
    <w:rsid w:val="00380F74"/>
    <w:rsid w:val="00381D70"/>
    <w:rsid w:val="0038235E"/>
    <w:rsid w:val="003829D0"/>
    <w:rsid w:val="0038326A"/>
    <w:rsid w:val="00383991"/>
    <w:rsid w:val="0038444F"/>
    <w:rsid w:val="003861F0"/>
    <w:rsid w:val="00387051"/>
    <w:rsid w:val="00387ECF"/>
    <w:rsid w:val="0039021B"/>
    <w:rsid w:val="00390429"/>
    <w:rsid w:val="0039044B"/>
    <w:rsid w:val="003906A0"/>
    <w:rsid w:val="003923D5"/>
    <w:rsid w:val="003931AF"/>
    <w:rsid w:val="0039366C"/>
    <w:rsid w:val="00393885"/>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3B2"/>
    <w:rsid w:val="003B0B6A"/>
    <w:rsid w:val="003B20C5"/>
    <w:rsid w:val="003B221E"/>
    <w:rsid w:val="003B22F7"/>
    <w:rsid w:val="003B29CF"/>
    <w:rsid w:val="003B3A90"/>
    <w:rsid w:val="003B3D01"/>
    <w:rsid w:val="003B534F"/>
    <w:rsid w:val="003B7A79"/>
    <w:rsid w:val="003C0FE1"/>
    <w:rsid w:val="003C151A"/>
    <w:rsid w:val="003C1998"/>
    <w:rsid w:val="003C1A97"/>
    <w:rsid w:val="003C350C"/>
    <w:rsid w:val="003C3733"/>
    <w:rsid w:val="003C3903"/>
    <w:rsid w:val="003C3BA0"/>
    <w:rsid w:val="003C4580"/>
    <w:rsid w:val="003C5C5E"/>
    <w:rsid w:val="003C6746"/>
    <w:rsid w:val="003C7555"/>
    <w:rsid w:val="003C7898"/>
    <w:rsid w:val="003D03EF"/>
    <w:rsid w:val="003D0FF5"/>
    <w:rsid w:val="003D11A3"/>
    <w:rsid w:val="003D1537"/>
    <w:rsid w:val="003D183C"/>
    <w:rsid w:val="003D2D1B"/>
    <w:rsid w:val="003D48C7"/>
    <w:rsid w:val="003D4C27"/>
    <w:rsid w:val="003D4CFB"/>
    <w:rsid w:val="003D7109"/>
    <w:rsid w:val="003D7779"/>
    <w:rsid w:val="003D7CE8"/>
    <w:rsid w:val="003E0514"/>
    <w:rsid w:val="003E1032"/>
    <w:rsid w:val="003E1904"/>
    <w:rsid w:val="003E285E"/>
    <w:rsid w:val="003E3124"/>
    <w:rsid w:val="003E3300"/>
    <w:rsid w:val="003E43D3"/>
    <w:rsid w:val="003E48E1"/>
    <w:rsid w:val="003E4A11"/>
    <w:rsid w:val="003E50F4"/>
    <w:rsid w:val="003E59BB"/>
    <w:rsid w:val="003E6225"/>
    <w:rsid w:val="003E65AC"/>
    <w:rsid w:val="003E66AE"/>
    <w:rsid w:val="003E72B9"/>
    <w:rsid w:val="003E7612"/>
    <w:rsid w:val="003E7C38"/>
    <w:rsid w:val="003E7ED4"/>
    <w:rsid w:val="003F0CAA"/>
    <w:rsid w:val="003F0E52"/>
    <w:rsid w:val="003F0F6B"/>
    <w:rsid w:val="003F1FC6"/>
    <w:rsid w:val="003F1FE3"/>
    <w:rsid w:val="003F2359"/>
    <w:rsid w:val="003F3232"/>
    <w:rsid w:val="003F3865"/>
    <w:rsid w:val="003F38AC"/>
    <w:rsid w:val="003F3D55"/>
    <w:rsid w:val="003F416A"/>
    <w:rsid w:val="003F44E2"/>
    <w:rsid w:val="003F4632"/>
    <w:rsid w:val="003F47BA"/>
    <w:rsid w:val="003F4FE6"/>
    <w:rsid w:val="003F5638"/>
    <w:rsid w:val="003F6617"/>
    <w:rsid w:val="003F7C37"/>
    <w:rsid w:val="003F7EC8"/>
    <w:rsid w:val="004000C9"/>
    <w:rsid w:val="0040129F"/>
    <w:rsid w:val="0040187D"/>
    <w:rsid w:val="00402332"/>
    <w:rsid w:val="004025C2"/>
    <w:rsid w:val="00403195"/>
    <w:rsid w:val="004033A9"/>
    <w:rsid w:val="00403973"/>
    <w:rsid w:val="00403E55"/>
    <w:rsid w:val="0040407C"/>
    <w:rsid w:val="0040416C"/>
    <w:rsid w:val="004041CA"/>
    <w:rsid w:val="00404681"/>
    <w:rsid w:val="00405445"/>
    <w:rsid w:val="00405AC1"/>
    <w:rsid w:val="00406923"/>
    <w:rsid w:val="0040763D"/>
    <w:rsid w:val="00410D17"/>
    <w:rsid w:val="00410D36"/>
    <w:rsid w:val="00412AA9"/>
    <w:rsid w:val="00413442"/>
    <w:rsid w:val="00413821"/>
    <w:rsid w:val="00413BA5"/>
    <w:rsid w:val="004141A3"/>
    <w:rsid w:val="00414909"/>
    <w:rsid w:val="004150D5"/>
    <w:rsid w:val="00415475"/>
    <w:rsid w:val="0041582F"/>
    <w:rsid w:val="00416112"/>
    <w:rsid w:val="00417A18"/>
    <w:rsid w:val="00417AE0"/>
    <w:rsid w:val="00417BAA"/>
    <w:rsid w:val="0042042B"/>
    <w:rsid w:val="00420B45"/>
    <w:rsid w:val="00420D7A"/>
    <w:rsid w:val="00420FCE"/>
    <w:rsid w:val="00421257"/>
    <w:rsid w:val="004216A0"/>
    <w:rsid w:val="00421730"/>
    <w:rsid w:val="00422193"/>
    <w:rsid w:val="004223DE"/>
    <w:rsid w:val="00422A10"/>
    <w:rsid w:val="00422E17"/>
    <w:rsid w:val="00424D17"/>
    <w:rsid w:val="00425DFD"/>
    <w:rsid w:val="004263A3"/>
    <w:rsid w:val="00427713"/>
    <w:rsid w:val="00427CCC"/>
    <w:rsid w:val="0043013A"/>
    <w:rsid w:val="00430421"/>
    <w:rsid w:val="00430A36"/>
    <w:rsid w:val="00430B4F"/>
    <w:rsid w:val="00430DC1"/>
    <w:rsid w:val="00431084"/>
    <w:rsid w:val="004310D7"/>
    <w:rsid w:val="004322D6"/>
    <w:rsid w:val="00432589"/>
    <w:rsid w:val="00432A94"/>
    <w:rsid w:val="00432C95"/>
    <w:rsid w:val="00433827"/>
    <w:rsid w:val="00433A40"/>
    <w:rsid w:val="004340BC"/>
    <w:rsid w:val="00434B70"/>
    <w:rsid w:val="00434FFB"/>
    <w:rsid w:val="004360C8"/>
    <w:rsid w:val="00436823"/>
    <w:rsid w:val="004371D5"/>
    <w:rsid w:val="0044006B"/>
    <w:rsid w:val="0044033F"/>
    <w:rsid w:val="00440630"/>
    <w:rsid w:val="00441296"/>
    <w:rsid w:val="00441F0F"/>
    <w:rsid w:val="004423B6"/>
    <w:rsid w:val="00442965"/>
    <w:rsid w:val="004432B6"/>
    <w:rsid w:val="00444157"/>
    <w:rsid w:val="0044417C"/>
    <w:rsid w:val="00444677"/>
    <w:rsid w:val="00444DB3"/>
    <w:rsid w:val="00445617"/>
    <w:rsid w:val="00445A2F"/>
    <w:rsid w:val="004461D4"/>
    <w:rsid w:val="0044684E"/>
    <w:rsid w:val="00446BBA"/>
    <w:rsid w:val="00446F22"/>
    <w:rsid w:val="0045019F"/>
    <w:rsid w:val="004503A4"/>
    <w:rsid w:val="00450555"/>
    <w:rsid w:val="004506FA"/>
    <w:rsid w:val="00450DC6"/>
    <w:rsid w:val="004516A5"/>
    <w:rsid w:val="00451E9C"/>
    <w:rsid w:val="0045280F"/>
    <w:rsid w:val="00452CD6"/>
    <w:rsid w:val="004535AE"/>
    <w:rsid w:val="00453813"/>
    <w:rsid w:val="0045444D"/>
    <w:rsid w:val="0045463A"/>
    <w:rsid w:val="00454AC9"/>
    <w:rsid w:val="00455050"/>
    <w:rsid w:val="004554A3"/>
    <w:rsid w:val="00455A6E"/>
    <w:rsid w:val="00455EAD"/>
    <w:rsid w:val="00455F23"/>
    <w:rsid w:val="004578EB"/>
    <w:rsid w:val="004604D5"/>
    <w:rsid w:val="00460697"/>
    <w:rsid w:val="00460C87"/>
    <w:rsid w:val="0046117B"/>
    <w:rsid w:val="00461516"/>
    <w:rsid w:val="00461E65"/>
    <w:rsid w:val="00461FC2"/>
    <w:rsid w:val="004625A7"/>
    <w:rsid w:val="004629ED"/>
    <w:rsid w:val="00464AB7"/>
    <w:rsid w:val="00465DE5"/>
    <w:rsid w:val="00467725"/>
    <w:rsid w:val="00467EF8"/>
    <w:rsid w:val="00471AC3"/>
    <w:rsid w:val="00472429"/>
    <w:rsid w:val="004725E5"/>
    <w:rsid w:val="00472751"/>
    <w:rsid w:val="00473128"/>
    <w:rsid w:val="00475078"/>
    <w:rsid w:val="00475767"/>
    <w:rsid w:val="0047586E"/>
    <w:rsid w:val="00477889"/>
    <w:rsid w:val="004779A0"/>
    <w:rsid w:val="004808E3"/>
    <w:rsid w:val="00481016"/>
    <w:rsid w:val="004817D4"/>
    <w:rsid w:val="0048204C"/>
    <w:rsid w:val="004821BB"/>
    <w:rsid w:val="0048237A"/>
    <w:rsid w:val="004826FE"/>
    <w:rsid w:val="004827D5"/>
    <w:rsid w:val="00482AF2"/>
    <w:rsid w:val="00482D4D"/>
    <w:rsid w:val="004830C9"/>
    <w:rsid w:val="00483347"/>
    <w:rsid w:val="00483943"/>
    <w:rsid w:val="00483E2E"/>
    <w:rsid w:val="00484B69"/>
    <w:rsid w:val="00485406"/>
    <w:rsid w:val="0048590F"/>
    <w:rsid w:val="00486D60"/>
    <w:rsid w:val="00491FA1"/>
    <w:rsid w:val="00492A25"/>
    <w:rsid w:val="004938A3"/>
    <w:rsid w:val="004948B3"/>
    <w:rsid w:val="0049558B"/>
    <w:rsid w:val="00496178"/>
    <w:rsid w:val="00496350"/>
    <w:rsid w:val="00496883"/>
    <w:rsid w:val="0049797C"/>
    <w:rsid w:val="004A1405"/>
    <w:rsid w:val="004A15BD"/>
    <w:rsid w:val="004A1E28"/>
    <w:rsid w:val="004A1FC6"/>
    <w:rsid w:val="004A2E5F"/>
    <w:rsid w:val="004A3449"/>
    <w:rsid w:val="004A38C2"/>
    <w:rsid w:val="004A3C03"/>
    <w:rsid w:val="004A3DB7"/>
    <w:rsid w:val="004A463B"/>
    <w:rsid w:val="004A5088"/>
    <w:rsid w:val="004A5255"/>
    <w:rsid w:val="004A598D"/>
    <w:rsid w:val="004A6423"/>
    <w:rsid w:val="004A6B28"/>
    <w:rsid w:val="004A6CB0"/>
    <w:rsid w:val="004A70FF"/>
    <w:rsid w:val="004A7EDE"/>
    <w:rsid w:val="004B0D93"/>
    <w:rsid w:val="004B1FA4"/>
    <w:rsid w:val="004B2729"/>
    <w:rsid w:val="004B29AC"/>
    <w:rsid w:val="004B35DF"/>
    <w:rsid w:val="004B3627"/>
    <w:rsid w:val="004B4922"/>
    <w:rsid w:val="004B57DF"/>
    <w:rsid w:val="004B5976"/>
    <w:rsid w:val="004B605D"/>
    <w:rsid w:val="004B722E"/>
    <w:rsid w:val="004B72E8"/>
    <w:rsid w:val="004C01A5"/>
    <w:rsid w:val="004C0412"/>
    <w:rsid w:val="004C2138"/>
    <w:rsid w:val="004C2BB4"/>
    <w:rsid w:val="004C3940"/>
    <w:rsid w:val="004C4C94"/>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CA6"/>
    <w:rsid w:val="004D6FC3"/>
    <w:rsid w:val="004D7476"/>
    <w:rsid w:val="004D7716"/>
    <w:rsid w:val="004E0306"/>
    <w:rsid w:val="004E0572"/>
    <w:rsid w:val="004E1641"/>
    <w:rsid w:val="004E1818"/>
    <w:rsid w:val="004E1990"/>
    <w:rsid w:val="004E1E1E"/>
    <w:rsid w:val="004E25A8"/>
    <w:rsid w:val="004E3930"/>
    <w:rsid w:val="004E3ED9"/>
    <w:rsid w:val="004E5866"/>
    <w:rsid w:val="004E6097"/>
    <w:rsid w:val="004E61EF"/>
    <w:rsid w:val="004E63C6"/>
    <w:rsid w:val="004E6B96"/>
    <w:rsid w:val="004E76A7"/>
    <w:rsid w:val="004E7B03"/>
    <w:rsid w:val="004F0064"/>
    <w:rsid w:val="004F06AC"/>
    <w:rsid w:val="004F06CA"/>
    <w:rsid w:val="004F0E50"/>
    <w:rsid w:val="004F1D2A"/>
    <w:rsid w:val="004F243F"/>
    <w:rsid w:val="004F252C"/>
    <w:rsid w:val="004F36A3"/>
    <w:rsid w:val="004F3E0C"/>
    <w:rsid w:val="004F411E"/>
    <w:rsid w:val="004F4308"/>
    <w:rsid w:val="004F6348"/>
    <w:rsid w:val="004F7160"/>
    <w:rsid w:val="00500258"/>
    <w:rsid w:val="00500B2D"/>
    <w:rsid w:val="00501A99"/>
    <w:rsid w:val="00503180"/>
    <w:rsid w:val="005038A4"/>
    <w:rsid w:val="00504CD4"/>
    <w:rsid w:val="00505242"/>
    <w:rsid w:val="0050524B"/>
    <w:rsid w:val="00505450"/>
    <w:rsid w:val="00505FC6"/>
    <w:rsid w:val="005100B7"/>
    <w:rsid w:val="005105DE"/>
    <w:rsid w:val="005113C9"/>
    <w:rsid w:val="0051198F"/>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278"/>
    <w:rsid w:val="0052239D"/>
    <w:rsid w:val="005224EE"/>
    <w:rsid w:val="00522879"/>
    <w:rsid w:val="0052333C"/>
    <w:rsid w:val="00523BB1"/>
    <w:rsid w:val="00524B23"/>
    <w:rsid w:val="0052570E"/>
    <w:rsid w:val="00525ED4"/>
    <w:rsid w:val="005260CD"/>
    <w:rsid w:val="00526265"/>
    <w:rsid w:val="0052655D"/>
    <w:rsid w:val="005265E0"/>
    <w:rsid w:val="00526737"/>
    <w:rsid w:val="00526BC3"/>
    <w:rsid w:val="00530064"/>
    <w:rsid w:val="00531761"/>
    <w:rsid w:val="0053248F"/>
    <w:rsid w:val="005327AB"/>
    <w:rsid w:val="0053332A"/>
    <w:rsid w:val="00533342"/>
    <w:rsid w:val="0053358A"/>
    <w:rsid w:val="00534668"/>
    <w:rsid w:val="00534DDD"/>
    <w:rsid w:val="00535291"/>
    <w:rsid w:val="00535A94"/>
    <w:rsid w:val="00536E55"/>
    <w:rsid w:val="00537874"/>
    <w:rsid w:val="0053795F"/>
    <w:rsid w:val="00537D3D"/>
    <w:rsid w:val="00540511"/>
    <w:rsid w:val="00540578"/>
    <w:rsid w:val="00540808"/>
    <w:rsid w:val="0054080E"/>
    <w:rsid w:val="00540D1A"/>
    <w:rsid w:val="00540DE5"/>
    <w:rsid w:val="00540EA1"/>
    <w:rsid w:val="00541D48"/>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6B9"/>
    <w:rsid w:val="00553874"/>
    <w:rsid w:val="00553DCE"/>
    <w:rsid w:val="005541E0"/>
    <w:rsid w:val="005544A2"/>
    <w:rsid w:val="00554577"/>
    <w:rsid w:val="005549EF"/>
    <w:rsid w:val="00554AD8"/>
    <w:rsid w:val="00554F78"/>
    <w:rsid w:val="00555DA1"/>
    <w:rsid w:val="00556BF7"/>
    <w:rsid w:val="00556E53"/>
    <w:rsid w:val="00557267"/>
    <w:rsid w:val="00557F60"/>
    <w:rsid w:val="00560694"/>
    <w:rsid w:val="00561730"/>
    <w:rsid w:val="00561B97"/>
    <w:rsid w:val="00562149"/>
    <w:rsid w:val="005640EB"/>
    <w:rsid w:val="005664C5"/>
    <w:rsid w:val="005666A4"/>
    <w:rsid w:val="00567B5D"/>
    <w:rsid w:val="00570757"/>
    <w:rsid w:val="00573733"/>
    <w:rsid w:val="00573B49"/>
    <w:rsid w:val="00573F8B"/>
    <w:rsid w:val="00574554"/>
    <w:rsid w:val="00574E06"/>
    <w:rsid w:val="005751BB"/>
    <w:rsid w:val="00576089"/>
    <w:rsid w:val="005764B1"/>
    <w:rsid w:val="00576852"/>
    <w:rsid w:val="00576950"/>
    <w:rsid w:val="00576D06"/>
    <w:rsid w:val="005779E4"/>
    <w:rsid w:val="00580EC7"/>
    <w:rsid w:val="0058289C"/>
    <w:rsid w:val="005830DE"/>
    <w:rsid w:val="005836C7"/>
    <w:rsid w:val="00584066"/>
    <w:rsid w:val="0058408E"/>
    <w:rsid w:val="005844C3"/>
    <w:rsid w:val="00584E49"/>
    <w:rsid w:val="00585374"/>
    <w:rsid w:val="005854CA"/>
    <w:rsid w:val="00585FAB"/>
    <w:rsid w:val="00586364"/>
    <w:rsid w:val="00590346"/>
    <w:rsid w:val="00590417"/>
    <w:rsid w:val="0059045A"/>
    <w:rsid w:val="00590A5A"/>
    <w:rsid w:val="00590B77"/>
    <w:rsid w:val="00590D9A"/>
    <w:rsid w:val="005913A3"/>
    <w:rsid w:val="00591A5A"/>
    <w:rsid w:val="005940D4"/>
    <w:rsid w:val="00594A7B"/>
    <w:rsid w:val="00594C19"/>
    <w:rsid w:val="0059580E"/>
    <w:rsid w:val="00595D90"/>
    <w:rsid w:val="00596A6F"/>
    <w:rsid w:val="00596FCE"/>
    <w:rsid w:val="005A11BC"/>
    <w:rsid w:val="005A14AD"/>
    <w:rsid w:val="005A1525"/>
    <w:rsid w:val="005A1E17"/>
    <w:rsid w:val="005A21A1"/>
    <w:rsid w:val="005A252B"/>
    <w:rsid w:val="005A2A8F"/>
    <w:rsid w:val="005A3008"/>
    <w:rsid w:val="005A3204"/>
    <w:rsid w:val="005A3341"/>
    <w:rsid w:val="005A3C3D"/>
    <w:rsid w:val="005A46EC"/>
    <w:rsid w:val="005A5EAE"/>
    <w:rsid w:val="005A6407"/>
    <w:rsid w:val="005A726C"/>
    <w:rsid w:val="005A7650"/>
    <w:rsid w:val="005B0516"/>
    <w:rsid w:val="005B07EC"/>
    <w:rsid w:val="005B2B11"/>
    <w:rsid w:val="005B32A4"/>
    <w:rsid w:val="005B3371"/>
    <w:rsid w:val="005B338D"/>
    <w:rsid w:val="005B33A1"/>
    <w:rsid w:val="005B3852"/>
    <w:rsid w:val="005B3BAF"/>
    <w:rsid w:val="005B4A78"/>
    <w:rsid w:val="005B4DA3"/>
    <w:rsid w:val="005B5BEE"/>
    <w:rsid w:val="005B77D2"/>
    <w:rsid w:val="005C0195"/>
    <w:rsid w:val="005C019B"/>
    <w:rsid w:val="005C08D0"/>
    <w:rsid w:val="005C1A71"/>
    <w:rsid w:val="005C1AED"/>
    <w:rsid w:val="005C1D7B"/>
    <w:rsid w:val="005C2136"/>
    <w:rsid w:val="005C30F5"/>
    <w:rsid w:val="005C3840"/>
    <w:rsid w:val="005C51A5"/>
    <w:rsid w:val="005C557A"/>
    <w:rsid w:val="005C566F"/>
    <w:rsid w:val="005C5C47"/>
    <w:rsid w:val="005C61DD"/>
    <w:rsid w:val="005C6438"/>
    <w:rsid w:val="005C6B8B"/>
    <w:rsid w:val="005C727F"/>
    <w:rsid w:val="005D02E3"/>
    <w:rsid w:val="005D0AD4"/>
    <w:rsid w:val="005D1F34"/>
    <w:rsid w:val="005D2C1F"/>
    <w:rsid w:val="005D34B2"/>
    <w:rsid w:val="005D3B54"/>
    <w:rsid w:val="005D40CD"/>
    <w:rsid w:val="005D5FD9"/>
    <w:rsid w:val="005D688C"/>
    <w:rsid w:val="005D6B59"/>
    <w:rsid w:val="005D784B"/>
    <w:rsid w:val="005D7A62"/>
    <w:rsid w:val="005D7E91"/>
    <w:rsid w:val="005D7F7E"/>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253"/>
    <w:rsid w:val="0060058E"/>
    <w:rsid w:val="00600893"/>
    <w:rsid w:val="00600DAA"/>
    <w:rsid w:val="00602729"/>
    <w:rsid w:val="00602A3C"/>
    <w:rsid w:val="00603EFD"/>
    <w:rsid w:val="0060475B"/>
    <w:rsid w:val="00604BED"/>
    <w:rsid w:val="00604FB6"/>
    <w:rsid w:val="00605387"/>
    <w:rsid w:val="00606302"/>
    <w:rsid w:val="00606491"/>
    <w:rsid w:val="00607296"/>
    <w:rsid w:val="006076FD"/>
    <w:rsid w:val="00610811"/>
    <w:rsid w:val="0061143F"/>
    <w:rsid w:val="006114D8"/>
    <w:rsid w:val="00613553"/>
    <w:rsid w:val="00613601"/>
    <w:rsid w:val="00613791"/>
    <w:rsid w:val="006150D6"/>
    <w:rsid w:val="00615245"/>
    <w:rsid w:val="006157E3"/>
    <w:rsid w:val="0061590D"/>
    <w:rsid w:val="00616AF1"/>
    <w:rsid w:val="00617EEE"/>
    <w:rsid w:val="00617F69"/>
    <w:rsid w:val="00620A1F"/>
    <w:rsid w:val="0062169D"/>
    <w:rsid w:val="0062181E"/>
    <w:rsid w:val="0062211B"/>
    <w:rsid w:val="00622BB7"/>
    <w:rsid w:val="00622C1E"/>
    <w:rsid w:val="00623389"/>
    <w:rsid w:val="00623DAA"/>
    <w:rsid w:val="00623FAF"/>
    <w:rsid w:val="006265C4"/>
    <w:rsid w:val="0062678A"/>
    <w:rsid w:val="006270AF"/>
    <w:rsid w:val="00627611"/>
    <w:rsid w:val="00634367"/>
    <w:rsid w:val="00635B5E"/>
    <w:rsid w:val="00636CE3"/>
    <w:rsid w:val="00640082"/>
    <w:rsid w:val="00640291"/>
    <w:rsid w:val="00640EFE"/>
    <w:rsid w:val="00641C4E"/>
    <w:rsid w:val="00641D6D"/>
    <w:rsid w:val="00641FAC"/>
    <w:rsid w:val="00643664"/>
    <w:rsid w:val="00643CAA"/>
    <w:rsid w:val="00644F16"/>
    <w:rsid w:val="006455EB"/>
    <w:rsid w:val="006456C2"/>
    <w:rsid w:val="00645A65"/>
    <w:rsid w:val="00646959"/>
    <w:rsid w:val="006477F0"/>
    <w:rsid w:val="006478E4"/>
    <w:rsid w:val="00651652"/>
    <w:rsid w:val="0065171A"/>
    <w:rsid w:val="00651982"/>
    <w:rsid w:val="00652680"/>
    <w:rsid w:val="00653CDE"/>
    <w:rsid w:val="00654585"/>
    <w:rsid w:val="0065566E"/>
    <w:rsid w:val="00655AB6"/>
    <w:rsid w:val="00655EFA"/>
    <w:rsid w:val="00656061"/>
    <w:rsid w:val="00656281"/>
    <w:rsid w:val="0065636A"/>
    <w:rsid w:val="00657003"/>
    <w:rsid w:val="00660238"/>
    <w:rsid w:val="006602EF"/>
    <w:rsid w:val="00660AF5"/>
    <w:rsid w:val="00661163"/>
    <w:rsid w:val="00661277"/>
    <w:rsid w:val="006619E0"/>
    <w:rsid w:val="00663FEA"/>
    <w:rsid w:val="006646EF"/>
    <w:rsid w:val="00664803"/>
    <w:rsid w:val="006657C5"/>
    <w:rsid w:val="00665D75"/>
    <w:rsid w:val="006661A4"/>
    <w:rsid w:val="00666AC0"/>
    <w:rsid w:val="006670E0"/>
    <w:rsid w:val="006671B8"/>
    <w:rsid w:val="00667275"/>
    <w:rsid w:val="00667532"/>
    <w:rsid w:val="0066783E"/>
    <w:rsid w:val="00667E53"/>
    <w:rsid w:val="006710F8"/>
    <w:rsid w:val="006711C4"/>
    <w:rsid w:val="006713AB"/>
    <w:rsid w:val="00672CA5"/>
    <w:rsid w:val="00673711"/>
    <w:rsid w:val="00673F82"/>
    <w:rsid w:val="00674D60"/>
    <w:rsid w:val="00674F74"/>
    <w:rsid w:val="0067508F"/>
    <w:rsid w:val="00677576"/>
    <w:rsid w:val="0068051E"/>
    <w:rsid w:val="00680911"/>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747"/>
    <w:rsid w:val="0069188E"/>
    <w:rsid w:val="00691974"/>
    <w:rsid w:val="00692BF6"/>
    <w:rsid w:val="00692CE6"/>
    <w:rsid w:val="00692F0C"/>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6944"/>
    <w:rsid w:val="006A703E"/>
    <w:rsid w:val="006A7BE3"/>
    <w:rsid w:val="006A7D32"/>
    <w:rsid w:val="006B01D1"/>
    <w:rsid w:val="006B0DF4"/>
    <w:rsid w:val="006B16EA"/>
    <w:rsid w:val="006B1780"/>
    <w:rsid w:val="006B21DC"/>
    <w:rsid w:val="006B224E"/>
    <w:rsid w:val="006B376E"/>
    <w:rsid w:val="006B4589"/>
    <w:rsid w:val="006B4E39"/>
    <w:rsid w:val="006B5157"/>
    <w:rsid w:val="006B610E"/>
    <w:rsid w:val="006B6763"/>
    <w:rsid w:val="006B6805"/>
    <w:rsid w:val="006B6C07"/>
    <w:rsid w:val="006B6DE0"/>
    <w:rsid w:val="006C16C3"/>
    <w:rsid w:val="006C2187"/>
    <w:rsid w:val="006C27D9"/>
    <w:rsid w:val="006C32F4"/>
    <w:rsid w:val="006C3C54"/>
    <w:rsid w:val="006C4B6B"/>
    <w:rsid w:val="006C4CE1"/>
    <w:rsid w:val="006C4F9F"/>
    <w:rsid w:val="006C6DEA"/>
    <w:rsid w:val="006C71A2"/>
    <w:rsid w:val="006C73EC"/>
    <w:rsid w:val="006D0C1D"/>
    <w:rsid w:val="006D28F3"/>
    <w:rsid w:val="006D2E9D"/>
    <w:rsid w:val="006D2F73"/>
    <w:rsid w:val="006D4A45"/>
    <w:rsid w:val="006D4A4E"/>
    <w:rsid w:val="006D4C42"/>
    <w:rsid w:val="006D5389"/>
    <w:rsid w:val="006D53A2"/>
    <w:rsid w:val="006D5809"/>
    <w:rsid w:val="006D607E"/>
    <w:rsid w:val="006D6E12"/>
    <w:rsid w:val="006D70CB"/>
    <w:rsid w:val="006D715C"/>
    <w:rsid w:val="006D7363"/>
    <w:rsid w:val="006D774E"/>
    <w:rsid w:val="006E0754"/>
    <w:rsid w:val="006E1693"/>
    <w:rsid w:val="006E2668"/>
    <w:rsid w:val="006E2D39"/>
    <w:rsid w:val="006E2FE9"/>
    <w:rsid w:val="006E32B0"/>
    <w:rsid w:val="006E348E"/>
    <w:rsid w:val="006E396A"/>
    <w:rsid w:val="006E3D63"/>
    <w:rsid w:val="006E58BF"/>
    <w:rsid w:val="006E5DD8"/>
    <w:rsid w:val="006E5EA1"/>
    <w:rsid w:val="006E69B9"/>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0657"/>
    <w:rsid w:val="007006BA"/>
    <w:rsid w:val="007015CE"/>
    <w:rsid w:val="0070174E"/>
    <w:rsid w:val="007018DB"/>
    <w:rsid w:val="00701DE6"/>
    <w:rsid w:val="00702740"/>
    <w:rsid w:val="007032FA"/>
    <w:rsid w:val="0070381B"/>
    <w:rsid w:val="0070796C"/>
    <w:rsid w:val="007109BB"/>
    <w:rsid w:val="00710EBF"/>
    <w:rsid w:val="007110B8"/>
    <w:rsid w:val="00711D92"/>
    <w:rsid w:val="0071209F"/>
    <w:rsid w:val="007125A2"/>
    <w:rsid w:val="00713D6C"/>
    <w:rsid w:val="00713DD9"/>
    <w:rsid w:val="00713F79"/>
    <w:rsid w:val="007148A8"/>
    <w:rsid w:val="007154F6"/>
    <w:rsid w:val="00716020"/>
    <w:rsid w:val="00716AC8"/>
    <w:rsid w:val="00716E54"/>
    <w:rsid w:val="0072033C"/>
    <w:rsid w:val="00720B1B"/>
    <w:rsid w:val="00721062"/>
    <w:rsid w:val="00721E5D"/>
    <w:rsid w:val="00721F4E"/>
    <w:rsid w:val="007229D4"/>
    <w:rsid w:val="007230F8"/>
    <w:rsid w:val="007233F4"/>
    <w:rsid w:val="00724044"/>
    <w:rsid w:val="007243F2"/>
    <w:rsid w:val="007248D3"/>
    <w:rsid w:val="00724DF8"/>
    <w:rsid w:val="00725137"/>
    <w:rsid w:val="00725378"/>
    <w:rsid w:val="00726B7D"/>
    <w:rsid w:val="00727575"/>
    <w:rsid w:val="00727A43"/>
    <w:rsid w:val="00727FF2"/>
    <w:rsid w:val="00730550"/>
    <w:rsid w:val="00730C2A"/>
    <w:rsid w:val="00731434"/>
    <w:rsid w:val="007316E9"/>
    <w:rsid w:val="00731E59"/>
    <w:rsid w:val="0073226D"/>
    <w:rsid w:val="007323E0"/>
    <w:rsid w:val="00732911"/>
    <w:rsid w:val="00733721"/>
    <w:rsid w:val="00733DE2"/>
    <w:rsid w:val="00734142"/>
    <w:rsid w:val="007352EA"/>
    <w:rsid w:val="0073792F"/>
    <w:rsid w:val="00740BDD"/>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52FE"/>
    <w:rsid w:val="007470A7"/>
    <w:rsid w:val="00747295"/>
    <w:rsid w:val="00747829"/>
    <w:rsid w:val="0074789C"/>
    <w:rsid w:val="00747DE2"/>
    <w:rsid w:val="007502D0"/>
    <w:rsid w:val="007504BF"/>
    <w:rsid w:val="007506CD"/>
    <w:rsid w:val="0075267F"/>
    <w:rsid w:val="007526EC"/>
    <w:rsid w:val="00753C48"/>
    <w:rsid w:val="00754250"/>
    <w:rsid w:val="00754334"/>
    <w:rsid w:val="007546E3"/>
    <w:rsid w:val="00754FE4"/>
    <w:rsid w:val="00755216"/>
    <w:rsid w:val="00756236"/>
    <w:rsid w:val="00756271"/>
    <w:rsid w:val="00756348"/>
    <w:rsid w:val="00756521"/>
    <w:rsid w:val="00756AB7"/>
    <w:rsid w:val="00757884"/>
    <w:rsid w:val="00757BF2"/>
    <w:rsid w:val="0076106D"/>
    <w:rsid w:val="00761E40"/>
    <w:rsid w:val="007623FB"/>
    <w:rsid w:val="00762517"/>
    <w:rsid w:val="007627BD"/>
    <w:rsid w:val="00763240"/>
    <w:rsid w:val="0076376A"/>
    <w:rsid w:val="007648AD"/>
    <w:rsid w:val="0076504E"/>
    <w:rsid w:val="00766B34"/>
    <w:rsid w:val="00767BFD"/>
    <w:rsid w:val="00767EA0"/>
    <w:rsid w:val="0077068F"/>
    <w:rsid w:val="00770FF1"/>
    <w:rsid w:val="00771EDF"/>
    <w:rsid w:val="0077287A"/>
    <w:rsid w:val="00772A90"/>
    <w:rsid w:val="00772F8D"/>
    <w:rsid w:val="0077408D"/>
    <w:rsid w:val="00774270"/>
    <w:rsid w:val="007743F6"/>
    <w:rsid w:val="00774A93"/>
    <w:rsid w:val="00775679"/>
    <w:rsid w:val="0077574F"/>
    <w:rsid w:val="00775823"/>
    <w:rsid w:val="00777153"/>
    <w:rsid w:val="0077762C"/>
    <w:rsid w:val="007777CC"/>
    <w:rsid w:val="00777B32"/>
    <w:rsid w:val="0078051E"/>
    <w:rsid w:val="00781089"/>
    <w:rsid w:val="00781099"/>
    <w:rsid w:val="00781CB6"/>
    <w:rsid w:val="00782D79"/>
    <w:rsid w:val="007838F3"/>
    <w:rsid w:val="007856FE"/>
    <w:rsid w:val="00785F46"/>
    <w:rsid w:val="007865F4"/>
    <w:rsid w:val="00786D5C"/>
    <w:rsid w:val="00786E96"/>
    <w:rsid w:val="00787BB6"/>
    <w:rsid w:val="00787DFF"/>
    <w:rsid w:val="00787F93"/>
    <w:rsid w:val="00791E6D"/>
    <w:rsid w:val="00791EB5"/>
    <w:rsid w:val="0079332C"/>
    <w:rsid w:val="0079343F"/>
    <w:rsid w:val="00793696"/>
    <w:rsid w:val="00793DC6"/>
    <w:rsid w:val="007955DA"/>
    <w:rsid w:val="0079591E"/>
    <w:rsid w:val="00796132"/>
    <w:rsid w:val="00796F65"/>
    <w:rsid w:val="00797A85"/>
    <w:rsid w:val="007A11C2"/>
    <w:rsid w:val="007A18BB"/>
    <w:rsid w:val="007A27DD"/>
    <w:rsid w:val="007A4162"/>
    <w:rsid w:val="007A41BF"/>
    <w:rsid w:val="007A490A"/>
    <w:rsid w:val="007A67FA"/>
    <w:rsid w:val="007A7410"/>
    <w:rsid w:val="007A7B95"/>
    <w:rsid w:val="007B0297"/>
    <w:rsid w:val="007B02FA"/>
    <w:rsid w:val="007B0F53"/>
    <w:rsid w:val="007B21AE"/>
    <w:rsid w:val="007B2570"/>
    <w:rsid w:val="007B3113"/>
    <w:rsid w:val="007B3304"/>
    <w:rsid w:val="007B3BF0"/>
    <w:rsid w:val="007B548B"/>
    <w:rsid w:val="007B6F66"/>
    <w:rsid w:val="007B7490"/>
    <w:rsid w:val="007C0525"/>
    <w:rsid w:val="007C13F7"/>
    <w:rsid w:val="007C17DB"/>
    <w:rsid w:val="007C1D77"/>
    <w:rsid w:val="007C218D"/>
    <w:rsid w:val="007C2D28"/>
    <w:rsid w:val="007C3E22"/>
    <w:rsid w:val="007C58C1"/>
    <w:rsid w:val="007C6145"/>
    <w:rsid w:val="007C6218"/>
    <w:rsid w:val="007C6484"/>
    <w:rsid w:val="007C67C6"/>
    <w:rsid w:val="007C78BE"/>
    <w:rsid w:val="007C7A5D"/>
    <w:rsid w:val="007C7E59"/>
    <w:rsid w:val="007D0476"/>
    <w:rsid w:val="007D0B91"/>
    <w:rsid w:val="007D0FE7"/>
    <w:rsid w:val="007D1452"/>
    <w:rsid w:val="007D1563"/>
    <w:rsid w:val="007D1942"/>
    <w:rsid w:val="007D3DCB"/>
    <w:rsid w:val="007D460C"/>
    <w:rsid w:val="007D489B"/>
    <w:rsid w:val="007D4996"/>
    <w:rsid w:val="007D4AD3"/>
    <w:rsid w:val="007D5D19"/>
    <w:rsid w:val="007D5FDC"/>
    <w:rsid w:val="007D6176"/>
    <w:rsid w:val="007D6447"/>
    <w:rsid w:val="007D69CD"/>
    <w:rsid w:val="007D6D68"/>
    <w:rsid w:val="007D7E7E"/>
    <w:rsid w:val="007E0CEA"/>
    <w:rsid w:val="007E194F"/>
    <w:rsid w:val="007E28CC"/>
    <w:rsid w:val="007E32DA"/>
    <w:rsid w:val="007E375D"/>
    <w:rsid w:val="007E3809"/>
    <w:rsid w:val="007E4998"/>
    <w:rsid w:val="007E4A9C"/>
    <w:rsid w:val="007E5BB6"/>
    <w:rsid w:val="007E6914"/>
    <w:rsid w:val="007E6D7F"/>
    <w:rsid w:val="007E7F78"/>
    <w:rsid w:val="007F0179"/>
    <w:rsid w:val="007F21C0"/>
    <w:rsid w:val="007F2C13"/>
    <w:rsid w:val="007F2CEC"/>
    <w:rsid w:val="007F2ED1"/>
    <w:rsid w:val="007F3435"/>
    <w:rsid w:val="007F505D"/>
    <w:rsid w:val="007F531B"/>
    <w:rsid w:val="007F55DE"/>
    <w:rsid w:val="007F6271"/>
    <w:rsid w:val="007F762D"/>
    <w:rsid w:val="007F78F0"/>
    <w:rsid w:val="007F78FF"/>
    <w:rsid w:val="008001C5"/>
    <w:rsid w:val="00800F6C"/>
    <w:rsid w:val="00801065"/>
    <w:rsid w:val="00802B63"/>
    <w:rsid w:val="00802C0B"/>
    <w:rsid w:val="00805040"/>
    <w:rsid w:val="008051FC"/>
    <w:rsid w:val="008055A9"/>
    <w:rsid w:val="008056C4"/>
    <w:rsid w:val="008057FD"/>
    <w:rsid w:val="00805D8B"/>
    <w:rsid w:val="0081010F"/>
    <w:rsid w:val="00810356"/>
    <w:rsid w:val="00810397"/>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27D0"/>
    <w:rsid w:val="00823FC6"/>
    <w:rsid w:val="00824306"/>
    <w:rsid w:val="00825C74"/>
    <w:rsid w:val="00825CFA"/>
    <w:rsid w:val="00825DDE"/>
    <w:rsid w:val="00826AB9"/>
    <w:rsid w:val="00826E0E"/>
    <w:rsid w:val="00827D11"/>
    <w:rsid w:val="00827E0F"/>
    <w:rsid w:val="00827F6E"/>
    <w:rsid w:val="00831758"/>
    <w:rsid w:val="008317D9"/>
    <w:rsid w:val="00831AEC"/>
    <w:rsid w:val="008326F1"/>
    <w:rsid w:val="0083279F"/>
    <w:rsid w:val="00832CE9"/>
    <w:rsid w:val="0083304F"/>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667"/>
    <w:rsid w:val="00845CAE"/>
    <w:rsid w:val="008462C5"/>
    <w:rsid w:val="008462FA"/>
    <w:rsid w:val="00846370"/>
    <w:rsid w:val="00846873"/>
    <w:rsid w:val="008477E7"/>
    <w:rsid w:val="00847C2B"/>
    <w:rsid w:val="00850272"/>
    <w:rsid w:val="008506B9"/>
    <w:rsid w:val="0085086F"/>
    <w:rsid w:val="008513BC"/>
    <w:rsid w:val="00851822"/>
    <w:rsid w:val="00851C16"/>
    <w:rsid w:val="00852446"/>
    <w:rsid w:val="008532BF"/>
    <w:rsid w:val="008539B2"/>
    <w:rsid w:val="00853BF4"/>
    <w:rsid w:val="00854294"/>
    <w:rsid w:val="00854295"/>
    <w:rsid w:val="00854877"/>
    <w:rsid w:val="0085572E"/>
    <w:rsid w:val="0085699C"/>
    <w:rsid w:val="0085788B"/>
    <w:rsid w:val="00857A9E"/>
    <w:rsid w:val="00857DE2"/>
    <w:rsid w:val="0086003D"/>
    <w:rsid w:val="00860865"/>
    <w:rsid w:val="008631B0"/>
    <w:rsid w:val="00863A8E"/>
    <w:rsid w:val="0086407F"/>
    <w:rsid w:val="0086449B"/>
    <w:rsid w:val="008645E3"/>
    <w:rsid w:val="0086486A"/>
    <w:rsid w:val="00864A46"/>
    <w:rsid w:val="00864E79"/>
    <w:rsid w:val="0086567B"/>
    <w:rsid w:val="0086572B"/>
    <w:rsid w:val="00866615"/>
    <w:rsid w:val="0086661F"/>
    <w:rsid w:val="00866A0D"/>
    <w:rsid w:val="00866DB5"/>
    <w:rsid w:val="0086701D"/>
    <w:rsid w:val="0086702B"/>
    <w:rsid w:val="008672E2"/>
    <w:rsid w:val="0086784E"/>
    <w:rsid w:val="0087121C"/>
    <w:rsid w:val="00871FD2"/>
    <w:rsid w:val="00872084"/>
    <w:rsid w:val="008720DA"/>
    <w:rsid w:val="00872827"/>
    <w:rsid w:val="00872A32"/>
    <w:rsid w:val="00874911"/>
    <w:rsid w:val="008754E4"/>
    <w:rsid w:val="0087624A"/>
    <w:rsid w:val="00876EAE"/>
    <w:rsid w:val="00880106"/>
    <w:rsid w:val="00880F95"/>
    <w:rsid w:val="00882B44"/>
    <w:rsid w:val="00882D91"/>
    <w:rsid w:val="008838AD"/>
    <w:rsid w:val="00884D2F"/>
    <w:rsid w:val="00885387"/>
    <w:rsid w:val="00885BC9"/>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0FB"/>
    <w:rsid w:val="008A51D1"/>
    <w:rsid w:val="008A5DCE"/>
    <w:rsid w:val="008A75D3"/>
    <w:rsid w:val="008B05DD"/>
    <w:rsid w:val="008B07B8"/>
    <w:rsid w:val="008B0C19"/>
    <w:rsid w:val="008B17E8"/>
    <w:rsid w:val="008B2C45"/>
    <w:rsid w:val="008B2E7C"/>
    <w:rsid w:val="008B399A"/>
    <w:rsid w:val="008B45F0"/>
    <w:rsid w:val="008B4A70"/>
    <w:rsid w:val="008B502F"/>
    <w:rsid w:val="008B608E"/>
    <w:rsid w:val="008B6DFC"/>
    <w:rsid w:val="008B7227"/>
    <w:rsid w:val="008B7618"/>
    <w:rsid w:val="008C02FB"/>
    <w:rsid w:val="008C04E0"/>
    <w:rsid w:val="008C0D00"/>
    <w:rsid w:val="008C191C"/>
    <w:rsid w:val="008C1DA4"/>
    <w:rsid w:val="008C2138"/>
    <w:rsid w:val="008C29B0"/>
    <w:rsid w:val="008C2CD5"/>
    <w:rsid w:val="008C33AE"/>
    <w:rsid w:val="008C34E4"/>
    <w:rsid w:val="008C3618"/>
    <w:rsid w:val="008C39E7"/>
    <w:rsid w:val="008C43AD"/>
    <w:rsid w:val="008C6118"/>
    <w:rsid w:val="008C6341"/>
    <w:rsid w:val="008C653D"/>
    <w:rsid w:val="008C731F"/>
    <w:rsid w:val="008C74D9"/>
    <w:rsid w:val="008D2050"/>
    <w:rsid w:val="008D3B2D"/>
    <w:rsid w:val="008D4A5C"/>
    <w:rsid w:val="008D5459"/>
    <w:rsid w:val="008D58D9"/>
    <w:rsid w:val="008D5AD4"/>
    <w:rsid w:val="008D695E"/>
    <w:rsid w:val="008D6DD5"/>
    <w:rsid w:val="008D6E59"/>
    <w:rsid w:val="008D7155"/>
    <w:rsid w:val="008D75BC"/>
    <w:rsid w:val="008D76E0"/>
    <w:rsid w:val="008D7F5E"/>
    <w:rsid w:val="008E0B29"/>
    <w:rsid w:val="008E141A"/>
    <w:rsid w:val="008E1A44"/>
    <w:rsid w:val="008E28E6"/>
    <w:rsid w:val="008E3232"/>
    <w:rsid w:val="008E33E8"/>
    <w:rsid w:val="008E3587"/>
    <w:rsid w:val="008E3674"/>
    <w:rsid w:val="008E3B6C"/>
    <w:rsid w:val="008E3DE7"/>
    <w:rsid w:val="008E5227"/>
    <w:rsid w:val="008E562C"/>
    <w:rsid w:val="008E6540"/>
    <w:rsid w:val="008E6C01"/>
    <w:rsid w:val="008E6FBE"/>
    <w:rsid w:val="008E77D4"/>
    <w:rsid w:val="008E7ADD"/>
    <w:rsid w:val="008F091F"/>
    <w:rsid w:val="008F17B2"/>
    <w:rsid w:val="008F22B3"/>
    <w:rsid w:val="008F357B"/>
    <w:rsid w:val="008F3AF6"/>
    <w:rsid w:val="008F44CA"/>
    <w:rsid w:val="008F49D3"/>
    <w:rsid w:val="008F6519"/>
    <w:rsid w:val="008F7012"/>
    <w:rsid w:val="008F737E"/>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B03"/>
    <w:rsid w:val="00905D7E"/>
    <w:rsid w:val="00907037"/>
    <w:rsid w:val="00907259"/>
    <w:rsid w:val="0091000B"/>
    <w:rsid w:val="00910C5D"/>
    <w:rsid w:val="0091112C"/>
    <w:rsid w:val="0091160A"/>
    <w:rsid w:val="00912372"/>
    <w:rsid w:val="00912E04"/>
    <w:rsid w:val="00913258"/>
    <w:rsid w:val="00913851"/>
    <w:rsid w:val="00913BB0"/>
    <w:rsid w:val="0091456C"/>
    <w:rsid w:val="00914C58"/>
    <w:rsid w:val="00914D78"/>
    <w:rsid w:val="0091564D"/>
    <w:rsid w:val="009156DA"/>
    <w:rsid w:val="00915774"/>
    <w:rsid w:val="009164D7"/>
    <w:rsid w:val="00916BC5"/>
    <w:rsid w:val="00916EB6"/>
    <w:rsid w:val="0091726A"/>
    <w:rsid w:val="009177CB"/>
    <w:rsid w:val="00917C01"/>
    <w:rsid w:val="00920184"/>
    <w:rsid w:val="00920EA4"/>
    <w:rsid w:val="00921792"/>
    <w:rsid w:val="00921BEA"/>
    <w:rsid w:val="0092276D"/>
    <w:rsid w:val="009227BE"/>
    <w:rsid w:val="009238FD"/>
    <w:rsid w:val="00923998"/>
    <w:rsid w:val="00923D2C"/>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1A5"/>
    <w:rsid w:val="00941474"/>
    <w:rsid w:val="00942306"/>
    <w:rsid w:val="009424B8"/>
    <w:rsid w:val="009432E2"/>
    <w:rsid w:val="00944668"/>
    <w:rsid w:val="00944DC6"/>
    <w:rsid w:val="009458B0"/>
    <w:rsid w:val="00945B52"/>
    <w:rsid w:val="00945B7A"/>
    <w:rsid w:val="00945F05"/>
    <w:rsid w:val="00946348"/>
    <w:rsid w:val="00946637"/>
    <w:rsid w:val="00946B3C"/>
    <w:rsid w:val="00946F54"/>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0FF6"/>
    <w:rsid w:val="00961C90"/>
    <w:rsid w:val="00961D69"/>
    <w:rsid w:val="009620D8"/>
    <w:rsid w:val="009632AB"/>
    <w:rsid w:val="009643FC"/>
    <w:rsid w:val="00965443"/>
    <w:rsid w:val="00965954"/>
    <w:rsid w:val="00965A21"/>
    <w:rsid w:val="00965E55"/>
    <w:rsid w:val="0096608E"/>
    <w:rsid w:val="00966522"/>
    <w:rsid w:val="00966C33"/>
    <w:rsid w:val="00970F18"/>
    <w:rsid w:val="00971CF1"/>
    <w:rsid w:val="00971F5D"/>
    <w:rsid w:val="009721E9"/>
    <w:rsid w:val="0097249E"/>
    <w:rsid w:val="00972C74"/>
    <w:rsid w:val="00973772"/>
    <w:rsid w:val="0097560A"/>
    <w:rsid w:val="00975E1E"/>
    <w:rsid w:val="00975E70"/>
    <w:rsid w:val="009761DE"/>
    <w:rsid w:val="009766FA"/>
    <w:rsid w:val="00977CD6"/>
    <w:rsid w:val="00980311"/>
    <w:rsid w:val="0098048B"/>
    <w:rsid w:val="00980908"/>
    <w:rsid w:val="00980DF9"/>
    <w:rsid w:val="00981CD8"/>
    <w:rsid w:val="0098243D"/>
    <w:rsid w:val="00982D26"/>
    <w:rsid w:val="009832F5"/>
    <w:rsid w:val="00983B6E"/>
    <w:rsid w:val="00983FE5"/>
    <w:rsid w:val="009849E9"/>
    <w:rsid w:val="00984AFF"/>
    <w:rsid w:val="009859E4"/>
    <w:rsid w:val="00985D7F"/>
    <w:rsid w:val="0098737E"/>
    <w:rsid w:val="00987812"/>
    <w:rsid w:val="00990225"/>
    <w:rsid w:val="00991307"/>
    <w:rsid w:val="00991FAA"/>
    <w:rsid w:val="00992A13"/>
    <w:rsid w:val="00994AAD"/>
    <w:rsid w:val="00995150"/>
    <w:rsid w:val="00995D67"/>
    <w:rsid w:val="00996B32"/>
    <w:rsid w:val="00997613"/>
    <w:rsid w:val="009A013B"/>
    <w:rsid w:val="009A02F4"/>
    <w:rsid w:val="009A0555"/>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2A5"/>
    <w:rsid w:val="009B2471"/>
    <w:rsid w:val="009B314F"/>
    <w:rsid w:val="009B3A84"/>
    <w:rsid w:val="009B439C"/>
    <w:rsid w:val="009B49A1"/>
    <w:rsid w:val="009B4A6C"/>
    <w:rsid w:val="009B4DA8"/>
    <w:rsid w:val="009B5187"/>
    <w:rsid w:val="009B519A"/>
    <w:rsid w:val="009B618D"/>
    <w:rsid w:val="009B620C"/>
    <w:rsid w:val="009B6753"/>
    <w:rsid w:val="009B676C"/>
    <w:rsid w:val="009B6A26"/>
    <w:rsid w:val="009C079D"/>
    <w:rsid w:val="009C0D70"/>
    <w:rsid w:val="009C13D1"/>
    <w:rsid w:val="009C2913"/>
    <w:rsid w:val="009C2BD4"/>
    <w:rsid w:val="009C469E"/>
    <w:rsid w:val="009C4C3E"/>
    <w:rsid w:val="009C5AFE"/>
    <w:rsid w:val="009C6606"/>
    <w:rsid w:val="009C6CE5"/>
    <w:rsid w:val="009C6D50"/>
    <w:rsid w:val="009C72B2"/>
    <w:rsid w:val="009C7547"/>
    <w:rsid w:val="009D04D8"/>
    <w:rsid w:val="009D05EC"/>
    <w:rsid w:val="009D18D4"/>
    <w:rsid w:val="009D1FCF"/>
    <w:rsid w:val="009D25E5"/>
    <w:rsid w:val="009D2F60"/>
    <w:rsid w:val="009D3A2E"/>
    <w:rsid w:val="009D5ADE"/>
    <w:rsid w:val="009D5BAC"/>
    <w:rsid w:val="009D5C56"/>
    <w:rsid w:val="009D6265"/>
    <w:rsid w:val="009D64BD"/>
    <w:rsid w:val="009D6CB1"/>
    <w:rsid w:val="009E0286"/>
    <w:rsid w:val="009E153F"/>
    <w:rsid w:val="009E18C5"/>
    <w:rsid w:val="009E322A"/>
    <w:rsid w:val="009E36BC"/>
    <w:rsid w:val="009E393E"/>
    <w:rsid w:val="009E444E"/>
    <w:rsid w:val="009E4968"/>
    <w:rsid w:val="009E4A7E"/>
    <w:rsid w:val="009E4EA9"/>
    <w:rsid w:val="009E663C"/>
    <w:rsid w:val="009E684A"/>
    <w:rsid w:val="009E6AB0"/>
    <w:rsid w:val="009E6BB1"/>
    <w:rsid w:val="009E6E14"/>
    <w:rsid w:val="009E794A"/>
    <w:rsid w:val="009E7C14"/>
    <w:rsid w:val="009F0494"/>
    <w:rsid w:val="009F0736"/>
    <w:rsid w:val="009F0CD9"/>
    <w:rsid w:val="009F140D"/>
    <w:rsid w:val="009F1A79"/>
    <w:rsid w:val="009F1F57"/>
    <w:rsid w:val="009F2DDD"/>
    <w:rsid w:val="009F3447"/>
    <w:rsid w:val="009F3E12"/>
    <w:rsid w:val="009F5989"/>
    <w:rsid w:val="009F65F4"/>
    <w:rsid w:val="009F676B"/>
    <w:rsid w:val="009F6C92"/>
    <w:rsid w:val="009F6D2D"/>
    <w:rsid w:val="009F6D54"/>
    <w:rsid w:val="00A004DF"/>
    <w:rsid w:val="00A00FD5"/>
    <w:rsid w:val="00A012C0"/>
    <w:rsid w:val="00A019A8"/>
    <w:rsid w:val="00A01B03"/>
    <w:rsid w:val="00A01B89"/>
    <w:rsid w:val="00A0212E"/>
    <w:rsid w:val="00A02C66"/>
    <w:rsid w:val="00A02C84"/>
    <w:rsid w:val="00A0464C"/>
    <w:rsid w:val="00A050BB"/>
    <w:rsid w:val="00A0521B"/>
    <w:rsid w:val="00A054E0"/>
    <w:rsid w:val="00A05D91"/>
    <w:rsid w:val="00A0740B"/>
    <w:rsid w:val="00A07ED3"/>
    <w:rsid w:val="00A10CA8"/>
    <w:rsid w:val="00A11042"/>
    <w:rsid w:val="00A12579"/>
    <w:rsid w:val="00A12A6C"/>
    <w:rsid w:val="00A12CDC"/>
    <w:rsid w:val="00A133D8"/>
    <w:rsid w:val="00A148F1"/>
    <w:rsid w:val="00A15655"/>
    <w:rsid w:val="00A160B0"/>
    <w:rsid w:val="00A1740C"/>
    <w:rsid w:val="00A17904"/>
    <w:rsid w:val="00A20069"/>
    <w:rsid w:val="00A20422"/>
    <w:rsid w:val="00A21A8A"/>
    <w:rsid w:val="00A2244D"/>
    <w:rsid w:val="00A2253D"/>
    <w:rsid w:val="00A2267F"/>
    <w:rsid w:val="00A22CDB"/>
    <w:rsid w:val="00A246D1"/>
    <w:rsid w:val="00A247B8"/>
    <w:rsid w:val="00A2495A"/>
    <w:rsid w:val="00A24C7A"/>
    <w:rsid w:val="00A24D8F"/>
    <w:rsid w:val="00A25B8B"/>
    <w:rsid w:val="00A2689F"/>
    <w:rsid w:val="00A26ECA"/>
    <w:rsid w:val="00A27248"/>
    <w:rsid w:val="00A27461"/>
    <w:rsid w:val="00A27D67"/>
    <w:rsid w:val="00A30ABC"/>
    <w:rsid w:val="00A30D25"/>
    <w:rsid w:val="00A313BD"/>
    <w:rsid w:val="00A33B74"/>
    <w:rsid w:val="00A3467F"/>
    <w:rsid w:val="00A34B4C"/>
    <w:rsid w:val="00A35030"/>
    <w:rsid w:val="00A3551A"/>
    <w:rsid w:val="00A366A0"/>
    <w:rsid w:val="00A37209"/>
    <w:rsid w:val="00A37584"/>
    <w:rsid w:val="00A376E8"/>
    <w:rsid w:val="00A37852"/>
    <w:rsid w:val="00A37F8E"/>
    <w:rsid w:val="00A4114E"/>
    <w:rsid w:val="00A41537"/>
    <w:rsid w:val="00A41737"/>
    <w:rsid w:val="00A4236A"/>
    <w:rsid w:val="00A42B8F"/>
    <w:rsid w:val="00A42D8E"/>
    <w:rsid w:val="00A43254"/>
    <w:rsid w:val="00A43896"/>
    <w:rsid w:val="00A43951"/>
    <w:rsid w:val="00A43A26"/>
    <w:rsid w:val="00A447A0"/>
    <w:rsid w:val="00A45404"/>
    <w:rsid w:val="00A459F5"/>
    <w:rsid w:val="00A45FC0"/>
    <w:rsid w:val="00A4678B"/>
    <w:rsid w:val="00A46B74"/>
    <w:rsid w:val="00A47BF7"/>
    <w:rsid w:val="00A47E69"/>
    <w:rsid w:val="00A47ECC"/>
    <w:rsid w:val="00A50171"/>
    <w:rsid w:val="00A504FA"/>
    <w:rsid w:val="00A5102E"/>
    <w:rsid w:val="00A5132E"/>
    <w:rsid w:val="00A51375"/>
    <w:rsid w:val="00A51533"/>
    <w:rsid w:val="00A51FF2"/>
    <w:rsid w:val="00A53196"/>
    <w:rsid w:val="00A531D4"/>
    <w:rsid w:val="00A54572"/>
    <w:rsid w:val="00A54A27"/>
    <w:rsid w:val="00A572CC"/>
    <w:rsid w:val="00A575B8"/>
    <w:rsid w:val="00A619BB"/>
    <w:rsid w:val="00A61C60"/>
    <w:rsid w:val="00A61ECB"/>
    <w:rsid w:val="00A626F3"/>
    <w:rsid w:val="00A6410C"/>
    <w:rsid w:val="00A647B1"/>
    <w:rsid w:val="00A64DEF"/>
    <w:rsid w:val="00A654D2"/>
    <w:rsid w:val="00A65630"/>
    <w:rsid w:val="00A665DF"/>
    <w:rsid w:val="00A67FCC"/>
    <w:rsid w:val="00A70AA5"/>
    <w:rsid w:val="00A70AFB"/>
    <w:rsid w:val="00A70C03"/>
    <w:rsid w:val="00A71256"/>
    <w:rsid w:val="00A7217B"/>
    <w:rsid w:val="00A722D7"/>
    <w:rsid w:val="00A723A3"/>
    <w:rsid w:val="00A73861"/>
    <w:rsid w:val="00A739A6"/>
    <w:rsid w:val="00A740ED"/>
    <w:rsid w:val="00A74C29"/>
    <w:rsid w:val="00A74C62"/>
    <w:rsid w:val="00A75EF9"/>
    <w:rsid w:val="00A76131"/>
    <w:rsid w:val="00A7657C"/>
    <w:rsid w:val="00A765FB"/>
    <w:rsid w:val="00A77057"/>
    <w:rsid w:val="00A77925"/>
    <w:rsid w:val="00A77D37"/>
    <w:rsid w:val="00A8311C"/>
    <w:rsid w:val="00A835D0"/>
    <w:rsid w:val="00A84C5F"/>
    <w:rsid w:val="00A85930"/>
    <w:rsid w:val="00A863F7"/>
    <w:rsid w:val="00A86604"/>
    <w:rsid w:val="00A87519"/>
    <w:rsid w:val="00A9178B"/>
    <w:rsid w:val="00A9246D"/>
    <w:rsid w:val="00A92CCA"/>
    <w:rsid w:val="00A93BD0"/>
    <w:rsid w:val="00A93CC2"/>
    <w:rsid w:val="00A94D4B"/>
    <w:rsid w:val="00A974CC"/>
    <w:rsid w:val="00AA2001"/>
    <w:rsid w:val="00AA2B5C"/>
    <w:rsid w:val="00AA32D2"/>
    <w:rsid w:val="00AA3B8B"/>
    <w:rsid w:val="00AA4016"/>
    <w:rsid w:val="00AA4C1F"/>
    <w:rsid w:val="00AA5328"/>
    <w:rsid w:val="00AA5393"/>
    <w:rsid w:val="00AA63D4"/>
    <w:rsid w:val="00AB03FD"/>
    <w:rsid w:val="00AB0AC9"/>
    <w:rsid w:val="00AB2000"/>
    <w:rsid w:val="00AB38CB"/>
    <w:rsid w:val="00AB3BEC"/>
    <w:rsid w:val="00AB44E4"/>
    <w:rsid w:val="00AB4AEB"/>
    <w:rsid w:val="00AB4E5F"/>
    <w:rsid w:val="00AB5352"/>
    <w:rsid w:val="00AB56AE"/>
    <w:rsid w:val="00AB608B"/>
    <w:rsid w:val="00AB62D5"/>
    <w:rsid w:val="00AB65B5"/>
    <w:rsid w:val="00AB6986"/>
    <w:rsid w:val="00AB6DCD"/>
    <w:rsid w:val="00AB6EE0"/>
    <w:rsid w:val="00AB7535"/>
    <w:rsid w:val="00AC0A44"/>
    <w:rsid w:val="00AC17A2"/>
    <w:rsid w:val="00AC40B7"/>
    <w:rsid w:val="00AC531F"/>
    <w:rsid w:val="00AC5B36"/>
    <w:rsid w:val="00AC6377"/>
    <w:rsid w:val="00AC66A4"/>
    <w:rsid w:val="00AC6B63"/>
    <w:rsid w:val="00AC6CB1"/>
    <w:rsid w:val="00AC75E9"/>
    <w:rsid w:val="00AC7D6D"/>
    <w:rsid w:val="00AD0091"/>
    <w:rsid w:val="00AD23EF"/>
    <w:rsid w:val="00AD2662"/>
    <w:rsid w:val="00AD289D"/>
    <w:rsid w:val="00AD307B"/>
    <w:rsid w:val="00AD4014"/>
    <w:rsid w:val="00AD41B3"/>
    <w:rsid w:val="00AD463D"/>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876"/>
    <w:rsid w:val="00AE4A3E"/>
    <w:rsid w:val="00AE4CCE"/>
    <w:rsid w:val="00AE52F0"/>
    <w:rsid w:val="00AE5C6A"/>
    <w:rsid w:val="00AE7280"/>
    <w:rsid w:val="00AF01FA"/>
    <w:rsid w:val="00AF033A"/>
    <w:rsid w:val="00AF1658"/>
    <w:rsid w:val="00AF1699"/>
    <w:rsid w:val="00AF1FD3"/>
    <w:rsid w:val="00AF2910"/>
    <w:rsid w:val="00AF34B8"/>
    <w:rsid w:val="00AF3896"/>
    <w:rsid w:val="00AF39C9"/>
    <w:rsid w:val="00AF3FC2"/>
    <w:rsid w:val="00AF49BB"/>
    <w:rsid w:val="00AF4DEC"/>
    <w:rsid w:val="00AF77F6"/>
    <w:rsid w:val="00AF7DEB"/>
    <w:rsid w:val="00AF7E32"/>
    <w:rsid w:val="00B003FF"/>
    <w:rsid w:val="00B0098A"/>
    <w:rsid w:val="00B00A5F"/>
    <w:rsid w:val="00B029B8"/>
    <w:rsid w:val="00B02F60"/>
    <w:rsid w:val="00B02F94"/>
    <w:rsid w:val="00B032B8"/>
    <w:rsid w:val="00B045B6"/>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497"/>
    <w:rsid w:val="00B158E1"/>
    <w:rsid w:val="00B16715"/>
    <w:rsid w:val="00B1768E"/>
    <w:rsid w:val="00B17910"/>
    <w:rsid w:val="00B20F18"/>
    <w:rsid w:val="00B21516"/>
    <w:rsid w:val="00B21A37"/>
    <w:rsid w:val="00B21D23"/>
    <w:rsid w:val="00B21F62"/>
    <w:rsid w:val="00B22CE0"/>
    <w:rsid w:val="00B23738"/>
    <w:rsid w:val="00B239FB"/>
    <w:rsid w:val="00B23BEF"/>
    <w:rsid w:val="00B247BB"/>
    <w:rsid w:val="00B2504A"/>
    <w:rsid w:val="00B25EE6"/>
    <w:rsid w:val="00B261DC"/>
    <w:rsid w:val="00B3115A"/>
    <w:rsid w:val="00B3178B"/>
    <w:rsid w:val="00B31825"/>
    <w:rsid w:val="00B31A5C"/>
    <w:rsid w:val="00B32265"/>
    <w:rsid w:val="00B3276D"/>
    <w:rsid w:val="00B32A3C"/>
    <w:rsid w:val="00B3342A"/>
    <w:rsid w:val="00B33B06"/>
    <w:rsid w:val="00B33C19"/>
    <w:rsid w:val="00B35A15"/>
    <w:rsid w:val="00B35B45"/>
    <w:rsid w:val="00B36165"/>
    <w:rsid w:val="00B368FF"/>
    <w:rsid w:val="00B36A99"/>
    <w:rsid w:val="00B42264"/>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A74"/>
    <w:rsid w:val="00B60E4E"/>
    <w:rsid w:val="00B61274"/>
    <w:rsid w:val="00B61DCE"/>
    <w:rsid w:val="00B62152"/>
    <w:rsid w:val="00B62188"/>
    <w:rsid w:val="00B62F79"/>
    <w:rsid w:val="00B62F82"/>
    <w:rsid w:val="00B6306A"/>
    <w:rsid w:val="00B635E3"/>
    <w:rsid w:val="00B662FF"/>
    <w:rsid w:val="00B66679"/>
    <w:rsid w:val="00B67223"/>
    <w:rsid w:val="00B70145"/>
    <w:rsid w:val="00B719E3"/>
    <w:rsid w:val="00B71A92"/>
    <w:rsid w:val="00B721D8"/>
    <w:rsid w:val="00B730CA"/>
    <w:rsid w:val="00B732EA"/>
    <w:rsid w:val="00B7337E"/>
    <w:rsid w:val="00B73747"/>
    <w:rsid w:val="00B747C5"/>
    <w:rsid w:val="00B74F2F"/>
    <w:rsid w:val="00B753ED"/>
    <w:rsid w:val="00B7665F"/>
    <w:rsid w:val="00B769BC"/>
    <w:rsid w:val="00B770F7"/>
    <w:rsid w:val="00B77349"/>
    <w:rsid w:val="00B7761E"/>
    <w:rsid w:val="00B80A3D"/>
    <w:rsid w:val="00B80B04"/>
    <w:rsid w:val="00B80E0E"/>
    <w:rsid w:val="00B812C8"/>
    <w:rsid w:val="00B821E4"/>
    <w:rsid w:val="00B823E0"/>
    <w:rsid w:val="00B825D7"/>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10"/>
    <w:rsid w:val="00B96DF2"/>
    <w:rsid w:val="00B96E18"/>
    <w:rsid w:val="00B96F5A"/>
    <w:rsid w:val="00BA0B39"/>
    <w:rsid w:val="00BA0CB2"/>
    <w:rsid w:val="00BA0E26"/>
    <w:rsid w:val="00BA138B"/>
    <w:rsid w:val="00BA1ECC"/>
    <w:rsid w:val="00BA305B"/>
    <w:rsid w:val="00BA31BF"/>
    <w:rsid w:val="00BA3C0F"/>
    <w:rsid w:val="00BA3FC7"/>
    <w:rsid w:val="00BA478B"/>
    <w:rsid w:val="00BA5224"/>
    <w:rsid w:val="00BA575E"/>
    <w:rsid w:val="00BA76B7"/>
    <w:rsid w:val="00BA7E3B"/>
    <w:rsid w:val="00BB078D"/>
    <w:rsid w:val="00BB079C"/>
    <w:rsid w:val="00BB0D7A"/>
    <w:rsid w:val="00BB0FAA"/>
    <w:rsid w:val="00BB10E1"/>
    <w:rsid w:val="00BB2471"/>
    <w:rsid w:val="00BB2FD2"/>
    <w:rsid w:val="00BB3035"/>
    <w:rsid w:val="00BB320D"/>
    <w:rsid w:val="00BB39C1"/>
    <w:rsid w:val="00BB3DF5"/>
    <w:rsid w:val="00BB3EA7"/>
    <w:rsid w:val="00BB54BE"/>
    <w:rsid w:val="00BB5D16"/>
    <w:rsid w:val="00BB6180"/>
    <w:rsid w:val="00BB69E6"/>
    <w:rsid w:val="00BB7323"/>
    <w:rsid w:val="00BB7BE5"/>
    <w:rsid w:val="00BC08BD"/>
    <w:rsid w:val="00BC11E8"/>
    <w:rsid w:val="00BC1B7A"/>
    <w:rsid w:val="00BC2C17"/>
    <w:rsid w:val="00BC3ACD"/>
    <w:rsid w:val="00BC3B20"/>
    <w:rsid w:val="00BC3EE4"/>
    <w:rsid w:val="00BC4CDF"/>
    <w:rsid w:val="00BC51FF"/>
    <w:rsid w:val="00BC588C"/>
    <w:rsid w:val="00BC6E73"/>
    <w:rsid w:val="00BC74D3"/>
    <w:rsid w:val="00BD0014"/>
    <w:rsid w:val="00BD01D8"/>
    <w:rsid w:val="00BD04FC"/>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3802"/>
    <w:rsid w:val="00C03CF7"/>
    <w:rsid w:val="00C047AB"/>
    <w:rsid w:val="00C058AF"/>
    <w:rsid w:val="00C06EDD"/>
    <w:rsid w:val="00C075B6"/>
    <w:rsid w:val="00C07E9C"/>
    <w:rsid w:val="00C124C1"/>
    <w:rsid w:val="00C128AE"/>
    <w:rsid w:val="00C12BA8"/>
    <w:rsid w:val="00C13094"/>
    <w:rsid w:val="00C136D6"/>
    <w:rsid w:val="00C13D5B"/>
    <w:rsid w:val="00C13FF3"/>
    <w:rsid w:val="00C141D7"/>
    <w:rsid w:val="00C16F11"/>
    <w:rsid w:val="00C1711B"/>
    <w:rsid w:val="00C17542"/>
    <w:rsid w:val="00C17AE2"/>
    <w:rsid w:val="00C20140"/>
    <w:rsid w:val="00C20294"/>
    <w:rsid w:val="00C20F27"/>
    <w:rsid w:val="00C215CF"/>
    <w:rsid w:val="00C2244B"/>
    <w:rsid w:val="00C22711"/>
    <w:rsid w:val="00C2280A"/>
    <w:rsid w:val="00C229F6"/>
    <w:rsid w:val="00C22B0D"/>
    <w:rsid w:val="00C22BFF"/>
    <w:rsid w:val="00C23522"/>
    <w:rsid w:val="00C240C1"/>
    <w:rsid w:val="00C244A1"/>
    <w:rsid w:val="00C24AED"/>
    <w:rsid w:val="00C250D0"/>
    <w:rsid w:val="00C252AC"/>
    <w:rsid w:val="00C25BAA"/>
    <w:rsid w:val="00C25C0F"/>
    <w:rsid w:val="00C26567"/>
    <w:rsid w:val="00C26923"/>
    <w:rsid w:val="00C27214"/>
    <w:rsid w:val="00C27597"/>
    <w:rsid w:val="00C27E5E"/>
    <w:rsid w:val="00C30382"/>
    <w:rsid w:val="00C30772"/>
    <w:rsid w:val="00C30D6F"/>
    <w:rsid w:val="00C31063"/>
    <w:rsid w:val="00C31B7E"/>
    <w:rsid w:val="00C322D1"/>
    <w:rsid w:val="00C3235F"/>
    <w:rsid w:val="00C3242A"/>
    <w:rsid w:val="00C33201"/>
    <w:rsid w:val="00C33A39"/>
    <w:rsid w:val="00C34619"/>
    <w:rsid w:val="00C348D9"/>
    <w:rsid w:val="00C3505F"/>
    <w:rsid w:val="00C35D01"/>
    <w:rsid w:val="00C360B3"/>
    <w:rsid w:val="00C37027"/>
    <w:rsid w:val="00C373BF"/>
    <w:rsid w:val="00C37B19"/>
    <w:rsid w:val="00C41349"/>
    <w:rsid w:val="00C413CB"/>
    <w:rsid w:val="00C42752"/>
    <w:rsid w:val="00C42973"/>
    <w:rsid w:val="00C42B8B"/>
    <w:rsid w:val="00C46B95"/>
    <w:rsid w:val="00C4712A"/>
    <w:rsid w:val="00C5034F"/>
    <w:rsid w:val="00C50830"/>
    <w:rsid w:val="00C5118B"/>
    <w:rsid w:val="00C52479"/>
    <w:rsid w:val="00C5266E"/>
    <w:rsid w:val="00C52C59"/>
    <w:rsid w:val="00C5304F"/>
    <w:rsid w:val="00C53423"/>
    <w:rsid w:val="00C5349E"/>
    <w:rsid w:val="00C539FF"/>
    <w:rsid w:val="00C544BD"/>
    <w:rsid w:val="00C54D3D"/>
    <w:rsid w:val="00C55A30"/>
    <w:rsid w:val="00C56384"/>
    <w:rsid w:val="00C563DC"/>
    <w:rsid w:val="00C57340"/>
    <w:rsid w:val="00C60F8C"/>
    <w:rsid w:val="00C61424"/>
    <w:rsid w:val="00C61794"/>
    <w:rsid w:val="00C61D82"/>
    <w:rsid w:val="00C62A48"/>
    <w:rsid w:val="00C62AC4"/>
    <w:rsid w:val="00C62B59"/>
    <w:rsid w:val="00C62E6E"/>
    <w:rsid w:val="00C62F96"/>
    <w:rsid w:val="00C631E1"/>
    <w:rsid w:val="00C638D8"/>
    <w:rsid w:val="00C63A43"/>
    <w:rsid w:val="00C63AE7"/>
    <w:rsid w:val="00C63D26"/>
    <w:rsid w:val="00C6540A"/>
    <w:rsid w:val="00C668A1"/>
    <w:rsid w:val="00C669F0"/>
    <w:rsid w:val="00C67223"/>
    <w:rsid w:val="00C701F3"/>
    <w:rsid w:val="00C7028E"/>
    <w:rsid w:val="00C707B8"/>
    <w:rsid w:val="00C707EF"/>
    <w:rsid w:val="00C712AC"/>
    <w:rsid w:val="00C7188C"/>
    <w:rsid w:val="00C71A50"/>
    <w:rsid w:val="00C71C15"/>
    <w:rsid w:val="00C71F3D"/>
    <w:rsid w:val="00C72F53"/>
    <w:rsid w:val="00C74035"/>
    <w:rsid w:val="00C748EA"/>
    <w:rsid w:val="00C77818"/>
    <w:rsid w:val="00C8063F"/>
    <w:rsid w:val="00C8127C"/>
    <w:rsid w:val="00C81282"/>
    <w:rsid w:val="00C827B4"/>
    <w:rsid w:val="00C83214"/>
    <w:rsid w:val="00C8329F"/>
    <w:rsid w:val="00C84F8A"/>
    <w:rsid w:val="00C85BA4"/>
    <w:rsid w:val="00C86059"/>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3C8"/>
    <w:rsid w:val="00C978E2"/>
    <w:rsid w:val="00C97997"/>
    <w:rsid w:val="00CA0E66"/>
    <w:rsid w:val="00CA10A2"/>
    <w:rsid w:val="00CA1D83"/>
    <w:rsid w:val="00CA25C0"/>
    <w:rsid w:val="00CA2879"/>
    <w:rsid w:val="00CA3451"/>
    <w:rsid w:val="00CA35C6"/>
    <w:rsid w:val="00CA4948"/>
    <w:rsid w:val="00CA52F9"/>
    <w:rsid w:val="00CA5368"/>
    <w:rsid w:val="00CA568B"/>
    <w:rsid w:val="00CA573A"/>
    <w:rsid w:val="00CA5C58"/>
    <w:rsid w:val="00CB0491"/>
    <w:rsid w:val="00CB06A3"/>
    <w:rsid w:val="00CB19D7"/>
    <w:rsid w:val="00CB19FE"/>
    <w:rsid w:val="00CB1C3F"/>
    <w:rsid w:val="00CB2364"/>
    <w:rsid w:val="00CB24C2"/>
    <w:rsid w:val="00CB304C"/>
    <w:rsid w:val="00CB3933"/>
    <w:rsid w:val="00CB5010"/>
    <w:rsid w:val="00CB53E8"/>
    <w:rsid w:val="00CB594A"/>
    <w:rsid w:val="00CB5CB2"/>
    <w:rsid w:val="00CB6979"/>
    <w:rsid w:val="00CB7DDE"/>
    <w:rsid w:val="00CC0A3D"/>
    <w:rsid w:val="00CC2FF0"/>
    <w:rsid w:val="00CC3C15"/>
    <w:rsid w:val="00CC3C53"/>
    <w:rsid w:val="00CC3D24"/>
    <w:rsid w:val="00CC3F91"/>
    <w:rsid w:val="00CC47EE"/>
    <w:rsid w:val="00CC4ACD"/>
    <w:rsid w:val="00CC4B0A"/>
    <w:rsid w:val="00CC544A"/>
    <w:rsid w:val="00CC5791"/>
    <w:rsid w:val="00CC57EA"/>
    <w:rsid w:val="00CC5954"/>
    <w:rsid w:val="00CC629B"/>
    <w:rsid w:val="00CC6C4E"/>
    <w:rsid w:val="00CD009D"/>
    <w:rsid w:val="00CD05A2"/>
    <w:rsid w:val="00CD29A9"/>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E7DB7"/>
    <w:rsid w:val="00CF0AB7"/>
    <w:rsid w:val="00CF1D74"/>
    <w:rsid w:val="00CF2213"/>
    <w:rsid w:val="00CF2BE2"/>
    <w:rsid w:val="00CF3DEB"/>
    <w:rsid w:val="00CF55F9"/>
    <w:rsid w:val="00CF7074"/>
    <w:rsid w:val="00CF7495"/>
    <w:rsid w:val="00D0054B"/>
    <w:rsid w:val="00D00FE6"/>
    <w:rsid w:val="00D01CF9"/>
    <w:rsid w:val="00D03311"/>
    <w:rsid w:val="00D0334D"/>
    <w:rsid w:val="00D0374D"/>
    <w:rsid w:val="00D04689"/>
    <w:rsid w:val="00D05EC8"/>
    <w:rsid w:val="00D06150"/>
    <w:rsid w:val="00D064BF"/>
    <w:rsid w:val="00D06B83"/>
    <w:rsid w:val="00D06D7B"/>
    <w:rsid w:val="00D06DA5"/>
    <w:rsid w:val="00D07191"/>
    <w:rsid w:val="00D07E7D"/>
    <w:rsid w:val="00D07F1D"/>
    <w:rsid w:val="00D10558"/>
    <w:rsid w:val="00D11D4D"/>
    <w:rsid w:val="00D11DB1"/>
    <w:rsid w:val="00D126DC"/>
    <w:rsid w:val="00D12B03"/>
    <w:rsid w:val="00D13E70"/>
    <w:rsid w:val="00D13EE7"/>
    <w:rsid w:val="00D15FCD"/>
    <w:rsid w:val="00D16C58"/>
    <w:rsid w:val="00D17019"/>
    <w:rsid w:val="00D17E4C"/>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B25"/>
    <w:rsid w:val="00D36F87"/>
    <w:rsid w:val="00D37E4E"/>
    <w:rsid w:val="00D4136A"/>
    <w:rsid w:val="00D417D8"/>
    <w:rsid w:val="00D41F78"/>
    <w:rsid w:val="00D42E6C"/>
    <w:rsid w:val="00D4351C"/>
    <w:rsid w:val="00D439F4"/>
    <w:rsid w:val="00D43B80"/>
    <w:rsid w:val="00D44988"/>
    <w:rsid w:val="00D45B4C"/>
    <w:rsid w:val="00D45BA4"/>
    <w:rsid w:val="00D471AF"/>
    <w:rsid w:val="00D471E2"/>
    <w:rsid w:val="00D4724C"/>
    <w:rsid w:val="00D4724F"/>
    <w:rsid w:val="00D47F93"/>
    <w:rsid w:val="00D50519"/>
    <w:rsid w:val="00D50779"/>
    <w:rsid w:val="00D51601"/>
    <w:rsid w:val="00D51AEF"/>
    <w:rsid w:val="00D51CA1"/>
    <w:rsid w:val="00D51ECB"/>
    <w:rsid w:val="00D52466"/>
    <w:rsid w:val="00D5264C"/>
    <w:rsid w:val="00D52BBC"/>
    <w:rsid w:val="00D537FE"/>
    <w:rsid w:val="00D53CC9"/>
    <w:rsid w:val="00D54A6A"/>
    <w:rsid w:val="00D54B8F"/>
    <w:rsid w:val="00D55848"/>
    <w:rsid w:val="00D55951"/>
    <w:rsid w:val="00D559F0"/>
    <w:rsid w:val="00D5650F"/>
    <w:rsid w:val="00D56AC0"/>
    <w:rsid w:val="00D57EB6"/>
    <w:rsid w:val="00D608C0"/>
    <w:rsid w:val="00D60D6D"/>
    <w:rsid w:val="00D6128C"/>
    <w:rsid w:val="00D63B22"/>
    <w:rsid w:val="00D66D8B"/>
    <w:rsid w:val="00D70849"/>
    <w:rsid w:val="00D72297"/>
    <w:rsid w:val="00D72A1C"/>
    <w:rsid w:val="00D7308F"/>
    <w:rsid w:val="00D7313E"/>
    <w:rsid w:val="00D73580"/>
    <w:rsid w:val="00D73802"/>
    <w:rsid w:val="00D73C05"/>
    <w:rsid w:val="00D73C2C"/>
    <w:rsid w:val="00D73D52"/>
    <w:rsid w:val="00D745E7"/>
    <w:rsid w:val="00D75FDA"/>
    <w:rsid w:val="00D76311"/>
    <w:rsid w:val="00D774ED"/>
    <w:rsid w:val="00D777C3"/>
    <w:rsid w:val="00D7797C"/>
    <w:rsid w:val="00D77C44"/>
    <w:rsid w:val="00D77F88"/>
    <w:rsid w:val="00D81AFA"/>
    <w:rsid w:val="00D81EAA"/>
    <w:rsid w:val="00D81FE2"/>
    <w:rsid w:val="00D8259F"/>
    <w:rsid w:val="00D825F2"/>
    <w:rsid w:val="00D8285C"/>
    <w:rsid w:val="00D82884"/>
    <w:rsid w:val="00D828B1"/>
    <w:rsid w:val="00D82A55"/>
    <w:rsid w:val="00D830F8"/>
    <w:rsid w:val="00D83D49"/>
    <w:rsid w:val="00D84181"/>
    <w:rsid w:val="00D844AE"/>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194"/>
    <w:rsid w:val="00DA0485"/>
    <w:rsid w:val="00DA0B11"/>
    <w:rsid w:val="00DA1A3A"/>
    <w:rsid w:val="00DA2351"/>
    <w:rsid w:val="00DA249E"/>
    <w:rsid w:val="00DA2D3D"/>
    <w:rsid w:val="00DA3855"/>
    <w:rsid w:val="00DA39BA"/>
    <w:rsid w:val="00DA4C30"/>
    <w:rsid w:val="00DA6016"/>
    <w:rsid w:val="00DA6A44"/>
    <w:rsid w:val="00DA7A3C"/>
    <w:rsid w:val="00DB0502"/>
    <w:rsid w:val="00DB145E"/>
    <w:rsid w:val="00DB1A94"/>
    <w:rsid w:val="00DB1D52"/>
    <w:rsid w:val="00DB1E2B"/>
    <w:rsid w:val="00DB1F62"/>
    <w:rsid w:val="00DB21E7"/>
    <w:rsid w:val="00DB2D4B"/>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3FCE"/>
    <w:rsid w:val="00DC4782"/>
    <w:rsid w:val="00DC514A"/>
    <w:rsid w:val="00DC67B1"/>
    <w:rsid w:val="00DC6AB4"/>
    <w:rsid w:val="00DC6F0E"/>
    <w:rsid w:val="00DC7FBC"/>
    <w:rsid w:val="00DD0019"/>
    <w:rsid w:val="00DD132B"/>
    <w:rsid w:val="00DD1725"/>
    <w:rsid w:val="00DD2159"/>
    <w:rsid w:val="00DD218B"/>
    <w:rsid w:val="00DD28BA"/>
    <w:rsid w:val="00DD2A18"/>
    <w:rsid w:val="00DD3044"/>
    <w:rsid w:val="00DD3985"/>
    <w:rsid w:val="00DD61E8"/>
    <w:rsid w:val="00DD62C0"/>
    <w:rsid w:val="00DD64DE"/>
    <w:rsid w:val="00DD66DE"/>
    <w:rsid w:val="00DD7859"/>
    <w:rsid w:val="00DD7B41"/>
    <w:rsid w:val="00DE0784"/>
    <w:rsid w:val="00DE0A1D"/>
    <w:rsid w:val="00DE0C53"/>
    <w:rsid w:val="00DE15B2"/>
    <w:rsid w:val="00DE1A9A"/>
    <w:rsid w:val="00DE1B64"/>
    <w:rsid w:val="00DE3D2C"/>
    <w:rsid w:val="00DE5E82"/>
    <w:rsid w:val="00DE5FA6"/>
    <w:rsid w:val="00DE63AF"/>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5F3F"/>
    <w:rsid w:val="00DF604A"/>
    <w:rsid w:val="00DF63B1"/>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2ED0"/>
    <w:rsid w:val="00E03121"/>
    <w:rsid w:val="00E04C0F"/>
    <w:rsid w:val="00E0570B"/>
    <w:rsid w:val="00E069C5"/>
    <w:rsid w:val="00E10913"/>
    <w:rsid w:val="00E10B87"/>
    <w:rsid w:val="00E10FBD"/>
    <w:rsid w:val="00E121CE"/>
    <w:rsid w:val="00E12209"/>
    <w:rsid w:val="00E12589"/>
    <w:rsid w:val="00E1478B"/>
    <w:rsid w:val="00E14FAC"/>
    <w:rsid w:val="00E15007"/>
    <w:rsid w:val="00E16277"/>
    <w:rsid w:val="00E16ADC"/>
    <w:rsid w:val="00E16EC7"/>
    <w:rsid w:val="00E17DCC"/>
    <w:rsid w:val="00E21360"/>
    <w:rsid w:val="00E21862"/>
    <w:rsid w:val="00E219CE"/>
    <w:rsid w:val="00E21D93"/>
    <w:rsid w:val="00E22D2A"/>
    <w:rsid w:val="00E24071"/>
    <w:rsid w:val="00E24DCA"/>
    <w:rsid w:val="00E24EBC"/>
    <w:rsid w:val="00E251CF"/>
    <w:rsid w:val="00E2522C"/>
    <w:rsid w:val="00E2552F"/>
    <w:rsid w:val="00E25698"/>
    <w:rsid w:val="00E2599B"/>
    <w:rsid w:val="00E262BF"/>
    <w:rsid w:val="00E2710C"/>
    <w:rsid w:val="00E272BD"/>
    <w:rsid w:val="00E27428"/>
    <w:rsid w:val="00E305B4"/>
    <w:rsid w:val="00E31AFA"/>
    <w:rsid w:val="00E31CB7"/>
    <w:rsid w:val="00E324EE"/>
    <w:rsid w:val="00E34DB1"/>
    <w:rsid w:val="00E35931"/>
    <w:rsid w:val="00E359FF"/>
    <w:rsid w:val="00E3699A"/>
    <w:rsid w:val="00E37908"/>
    <w:rsid w:val="00E402C5"/>
    <w:rsid w:val="00E402F4"/>
    <w:rsid w:val="00E405F1"/>
    <w:rsid w:val="00E41151"/>
    <w:rsid w:val="00E417DB"/>
    <w:rsid w:val="00E43054"/>
    <w:rsid w:val="00E43655"/>
    <w:rsid w:val="00E44440"/>
    <w:rsid w:val="00E4451D"/>
    <w:rsid w:val="00E46013"/>
    <w:rsid w:val="00E47099"/>
    <w:rsid w:val="00E47284"/>
    <w:rsid w:val="00E477C3"/>
    <w:rsid w:val="00E50A1B"/>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F3A"/>
    <w:rsid w:val="00E6402D"/>
    <w:rsid w:val="00E6680A"/>
    <w:rsid w:val="00E66F0D"/>
    <w:rsid w:val="00E67634"/>
    <w:rsid w:val="00E70615"/>
    <w:rsid w:val="00E7161E"/>
    <w:rsid w:val="00E7207B"/>
    <w:rsid w:val="00E7347A"/>
    <w:rsid w:val="00E73921"/>
    <w:rsid w:val="00E75A47"/>
    <w:rsid w:val="00E75BB6"/>
    <w:rsid w:val="00E75D8C"/>
    <w:rsid w:val="00E76D29"/>
    <w:rsid w:val="00E777F2"/>
    <w:rsid w:val="00E802C9"/>
    <w:rsid w:val="00E80BFB"/>
    <w:rsid w:val="00E80EC2"/>
    <w:rsid w:val="00E80F0A"/>
    <w:rsid w:val="00E815D4"/>
    <w:rsid w:val="00E8291B"/>
    <w:rsid w:val="00E82E70"/>
    <w:rsid w:val="00E82F92"/>
    <w:rsid w:val="00E8395F"/>
    <w:rsid w:val="00E83D18"/>
    <w:rsid w:val="00E8410F"/>
    <w:rsid w:val="00E849D7"/>
    <w:rsid w:val="00E85E41"/>
    <w:rsid w:val="00E85EA1"/>
    <w:rsid w:val="00E86703"/>
    <w:rsid w:val="00E900DA"/>
    <w:rsid w:val="00E91044"/>
    <w:rsid w:val="00E910D3"/>
    <w:rsid w:val="00E914EF"/>
    <w:rsid w:val="00E91F30"/>
    <w:rsid w:val="00E92097"/>
    <w:rsid w:val="00E92154"/>
    <w:rsid w:val="00E923CF"/>
    <w:rsid w:val="00E93685"/>
    <w:rsid w:val="00E93B65"/>
    <w:rsid w:val="00E93C8C"/>
    <w:rsid w:val="00E95111"/>
    <w:rsid w:val="00E95C41"/>
    <w:rsid w:val="00E95FDF"/>
    <w:rsid w:val="00EA107E"/>
    <w:rsid w:val="00EA14C8"/>
    <w:rsid w:val="00EA2110"/>
    <w:rsid w:val="00EA2363"/>
    <w:rsid w:val="00EA283A"/>
    <w:rsid w:val="00EA2C90"/>
    <w:rsid w:val="00EA2E07"/>
    <w:rsid w:val="00EA383B"/>
    <w:rsid w:val="00EA4219"/>
    <w:rsid w:val="00EA4770"/>
    <w:rsid w:val="00EA48F3"/>
    <w:rsid w:val="00EA60BF"/>
    <w:rsid w:val="00EA7365"/>
    <w:rsid w:val="00EA7606"/>
    <w:rsid w:val="00EA763F"/>
    <w:rsid w:val="00EA77E9"/>
    <w:rsid w:val="00EB0293"/>
    <w:rsid w:val="00EB05D0"/>
    <w:rsid w:val="00EB1151"/>
    <w:rsid w:val="00EB1D49"/>
    <w:rsid w:val="00EB23D9"/>
    <w:rsid w:val="00EB39A0"/>
    <w:rsid w:val="00EB430A"/>
    <w:rsid w:val="00EB559F"/>
    <w:rsid w:val="00EB566C"/>
    <w:rsid w:val="00EB5A18"/>
    <w:rsid w:val="00EB5F3D"/>
    <w:rsid w:val="00EB652E"/>
    <w:rsid w:val="00EB69C0"/>
    <w:rsid w:val="00EB6C97"/>
    <w:rsid w:val="00EC1CEB"/>
    <w:rsid w:val="00EC1DC0"/>
    <w:rsid w:val="00EC1DC2"/>
    <w:rsid w:val="00EC1E09"/>
    <w:rsid w:val="00EC210E"/>
    <w:rsid w:val="00EC21EC"/>
    <w:rsid w:val="00EC24B8"/>
    <w:rsid w:val="00EC268C"/>
    <w:rsid w:val="00EC3753"/>
    <w:rsid w:val="00EC4E71"/>
    <w:rsid w:val="00EC5F1C"/>
    <w:rsid w:val="00EC7309"/>
    <w:rsid w:val="00EC78A0"/>
    <w:rsid w:val="00ED0365"/>
    <w:rsid w:val="00ED0865"/>
    <w:rsid w:val="00ED0C1C"/>
    <w:rsid w:val="00ED1C60"/>
    <w:rsid w:val="00ED2EB9"/>
    <w:rsid w:val="00ED3606"/>
    <w:rsid w:val="00ED3722"/>
    <w:rsid w:val="00ED3A31"/>
    <w:rsid w:val="00ED4469"/>
    <w:rsid w:val="00ED4AAC"/>
    <w:rsid w:val="00ED5424"/>
    <w:rsid w:val="00ED5F23"/>
    <w:rsid w:val="00ED6DC0"/>
    <w:rsid w:val="00ED7A7A"/>
    <w:rsid w:val="00EE0327"/>
    <w:rsid w:val="00EE0366"/>
    <w:rsid w:val="00EE038C"/>
    <w:rsid w:val="00EE28C5"/>
    <w:rsid w:val="00EE2F09"/>
    <w:rsid w:val="00EE311E"/>
    <w:rsid w:val="00EE417E"/>
    <w:rsid w:val="00EE47C5"/>
    <w:rsid w:val="00EE490C"/>
    <w:rsid w:val="00EE4E57"/>
    <w:rsid w:val="00EE4FC7"/>
    <w:rsid w:val="00EE5072"/>
    <w:rsid w:val="00EE5738"/>
    <w:rsid w:val="00EE58BD"/>
    <w:rsid w:val="00EE5E59"/>
    <w:rsid w:val="00EE73D0"/>
    <w:rsid w:val="00EE769F"/>
    <w:rsid w:val="00EE7CB0"/>
    <w:rsid w:val="00EF08A8"/>
    <w:rsid w:val="00EF093A"/>
    <w:rsid w:val="00EF0C4F"/>
    <w:rsid w:val="00EF167B"/>
    <w:rsid w:val="00EF2496"/>
    <w:rsid w:val="00EF3A1C"/>
    <w:rsid w:val="00EF41A8"/>
    <w:rsid w:val="00EF44FB"/>
    <w:rsid w:val="00EF5122"/>
    <w:rsid w:val="00EF536F"/>
    <w:rsid w:val="00EF5554"/>
    <w:rsid w:val="00EF5AD8"/>
    <w:rsid w:val="00EF6B90"/>
    <w:rsid w:val="00EF6D1A"/>
    <w:rsid w:val="00EF7807"/>
    <w:rsid w:val="00EF79F7"/>
    <w:rsid w:val="00F006C0"/>
    <w:rsid w:val="00F00E55"/>
    <w:rsid w:val="00F0125F"/>
    <w:rsid w:val="00F019AA"/>
    <w:rsid w:val="00F0267E"/>
    <w:rsid w:val="00F02686"/>
    <w:rsid w:val="00F030C0"/>
    <w:rsid w:val="00F03291"/>
    <w:rsid w:val="00F03A85"/>
    <w:rsid w:val="00F0459B"/>
    <w:rsid w:val="00F0471B"/>
    <w:rsid w:val="00F04E15"/>
    <w:rsid w:val="00F05DF3"/>
    <w:rsid w:val="00F06829"/>
    <w:rsid w:val="00F069EA"/>
    <w:rsid w:val="00F070E5"/>
    <w:rsid w:val="00F07DDE"/>
    <w:rsid w:val="00F11675"/>
    <w:rsid w:val="00F123DA"/>
    <w:rsid w:val="00F12557"/>
    <w:rsid w:val="00F13599"/>
    <w:rsid w:val="00F13B28"/>
    <w:rsid w:val="00F1524B"/>
    <w:rsid w:val="00F156A0"/>
    <w:rsid w:val="00F15730"/>
    <w:rsid w:val="00F176A6"/>
    <w:rsid w:val="00F177EB"/>
    <w:rsid w:val="00F202C2"/>
    <w:rsid w:val="00F212F6"/>
    <w:rsid w:val="00F22756"/>
    <w:rsid w:val="00F23248"/>
    <w:rsid w:val="00F23802"/>
    <w:rsid w:val="00F23890"/>
    <w:rsid w:val="00F2504D"/>
    <w:rsid w:val="00F2637F"/>
    <w:rsid w:val="00F268F7"/>
    <w:rsid w:val="00F30B83"/>
    <w:rsid w:val="00F30BDB"/>
    <w:rsid w:val="00F30CF8"/>
    <w:rsid w:val="00F31EDF"/>
    <w:rsid w:val="00F32CDE"/>
    <w:rsid w:val="00F32D4C"/>
    <w:rsid w:val="00F3327E"/>
    <w:rsid w:val="00F338C3"/>
    <w:rsid w:val="00F34B14"/>
    <w:rsid w:val="00F34B76"/>
    <w:rsid w:val="00F34F58"/>
    <w:rsid w:val="00F34F9D"/>
    <w:rsid w:val="00F35DA7"/>
    <w:rsid w:val="00F36A6A"/>
    <w:rsid w:val="00F40101"/>
    <w:rsid w:val="00F404F7"/>
    <w:rsid w:val="00F40680"/>
    <w:rsid w:val="00F40CCA"/>
    <w:rsid w:val="00F413F6"/>
    <w:rsid w:val="00F42D97"/>
    <w:rsid w:val="00F42FCF"/>
    <w:rsid w:val="00F436B2"/>
    <w:rsid w:val="00F43813"/>
    <w:rsid w:val="00F43FEE"/>
    <w:rsid w:val="00F4492F"/>
    <w:rsid w:val="00F45A72"/>
    <w:rsid w:val="00F46723"/>
    <w:rsid w:val="00F46912"/>
    <w:rsid w:val="00F4706D"/>
    <w:rsid w:val="00F476E1"/>
    <w:rsid w:val="00F47C2B"/>
    <w:rsid w:val="00F47D1D"/>
    <w:rsid w:val="00F47F29"/>
    <w:rsid w:val="00F50016"/>
    <w:rsid w:val="00F5118A"/>
    <w:rsid w:val="00F51A21"/>
    <w:rsid w:val="00F524CA"/>
    <w:rsid w:val="00F52614"/>
    <w:rsid w:val="00F5276E"/>
    <w:rsid w:val="00F52E9F"/>
    <w:rsid w:val="00F53304"/>
    <w:rsid w:val="00F53B81"/>
    <w:rsid w:val="00F540FE"/>
    <w:rsid w:val="00F5459A"/>
    <w:rsid w:val="00F556FF"/>
    <w:rsid w:val="00F5596E"/>
    <w:rsid w:val="00F55D12"/>
    <w:rsid w:val="00F5687F"/>
    <w:rsid w:val="00F56911"/>
    <w:rsid w:val="00F56B3F"/>
    <w:rsid w:val="00F56D3F"/>
    <w:rsid w:val="00F575C7"/>
    <w:rsid w:val="00F57FD0"/>
    <w:rsid w:val="00F60305"/>
    <w:rsid w:val="00F61B12"/>
    <w:rsid w:val="00F61C70"/>
    <w:rsid w:val="00F63264"/>
    <w:rsid w:val="00F634E4"/>
    <w:rsid w:val="00F6379E"/>
    <w:rsid w:val="00F64047"/>
    <w:rsid w:val="00F6511D"/>
    <w:rsid w:val="00F65171"/>
    <w:rsid w:val="00F6560D"/>
    <w:rsid w:val="00F67844"/>
    <w:rsid w:val="00F67C6D"/>
    <w:rsid w:val="00F70799"/>
    <w:rsid w:val="00F70A8B"/>
    <w:rsid w:val="00F70B8D"/>
    <w:rsid w:val="00F70C2E"/>
    <w:rsid w:val="00F71936"/>
    <w:rsid w:val="00F724FB"/>
    <w:rsid w:val="00F726B8"/>
    <w:rsid w:val="00F72A26"/>
    <w:rsid w:val="00F733C3"/>
    <w:rsid w:val="00F746A1"/>
    <w:rsid w:val="00F74820"/>
    <w:rsid w:val="00F756DD"/>
    <w:rsid w:val="00F77F4E"/>
    <w:rsid w:val="00F80047"/>
    <w:rsid w:val="00F800C7"/>
    <w:rsid w:val="00F8045D"/>
    <w:rsid w:val="00F8055A"/>
    <w:rsid w:val="00F8104D"/>
    <w:rsid w:val="00F8153F"/>
    <w:rsid w:val="00F81587"/>
    <w:rsid w:val="00F81CAE"/>
    <w:rsid w:val="00F8288F"/>
    <w:rsid w:val="00F8376E"/>
    <w:rsid w:val="00F83C52"/>
    <w:rsid w:val="00F83EB1"/>
    <w:rsid w:val="00F84802"/>
    <w:rsid w:val="00F851D7"/>
    <w:rsid w:val="00F85B72"/>
    <w:rsid w:val="00F86540"/>
    <w:rsid w:val="00F865CE"/>
    <w:rsid w:val="00F8766F"/>
    <w:rsid w:val="00F90282"/>
    <w:rsid w:val="00F91082"/>
    <w:rsid w:val="00F9116D"/>
    <w:rsid w:val="00F91342"/>
    <w:rsid w:val="00F91A9A"/>
    <w:rsid w:val="00F91B4A"/>
    <w:rsid w:val="00F92634"/>
    <w:rsid w:val="00F933F3"/>
    <w:rsid w:val="00F93ABB"/>
    <w:rsid w:val="00F94D79"/>
    <w:rsid w:val="00F9658C"/>
    <w:rsid w:val="00F96EEB"/>
    <w:rsid w:val="00F97A7F"/>
    <w:rsid w:val="00F97CD0"/>
    <w:rsid w:val="00FA0889"/>
    <w:rsid w:val="00FA16E7"/>
    <w:rsid w:val="00FA31C7"/>
    <w:rsid w:val="00FA472D"/>
    <w:rsid w:val="00FA5294"/>
    <w:rsid w:val="00FA589B"/>
    <w:rsid w:val="00FA589E"/>
    <w:rsid w:val="00FA5C0E"/>
    <w:rsid w:val="00FA681F"/>
    <w:rsid w:val="00FA7EC3"/>
    <w:rsid w:val="00FB09D5"/>
    <w:rsid w:val="00FB0CBF"/>
    <w:rsid w:val="00FB1270"/>
    <w:rsid w:val="00FB18F6"/>
    <w:rsid w:val="00FB2A52"/>
    <w:rsid w:val="00FB3F92"/>
    <w:rsid w:val="00FB52C7"/>
    <w:rsid w:val="00FB57DC"/>
    <w:rsid w:val="00FB6800"/>
    <w:rsid w:val="00FB6E19"/>
    <w:rsid w:val="00FB71F6"/>
    <w:rsid w:val="00FB7DDF"/>
    <w:rsid w:val="00FC07AF"/>
    <w:rsid w:val="00FC0AF8"/>
    <w:rsid w:val="00FC0B69"/>
    <w:rsid w:val="00FC1483"/>
    <w:rsid w:val="00FC1C47"/>
    <w:rsid w:val="00FC217D"/>
    <w:rsid w:val="00FC3102"/>
    <w:rsid w:val="00FC39ED"/>
    <w:rsid w:val="00FC4419"/>
    <w:rsid w:val="00FC47E2"/>
    <w:rsid w:val="00FC4AA5"/>
    <w:rsid w:val="00FC4B88"/>
    <w:rsid w:val="00FC4BB8"/>
    <w:rsid w:val="00FC5148"/>
    <w:rsid w:val="00FC548B"/>
    <w:rsid w:val="00FC5669"/>
    <w:rsid w:val="00FC593A"/>
    <w:rsid w:val="00FC6524"/>
    <w:rsid w:val="00FC6B58"/>
    <w:rsid w:val="00FC7504"/>
    <w:rsid w:val="00FC75AC"/>
    <w:rsid w:val="00FC7984"/>
    <w:rsid w:val="00FD01BF"/>
    <w:rsid w:val="00FD0525"/>
    <w:rsid w:val="00FD0AB7"/>
    <w:rsid w:val="00FD1418"/>
    <w:rsid w:val="00FD297D"/>
    <w:rsid w:val="00FD2D13"/>
    <w:rsid w:val="00FD374D"/>
    <w:rsid w:val="00FD480D"/>
    <w:rsid w:val="00FD6071"/>
    <w:rsid w:val="00FD61B8"/>
    <w:rsid w:val="00FD633B"/>
    <w:rsid w:val="00FE0794"/>
    <w:rsid w:val="00FE1041"/>
    <w:rsid w:val="00FE24CB"/>
    <w:rsid w:val="00FE323F"/>
    <w:rsid w:val="00FE3473"/>
    <w:rsid w:val="00FE4049"/>
    <w:rsid w:val="00FE4794"/>
    <w:rsid w:val="00FE480F"/>
    <w:rsid w:val="00FE4998"/>
    <w:rsid w:val="00FE56A2"/>
    <w:rsid w:val="00FE57DE"/>
    <w:rsid w:val="00FE6995"/>
    <w:rsid w:val="00FE7A68"/>
    <w:rsid w:val="00FF0231"/>
    <w:rsid w:val="00FF1C9B"/>
    <w:rsid w:val="00FF1D49"/>
    <w:rsid w:val="00FF203B"/>
    <w:rsid w:val="00FF2271"/>
    <w:rsid w:val="00FF2562"/>
    <w:rsid w:val="00FF3A41"/>
    <w:rsid w:val="00FF3E53"/>
    <w:rsid w:val="00FF3E5B"/>
    <w:rsid w:val="00FF57E4"/>
    <w:rsid w:val="00FF78E5"/>
    <w:rsid w:val="01000C5B"/>
    <w:rsid w:val="012C5FAF"/>
    <w:rsid w:val="019F231E"/>
    <w:rsid w:val="01AF3D99"/>
    <w:rsid w:val="020B5B6C"/>
    <w:rsid w:val="02511F9D"/>
    <w:rsid w:val="02C4454E"/>
    <w:rsid w:val="03A314B8"/>
    <w:rsid w:val="03D82B98"/>
    <w:rsid w:val="03F83E8B"/>
    <w:rsid w:val="044E5A9E"/>
    <w:rsid w:val="04501D12"/>
    <w:rsid w:val="05433538"/>
    <w:rsid w:val="05C56868"/>
    <w:rsid w:val="062A31D9"/>
    <w:rsid w:val="06A01841"/>
    <w:rsid w:val="070D6D82"/>
    <w:rsid w:val="078A0CAD"/>
    <w:rsid w:val="07A539BD"/>
    <w:rsid w:val="07B72767"/>
    <w:rsid w:val="07DE3BDA"/>
    <w:rsid w:val="08077E72"/>
    <w:rsid w:val="08882DD0"/>
    <w:rsid w:val="08BD4128"/>
    <w:rsid w:val="09942A25"/>
    <w:rsid w:val="09CC2AAC"/>
    <w:rsid w:val="09E63D8F"/>
    <w:rsid w:val="0A652D3E"/>
    <w:rsid w:val="0AAE6186"/>
    <w:rsid w:val="0B2A1B51"/>
    <w:rsid w:val="0B326F2A"/>
    <w:rsid w:val="0B615182"/>
    <w:rsid w:val="0C1E2888"/>
    <w:rsid w:val="0C92213C"/>
    <w:rsid w:val="0CC2027E"/>
    <w:rsid w:val="0D84032B"/>
    <w:rsid w:val="0DA76E63"/>
    <w:rsid w:val="0ECD4593"/>
    <w:rsid w:val="0F2A74C4"/>
    <w:rsid w:val="10A27F31"/>
    <w:rsid w:val="10D069C0"/>
    <w:rsid w:val="11927058"/>
    <w:rsid w:val="11BA40D6"/>
    <w:rsid w:val="12090DE7"/>
    <w:rsid w:val="120E171E"/>
    <w:rsid w:val="13AF4F03"/>
    <w:rsid w:val="14736E66"/>
    <w:rsid w:val="147F458F"/>
    <w:rsid w:val="14C03686"/>
    <w:rsid w:val="14D631A8"/>
    <w:rsid w:val="14ED3D4F"/>
    <w:rsid w:val="15170DCC"/>
    <w:rsid w:val="1534169A"/>
    <w:rsid w:val="15C03E03"/>
    <w:rsid w:val="15CD60AD"/>
    <w:rsid w:val="162A25EB"/>
    <w:rsid w:val="163E739A"/>
    <w:rsid w:val="16735895"/>
    <w:rsid w:val="16D056D6"/>
    <w:rsid w:val="16D81FCF"/>
    <w:rsid w:val="16FD2A55"/>
    <w:rsid w:val="17067C1A"/>
    <w:rsid w:val="173619DD"/>
    <w:rsid w:val="17366761"/>
    <w:rsid w:val="174622BF"/>
    <w:rsid w:val="177C01F0"/>
    <w:rsid w:val="179E3EFA"/>
    <w:rsid w:val="17CE6630"/>
    <w:rsid w:val="180E570D"/>
    <w:rsid w:val="181544C4"/>
    <w:rsid w:val="18A84E83"/>
    <w:rsid w:val="18DD5EFC"/>
    <w:rsid w:val="1AFF0AFE"/>
    <w:rsid w:val="1B4F19F8"/>
    <w:rsid w:val="1B9712C6"/>
    <w:rsid w:val="1BF024EA"/>
    <w:rsid w:val="1BF65B37"/>
    <w:rsid w:val="1DA85D60"/>
    <w:rsid w:val="1DCA2E80"/>
    <w:rsid w:val="1DDC79E7"/>
    <w:rsid w:val="1E210839"/>
    <w:rsid w:val="1E5C3C8E"/>
    <w:rsid w:val="1E636E30"/>
    <w:rsid w:val="1EAA4A5F"/>
    <w:rsid w:val="1ECC44FA"/>
    <w:rsid w:val="1F063325"/>
    <w:rsid w:val="1F3C1B5B"/>
    <w:rsid w:val="1FBC5DF5"/>
    <w:rsid w:val="1FF90588"/>
    <w:rsid w:val="202409C9"/>
    <w:rsid w:val="20C3623F"/>
    <w:rsid w:val="21781212"/>
    <w:rsid w:val="21A021AB"/>
    <w:rsid w:val="21B55BF5"/>
    <w:rsid w:val="21B83F86"/>
    <w:rsid w:val="221178A8"/>
    <w:rsid w:val="221213CF"/>
    <w:rsid w:val="22327A92"/>
    <w:rsid w:val="22EE49C4"/>
    <w:rsid w:val="2303178C"/>
    <w:rsid w:val="231D53A2"/>
    <w:rsid w:val="232E7BA6"/>
    <w:rsid w:val="236D5383"/>
    <w:rsid w:val="23B01D8E"/>
    <w:rsid w:val="23B7504C"/>
    <w:rsid w:val="241035B6"/>
    <w:rsid w:val="24571307"/>
    <w:rsid w:val="25110A2A"/>
    <w:rsid w:val="256C0944"/>
    <w:rsid w:val="259A601B"/>
    <w:rsid w:val="25E41AC1"/>
    <w:rsid w:val="26404627"/>
    <w:rsid w:val="26446DE3"/>
    <w:rsid w:val="26877DFE"/>
    <w:rsid w:val="269669E7"/>
    <w:rsid w:val="26A270C1"/>
    <w:rsid w:val="26A657DD"/>
    <w:rsid w:val="26C07516"/>
    <w:rsid w:val="26D7699F"/>
    <w:rsid w:val="287D749B"/>
    <w:rsid w:val="28FC4BDA"/>
    <w:rsid w:val="29885B65"/>
    <w:rsid w:val="29D75F7F"/>
    <w:rsid w:val="2A1B7B6E"/>
    <w:rsid w:val="2A2E0BA6"/>
    <w:rsid w:val="2B774624"/>
    <w:rsid w:val="2C057779"/>
    <w:rsid w:val="2C7A72BE"/>
    <w:rsid w:val="2C9A7D75"/>
    <w:rsid w:val="2CB42500"/>
    <w:rsid w:val="2CC17412"/>
    <w:rsid w:val="2D7C1E99"/>
    <w:rsid w:val="2E9976CE"/>
    <w:rsid w:val="2EF01DEE"/>
    <w:rsid w:val="2F401D3C"/>
    <w:rsid w:val="2F5B24E1"/>
    <w:rsid w:val="2FA95C88"/>
    <w:rsid w:val="3041370F"/>
    <w:rsid w:val="30747E99"/>
    <w:rsid w:val="30A925DC"/>
    <w:rsid w:val="30B87FED"/>
    <w:rsid w:val="30E5291E"/>
    <w:rsid w:val="312B50A3"/>
    <w:rsid w:val="31894FD2"/>
    <w:rsid w:val="31D55A3F"/>
    <w:rsid w:val="320F314B"/>
    <w:rsid w:val="32453A27"/>
    <w:rsid w:val="3263064A"/>
    <w:rsid w:val="32A43132"/>
    <w:rsid w:val="32AC0C06"/>
    <w:rsid w:val="33344EF5"/>
    <w:rsid w:val="34624ECA"/>
    <w:rsid w:val="34C6392B"/>
    <w:rsid w:val="34F508F3"/>
    <w:rsid w:val="3537750C"/>
    <w:rsid w:val="3537798C"/>
    <w:rsid w:val="3544210B"/>
    <w:rsid w:val="35C13FC9"/>
    <w:rsid w:val="36372B05"/>
    <w:rsid w:val="364257B6"/>
    <w:rsid w:val="37EA5922"/>
    <w:rsid w:val="38276B93"/>
    <w:rsid w:val="382E58B8"/>
    <w:rsid w:val="38920094"/>
    <w:rsid w:val="38AC3431"/>
    <w:rsid w:val="392F2E16"/>
    <w:rsid w:val="39E00529"/>
    <w:rsid w:val="3A0B64A7"/>
    <w:rsid w:val="3A574DDA"/>
    <w:rsid w:val="3A5C0EAC"/>
    <w:rsid w:val="3A625F8F"/>
    <w:rsid w:val="3AAB598F"/>
    <w:rsid w:val="3AD3075A"/>
    <w:rsid w:val="3AF74C02"/>
    <w:rsid w:val="3B636AC9"/>
    <w:rsid w:val="3BDF5AF0"/>
    <w:rsid w:val="3C0059A5"/>
    <w:rsid w:val="3C134E78"/>
    <w:rsid w:val="3D3161B0"/>
    <w:rsid w:val="3DD2083D"/>
    <w:rsid w:val="3DF6345D"/>
    <w:rsid w:val="3E2B5515"/>
    <w:rsid w:val="3E4C6D02"/>
    <w:rsid w:val="3E4D4F28"/>
    <w:rsid w:val="3E970704"/>
    <w:rsid w:val="3ED92EC4"/>
    <w:rsid w:val="3EE13701"/>
    <w:rsid w:val="3F1A4BB3"/>
    <w:rsid w:val="3F200AA4"/>
    <w:rsid w:val="3F7D2F50"/>
    <w:rsid w:val="40192BA6"/>
    <w:rsid w:val="40F137D2"/>
    <w:rsid w:val="41011154"/>
    <w:rsid w:val="41766EA9"/>
    <w:rsid w:val="41C11BBD"/>
    <w:rsid w:val="42550A18"/>
    <w:rsid w:val="429D496A"/>
    <w:rsid w:val="42F473A1"/>
    <w:rsid w:val="437217EA"/>
    <w:rsid w:val="43AB7156"/>
    <w:rsid w:val="441E62C0"/>
    <w:rsid w:val="45325D14"/>
    <w:rsid w:val="45811C7C"/>
    <w:rsid w:val="45906116"/>
    <w:rsid w:val="45931B8C"/>
    <w:rsid w:val="45EC7588"/>
    <w:rsid w:val="45EF2552"/>
    <w:rsid w:val="468B3EFB"/>
    <w:rsid w:val="46924A56"/>
    <w:rsid w:val="470A6193"/>
    <w:rsid w:val="47385210"/>
    <w:rsid w:val="475510F8"/>
    <w:rsid w:val="47AC4078"/>
    <w:rsid w:val="47C87B80"/>
    <w:rsid w:val="47DC4F5C"/>
    <w:rsid w:val="48112723"/>
    <w:rsid w:val="48B40671"/>
    <w:rsid w:val="48B431D7"/>
    <w:rsid w:val="493D7951"/>
    <w:rsid w:val="499B5738"/>
    <w:rsid w:val="499F244D"/>
    <w:rsid w:val="4A91694F"/>
    <w:rsid w:val="4A973F3F"/>
    <w:rsid w:val="4AF96BC7"/>
    <w:rsid w:val="4AFF7CD6"/>
    <w:rsid w:val="4B0618FE"/>
    <w:rsid w:val="4B862A85"/>
    <w:rsid w:val="4BA33A9F"/>
    <w:rsid w:val="4C4556A8"/>
    <w:rsid w:val="4C6C0D77"/>
    <w:rsid w:val="4CEF36E2"/>
    <w:rsid w:val="4CEF4DC5"/>
    <w:rsid w:val="4CF5322A"/>
    <w:rsid w:val="4E257655"/>
    <w:rsid w:val="4E5E4D9B"/>
    <w:rsid w:val="4ECE62C6"/>
    <w:rsid w:val="4F05790C"/>
    <w:rsid w:val="4F372380"/>
    <w:rsid w:val="4F372FFB"/>
    <w:rsid w:val="4FCE2CCA"/>
    <w:rsid w:val="5025116D"/>
    <w:rsid w:val="506C7173"/>
    <w:rsid w:val="51B346D1"/>
    <w:rsid w:val="52395ECD"/>
    <w:rsid w:val="52C10D75"/>
    <w:rsid w:val="530F48B5"/>
    <w:rsid w:val="53863611"/>
    <w:rsid w:val="53B8319F"/>
    <w:rsid w:val="53C27FF8"/>
    <w:rsid w:val="54806794"/>
    <w:rsid w:val="549E0953"/>
    <w:rsid w:val="549E1A80"/>
    <w:rsid w:val="54B762AF"/>
    <w:rsid w:val="54C658F4"/>
    <w:rsid w:val="54EA382C"/>
    <w:rsid w:val="550C4BD7"/>
    <w:rsid w:val="554C1D56"/>
    <w:rsid w:val="55572986"/>
    <w:rsid w:val="55760C1C"/>
    <w:rsid w:val="558570B1"/>
    <w:rsid w:val="565340FA"/>
    <w:rsid w:val="568B3A8F"/>
    <w:rsid w:val="56927CD7"/>
    <w:rsid w:val="56AD5F59"/>
    <w:rsid w:val="56C60774"/>
    <w:rsid w:val="56D8416B"/>
    <w:rsid w:val="57AE2D82"/>
    <w:rsid w:val="57B12A52"/>
    <w:rsid w:val="580C301B"/>
    <w:rsid w:val="584C721F"/>
    <w:rsid w:val="58A45BF6"/>
    <w:rsid w:val="596A3DCD"/>
    <w:rsid w:val="598B5993"/>
    <w:rsid w:val="59AC44EC"/>
    <w:rsid w:val="59DC6BB3"/>
    <w:rsid w:val="5A02215E"/>
    <w:rsid w:val="5A2F2CC8"/>
    <w:rsid w:val="5AAE70AA"/>
    <w:rsid w:val="5AF220AF"/>
    <w:rsid w:val="5C10702D"/>
    <w:rsid w:val="5C152601"/>
    <w:rsid w:val="5C4252C4"/>
    <w:rsid w:val="5C591F03"/>
    <w:rsid w:val="5C5A37C4"/>
    <w:rsid w:val="5C7103A6"/>
    <w:rsid w:val="5C8A1B2F"/>
    <w:rsid w:val="5CC051CE"/>
    <w:rsid w:val="5CCC2C1C"/>
    <w:rsid w:val="5E8E4D06"/>
    <w:rsid w:val="5F561B72"/>
    <w:rsid w:val="606007BB"/>
    <w:rsid w:val="60AC7F66"/>
    <w:rsid w:val="60EF1EF8"/>
    <w:rsid w:val="6154205B"/>
    <w:rsid w:val="61656AA6"/>
    <w:rsid w:val="61BF10D9"/>
    <w:rsid w:val="62066511"/>
    <w:rsid w:val="62AC22DC"/>
    <w:rsid w:val="634009E0"/>
    <w:rsid w:val="639B3CCF"/>
    <w:rsid w:val="63A22BFD"/>
    <w:rsid w:val="64E45EF7"/>
    <w:rsid w:val="654A0DA0"/>
    <w:rsid w:val="65C36556"/>
    <w:rsid w:val="65FA7722"/>
    <w:rsid w:val="66815672"/>
    <w:rsid w:val="6691014E"/>
    <w:rsid w:val="66C87CCE"/>
    <w:rsid w:val="67124F1D"/>
    <w:rsid w:val="677435B2"/>
    <w:rsid w:val="67EF75F1"/>
    <w:rsid w:val="68377C4C"/>
    <w:rsid w:val="684F4F11"/>
    <w:rsid w:val="69124F16"/>
    <w:rsid w:val="69592FFE"/>
    <w:rsid w:val="69AC4B71"/>
    <w:rsid w:val="69CD5C14"/>
    <w:rsid w:val="69CF0D33"/>
    <w:rsid w:val="6A7D7B12"/>
    <w:rsid w:val="6B9946B3"/>
    <w:rsid w:val="6BB67689"/>
    <w:rsid w:val="6BE518DA"/>
    <w:rsid w:val="6C276F3A"/>
    <w:rsid w:val="6C7007C7"/>
    <w:rsid w:val="6C8E0AE9"/>
    <w:rsid w:val="6CC81F87"/>
    <w:rsid w:val="6DE76850"/>
    <w:rsid w:val="6DF1584D"/>
    <w:rsid w:val="6E0A264E"/>
    <w:rsid w:val="6FB20BD4"/>
    <w:rsid w:val="6FBA59BE"/>
    <w:rsid w:val="70296B3E"/>
    <w:rsid w:val="70611204"/>
    <w:rsid w:val="70934FBB"/>
    <w:rsid w:val="71312FF3"/>
    <w:rsid w:val="7165620F"/>
    <w:rsid w:val="717039F8"/>
    <w:rsid w:val="72007E1D"/>
    <w:rsid w:val="72196A60"/>
    <w:rsid w:val="72440855"/>
    <w:rsid w:val="725F76BB"/>
    <w:rsid w:val="72732A09"/>
    <w:rsid w:val="72C60FDD"/>
    <w:rsid w:val="731202FC"/>
    <w:rsid w:val="73483200"/>
    <w:rsid w:val="744C43DD"/>
    <w:rsid w:val="74710C53"/>
    <w:rsid w:val="74D13AD5"/>
    <w:rsid w:val="74FA2C30"/>
    <w:rsid w:val="754D5C4B"/>
    <w:rsid w:val="76564FD4"/>
    <w:rsid w:val="76753035"/>
    <w:rsid w:val="76C240A7"/>
    <w:rsid w:val="76DA416A"/>
    <w:rsid w:val="775246B7"/>
    <w:rsid w:val="77A10115"/>
    <w:rsid w:val="781E69D1"/>
    <w:rsid w:val="78634824"/>
    <w:rsid w:val="78EA0008"/>
    <w:rsid w:val="7901747F"/>
    <w:rsid w:val="790B1FE4"/>
    <w:rsid w:val="7A1268B5"/>
    <w:rsid w:val="7A263B6B"/>
    <w:rsid w:val="7A4D0E80"/>
    <w:rsid w:val="7AA37E55"/>
    <w:rsid w:val="7ABD76FC"/>
    <w:rsid w:val="7AF46346"/>
    <w:rsid w:val="7AF54B58"/>
    <w:rsid w:val="7B0F5EBF"/>
    <w:rsid w:val="7B130FB9"/>
    <w:rsid w:val="7B810197"/>
    <w:rsid w:val="7BA619AB"/>
    <w:rsid w:val="7BD71E38"/>
    <w:rsid w:val="7BF64EDE"/>
    <w:rsid w:val="7C022482"/>
    <w:rsid w:val="7C400C1E"/>
    <w:rsid w:val="7C624E94"/>
    <w:rsid w:val="7DD11708"/>
    <w:rsid w:val="7DEE4A4F"/>
    <w:rsid w:val="7DEF315D"/>
    <w:rsid w:val="7E1D1457"/>
    <w:rsid w:val="7E324809"/>
    <w:rsid w:val="7EAE6230"/>
    <w:rsid w:val="7EBD579E"/>
    <w:rsid w:val="7EC167BD"/>
    <w:rsid w:val="7F272D9E"/>
    <w:rsid w:val="7F991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75"/>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7"/>
    <w:link w:val="79"/>
    <w:semiHidden/>
    <w:unhideWhenUsed/>
    <w:qFormat/>
    <w:uiPriority w:val="9"/>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7"/>
    <w:link w:val="40"/>
    <w:qFormat/>
    <w:uiPriority w:val="9"/>
    <w:pPr>
      <w:keepNext/>
      <w:keepLines/>
      <w:spacing w:before="280" w:after="290" w:line="376" w:lineRule="auto"/>
      <w:outlineLvl w:val="4"/>
    </w:pPr>
    <w:rPr>
      <w:b/>
      <w:bCs/>
      <w:sz w:val="28"/>
      <w:szCs w:val="28"/>
    </w:rPr>
  </w:style>
  <w:style w:type="paragraph" w:styleId="9">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unhideWhenUsed/>
    <w:qFormat/>
    <w:uiPriority w:val="99"/>
    <w:pPr>
      <w:spacing w:after="120"/>
    </w:pPr>
  </w:style>
  <w:style w:type="paragraph" w:styleId="7">
    <w:name w:val="Normal Indent"/>
    <w:basedOn w:val="1"/>
    <w:qFormat/>
    <w:uiPriority w:val="99"/>
    <w:pPr>
      <w:ind w:firstLine="420"/>
    </w:pPr>
    <w:rPr>
      <w:szCs w:val="20"/>
    </w:rPr>
  </w:style>
  <w:style w:type="paragraph" w:styleId="10">
    <w:name w:val="List Number"/>
    <w:basedOn w:val="1"/>
    <w:qFormat/>
    <w:uiPriority w:val="99"/>
    <w:pPr>
      <w:numPr>
        <w:ilvl w:val="0"/>
        <w:numId w:val="1"/>
      </w:numPr>
    </w:pPr>
  </w:style>
  <w:style w:type="paragraph" w:styleId="11">
    <w:name w:val="toa heading"/>
    <w:basedOn w:val="1"/>
    <w:next w:val="1"/>
    <w:qFormat/>
    <w:uiPriority w:val="0"/>
    <w:rPr>
      <w:rFonts w:ascii="Arial" w:hAnsi="Arial"/>
      <w:sz w:val="24"/>
    </w:rPr>
  </w:style>
  <w:style w:type="paragraph" w:styleId="12">
    <w:name w:val="annotation text"/>
    <w:basedOn w:val="1"/>
    <w:link w:val="42"/>
    <w:qFormat/>
    <w:uiPriority w:val="99"/>
    <w:pPr>
      <w:jc w:val="left"/>
    </w:pPr>
  </w:style>
  <w:style w:type="paragraph" w:styleId="13">
    <w:name w:val="Body Text 3"/>
    <w:basedOn w:val="1"/>
    <w:next w:val="7"/>
    <w:link w:val="43"/>
    <w:unhideWhenUsed/>
    <w:qFormat/>
    <w:uiPriority w:val="99"/>
    <w:pPr>
      <w:spacing w:after="120"/>
    </w:pPr>
    <w:rPr>
      <w:sz w:val="16"/>
      <w:szCs w:val="16"/>
    </w:rPr>
  </w:style>
  <w:style w:type="paragraph" w:styleId="14">
    <w:name w:val="Body Text Indent"/>
    <w:basedOn w:val="1"/>
    <w:link w:val="45"/>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rPr>
      <w:rFonts w:ascii="Calibri" w:hAnsi="Calibri"/>
      <w:szCs w:val="22"/>
    </w:rPr>
  </w:style>
  <w:style w:type="paragraph" w:styleId="17">
    <w:name w:val="Plain Text"/>
    <w:basedOn w:val="1"/>
    <w:next w:val="1"/>
    <w:link w:val="46"/>
    <w:qFormat/>
    <w:uiPriority w:val="0"/>
    <w:rPr>
      <w:rFonts w:ascii="宋体" w:hAnsi="Courier New"/>
      <w:kern w:val="0"/>
      <w:sz w:val="20"/>
      <w:szCs w:val="21"/>
    </w:rPr>
  </w:style>
  <w:style w:type="paragraph" w:styleId="18">
    <w:name w:val="Date"/>
    <w:basedOn w:val="1"/>
    <w:next w:val="1"/>
    <w:link w:val="47"/>
    <w:unhideWhenUsed/>
    <w:qFormat/>
    <w:uiPriority w:val="99"/>
    <w:pPr>
      <w:ind w:left="100" w:leftChars="2500"/>
    </w:pPr>
  </w:style>
  <w:style w:type="paragraph" w:styleId="19">
    <w:name w:val="Balloon Text"/>
    <w:basedOn w:val="1"/>
    <w:link w:val="73"/>
    <w:semiHidden/>
    <w:qFormat/>
    <w:uiPriority w:val="99"/>
    <w:rPr>
      <w:sz w:val="18"/>
      <w:szCs w:val="18"/>
    </w:rPr>
  </w:style>
  <w:style w:type="paragraph" w:styleId="20">
    <w:name w:val="footer"/>
    <w:basedOn w:val="1"/>
    <w:link w:val="48"/>
    <w:unhideWhenUsed/>
    <w:qFormat/>
    <w:uiPriority w:val="99"/>
    <w:pPr>
      <w:tabs>
        <w:tab w:val="center" w:pos="4153"/>
        <w:tab w:val="right" w:pos="8306"/>
      </w:tabs>
      <w:snapToGrid w:val="0"/>
      <w:jc w:val="left"/>
    </w:pPr>
    <w:rPr>
      <w:kern w:val="0"/>
      <w:sz w:val="18"/>
      <w:szCs w:val="18"/>
    </w:rPr>
  </w:style>
  <w:style w:type="paragraph" w:styleId="21">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rPr>
      <w:rFonts w:ascii="Calibri" w:hAnsi="Calibri"/>
      <w:kern w:val="0"/>
      <w:sz w:val="24"/>
    </w:rPr>
  </w:style>
  <w:style w:type="paragraph" w:styleId="25">
    <w:name w:val="annotation subject"/>
    <w:basedOn w:val="12"/>
    <w:next w:val="14"/>
    <w:link w:val="50"/>
    <w:qFormat/>
    <w:uiPriority w:val="99"/>
    <w:rPr>
      <w:b/>
      <w:bCs/>
    </w:rPr>
  </w:style>
  <w:style w:type="paragraph" w:styleId="26">
    <w:name w:val="Body Text First Indent"/>
    <w:basedOn w:val="2"/>
    <w:qFormat/>
    <w:uiPriority w:val="0"/>
    <w:pPr>
      <w:ind w:firstLine="420" w:firstLineChars="100"/>
    </w:pPr>
    <w:rPr>
      <w:rFonts w:ascii="宋体"/>
    </w:rPr>
  </w:style>
  <w:style w:type="paragraph" w:styleId="27">
    <w:name w:val="Body Text First Indent 2"/>
    <w:basedOn w:val="14"/>
    <w:qFormat/>
    <w:uiPriority w:val="0"/>
    <w:pPr>
      <w:spacing w:after="120"/>
      <w:ind w:left="420" w:leftChars="200" w:firstLine="420" w:firstLineChars="200"/>
    </w:pPr>
    <w:rPr>
      <w:rFonts w:ascii="Times New Roman" w:eastAsia="宋体"/>
      <w:kern w:val="2"/>
      <w:sz w:val="21"/>
      <w:szCs w:val="24"/>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endnote reference"/>
    <w:unhideWhenUsed/>
    <w:qFormat/>
    <w:uiPriority w:val="99"/>
    <w:rPr>
      <w:rFonts w:ascii="Times New Roman" w:hAnsi="Times New Roman" w:eastAsia="宋体" w:cs="Times New Roman"/>
      <w:vertAlign w:val="superscript"/>
    </w:rPr>
  </w:style>
  <w:style w:type="character" w:styleId="32">
    <w:name w:val="FollowedHyperlink"/>
    <w:basedOn w:val="30"/>
    <w:semiHidden/>
    <w:unhideWhenUsed/>
    <w:qFormat/>
    <w:uiPriority w:val="99"/>
    <w:rPr>
      <w:rFonts w:ascii="Times New Roman" w:hAnsi="Times New Roman" w:eastAsia="宋体" w:cs="Times New Roman"/>
      <w:color w:val="800080"/>
      <w:u w:val="single"/>
    </w:rPr>
  </w:style>
  <w:style w:type="character" w:styleId="33">
    <w:name w:val="Hyperlink"/>
    <w:unhideWhenUsed/>
    <w:qFormat/>
    <w:uiPriority w:val="99"/>
    <w:rPr>
      <w:rFonts w:ascii="Times New Roman" w:hAnsi="Times New Roman" w:eastAsia="宋体" w:cs="Times New Roman"/>
      <w:color w:val="0000FF"/>
      <w:u w:val="single"/>
    </w:rPr>
  </w:style>
  <w:style w:type="character" w:styleId="34">
    <w:name w:val="annotation reference"/>
    <w:qFormat/>
    <w:uiPriority w:val="0"/>
    <w:rPr>
      <w:rFonts w:ascii="Times New Roman" w:hAnsi="Times New Roman" w:eastAsia="宋体" w:cs="Times New Roman"/>
      <w:sz w:val="21"/>
      <w:szCs w:val="21"/>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6">
    <w:name w:val="Intense Quote"/>
    <w:basedOn w:val="1"/>
    <w:next w:val="1"/>
    <w:qFormat/>
    <w:uiPriority w:val="30"/>
    <w:pPr>
      <w:framePr w:wrap="around" w:vAnchor="margin" w:hAnchor="text" w:y="1"/>
      <w:widowControl/>
      <w:pBdr>
        <w:top w:val="single" w:color="4F81BD" w:sz="4" w:space="10"/>
        <w:bottom w:val="single" w:color="4F81BD" w:sz="4" w:space="10"/>
      </w:pBdr>
      <w:spacing w:before="360" w:after="360"/>
      <w:ind w:left="864" w:right="864"/>
      <w:jc w:val="center"/>
    </w:pPr>
    <w:rPr>
      <w:rFonts w:eastAsia="Arial Unicode MS"/>
      <w:i/>
      <w:iCs/>
      <w:color w:val="4F81BD"/>
      <w:kern w:val="0"/>
      <w:sz w:val="24"/>
      <w:lang w:eastAsia="en-US"/>
    </w:rPr>
  </w:style>
  <w:style w:type="paragraph" w:customStyle="1" w:styleId="37">
    <w:name w:val="表格文字"/>
    <w:basedOn w:val="1"/>
    <w:qFormat/>
    <w:uiPriority w:val="0"/>
    <w:pPr>
      <w:spacing w:before="25" w:after="25"/>
      <w:jc w:val="left"/>
    </w:pPr>
    <w:rPr>
      <w:bCs/>
      <w:spacing w:val="10"/>
      <w:kern w:val="0"/>
      <w:sz w:val="24"/>
    </w:rPr>
  </w:style>
  <w:style w:type="character" w:customStyle="1" w:styleId="38">
    <w:name w:val="标题 1 Char"/>
    <w:link w:val="3"/>
    <w:qFormat/>
    <w:uiPriority w:val="9"/>
    <w:rPr>
      <w:rFonts w:ascii="Times New Roman" w:hAnsi="Times New Roman" w:eastAsia="宋体" w:cs="Times New Roman"/>
      <w:b/>
      <w:bCs/>
      <w:kern w:val="44"/>
      <w:sz w:val="44"/>
      <w:szCs w:val="44"/>
    </w:rPr>
  </w:style>
  <w:style w:type="character" w:customStyle="1" w:styleId="39">
    <w:name w:val="标题 2 Char1"/>
    <w:link w:val="4"/>
    <w:qFormat/>
    <w:uiPriority w:val="9"/>
    <w:rPr>
      <w:rFonts w:ascii="Cambria" w:hAnsi="Cambria" w:eastAsia="宋体" w:cs="Times New Roman"/>
      <w:b/>
      <w:bCs/>
      <w:sz w:val="32"/>
      <w:szCs w:val="32"/>
    </w:rPr>
  </w:style>
  <w:style w:type="character" w:customStyle="1" w:styleId="40">
    <w:name w:val="标题 5 Char"/>
    <w:link w:val="8"/>
    <w:qFormat/>
    <w:uiPriority w:val="9"/>
    <w:rPr>
      <w:rFonts w:ascii="Times New Roman" w:hAnsi="Times New Roman" w:eastAsia="宋体" w:cs="Times New Roman"/>
      <w:b/>
      <w:bCs/>
      <w:sz w:val="28"/>
      <w:szCs w:val="28"/>
    </w:rPr>
  </w:style>
  <w:style w:type="character" w:customStyle="1" w:styleId="41">
    <w:name w:val="标题 8 Char1"/>
    <w:link w:val="9"/>
    <w:qFormat/>
    <w:uiPriority w:val="9"/>
    <w:rPr>
      <w:rFonts w:ascii="等线 Light" w:hAnsi="等线 Light" w:eastAsia="等线 Light" w:cs="Times New Roman"/>
      <w:sz w:val="24"/>
    </w:rPr>
  </w:style>
  <w:style w:type="character" w:customStyle="1" w:styleId="42">
    <w:name w:val="批注文字 Char1"/>
    <w:link w:val="12"/>
    <w:qFormat/>
    <w:uiPriority w:val="99"/>
    <w:rPr>
      <w:rFonts w:ascii="Times New Roman" w:hAnsi="Times New Roman" w:eastAsia="宋体" w:cs="Times New Roman"/>
    </w:rPr>
  </w:style>
  <w:style w:type="character" w:customStyle="1" w:styleId="43">
    <w:name w:val="正文文本 3 Char"/>
    <w:link w:val="13"/>
    <w:qFormat/>
    <w:uiPriority w:val="99"/>
    <w:rPr>
      <w:rFonts w:ascii="Times New Roman" w:hAnsi="Times New Roman" w:eastAsia="宋体" w:cs="Times New Roman"/>
      <w:sz w:val="16"/>
      <w:szCs w:val="16"/>
    </w:rPr>
  </w:style>
  <w:style w:type="character" w:customStyle="1" w:styleId="44">
    <w:name w:val="正文文本 Char1"/>
    <w:link w:val="2"/>
    <w:qFormat/>
    <w:uiPriority w:val="99"/>
    <w:rPr>
      <w:rFonts w:ascii="Times New Roman" w:hAnsi="Times New Roman" w:eastAsia="宋体" w:cs="Times New Roman"/>
    </w:rPr>
  </w:style>
  <w:style w:type="character" w:customStyle="1" w:styleId="45">
    <w:name w:val="正文文本缩进 Char"/>
    <w:link w:val="14"/>
    <w:qFormat/>
    <w:uiPriority w:val="99"/>
    <w:rPr>
      <w:rFonts w:ascii="仿宋_GB2312" w:hAnsi="Times New Roman" w:eastAsia="仿宋_GB2312" w:cs="Times New Roman"/>
      <w:kern w:val="0"/>
      <w:sz w:val="32"/>
      <w:szCs w:val="20"/>
    </w:rPr>
  </w:style>
  <w:style w:type="character" w:customStyle="1" w:styleId="46">
    <w:name w:val="纯文本 Char1"/>
    <w:link w:val="17"/>
    <w:qFormat/>
    <w:uiPriority w:val="0"/>
    <w:rPr>
      <w:rFonts w:ascii="宋体" w:hAnsi="Courier New" w:eastAsia="宋体" w:cs="Times New Roman"/>
      <w:kern w:val="0"/>
      <w:sz w:val="20"/>
      <w:szCs w:val="21"/>
    </w:rPr>
  </w:style>
  <w:style w:type="character" w:customStyle="1" w:styleId="47">
    <w:name w:val="日期 Char"/>
    <w:link w:val="18"/>
    <w:qFormat/>
    <w:uiPriority w:val="99"/>
    <w:rPr>
      <w:rFonts w:ascii="Times New Roman" w:hAnsi="Times New Roman" w:eastAsia="宋体" w:cs="Times New Roman"/>
    </w:rPr>
  </w:style>
  <w:style w:type="character" w:customStyle="1" w:styleId="48">
    <w:name w:val="页脚 Char"/>
    <w:link w:val="20"/>
    <w:qFormat/>
    <w:uiPriority w:val="99"/>
    <w:rPr>
      <w:rFonts w:ascii="Times New Roman" w:hAnsi="Times New Roman" w:eastAsia="宋体" w:cs="Times New Roman"/>
      <w:kern w:val="0"/>
      <w:sz w:val="18"/>
      <w:szCs w:val="18"/>
    </w:rPr>
  </w:style>
  <w:style w:type="character" w:customStyle="1" w:styleId="49">
    <w:name w:val="页眉 Char"/>
    <w:link w:val="21"/>
    <w:qFormat/>
    <w:uiPriority w:val="99"/>
    <w:rPr>
      <w:rFonts w:ascii="Times New Roman" w:hAnsi="Times New Roman" w:eastAsia="宋体" w:cs="Times New Roman"/>
      <w:kern w:val="0"/>
      <w:sz w:val="18"/>
      <w:szCs w:val="18"/>
    </w:rPr>
  </w:style>
  <w:style w:type="character" w:customStyle="1" w:styleId="50">
    <w:name w:val="批注主题 Char"/>
    <w:link w:val="25"/>
    <w:qFormat/>
    <w:uiPriority w:val="99"/>
    <w:rPr>
      <w:rFonts w:ascii="Times New Roman" w:hAnsi="Times New Roman" w:eastAsia="宋体" w:cs="Times New Roman"/>
      <w:b/>
      <w:bCs/>
    </w:rPr>
  </w:style>
  <w:style w:type="character" w:customStyle="1" w:styleId="51">
    <w:name w:val="标题 1 字符1"/>
    <w:qFormat/>
    <w:uiPriority w:val="0"/>
    <w:rPr>
      <w:rFonts w:ascii="Times New Roman" w:hAnsi="Times New Roman" w:eastAsia="宋体" w:cs="Times New Roman"/>
      <w:b/>
      <w:bCs/>
      <w:kern w:val="44"/>
      <w:sz w:val="44"/>
      <w:szCs w:val="44"/>
    </w:rPr>
  </w:style>
  <w:style w:type="character" w:customStyle="1" w:styleId="52">
    <w:name w:val="textcontents"/>
    <w:qFormat/>
    <w:uiPriority w:val="0"/>
    <w:rPr>
      <w:rFonts w:ascii="Times New Roman" w:hAnsi="Times New Roman" w:eastAsia="宋体" w:cs="Times New Roman"/>
    </w:rPr>
  </w:style>
  <w:style w:type="character" w:customStyle="1" w:styleId="53">
    <w:name w:val="批注文字 Char"/>
    <w:qFormat/>
    <w:uiPriority w:val="99"/>
    <w:rPr>
      <w:rFonts w:ascii="Times New Roman" w:hAnsi="Times New Roman" w:eastAsia="宋体" w:cs="Times New Roman"/>
      <w:kern w:val="2"/>
      <w:sz w:val="21"/>
      <w:szCs w:val="24"/>
    </w:rPr>
  </w:style>
  <w:style w:type="character" w:customStyle="1" w:styleId="54">
    <w:name w:val="纯文本 字符"/>
    <w:qFormat/>
    <w:uiPriority w:val="0"/>
    <w:rPr>
      <w:rFonts w:ascii="宋体" w:hAnsi="Courier New" w:eastAsia="宋体" w:cs="Courier New"/>
      <w:szCs w:val="21"/>
    </w:rPr>
  </w:style>
  <w:style w:type="character" w:customStyle="1" w:styleId="55">
    <w:name w:val="纯文本 Char"/>
    <w:qFormat/>
    <w:uiPriority w:val="0"/>
    <w:rPr>
      <w:rFonts w:ascii="宋体" w:hAnsi="Courier New" w:eastAsia="宋体" w:cs="Courier New"/>
      <w:szCs w:val="21"/>
    </w:rPr>
  </w:style>
  <w:style w:type="character" w:customStyle="1" w:styleId="56">
    <w:name w:val="纯文本 字符2"/>
    <w:qFormat/>
    <w:uiPriority w:val="0"/>
    <w:rPr>
      <w:rFonts w:ascii="宋体" w:hAnsi="Courier New" w:eastAsia="宋体" w:cs="Courier New"/>
      <w:szCs w:val="21"/>
    </w:rPr>
  </w:style>
  <w:style w:type="character" w:customStyle="1" w:styleId="57">
    <w:name w:val="批注文字 字符1"/>
    <w:qFormat/>
    <w:uiPriority w:val="99"/>
    <w:rPr>
      <w:rFonts w:ascii="Times New Roman" w:hAnsi="Times New Roman" w:eastAsia="宋体" w:cs="Times New Roman"/>
      <w:kern w:val="2"/>
      <w:sz w:val="21"/>
      <w:szCs w:val="24"/>
    </w:rPr>
  </w:style>
  <w:style w:type="character" w:customStyle="1" w:styleId="5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9">
    <w:name w:val="纯文本 字符1"/>
    <w:qFormat/>
    <w:uiPriority w:val="0"/>
    <w:rPr>
      <w:rFonts w:ascii="宋体" w:hAnsi="Courier New" w:eastAsia="宋体" w:cs="Times New Roman"/>
    </w:rPr>
  </w:style>
  <w:style w:type="character" w:customStyle="1" w:styleId="60">
    <w:name w:val="正文文本 Char"/>
    <w:qFormat/>
    <w:uiPriority w:val="99"/>
    <w:rPr>
      <w:rFonts w:ascii="Times New Roman" w:hAnsi="Times New Roman" w:eastAsia="宋体" w:cs="Times New Roman"/>
      <w:kern w:val="2"/>
      <w:sz w:val="21"/>
      <w:szCs w:val="24"/>
    </w:rPr>
  </w:style>
  <w:style w:type="character" w:customStyle="1" w:styleId="61">
    <w:name w:val="批注文字 字符"/>
    <w:qFormat/>
    <w:uiPriority w:val="0"/>
    <w:rPr>
      <w:rFonts w:ascii="Times New Roman" w:hAnsi="Times New Roman" w:eastAsia="宋体" w:cs="Times New Roman"/>
      <w:kern w:val="2"/>
      <w:sz w:val="21"/>
      <w:szCs w:val="24"/>
    </w:rPr>
  </w:style>
  <w:style w:type="character" w:customStyle="1" w:styleId="62">
    <w:name w:val="标题 2 Char"/>
    <w:qFormat/>
    <w:uiPriority w:val="9"/>
    <w:rPr>
      <w:rFonts w:ascii="Cambria" w:hAnsi="Cambria" w:eastAsia="宋体" w:cs="Times New Roman"/>
      <w:b/>
      <w:bCs/>
      <w:kern w:val="2"/>
      <w:sz w:val="32"/>
      <w:szCs w:val="32"/>
    </w:rPr>
  </w:style>
  <w:style w:type="character" w:customStyle="1" w:styleId="63">
    <w:name w:val="标题 8 Char"/>
    <w:qFormat/>
    <w:uiPriority w:val="9"/>
    <w:rPr>
      <w:rFonts w:ascii="Arial" w:hAnsi="Arial" w:eastAsia="黑体" w:cs="Times New Roman"/>
      <w:kern w:val="2"/>
      <w:sz w:val="24"/>
      <w:szCs w:val="24"/>
    </w:rPr>
  </w:style>
  <w:style w:type="character" w:customStyle="1" w:styleId="64">
    <w:name w:val="apple-style-span"/>
    <w:qFormat/>
    <w:uiPriority w:val="0"/>
    <w:rPr>
      <w:rFonts w:ascii="Times New Roman" w:hAnsi="Times New Roman" w:eastAsia="宋体" w:cs="Times New Roman"/>
    </w:rPr>
  </w:style>
  <w:style w:type="paragraph" w:customStyle="1" w:styleId="65">
    <w:name w:val="默认段落字体 Para Char Char Char Char Char Char Char Char Char1 Char Char Char Char"/>
    <w:basedOn w:val="1"/>
    <w:qFormat/>
    <w:uiPriority w:val="99"/>
    <w:rPr>
      <w:rFonts w:ascii="Tahoma" w:hAnsi="Tahoma"/>
      <w:sz w:val="24"/>
      <w:szCs w:val="20"/>
    </w:rPr>
  </w:style>
  <w:style w:type="paragraph" w:customStyle="1" w:styleId="66">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jc w:val="left"/>
    </w:pPr>
    <w:rPr>
      <w:rFonts w:ascii="Calibri" w:hAnsi="Calibri"/>
      <w:kern w:val="0"/>
      <w:sz w:val="22"/>
      <w:szCs w:val="22"/>
      <w:lang w:eastAsia="en-US"/>
    </w:rPr>
  </w:style>
  <w:style w:type="character" w:customStyle="1" w:styleId="69">
    <w:name w:val="正文文本 字符"/>
    <w:qFormat/>
    <w:uiPriority w:val="0"/>
    <w:rPr>
      <w:rFonts w:ascii="Times New Roman" w:hAnsi="Times New Roman" w:eastAsia="宋体" w:cs="Times New Roman"/>
      <w:kern w:val="2"/>
      <w:sz w:val="21"/>
      <w:szCs w:val="24"/>
    </w:rPr>
  </w:style>
  <w:style w:type="character" w:customStyle="1" w:styleId="70">
    <w:name w:val="批注文字 Char2"/>
    <w:qFormat/>
    <w:uiPriority w:val="0"/>
    <w:rPr>
      <w:rFonts w:ascii="Times New Roman" w:hAnsi="Times New Roman" w:eastAsia="宋体" w:cs="Times New Roman"/>
      <w:kern w:val="2"/>
      <w:sz w:val="21"/>
      <w:szCs w:val="24"/>
    </w:rPr>
  </w:style>
  <w:style w:type="character" w:customStyle="1" w:styleId="71">
    <w:name w:val="正文2 Char Char"/>
    <w:link w:val="72"/>
    <w:qFormat/>
    <w:uiPriority w:val="0"/>
    <w:rPr>
      <w:rFonts w:ascii="Times New Roman" w:hAnsi="Times New Roman" w:eastAsia="宋体" w:cs="Times New Roman"/>
      <w:sz w:val="24"/>
      <w:szCs w:val="20"/>
    </w:rPr>
  </w:style>
  <w:style w:type="paragraph" w:customStyle="1" w:styleId="72">
    <w:name w:val="正文2"/>
    <w:basedOn w:val="1"/>
    <w:link w:val="71"/>
    <w:qFormat/>
    <w:uiPriority w:val="0"/>
    <w:pPr>
      <w:adjustRightInd w:val="0"/>
      <w:spacing w:before="156" w:line="360" w:lineRule="auto"/>
      <w:ind w:firstLine="510" w:firstLineChars="200"/>
    </w:pPr>
    <w:rPr>
      <w:sz w:val="24"/>
      <w:szCs w:val="20"/>
    </w:rPr>
  </w:style>
  <w:style w:type="character" w:customStyle="1" w:styleId="73">
    <w:name w:val="批注框文本 Char"/>
    <w:link w:val="19"/>
    <w:semiHidden/>
    <w:qFormat/>
    <w:uiPriority w:val="99"/>
    <w:rPr>
      <w:rFonts w:ascii="Times New Roman" w:hAnsi="Times New Roman" w:eastAsia="宋体" w:cs="Times New Roman"/>
      <w:sz w:val="18"/>
      <w:szCs w:val="18"/>
    </w:rPr>
  </w:style>
  <w:style w:type="character" w:customStyle="1" w:styleId="74">
    <w:name w:val="批注文字 字符2"/>
    <w:qFormat/>
    <w:uiPriority w:val="0"/>
    <w:rPr>
      <w:rFonts w:ascii="Times New Roman" w:hAnsi="Times New Roman" w:eastAsia="宋体" w:cs="Times New Roman"/>
      <w:kern w:val="2"/>
      <w:sz w:val="21"/>
      <w:szCs w:val="24"/>
    </w:rPr>
  </w:style>
  <w:style w:type="character" w:customStyle="1" w:styleId="75">
    <w:name w:val="标题 3 Char"/>
    <w:link w:val="5"/>
    <w:semiHidden/>
    <w:qFormat/>
    <w:uiPriority w:val="9"/>
    <w:rPr>
      <w:rFonts w:ascii="Times New Roman" w:hAnsi="Times New Roman" w:eastAsia="宋体" w:cs="Times New Roman"/>
      <w:b/>
      <w:bCs/>
      <w:sz w:val="32"/>
      <w:szCs w:val="32"/>
    </w:rPr>
  </w:style>
  <w:style w:type="character" w:customStyle="1" w:styleId="76">
    <w:name w:val="纯文本 字符3"/>
    <w:qFormat/>
    <w:uiPriority w:val="0"/>
    <w:rPr>
      <w:rFonts w:ascii="宋体" w:hAnsi="Courier New" w:eastAsia="宋体" w:cs="Times New Roman"/>
      <w:szCs w:val="21"/>
    </w:rPr>
  </w:style>
  <w:style w:type="character" w:customStyle="1" w:styleId="77">
    <w:name w:val="NormalCharacter"/>
    <w:qFormat/>
    <w:uiPriority w:val="0"/>
    <w:rPr>
      <w:rFonts w:ascii="Times New Roman" w:hAnsi="Times New Roman" w:eastAsia="宋体" w:cs="Times New Roman"/>
    </w:rPr>
  </w:style>
  <w:style w:type="character" w:customStyle="1" w:styleId="78">
    <w:name w:val="_Style 72"/>
    <w:semiHidden/>
    <w:unhideWhenUsed/>
    <w:qFormat/>
    <w:uiPriority w:val="99"/>
    <w:rPr>
      <w:rFonts w:ascii="Times New Roman" w:hAnsi="Times New Roman" w:eastAsia="宋体" w:cs="Times New Roman"/>
      <w:color w:val="605E5C"/>
      <w:shd w:val="clear" w:color="auto" w:fill="E1DFDD"/>
    </w:rPr>
  </w:style>
  <w:style w:type="character" w:customStyle="1" w:styleId="79">
    <w:name w:val="标题 4 Char"/>
    <w:link w:val="6"/>
    <w:semiHidden/>
    <w:qFormat/>
    <w:uiPriority w:val="9"/>
    <w:rPr>
      <w:rFonts w:ascii="等线 Light" w:hAnsi="等线 Light" w:eastAsia="等线 Light" w:cs="Times New Roman"/>
      <w:b/>
      <w:bCs/>
      <w:sz w:val="28"/>
      <w:szCs w:val="28"/>
    </w:rPr>
  </w:style>
  <w:style w:type="paragraph" w:customStyle="1" w:styleId="80">
    <w:name w:val="0 正文"/>
    <w:basedOn w:val="1"/>
    <w:qFormat/>
    <w:uiPriority w:val="0"/>
    <w:pPr>
      <w:spacing w:line="360" w:lineRule="auto"/>
      <w:ind w:firstLine="420"/>
    </w:pPr>
    <w:rPr>
      <w:szCs w:val="21"/>
    </w:rPr>
  </w:style>
  <w:style w:type="paragraph" w:customStyle="1" w:styleId="81">
    <w:name w:val="正文首行缩进 21"/>
    <w:basedOn w:val="82"/>
    <w:qFormat/>
    <w:uiPriority w:val="99"/>
    <w:pPr>
      <w:ind w:firstLine="420"/>
    </w:pPr>
  </w:style>
  <w:style w:type="paragraph" w:customStyle="1" w:styleId="82">
    <w:name w:val="正文文本缩进1"/>
    <w:basedOn w:val="1"/>
    <w:qFormat/>
    <w:uiPriority w:val="99"/>
    <w:pPr>
      <w:adjustRightInd w:val="0"/>
      <w:snapToGrid w:val="0"/>
      <w:spacing w:line="400" w:lineRule="exact"/>
      <w:ind w:firstLine="560" w:firstLineChars="200"/>
    </w:pPr>
    <w:rPr>
      <w:sz w:val="28"/>
    </w:rPr>
  </w:style>
  <w:style w:type="character" w:customStyle="1" w:styleId="83">
    <w:name w:val="font81"/>
    <w:qFormat/>
    <w:uiPriority w:val="0"/>
    <w:rPr>
      <w:rFonts w:hint="eastAsia" w:ascii="宋体" w:hAnsi="宋体" w:eastAsia="宋体" w:cs="宋体"/>
      <w:color w:val="000000"/>
      <w:sz w:val="18"/>
      <w:szCs w:val="18"/>
      <w:u w:val="single"/>
    </w:rPr>
  </w:style>
  <w:style w:type="character" w:customStyle="1" w:styleId="84">
    <w:name w:val="font61"/>
    <w:qFormat/>
    <w:uiPriority w:val="0"/>
    <w:rPr>
      <w:rFonts w:hint="eastAsia" w:ascii="宋体" w:hAnsi="宋体" w:eastAsia="宋体" w:cs="宋体"/>
      <w:color w:val="000000"/>
      <w:sz w:val="18"/>
      <w:szCs w:val="18"/>
      <w:u w:val="none"/>
    </w:rPr>
  </w:style>
  <w:style w:type="character" w:customStyle="1" w:styleId="85">
    <w:name w:val="font91"/>
    <w:qFormat/>
    <w:uiPriority w:val="0"/>
    <w:rPr>
      <w:rFonts w:hint="default" w:ascii="Times New Roman" w:hAnsi="Times New Roman" w:cs="Times New Roman"/>
      <w:color w:val="000000"/>
      <w:sz w:val="18"/>
      <w:szCs w:val="18"/>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89</Pages>
  <Words>34251</Words>
  <Characters>35878</Characters>
  <Lines>443</Lines>
  <Paragraphs>124</Paragraphs>
  <TotalTime>98</TotalTime>
  <ScaleCrop>false</ScaleCrop>
  <LinksUpToDate>false</LinksUpToDate>
  <CharactersWithSpaces>40557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2025-04-21T02:36:00Z</dcterms:created>
  <dc:creator>Administrator</dc:creator>
  <cp:lastModifiedBy>杉</cp:lastModifiedBy>
  <cp:lastPrinted>2024-10-17T07:51:00Z</cp:lastPrinted>
  <dcterms:modified xsi:type="dcterms:W3CDTF">2026-03-26T10:11:02Z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3ECF3637EB8A446B8CA86369DE213794</vt:lpwstr>
  </property>
  <property fmtid="{D5CDD505-2E9C-101B-9397-08002B2CF9AE}" pid="4" name="KSOTemplateDocerSaveRecord">
    <vt:lpwstr>eyJoZGlkIjoiZTE3OGMxZGM0MGI4ZjAyYjhiODQ1MTk1YTQzY2JlZjMiLCJ1c2VySWQiOiI4ODcyODM4OTIifQ==</vt:lpwstr>
  </property>
</Properties>
</file>